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vers"/>
        <w:tag w:val="Covers"/>
        <w:id w:val="-1472895794"/>
        <w:lock w:val="sdtLocked"/>
        <w:placeholder>
          <w:docPart w:val="95842B49581F41FEA1559CD6B6372808"/>
        </w:placeholder>
        <w:docPartList>
          <w:docPartGallery w:val="Custom 3"/>
          <w:docPartCategory w:val="Covers"/>
        </w:docPartList>
      </w:sdtPr>
      <w:sdtEndPr/>
      <w:sdtContent>
        <w:tbl>
          <w:tblPr>
            <w:tblStyle w:val="LayoutGrid"/>
            <w:tblW w:w="11339" w:type="dxa"/>
            <w:tblInd w:w="-700" w:type="dxa"/>
            <w:tblLook w:val="04A0" w:firstRow="1" w:lastRow="0" w:firstColumn="1" w:lastColumn="0" w:noHBand="0" w:noVBand="1"/>
          </w:tblPr>
          <w:tblGrid>
            <w:gridCol w:w="714"/>
            <w:gridCol w:w="9855"/>
            <w:gridCol w:w="770"/>
          </w:tblGrid>
          <w:tr w:rsidR="00D81A10" w:rsidRPr="00910206" w14:paraId="7B8F1AB5" w14:textId="77777777" w:rsidTr="00F76C4D">
            <w:trPr>
              <w:trHeight w:val="1277"/>
            </w:trPr>
            <w:tc>
              <w:tcPr>
                <w:tcW w:w="714" w:type="dxa"/>
              </w:tcPr>
              <w:p w14:paraId="021F9802" w14:textId="77777777" w:rsidR="00D81A10" w:rsidRPr="00910206" w:rsidRDefault="00D81A10" w:rsidP="000C1365">
                <w:pPr>
                  <w:pStyle w:val="NoSpacing"/>
                </w:pPr>
              </w:p>
            </w:tc>
            <w:tc>
              <w:tcPr>
                <w:tcW w:w="9855" w:type="dxa"/>
              </w:tcPr>
              <w:p w14:paraId="111741CC" w14:textId="77777777" w:rsidR="00D81A10" w:rsidRDefault="00D81A10" w:rsidP="000C1365">
                <w:pPr>
                  <w:pStyle w:val="NoSpacing"/>
                </w:pPr>
                <w:r>
                  <w:rPr>
                    <w:noProof/>
                  </w:rPr>
                  <w:drawing>
                    <wp:inline distT="0" distB="0" distL="0" distR="0" wp14:anchorId="5D5F8DD5" wp14:editId="67600A72">
                      <wp:extent cx="2093980" cy="505969"/>
                      <wp:effectExtent l="0" t="0" r="1905" b="8890"/>
                      <wp:docPr id="7" name="Picture 7"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TO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p>
            </w:tc>
            <w:tc>
              <w:tcPr>
                <w:tcW w:w="770" w:type="dxa"/>
              </w:tcPr>
              <w:p w14:paraId="4443E403" w14:textId="77777777" w:rsidR="00D81A10" w:rsidRPr="00910206" w:rsidRDefault="00D81A10" w:rsidP="000C1365">
                <w:pPr>
                  <w:pStyle w:val="NoSpacing"/>
                </w:pPr>
              </w:p>
            </w:tc>
          </w:tr>
          <w:tr w:rsidR="00D81A10" w:rsidRPr="00910206" w14:paraId="434E896B" w14:textId="77777777" w:rsidTr="000C0C9A">
            <w:trPr>
              <w:trHeight w:val="909"/>
            </w:trPr>
            <w:tc>
              <w:tcPr>
                <w:tcW w:w="714" w:type="dxa"/>
              </w:tcPr>
              <w:p w14:paraId="3C0086DE" w14:textId="77777777" w:rsidR="00D81A10" w:rsidRPr="00910206" w:rsidRDefault="00D81A10" w:rsidP="000C1365">
                <w:pPr>
                  <w:pStyle w:val="NoSpacing"/>
                </w:pPr>
              </w:p>
            </w:tc>
            <w:tc>
              <w:tcPr>
                <w:tcW w:w="9855" w:type="dxa"/>
              </w:tcPr>
              <w:p w14:paraId="7B42C8E3" w14:textId="77777777" w:rsidR="00D81A10" w:rsidRDefault="00D81A10" w:rsidP="000C1365">
                <w:pPr>
                  <w:pStyle w:val="NoSpacing"/>
                </w:pPr>
              </w:p>
            </w:tc>
            <w:tc>
              <w:tcPr>
                <w:tcW w:w="770" w:type="dxa"/>
              </w:tcPr>
              <w:p w14:paraId="4C21AF4A" w14:textId="77777777" w:rsidR="00D81A10" w:rsidRPr="00910206" w:rsidRDefault="00D81A10" w:rsidP="000C1365">
                <w:pPr>
                  <w:pStyle w:val="NoSpacing"/>
                </w:pPr>
              </w:p>
            </w:tc>
          </w:tr>
          <w:tr w:rsidR="00D81A10" w:rsidRPr="00910206" w14:paraId="4DCD37C7" w14:textId="77777777" w:rsidTr="000C0C9A">
            <w:trPr>
              <w:trHeight w:val="1364"/>
            </w:trPr>
            <w:tc>
              <w:tcPr>
                <w:tcW w:w="714" w:type="dxa"/>
              </w:tcPr>
              <w:p w14:paraId="36FA980D" w14:textId="77777777" w:rsidR="00D81A10" w:rsidRPr="00910206" w:rsidRDefault="00D81A10" w:rsidP="000C1365">
                <w:pPr>
                  <w:pStyle w:val="NoSpacing"/>
                </w:pPr>
              </w:p>
            </w:tc>
            <w:tc>
              <w:tcPr>
                <w:tcW w:w="9855" w:type="dxa"/>
              </w:tcPr>
              <w:p w14:paraId="3FCA60FD" w14:textId="037EF23D" w:rsidR="00A77019" w:rsidRDefault="005A1B7F" w:rsidP="00A77019">
                <w:pPr>
                  <w:pStyle w:val="CoverHeading"/>
                </w:pPr>
                <w:r w:rsidRPr="003F138F">
                  <w:t xml:space="preserve">Companion Guide – </w:t>
                </w:r>
                <w:r w:rsidR="00A77019">
                  <w:t>Annual Investment Income Report (AIIR)</w:t>
                </w:r>
                <w:r w:rsidR="00300345">
                  <w:t xml:space="preserve"> v</w:t>
                </w:r>
                <w:r w:rsidR="00453C60">
                  <w:t>6</w:t>
                </w:r>
                <w:r w:rsidR="00300345">
                  <w:t>.0</w:t>
                </w:r>
              </w:p>
              <w:p w14:paraId="46A7FDD1" w14:textId="1627FC3A" w:rsidR="00D81A10" w:rsidRPr="00910206" w:rsidRDefault="00D81A10" w:rsidP="005A1B7F">
                <w:pPr>
                  <w:pStyle w:val="CoverHeading"/>
                </w:pPr>
              </w:p>
            </w:tc>
            <w:tc>
              <w:tcPr>
                <w:tcW w:w="770" w:type="dxa"/>
              </w:tcPr>
              <w:p w14:paraId="35C125A0" w14:textId="77777777" w:rsidR="00D81A10" w:rsidRPr="00910206" w:rsidRDefault="00D81A10" w:rsidP="000C1365">
                <w:pPr>
                  <w:pStyle w:val="NoSpacing"/>
                </w:pPr>
              </w:p>
            </w:tc>
          </w:tr>
          <w:tr w:rsidR="00D81A10" w:rsidRPr="00910206" w14:paraId="6F74EC68" w14:textId="77777777" w:rsidTr="000C0C9A">
            <w:trPr>
              <w:trHeight w:val="80"/>
            </w:trPr>
            <w:tc>
              <w:tcPr>
                <w:tcW w:w="714" w:type="dxa"/>
              </w:tcPr>
              <w:p w14:paraId="54E1A02A" w14:textId="77777777" w:rsidR="00D81A10" w:rsidRPr="00910206" w:rsidRDefault="00D81A10" w:rsidP="000C0C9A">
                <w:pPr>
                  <w:pStyle w:val="NoSpacing"/>
                </w:pPr>
              </w:p>
            </w:tc>
            <w:tc>
              <w:tcPr>
                <w:tcW w:w="9855" w:type="dxa"/>
              </w:tcPr>
              <w:p w14:paraId="6ECA410C" w14:textId="77777777" w:rsidR="00D81A10" w:rsidRDefault="00D81A10" w:rsidP="000C0C9A">
                <w:pPr>
                  <w:pStyle w:val="NoSpacing"/>
                </w:pPr>
              </w:p>
            </w:tc>
            <w:tc>
              <w:tcPr>
                <w:tcW w:w="770" w:type="dxa"/>
              </w:tcPr>
              <w:p w14:paraId="602E68BC" w14:textId="77777777" w:rsidR="00D81A10" w:rsidRPr="00910206" w:rsidRDefault="00D81A10" w:rsidP="000C0C9A">
                <w:pPr>
                  <w:pStyle w:val="NoSpacing"/>
                </w:pPr>
              </w:p>
            </w:tc>
          </w:tr>
          <w:tr w:rsidR="00D81A10" w:rsidRPr="00910206" w14:paraId="3F33D701" w14:textId="77777777" w:rsidTr="000C1365">
            <w:trPr>
              <w:trHeight w:hRule="exact" w:val="1803"/>
            </w:trPr>
            <w:tc>
              <w:tcPr>
                <w:tcW w:w="714" w:type="dxa"/>
              </w:tcPr>
              <w:p w14:paraId="739E3223" w14:textId="77777777" w:rsidR="00D81A10" w:rsidRDefault="00D81A10" w:rsidP="000C1365">
                <w:pPr>
                  <w:pStyle w:val="NoSpacing"/>
                </w:pPr>
              </w:p>
            </w:tc>
            <w:tc>
              <w:tcPr>
                <w:tcW w:w="9855" w:type="dxa"/>
              </w:tcPr>
              <w:p w14:paraId="104F003A" w14:textId="7AC379CE" w:rsidR="00A77019" w:rsidRPr="00A77019" w:rsidRDefault="00A77019" w:rsidP="00A77019">
                <w:pPr>
                  <w:pStyle w:val="NoSpacing"/>
                  <w:rPr>
                    <w:bCs/>
                    <w:color w:val="3844CA" w:themeColor="background2"/>
                    <w:spacing w:val="2"/>
                  </w:rPr>
                </w:pPr>
                <w:r w:rsidRPr="00A77019">
                  <w:rPr>
                    <w:bCs/>
                    <w:color w:val="3844CA" w:themeColor="background2"/>
                    <w:spacing w:val="2"/>
                  </w:rPr>
                  <w:t xml:space="preserve">Version </w:t>
                </w:r>
                <w:r w:rsidR="00453C60">
                  <w:rPr>
                    <w:bCs/>
                    <w:color w:val="3844CA" w:themeColor="background2"/>
                    <w:spacing w:val="2"/>
                  </w:rPr>
                  <w:t>6</w:t>
                </w:r>
                <w:r w:rsidRPr="00A77019">
                  <w:rPr>
                    <w:bCs/>
                    <w:color w:val="3844CA" w:themeColor="background2"/>
                    <w:spacing w:val="2"/>
                  </w:rPr>
                  <w:t>.0</w:t>
                </w:r>
              </w:p>
              <w:sdt>
                <w:sdtPr>
                  <w:id w:val="1156347505"/>
                  <w:placeholder>
                    <w:docPart w:val="849D32A69AF94FD6A97F39C7A74C6A29"/>
                  </w:placeholder>
                  <w:date w:fullDate="2026-06-01T00:00:00Z">
                    <w:dateFormat w:val="d MMMM yyyy"/>
                    <w:lid w:val="en-AU"/>
                    <w:storeMappedDataAs w:val="dateTime"/>
                    <w:calendar w:val="gregorian"/>
                  </w:date>
                </w:sdtPr>
                <w:sdtEndPr/>
                <w:sdtContent>
                  <w:p w14:paraId="0DE44300" w14:textId="2C6B82A8" w:rsidR="00D81A10" w:rsidRDefault="0023051C" w:rsidP="000C1365">
                    <w:pPr>
                      <w:pStyle w:val="CoverDetails"/>
                    </w:pPr>
                    <w:r>
                      <w:t>1 June 2026</w:t>
                    </w:r>
                  </w:p>
                </w:sdtContent>
              </w:sdt>
            </w:tc>
            <w:tc>
              <w:tcPr>
                <w:tcW w:w="770" w:type="dxa"/>
              </w:tcPr>
              <w:p w14:paraId="08EB1FE9" w14:textId="77777777" w:rsidR="00D81A10" w:rsidRPr="00910206" w:rsidRDefault="00D81A10" w:rsidP="000C1365">
                <w:pPr>
                  <w:pStyle w:val="NoSpacing"/>
                </w:pPr>
              </w:p>
            </w:tc>
          </w:tr>
        </w:tbl>
        <w:p w14:paraId="42CC2565" w14:textId="77777777" w:rsidR="00D81A10" w:rsidRPr="00A65A5F" w:rsidRDefault="00D81A10" w:rsidP="00A65A5F">
          <w:pPr>
            <w:pStyle w:val="NoSpacing"/>
            <w:spacing w:line="240" w:lineRule="auto"/>
            <w:rPr>
              <w:sz w:val="16"/>
              <w:szCs w:val="16"/>
            </w:rPr>
          </w:pPr>
          <w:r>
            <w:rPr>
              <w:noProof/>
            </w:rPr>
            <w:drawing>
              <wp:anchor distT="0" distB="0" distL="114300" distR="114300" simplePos="0" relativeHeight="251658240" behindDoc="1" locked="0" layoutInCell="1" allowOverlap="1" wp14:anchorId="2DDADA56" wp14:editId="2FD0C66F">
                <wp:simplePos x="0" y="0"/>
                <wp:positionH relativeFrom="page">
                  <wp:posOffset>0</wp:posOffset>
                </wp:positionH>
                <wp:positionV relativeFrom="page">
                  <wp:posOffset>7096760</wp:posOffset>
                </wp:positionV>
                <wp:extent cx="7560000" cy="3596400"/>
                <wp:effectExtent l="0" t="0" r="3175" b="444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3596400"/>
                        </a:xfrm>
                        <a:prstGeom prst="rect">
                          <a:avLst/>
                        </a:prstGeom>
                      </pic:spPr>
                    </pic:pic>
                  </a:graphicData>
                </a:graphic>
                <wp14:sizeRelH relativeFrom="margin">
                  <wp14:pctWidth>0</wp14:pctWidth>
                </wp14:sizeRelH>
                <wp14:sizeRelV relativeFrom="margin">
                  <wp14:pctHeight>0</wp14:pctHeight>
                </wp14:sizeRelV>
              </wp:anchor>
            </w:drawing>
          </w:r>
        </w:p>
        <w:p w14:paraId="596A5BFA" w14:textId="28FD2520" w:rsidR="00DD566A" w:rsidRPr="00012A68" w:rsidRDefault="00A77019" w:rsidP="00DD566A">
          <w:pPr>
            <w:rPr>
              <w:rFonts w:ascii="Arial" w:hAnsi="Arial" w:cs="Arial"/>
              <w:color w:val="auto"/>
            </w:rPr>
          </w:pPr>
          <w:r w:rsidRPr="00A77019">
            <w:rPr>
              <w:sz w:val="16"/>
              <w:szCs w:val="16"/>
            </w:rPr>
            <w:t>For further information or questions, call 132866.</w:t>
          </w:r>
          <w:r w:rsidR="00DD566A">
            <w:rPr>
              <w:sz w:val="16"/>
              <w:szCs w:val="16"/>
            </w:rPr>
            <w:t xml:space="preserve"> </w:t>
          </w:r>
        </w:p>
        <w:p w14:paraId="28590006" w14:textId="60577A42" w:rsidR="00BE2B8B" w:rsidRPr="00574569" w:rsidRDefault="002748EB" w:rsidP="00A65A5F">
          <w:pPr>
            <w:pStyle w:val="NoSpacing"/>
            <w:spacing w:line="240" w:lineRule="auto"/>
            <w:rPr>
              <w:sz w:val="16"/>
              <w:szCs w:val="16"/>
            </w:rPr>
          </w:pPr>
        </w:p>
      </w:sdtContent>
    </w:sdt>
    <w:p w14:paraId="7962ABDC" w14:textId="77777777" w:rsidR="0005798A" w:rsidRPr="00574569" w:rsidRDefault="0005798A" w:rsidP="00A65A5F">
      <w:pPr>
        <w:pStyle w:val="NoSpacing"/>
        <w:spacing w:line="240" w:lineRule="auto"/>
        <w:rPr>
          <w:sz w:val="16"/>
          <w:szCs w:val="16"/>
        </w:rPr>
      </w:pPr>
      <w:r w:rsidRPr="00574569">
        <w:br w:type="page"/>
      </w:r>
    </w:p>
    <w:tbl>
      <w:tblPr>
        <w:tblW w:w="10065"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3"/>
        <w:gridCol w:w="6492"/>
        <w:gridCol w:w="1730"/>
      </w:tblGrid>
      <w:tr w:rsidR="00731B8F" w:rsidRPr="009F5E8F" w14:paraId="4370009B" w14:textId="77777777" w:rsidTr="00796CB9">
        <w:trPr>
          <w:tblHeader/>
        </w:trPr>
        <w:tc>
          <w:tcPr>
            <w:tcW w:w="1843" w:type="dxa"/>
            <w:tcBorders>
              <w:top w:val="single" w:sz="4" w:space="0" w:color="auto"/>
              <w:bottom w:val="single" w:sz="6" w:space="0" w:color="auto"/>
            </w:tcBorders>
            <w:shd w:val="clear" w:color="auto" w:fill="3844CA" w:themeFill="accent1"/>
          </w:tcPr>
          <w:p w14:paraId="1D458F5E" w14:textId="77777777" w:rsidR="00731B8F" w:rsidRPr="000C5A44" w:rsidRDefault="00731B8F" w:rsidP="000C136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lastRenderedPageBreak/>
              <w:t>Version</w:t>
            </w:r>
          </w:p>
        </w:tc>
        <w:tc>
          <w:tcPr>
            <w:tcW w:w="6492" w:type="dxa"/>
            <w:tcBorders>
              <w:top w:val="single" w:sz="4" w:space="0" w:color="auto"/>
              <w:bottom w:val="single" w:sz="6" w:space="0" w:color="auto"/>
            </w:tcBorders>
            <w:shd w:val="clear" w:color="auto" w:fill="3844CA" w:themeFill="accent1"/>
          </w:tcPr>
          <w:p w14:paraId="1099D3DB" w14:textId="77777777" w:rsidR="00731B8F" w:rsidRPr="000C5A44" w:rsidRDefault="00731B8F" w:rsidP="000C136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t>Version Update</w:t>
            </w:r>
          </w:p>
        </w:tc>
        <w:tc>
          <w:tcPr>
            <w:tcW w:w="1730" w:type="dxa"/>
            <w:tcBorders>
              <w:top w:val="single" w:sz="4" w:space="0" w:color="auto"/>
              <w:bottom w:val="single" w:sz="6" w:space="0" w:color="auto"/>
            </w:tcBorders>
            <w:shd w:val="clear" w:color="auto" w:fill="3844CA" w:themeFill="accent1"/>
          </w:tcPr>
          <w:p w14:paraId="78612FB4" w14:textId="77777777" w:rsidR="00731B8F" w:rsidRPr="000C5A44" w:rsidRDefault="00731B8F" w:rsidP="000C136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t>Publish Date</w:t>
            </w:r>
          </w:p>
        </w:tc>
      </w:tr>
      <w:tr w:rsidR="00731B8F" w14:paraId="41A57408" w14:textId="77777777" w:rsidTr="00EB6EF7">
        <w:tc>
          <w:tcPr>
            <w:tcW w:w="1843" w:type="dxa"/>
            <w:tcBorders>
              <w:top w:val="single" w:sz="6" w:space="0" w:color="auto"/>
              <w:bottom w:val="single" w:sz="6" w:space="0" w:color="auto"/>
            </w:tcBorders>
          </w:tcPr>
          <w:p w14:paraId="3AD409A9" w14:textId="0A5A9933" w:rsidR="00731B8F" w:rsidRPr="000C5A44" w:rsidRDefault="00EB6EF7" w:rsidP="000C1365">
            <w:pPr>
              <w:pStyle w:val="Maintext"/>
              <w:rPr>
                <w:rFonts w:asciiTheme="minorHAnsi" w:hAnsiTheme="minorHAnsi"/>
                <w:sz w:val="20"/>
                <w:szCs w:val="20"/>
              </w:rPr>
            </w:pPr>
            <w:r w:rsidRPr="00EB6EF7">
              <w:rPr>
                <w:rFonts w:asciiTheme="minorHAnsi" w:hAnsiTheme="minorHAnsi"/>
                <w:sz w:val="20"/>
                <w:szCs w:val="20"/>
              </w:rPr>
              <w:t>v1</w:t>
            </w:r>
          </w:p>
        </w:tc>
        <w:tc>
          <w:tcPr>
            <w:tcW w:w="6492" w:type="dxa"/>
            <w:tcBorders>
              <w:top w:val="single" w:sz="6" w:space="0" w:color="auto"/>
              <w:bottom w:val="single" w:sz="6" w:space="0" w:color="auto"/>
            </w:tcBorders>
          </w:tcPr>
          <w:p w14:paraId="73835994" w14:textId="77777777" w:rsidR="00731B8F" w:rsidRPr="000C5A44" w:rsidRDefault="00731B8F" w:rsidP="000C1365">
            <w:pPr>
              <w:pStyle w:val="Maintext"/>
              <w:rPr>
                <w:rFonts w:asciiTheme="minorHAnsi" w:hAnsiTheme="minorHAnsi"/>
                <w:sz w:val="20"/>
                <w:szCs w:val="20"/>
              </w:rPr>
            </w:pPr>
            <w:r w:rsidRPr="000C5A44">
              <w:rPr>
                <w:rFonts w:asciiTheme="minorHAnsi" w:hAnsiTheme="minorHAnsi"/>
                <w:sz w:val="20"/>
                <w:szCs w:val="20"/>
              </w:rPr>
              <w:t xml:space="preserve">New document </w:t>
            </w:r>
          </w:p>
        </w:tc>
        <w:tc>
          <w:tcPr>
            <w:tcW w:w="1730" w:type="dxa"/>
            <w:tcBorders>
              <w:top w:val="single" w:sz="6" w:space="0" w:color="auto"/>
              <w:bottom w:val="single" w:sz="6" w:space="0" w:color="auto"/>
            </w:tcBorders>
          </w:tcPr>
          <w:p w14:paraId="11108405" w14:textId="0826A150" w:rsidR="00731B8F" w:rsidRPr="000C5A44" w:rsidRDefault="00EB6EF7" w:rsidP="000C1365">
            <w:pPr>
              <w:pStyle w:val="Maintext"/>
              <w:rPr>
                <w:rFonts w:asciiTheme="minorHAnsi" w:hAnsiTheme="minorHAnsi"/>
                <w:sz w:val="20"/>
                <w:szCs w:val="20"/>
              </w:rPr>
            </w:pPr>
            <w:r w:rsidRPr="00EB6EF7">
              <w:rPr>
                <w:rFonts w:asciiTheme="minorHAnsi" w:hAnsiTheme="minorHAnsi"/>
                <w:sz w:val="20"/>
                <w:szCs w:val="20"/>
              </w:rPr>
              <w:t>November 2013</w:t>
            </w:r>
          </w:p>
        </w:tc>
      </w:tr>
      <w:tr w:rsidR="00D26859" w14:paraId="2C4665E4" w14:textId="77777777" w:rsidTr="000C1365">
        <w:tc>
          <w:tcPr>
            <w:tcW w:w="1843" w:type="dxa"/>
            <w:tcBorders>
              <w:top w:val="single" w:sz="6" w:space="0" w:color="auto"/>
              <w:bottom w:val="single" w:sz="6" w:space="0" w:color="auto"/>
            </w:tcBorders>
          </w:tcPr>
          <w:p w14:paraId="3D995BAA" w14:textId="1C3D6DCC" w:rsidR="00D26859" w:rsidRPr="000C5A44" w:rsidRDefault="00D26859" w:rsidP="000C1365">
            <w:pPr>
              <w:pStyle w:val="Maintext"/>
              <w:rPr>
                <w:rFonts w:asciiTheme="minorHAnsi" w:hAnsiTheme="minorHAnsi"/>
                <w:sz w:val="20"/>
                <w:szCs w:val="20"/>
              </w:rPr>
            </w:pPr>
            <w:r w:rsidRPr="00D26859">
              <w:rPr>
                <w:rFonts w:asciiTheme="minorHAnsi" w:hAnsiTheme="minorHAnsi"/>
                <w:sz w:val="20"/>
                <w:szCs w:val="20"/>
              </w:rPr>
              <w:t>v2</w:t>
            </w:r>
          </w:p>
        </w:tc>
        <w:tc>
          <w:tcPr>
            <w:tcW w:w="6492" w:type="dxa"/>
            <w:tcBorders>
              <w:top w:val="single" w:sz="6" w:space="0" w:color="auto"/>
              <w:bottom w:val="single" w:sz="6" w:space="0" w:color="auto"/>
            </w:tcBorders>
          </w:tcPr>
          <w:p w14:paraId="3F5E6811" w14:textId="77777777" w:rsidR="00D26859" w:rsidRPr="000C5A44" w:rsidRDefault="00D26859" w:rsidP="000C1365">
            <w:pPr>
              <w:pStyle w:val="Maintext"/>
              <w:rPr>
                <w:rFonts w:asciiTheme="minorHAnsi" w:hAnsiTheme="minorHAnsi"/>
                <w:sz w:val="20"/>
                <w:szCs w:val="20"/>
              </w:rPr>
            </w:pPr>
            <w:r w:rsidRPr="00EB6EF7">
              <w:rPr>
                <w:rFonts w:asciiTheme="minorHAnsi" w:hAnsiTheme="minorHAnsi"/>
                <w:sz w:val="20"/>
                <w:szCs w:val="20"/>
              </w:rPr>
              <w:t>Key changes between v1 and v2</w:t>
            </w:r>
          </w:p>
          <w:p w14:paraId="23CB2FD1" w14:textId="77777777" w:rsidR="00D26859" w:rsidRPr="00EB6EF7"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Content updated to reflect updating the AIIR Electronic reporting specification from v10 to v10.0.1</w:t>
            </w:r>
          </w:p>
          <w:p w14:paraId="44F61E05" w14:textId="77777777" w:rsidR="00D26859" w:rsidRPr="00EB6EF7"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A new section, Lodgment, has been included</w:t>
            </w:r>
          </w:p>
          <w:p w14:paraId="30EA8F64" w14:textId="77777777" w:rsidR="00D26859" w:rsidRPr="00EB6EF7"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The Farm Management Deposit section has been updated to explain consolidation and simplified reporting</w:t>
            </w:r>
          </w:p>
          <w:p w14:paraId="318BC68C" w14:textId="77777777" w:rsidR="00D26859" w:rsidRPr="00EB6EF7"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Section 11, Alignment between AIIR, SDS and ITR has been updated to reflect alignment of the 2015 forms</w:t>
            </w:r>
          </w:p>
          <w:p w14:paraId="5A4CACD1" w14:textId="77777777" w:rsidR="00D26859" w:rsidRPr="000C5A44"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Division 393 of the Taxation Administration Act 1953 (TAA) replaces regulation 56 of the Income Tax Regulations 1936 from 1 July 2015</w:t>
            </w:r>
          </w:p>
          <w:p w14:paraId="4A8EC476" w14:textId="77777777" w:rsidR="00D26859" w:rsidRPr="000C5A44" w:rsidRDefault="00D26859" w:rsidP="000C1365">
            <w:pPr>
              <w:pStyle w:val="Maintext"/>
              <w:ind w:left="720"/>
              <w:rPr>
                <w:rFonts w:asciiTheme="minorHAnsi" w:hAnsiTheme="minorHAnsi"/>
                <w:sz w:val="20"/>
                <w:szCs w:val="20"/>
              </w:rPr>
            </w:pPr>
          </w:p>
        </w:tc>
        <w:tc>
          <w:tcPr>
            <w:tcW w:w="1730" w:type="dxa"/>
            <w:tcBorders>
              <w:top w:val="single" w:sz="6" w:space="0" w:color="auto"/>
              <w:bottom w:val="single" w:sz="6" w:space="0" w:color="auto"/>
            </w:tcBorders>
          </w:tcPr>
          <w:p w14:paraId="6213CA57" w14:textId="4A8444EB" w:rsidR="00D26859" w:rsidRPr="000C5A44" w:rsidRDefault="00D26859" w:rsidP="000C1365">
            <w:pPr>
              <w:pStyle w:val="Maintext"/>
              <w:rPr>
                <w:rFonts w:asciiTheme="minorHAnsi" w:hAnsiTheme="minorHAnsi"/>
                <w:sz w:val="20"/>
                <w:szCs w:val="20"/>
              </w:rPr>
            </w:pPr>
            <w:r w:rsidRPr="00D26859">
              <w:rPr>
                <w:rFonts w:asciiTheme="minorHAnsi" w:hAnsiTheme="minorHAnsi"/>
                <w:sz w:val="20"/>
                <w:szCs w:val="20"/>
              </w:rPr>
              <w:t>October 2015</w:t>
            </w:r>
          </w:p>
        </w:tc>
      </w:tr>
      <w:tr w:rsidR="00D26859" w14:paraId="6C08B60C" w14:textId="77777777" w:rsidTr="000C1365">
        <w:tc>
          <w:tcPr>
            <w:tcW w:w="1843" w:type="dxa"/>
            <w:tcBorders>
              <w:top w:val="single" w:sz="6" w:space="0" w:color="auto"/>
              <w:bottom w:val="single" w:sz="6" w:space="0" w:color="auto"/>
            </w:tcBorders>
          </w:tcPr>
          <w:p w14:paraId="26C71314" w14:textId="112329FB" w:rsidR="00D26859" w:rsidRPr="000C5A44" w:rsidRDefault="00D26859" w:rsidP="000C1365">
            <w:pPr>
              <w:pStyle w:val="Maintext"/>
              <w:rPr>
                <w:rFonts w:asciiTheme="minorHAnsi" w:hAnsiTheme="minorHAnsi"/>
                <w:sz w:val="20"/>
                <w:szCs w:val="20"/>
              </w:rPr>
            </w:pPr>
            <w:r w:rsidRPr="00D26859">
              <w:rPr>
                <w:rFonts w:asciiTheme="minorHAnsi" w:hAnsiTheme="minorHAnsi"/>
                <w:sz w:val="20"/>
                <w:szCs w:val="20"/>
              </w:rPr>
              <w:t>v2.1</w:t>
            </w:r>
          </w:p>
        </w:tc>
        <w:tc>
          <w:tcPr>
            <w:tcW w:w="6492" w:type="dxa"/>
            <w:tcBorders>
              <w:top w:val="single" w:sz="6" w:space="0" w:color="auto"/>
              <w:bottom w:val="single" w:sz="6" w:space="0" w:color="auto"/>
            </w:tcBorders>
          </w:tcPr>
          <w:p w14:paraId="3E339F36" w14:textId="4429DC68" w:rsidR="00D26859" w:rsidRPr="000C5A44" w:rsidRDefault="00A05875" w:rsidP="000C1365">
            <w:pPr>
              <w:pStyle w:val="Maintext"/>
              <w:rPr>
                <w:rFonts w:asciiTheme="minorHAnsi" w:hAnsiTheme="minorHAnsi"/>
                <w:sz w:val="20"/>
                <w:szCs w:val="20"/>
              </w:rPr>
            </w:pPr>
            <w:r w:rsidRPr="00A05875">
              <w:rPr>
                <w:rFonts w:asciiTheme="minorHAnsi" w:hAnsiTheme="minorHAnsi"/>
                <w:sz w:val="20"/>
                <w:szCs w:val="20"/>
              </w:rPr>
              <w:t>Key changes between v2 and v2.1</w:t>
            </w:r>
          </w:p>
          <w:p w14:paraId="4B9BC812"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Content updated to reflect updating the AIIR Electronic reporting specification from v10.0.1 to v10.0.2</w:t>
            </w:r>
          </w:p>
          <w:p w14:paraId="32572D09"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Cyclic changes to reflect reporting year 2016</w:t>
            </w:r>
          </w:p>
          <w:p w14:paraId="55678B95"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Section 3, Lodging nil returns updated to include future reporting information</w:t>
            </w:r>
          </w:p>
          <w:p w14:paraId="0062C0C1"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Section 3, Lodgment and Section 4, Investor and account reporting have been updated to include exploration credits</w:t>
            </w:r>
          </w:p>
          <w:p w14:paraId="6789559F" w14:textId="77777777" w:rsidR="00A05875" w:rsidRPr="00A05875"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Section 11, Alignment between AIIR, SDS and ITR has been updated to include information on Attribution managed investment trust members annual statement</w:t>
            </w:r>
          </w:p>
          <w:p w14:paraId="6161E548" w14:textId="1AA6A6BB" w:rsidR="00A05875" w:rsidRPr="000C5A44" w:rsidRDefault="00A05875" w:rsidP="00A05875">
            <w:pPr>
              <w:pStyle w:val="Maintext"/>
              <w:numPr>
                <w:ilvl w:val="0"/>
                <w:numId w:val="10"/>
              </w:numPr>
              <w:rPr>
                <w:rFonts w:asciiTheme="minorHAnsi" w:hAnsiTheme="minorHAnsi"/>
                <w:sz w:val="20"/>
                <w:szCs w:val="20"/>
              </w:rPr>
            </w:pPr>
            <w:r w:rsidRPr="00A05875">
              <w:rPr>
                <w:rFonts w:asciiTheme="minorHAnsi" w:hAnsiTheme="minorHAnsi"/>
                <w:sz w:val="20"/>
                <w:szCs w:val="20"/>
              </w:rPr>
              <w:t>Appendix D, ATO lodgment validations - corrective action has been included</w:t>
            </w:r>
          </w:p>
          <w:p w14:paraId="0C683727" w14:textId="77777777" w:rsidR="00D26859" w:rsidRPr="000C5A44" w:rsidRDefault="00D26859" w:rsidP="000C1365">
            <w:pPr>
              <w:pStyle w:val="Maintext"/>
              <w:ind w:left="720"/>
              <w:rPr>
                <w:rFonts w:asciiTheme="minorHAnsi" w:hAnsiTheme="minorHAnsi"/>
                <w:sz w:val="20"/>
                <w:szCs w:val="20"/>
              </w:rPr>
            </w:pPr>
          </w:p>
        </w:tc>
        <w:tc>
          <w:tcPr>
            <w:tcW w:w="1730" w:type="dxa"/>
            <w:tcBorders>
              <w:top w:val="single" w:sz="6" w:space="0" w:color="auto"/>
              <w:bottom w:val="single" w:sz="6" w:space="0" w:color="auto"/>
            </w:tcBorders>
          </w:tcPr>
          <w:p w14:paraId="15189B40" w14:textId="52895408" w:rsidR="00D26859" w:rsidRPr="000C5A44" w:rsidRDefault="00A05875" w:rsidP="000C1365">
            <w:pPr>
              <w:pStyle w:val="Maintext"/>
              <w:rPr>
                <w:rFonts w:asciiTheme="minorHAnsi" w:hAnsiTheme="minorHAnsi"/>
                <w:sz w:val="20"/>
                <w:szCs w:val="20"/>
              </w:rPr>
            </w:pPr>
            <w:r w:rsidRPr="00A05875">
              <w:rPr>
                <w:rFonts w:asciiTheme="minorHAnsi" w:hAnsiTheme="minorHAnsi"/>
                <w:sz w:val="20"/>
                <w:szCs w:val="20"/>
              </w:rPr>
              <w:t>June 2016</w:t>
            </w:r>
          </w:p>
        </w:tc>
      </w:tr>
      <w:tr w:rsidR="00D26859" w14:paraId="4C51611C" w14:textId="77777777" w:rsidTr="000C1365">
        <w:tc>
          <w:tcPr>
            <w:tcW w:w="1843" w:type="dxa"/>
            <w:tcBorders>
              <w:top w:val="single" w:sz="6" w:space="0" w:color="auto"/>
              <w:bottom w:val="single" w:sz="6" w:space="0" w:color="auto"/>
            </w:tcBorders>
          </w:tcPr>
          <w:p w14:paraId="69C271C4" w14:textId="0EB00FAE" w:rsidR="00D26859" w:rsidRPr="000C5A44" w:rsidRDefault="003D25D2" w:rsidP="000C1365">
            <w:pPr>
              <w:pStyle w:val="Maintext"/>
              <w:rPr>
                <w:rFonts w:asciiTheme="minorHAnsi" w:hAnsiTheme="minorHAnsi"/>
                <w:sz w:val="20"/>
                <w:szCs w:val="20"/>
              </w:rPr>
            </w:pPr>
            <w:r w:rsidRPr="003D25D2">
              <w:rPr>
                <w:rFonts w:asciiTheme="minorHAnsi" w:hAnsiTheme="minorHAnsi"/>
                <w:sz w:val="20"/>
                <w:szCs w:val="20"/>
              </w:rPr>
              <w:t>v3</w:t>
            </w:r>
          </w:p>
        </w:tc>
        <w:tc>
          <w:tcPr>
            <w:tcW w:w="6492" w:type="dxa"/>
            <w:tcBorders>
              <w:top w:val="single" w:sz="6" w:space="0" w:color="auto"/>
              <w:bottom w:val="single" w:sz="6" w:space="0" w:color="auto"/>
            </w:tcBorders>
          </w:tcPr>
          <w:p w14:paraId="639369B5" w14:textId="1F43DDBB" w:rsidR="00D26859" w:rsidRPr="000C5A44" w:rsidRDefault="003D25D2" w:rsidP="000C1365">
            <w:pPr>
              <w:pStyle w:val="Maintext"/>
              <w:rPr>
                <w:rFonts w:asciiTheme="minorHAnsi" w:hAnsiTheme="minorHAnsi"/>
                <w:sz w:val="20"/>
                <w:szCs w:val="20"/>
              </w:rPr>
            </w:pPr>
            <w:r w:rsidRPr="003D25D2">
              <w:rPr>
                <w:rFonts w:asciiTheme="minorHAnsi" w:hAnsiTheme="minorHAnsi"/>
                <w:sz w:val="20"/>
                <w:szCs w:val="20"/>
              </w:rPr>
              <w:t>Key changes between v2.1 and v3.0</w:t>
            </w:r>
          </w:p>
          <w:p w14:paraId="294B281C" w14:textId="77777777" w:rsidR="00D26859" w:rsidRPr="00EB6EF7"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Content updated to reflect updating the AIIR Electronic reporting specification from v10 to v10.0.1</w:t>
            </w:r>
          </w:p>
          <w:p w14:paraId="434E8E77" w14:textId="77777777" w:rsidR="00D26859" w:rsidRPr="00EB6EF7"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A new section, Lodgment, has been included</w:t>
            </w:r>
          </w:p>
          <w:p w14:paraId="37BC5255" w14:textId="77777777" w:rsidR="00D26859" w:rsidRPr="00EB6EF7"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The Farm Management Deposit section has been updated to explain consolidation and simplified reporting</w:t>
            </w:r>
          </w:p>
          <w:p w14:paraId="4EAF5E52" w14:textId="77777777" w:rsidR="00D26859" w:rsidRPr="00EB6EF7"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Section 11, Alignment between AIIR, SDS and ITR has been updated to reflect alignment of the 2015 forms</w:t>
            </w:r>
          </w:p>
          <w:p w14:paraId="38C248A8" w14:textId="2D1848B0" w:rsidR="00D26859" w:rsidRDefault="00D26859" w:rsidP="000C1365">
            <w:pPr>
              <w:pStyle w:val="Maintext"/>
              <w:numPr>
                <w:ilvl w:val="0"/>
                <w:numId w:val="10"/>
              </w:numPr>
              <w:rPr>
                <w:rFonts w:asciiTheme="minorHAnsi" w:hAnsiTheme="minorHAnsi"/>
                <w:sz w:val="20"/>
                <w:szCs w:val="20"/>
              </w:rPr>
            </w:pPr>
            <w:r w:rsidRPr="00EB6EF7">
              <w:rPr>
                <w:rFonts w:asciiTheme="minorHAnsi" w:hAnsiTheme="minorHAnsi"/>
                <w:sz w:val="20"/>
                <w:szCs w:val="20"/>
              </w:rPr>
              <w:t>Division 393 of the Taxation Administration Act 1953 (TAA) replaces regulation 56 of the Income Tax Regulations 1936 from 1 July 2015</w:t>
            </w:r>
          </w:p>
          <w:p w14:paraId="5A382789" w14:textId="77777777" w:rsidR="003D25D2" w:rsidRPr="003D25D2" w:rsidRDefault="003D25D2" w:rsidP="003D25D2">
            <w:pPr>
              <w:pStyle w:val="Maintext"/>
              <w:numPr>
                <w:ilvl w:val="0"/>
                <w:numId w:val="10"/>
              </w:numPr>
              <w:rPr>
                <w:rFonts w:asciiTheme="minorHAnsi" w:hAnsiTheme="minorHAnsi"/>
                <w:sz w:val="20"/>
                <w:szCs w:val="20"/>
              </w:rPr>
            </w:pPr>
            <w:r w:rsidRPr="003D25D2">
              <w:rPr>
                <w:rFonts w:asciiTheme="minorHAnsi" w:hAnsiTheme="minorHAnsi"/>
                <w:sz w:val="20"/>
                <w:szCs w:val="20"/>
              </w:rPr>
              <w:t>Cyclic changes to reflect reporting year 2019</w:t>
            </w:r>
          </w:p>
          <w:p w14:paraId="3751A928" w14:textId="77777777" w:rsidR="003D25D2" w:rsidRPr="003D25D2" w:rsidRDefault="003D25D2" w:rsidP="003D25D2">
            <w:pPr>
              <w:pStyle w:val="Maintext"/>
              <w:numPr>
                <w:ilvl w:val="0"/>
                <w:numId w:val="10"/>
              </w:numPr>
              <w:rPr>
                <w:rFonts w:asciiTheme="minorHAnsi" w:hAnsiTheme="minorHAnsi"/>
                <w:sz w:val="20"/>
                <w:szCs w:val="20"/>
              </w:rPr>
            </w:pPr>
            <w:r w:rsidRPr="003D25D2">
              <w:rPr>
                <w:rFonts w:asciiTheme="minorHAnsi" w:hAnsiTheme="minorHAnsi"/>
                <w:sz w:val="20"/>
                <w:szCs w:val="20"/>
              </w:rPr>
              <w:t>Content updated to reflect updating the AIIR Electronic reporting specification from v10.0.2 to v11.0.1 and v12.0.0</w:t>
            </w:r>
          </w:p>
          <w:p w14:paraId="52D33D12"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New and updated content to support new measures and other legislative changes including:</w:t>
            </w:r>
          </w:p>
          <w:p w14:paraId="0CDAB7B4"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 xml:space="preserve">New tax system for Managed Investment Trusts </w:t>
            </w:r>
          </w:p>
          <w:p w14:paraId="3DC637E7"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Exploration Development Incentive measure</w:t>
            </w:r>
          </w:p>
          <w:p w14:paraId="785B65A4"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Sales of shares and units</w:t>
            </w:r>
          </w:p>
          <w:p w14:paraId="655744C7"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Farm management deposit accounts interest offset</w:t>
            </w:r>
          </w:p>
          <w:p w14:paraId="5FF67E67"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Foreign Resident Withholding Tax</w:t>
            </w:r>
          </w:p>
          <w:p w14:paraId="0E5C15C7"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Tax Incentive for Start Up (Angel Investors)</w:t>
            </w:r>
          </w:p>
          <w:p w14:paraId="17A961EE" w14:textId="7DBC3D65" w:rsidR="003D25D2" w:rsidRPr="000C5A44"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lastRenderedPageBreak/>
              <w:t>National innovation and Science agenda – New arrangements for Venture Capital Investment</w:t>
            </w:r>
          </w:p>
          <w:p w14:paraId="106A18D8" w14:textId="77777777" w:rsidR="00D26859" w:rsidRPr="000C5A44" w:rsidRDefault="00D26859" w:rsidP="000C1365">
            <w:pPr>
              <w:pStyle w:val="Maintext"/>
              <w:ind w:left="720"/>
              <w:rPr>
                <w:rFonts w:asciiTheme="minorHAnsi" w:hAnsiTheme="minorHAnsi"/>
                <w:sz w:val="20"/>
                <w:szCs w:val="20"/>
              </w:rPr>
            </w:pPr>
          </w:p>
        </w:tc>
        <w:tc>
          <w:tcPr>
            <w:tcW w:w="1730" w:type="dxa"/>
            <w:tcBorders>
              <w:top w:val="single" w:sz="6" w:space="0" w:color="auto"/>
              <w:bottom w:val="single" w:sz="6" w:space="0" w:color="auto"/>
            </w:tcBorders>
          </w:tcPr>
          <w:p w14:paraId="5147D8B4" w14:textId="6597A977" w:rsidR="00D26859" w:rsidRPr="000C5A44" w:rsidRDefault="00850281" w:rsidP="000C1365">
            <w:pPr>
              <w:pStyle w:val="Maintext"/>
              <w:rPr>
                <w:rFonts w:asciiTheme="minorHAnsi" w:hAnsiTheme="minorHAnsi"/>
                <w:sz w:val="20"/>
                <w:szCs w:val="20"/>
              </w:rPr>
            </w:pPr>
            <w:r w:rsidRPr="00850281">
              <w:rPr>
                <w:rFonts w:asciiTheme="minorHAnsi" w:hAnsiTheme="minorHAnsi"/>
                <w:sz w:val="20"/>
                <w:szCs w:val="20"/>
              </w:rPr>
              <w:lastRenderedPageBreak/>
              <w:t>June 2019</w:t>
            </w:r>
          </w:p>
        </w:tc>
      </w:tr>
      <w:tr w:rsidR="00D26859" w14:paraId="1A802C34" w14:textId="77777777" w:rsidTr="000C1365">
        <w:tc>
          <w:tcPr>
            <w:tcW w:w="1843" w:type="dxa"/>
            <w:tcBorders>
              <w:top w:val="single" w:sz="6" w:space="0" w:color="auto"/>
              <w:bottom w:val="single" w:sz="6" w:space="0" w:color="auto"/>
            </w:tcBorders>
          </w:tcPr>
          <w:p w14:paraId="23D40BA2" w14:textId="663B5851" w:rsidR="00D26859" w:rsidRPr="000C5A44" w:rsidRDefault="003D25D2" w:rsidP="000C1365">
            <w:pPr>
              <w:pStyle w:val="Maintext"/>
              <w:rPr>
                <w:rFonts w:asciiTheme="minorHAnsi" w:hAnsiTheme="minorHAnsi"/>
                <w:sz w:val="20"/>
                <w:szCs w:val="20"/>
              </w:rPr>
            </w:pPr>
            <w:r w:rsidRPr="003D25D2">
              <w:rPr>
                <w:rFonts w:asciiTheme="minorHAnsi" w:hAnsiTheme="minorHAnsi"/>
                <w:sz w:val="20"/>
                <w:szCs w:val="20"/>
              </w:rPr>
              <w:t>v4</w:t>
            </w:r>
          </w:p>
        </w:tc>
        <w:tc>
          <w:tcPr>
            <w:tcW w:w="6492" w:type="dxa"/>
            <w:tcBorders>
              <w:top w:val="single" w:sz="6" w:space="0" w:color="auto"/>
              <w:bottom w:val="single" w:sz="6" w:space="0" w:color="auto"/>
            </w:tcBorders>
          </w:tcPr>
          <w:p w14:paraId="18CF046B" w14:textId="43F535C1" w:rsidR="00D26859" w:rsidRPr="000C5A44" w:rsidRDefault="003D25D2" w:rsidP="000C1365">
            <w:pPr>
              <w:pStyle w:val="Maintext"/>
              <w:rPr>
                <w:rFonts w:asciiTheme="minorHAnsi" w:hAnsiTheme="minorHAnsi"/>
                <w:sz w:val="20"/>
                <w:szCs w:val="20"/>
              </w:rPr>
            </w:pPr>
            <w:r w:rsidRPr="003D25D2">
              <w:rPr>
                <w:rFonts w:asciiTheme="minorHAnsi" w:hAnsiTheme="minorHAnsi"/>
                <w:sz w:val="20"/>
                <w:szCs w:val="20"/>
              </w:rPr>
              <w:t>Key changes between v3 and v4</w:t>
            </w:r>
          </w:p>
          <w:p w14:paraId="2C100F0E" w14:textId="77777777" w:rsidR="003D25D2" w:rsidRPr="003D25D2" w:rsidRDefault="003D25D2" w:rsidP="003D25D2">
            <w:pPr>
              <w:pStyle w:val="Maintext"/>
              <w:numPr>
                <w:ilvl w:val="0"/>
                <w:numId w:val="10"/>
              </w:numPr>
              <w:rPr>
                <w:rFonts w:asciiTheme="minorHAnsi" w:hAnsiTheme="minorHAnsi"/>
                <w:sz w:val="20"/>
                <w:szCs w:val="20"/>
              </w:rPr>
            </w:pPr>
            <w:r w:rsidRPr="003D25D2">
              <w:rPr>
                <w:rFonts w:asciiTheme="minorHAnsi" w:hAnsiTheme="minorHAnsi"/>
                <w:sz w:val="20"/>
                <w:szCs w:val="20"/>
              </w:rPr>
              <w:t>Content updated to align with AIIR v13 specification</w:t>
            </w:r>
          </w:p>
          <w:p w14:paraId="7F1E66F8" w14:textId="77777777" w:rsidR="003D25D2" w:rsidRPr="003D25D2" w:rsidRDefault="003D25D2" w:rsidP="003D25D2">
            <w:pPr>
              <w:pStyle w:val="Maintext"/>
              <w:numPr>
                <w:ilvl w:val="0"/>
                <w:numId w:val="10"/>
              </w:numPr>
              <w:rPr>
                <w:rFonts w:asciiTheme="minorHAnsi" w:hAnsiTheme="minorHAnsi"/>
                <w:sz w:val="20"/>
                <w:szCs w:val="20"/>
              </w:rPr>
            </w:pPr>
            <w:r w:rsidRPr="003D25D2">
              <w:rPr>
                <w:rFonts w:asciiTheme="minorHAnsi" w:hAnsiTheme="minorHAnsi"/>
                <w:sz w:val="20"/>
                <w:szCs w:val="20"/>
              </w:rPr>
              <w:t>Updated content in relation to the following legislative measures:</w:t>
            </w:r>
          </w:p>
          <w:p w14:paraId="4C6144F5"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Treasury Laws Amendment (Making Sure Foreign Investors Pay Their Fair Share of Tax in Australia and Other Measures) Act 2019 (Stapled Structures legislation)</w:t>
            </w:r>
          </w:p>
          <w:p w14:paraId="4A9F576D" w14:textId="77777777" w:rsidR="003D25D2" w:rsidRPr="003D25D2" w:rsidRDefault="003D25D2" w:rsidP="00115458">
            <w:pPr>
              <w:pStyle w:val="Maintext"/>
              <w:numPr>
                <w:ilvl w:val="1"/>
                <w:numId w:val="19"/>
              </w:numPr>
              <w:rPr>
                <w:rFonts w:asciiTheme="minorHAnsi" w:hAnsiTheme="minorHAnsi"/>
                <w:sz w:val="20"/>
                <w:szCs w:val="20"/>
              </w:rPr>
            </w:pPr>
            <w:r w:rsidRPr="003D25D2">
              <w:rPr>
                <w:rFonts w:asciiTheme="minorHAnsi" w:hAnsiTheme="minorHAnsi"/>
                <w:sz w:val="20"/>
                <w:szCs w:val="20"/>
              </w:rPr>
              <w:t>Tax incentives for investments in Affordable Housing</w:t>
            </w:r>
          </w:p>
          <w:p w14:paraId="6340B84E" w14:textId="5DE9C411" w:rsidR="00D26859" w:rsidRPr="000C5A44" w:rsidRDefault="003D25D2" w:rsidP="003D25D2">
            <w:pPr>
              <w:pStyle w:val="Maintext"/>
              <w:rPr>
                <w:rFonts w:asciiTheme="minorHAnsi" w:hAnsiTheme="minorHAnsi"/>
                <w:sz w:val="20"/>
                <w:szCs w:val="20"/>
              </w:rPr>
            </w:pPr>
            <w:r w:rsidRPr="003D25D2">
              <w:rPr>
                <w:rFonts w:asciiTheme="minorHAnsi" w:hAnsiTheme="minorHAnsi"/>
                <w:sz w:val="20"/>
                <w:szCs w:val="20"/>
              </w:rPr>
              <w:t xml:space="preserve">10/08/2021 - Additional change update to lodgment methods and NCMI example </w:t>
            </w:r>
          </w:p>
        </w:tc>
        <w:tc>
          <w:tcPr>
            <w:tcW w:w="1730" w:type="dxa"/>
            <w:tcBorders>
              <w:top w:val="single" w:sz="6" w:space="0" w:color="auto"/>
              <w:bottom w:val="single" w:sz="6" w:space="0" w:color="auto"/>
            </w:tcBorders>
          </w:tcPr>
          <w:p w14:paraId="44EB85FE" w14:textId="37518BCD" w:rsidR="00D26859" w:rsidRPr="000C5A44" w:rsidRDefault="00850281" w:rsidP="000C1365">
            <w:pPr>
              <w:pStyle w:val="Maintext"/>
              <w:rPr>
                <w:rFonts w:asciiTheme="minorHAnsi" w:hAnsiTheme="minorHAnsi"/>
                <w:sz w:val="20"/>
                <w:szCs w:val="20"/>
              </w:rPr>
            </w:pPr>
            <w:r w:rsidRPr="00850281">
              <w:rPr>
                <w:rFonts w:asciiTheme="minorHAnsi" w:hAnsiTheme="minorHAnsi"/>
                <w:sz w:val="20"/>
                <w:szCs w:val="20"/>
              </w:rPr>
              <w:t>July 2021</w:t>
            </w:r>
          </w:p>
        </w:tc>
      </w:tr>
      <w:tr w:rsidR="006A5A29" w14:paraId="4AEB7F02" w14:textId="77777777" w:rsidTr="00EB6EF7">
        <w:tc>
          <w:tcPr>
            <w:tcW w:w="1843" w:type="dxa"/>
            <w:tcBorders>
              <w:top w:val="single" w:sz="6" w:space="0" w:color="auto"/>
              <w:bottom w:val="single" w:sz="6" w:space="0" w:color="auto"/>
            </w:tcBorders>
          </w:tcPr>
          <w:p w14:paraId="036123F0" w14:textId="208073B9" w:rsidR="006A5A29" w:rsidRPr="000C5A44" w:rsidRDefault="006A5A29" w:rsidP="006A5A29">
            <w:pPr>
              <w:pStyle w:val="Maintext"/>
              <w:rPr>
                <w:rFonts w:asciiTheme="minorHAnsi" w:hAnsiTheme="minorHAnsi"/>
                <w:sz w:val="20"/>
                <w:szCs w:val="20"/>
              </w:rPr>
            </w:pPr>
            <w:r w:rsidRPr="003D25D2">
              <w:rPr>
                <w:rFonts w:asciiTheme="minorHAnsi" w:hAnsiTheme="minorHAnsi"/>
                <w:sz w:val="20"/>
                <w:szCs w:val="20"/>
              </w:rPr>
              <w:t>v</w:t>
            </w:r>
            <w:r w:rsidRPr="00BE3C99">
              <w:rPr>
                <w:rFonts w:asciiTheme="minorHAnsi" w:hAnsiTheme="minorHAnsi"/>
                <w:sz w:val="20"/>
                <w:szCs w:val="20"/>
              </w:rPr>
              <w:t>5</w:t>
            </w:r>
          </w:p>
        </w:tc>
        <w:tc>
          <w:tcPr>
            <w:tcW w:w="6492" w:type="dxa"/>
            <w:tcBorders>
              <w:top w:val="single" w:sz="6" w:space="0" w:color="auto"/>
              <w:bottom w:val="single" w:sz="6" w:space="0" w:color="auto"/>
            </w:tcBorders>
          </w:tcPr>
          <w:p w14:paraId="7AE433FB" w14:textId="77777777" w:rsidR="006A5A29" w:rsidRDefault="006A5A29" w:rsidP="006A5A29">
            <w:pPr>
              <w:pStyle w:val="Maintext"/>
              <w:rPr>
                <w:rFonts w:asciiTheme="minorHAnsi" w:hAnsiTheme="minorHAnsi"/>
                <w:sz w:val="20"/>
                <w:szCs w:val="20"/>
              </w:rPr>
            </w:pPr>
            <w:r>
              <w:rPr>
                <w:rFonts w:asciiTheme="minorHAnsi" w:hAnsiTheme="minorHAnsi"/>
                <w:sz w:val="20"/>
                <w:szCs w:val="20"/>
              </w:rPr>
              <w:t>Key changes between v4 and 5</w:t>
            </w:r>
          </w:p>
          <w:p w14:paraId="1FAB11BB" w14:textId="77777777" w:rsidR="006A5A29" w:rsidRDefault="006A5A29" w:rsidP="006A5A29">
            <w:pPr>
              <w:pStyle w:val="Maintext"/>
              <w:numPr>
                <w:ilvl w:val="0"/>
                <w:numId w:val="77"/>
              </w:numPr>
              <w:rPr>
                <w:rFonts w:asciiTheme="minorHAnsi" w:hAnsiTheme="minorHAnsi"/>
                <w:sz w:val="20"/>
                <w:szCs w:val="20"/>
              </w:rPr>
            </w:pPr>
            <w:r>
              <w:rPr>
                <w:rFonts w:asciiTheme="minorHAnsi" w:hAnsiTheme="minorHAnsi"/>
                <w:sz w:val="20"/>
                <w:szCs w:val="20"/>
              </w:rPr>
              <w:t>Updated guidance on Corporate Collective Investment Vehicles (CCIV) sub-fund reporting</w:t>
            </w:r>
          </w:p>
          <w:p w14:paraId="00D3FBFE" w14:textId="77777777" w:rsidR="006A5A29" w:rsidRDefault="006A5A29" w:rsidP="006A5A29">
            <w:pPr>
              <w:pStyle w:val="Maintext"/>
              <w:numPr>
                <w:ilvl w:val="0"/>
                <w:numId w:val="77"/>
              </w:numPr>
              <w:rPr>
                <w:rFonts w:asciiTheme="minorHAnsi" w:hAnsiTheme="minorHAnsi"/>
                <w:sz w:val="20"/>
                <w:szCs w:val="20"/>
              </w:rPr>
            </w:pPr>
            <w:r>
              <w:rPr>
                <w:rFonts w:asciiTheme="minorHAnsi" w:hAnsiTheme="minorHAnsi"/>
                <w:sz w:val="20"/>
                <w:szCs w:val="20"/>
              </w:rPr>
              <w:t>Updated guidance on reporting foreign tax credits associated with assessable foreign source income</w:t>
            </w:r>
          </w:p>
          <w:p w14:paraId="484AA08F" w14:textId="77777777" w:rsidR="006A5A29" w:rsidRPr="000C5A44" w:rsidRDefault="006A5A29" w:rsidP="006A5A29">
            <w:pPr>
              <w:pStyle w:val="Maintext"/>
              <w:ind w:left="360"/>
              <w:rPr>
                <w:rFonts w:asciiTheme="minorHAnsi" w:hAnsiTheme="minorHAnsi"/>
                <w:sz w:val="20"/>
                <w:szCs w:val="20"/>
              </w:rPr>
            </w:pPr>
          </w:p>
        </w:tc>
        <w:tc>
          <w:tcPr>
            <w:tcW w:w="1730" w:type="dxa"/>
            <w:tcBorders>
              <w:top w:val="single" w:sz="6" w:space="0" w:color="auto"/>
              <w:bottom w:val="single" w:sz="6" w:space="0" w:color="auto"/>
            </w:tcBorders>
          </w:tcPr>
          <w:p w14:paraId="71FE7C17" w14:textId="5F76F692" w:rsidR="006A5A29" w:rsidRPr="000C5A44" w:rsidRDefault="006A5A29" w:rsidP="006A5A29">
            <w:pPr>
              <w:pStyle w:val="Maintext"/>
              <w:rPr>
                <w:rFonts w:asciiTheme="minorHAnsi" w:hAnsiTheme="minorHAnsi"/>
                <w:sz w:val="20"/>
                <w:szCs w:val="20"/>
              </w:rPr>
            </w:pPr>
            <w:r>
              <w:rPr>
                <w:rFonts w:asciiTheme="minorHAnsi" w:hAnsiTheme="minorHAnsi"/>
                <w:sz w:val="20"/>
                <w:szCs w:val="20"/>
              </w:rPr>
              <w:t>June 2024</w:t>
            </w:r>
          </w:p>
        </w:tc>
      </w:tr>
      <w:tr w:rsidR="004A15DA" w14:paraId="2CB5BD46" w14:textId="77777777" w:rsidTr="00EB6EF7">
        <w:tc>
          <w:tcPr>
            <w:tcW w:w="1843" w:type="dxa"/>
            <w:tcBorders>
              <w:top w:val="single" w:sz="6" w:space="0" w:color="auto"/>
              <w:bottom w:val="single" w:sz="6" w:space="0" w:color="auto"/>
            </w:tcBorders>
          </w:tcPr>
          <w:p w14:paraId="59EAA520" w14:textId="11979D9D" w:rsidR="004A15DA" w:rsidRPr="003D25D2" w:rsidRDefault="004A15DA" w:rsidP="006A5A29">
            <w:pPr>
              <w:pStyle w:val="Maintext"/>
              <w:rPr>
                <w:rFonts w:asciiTheme="minorHAnsi" w:hAnsiTheme="minorHAnsi"/>
                <w:sz w:val="20"/>
                <w:szCs w:val="20"/>
              </w:rPr>
            </w:pPr>
            <w:r>
              <w:rPr>
                <w:rFonts w:asciiTheme="minorHAnsi" w:hAnsiTheme="minorHAnsi"/>
                <w:sz w:val="20"/>
                <w:szCs w:val="20"/>
              </w:rPr>
              <w:t>V6</w:t>
            </w:r>
          </w:p>
        </w:tc>
        <w:tc>
          <w:tcPr>
            <w:tcW w:w="6492" w:type="dxa"/>
            <w:tcBorders>
              <w:top w:val="single" w:sz="6" w:space="0" w:color="auto"/>
              <w:bottom w:val="single" w:sz="6" w:space="0" w:color="auto"/>
            </w:tcBorders>
          </w:tcPr>
          <w:p w14:paraId="44ED9A4E" w14:textId="77777777" w:rsidR="004A15DA" w:rsidRDefault="004A15DA" w:rsidP="006A5A29">
            <w:pPr>
              <w:pStyle w:val="Maintext"/>
              <w:rPr>
                <w:rFonts w:asciiTheme="minorHAnsi" w:hAnsiTheme="minorHAnsi"/>
                <w:sz w:val="20"/>
                <w:szCs w:val="20"/>
              </w:rPr>
            </w:pPr>
            <w:r>
              <w:rPr>
                <w:rFonts w:asciiTheme="minorHAnsi" w:hAnsiTheme="minorHAnsi"/>
                <w:sz w:val="20"/>
                <w:szCs w:val="20"/>
              </w:rPr>
              <w:t>Key changes between v5 and 6</w:t>
            </w:r>
          </w:p>
          <w:p w14:paraId="19E0C182" w14:textId="66D65D65" w:rsidR="004A15DA" w:rsidRDefault="002B564C">
            <w:pPr>
              <w:pStyle w:val="Maintext"/>
              <w:numPr>
                <w:ilvl w:val="0"/>
                <w:numId w:val="90"/>
              </w:numPr>
              <w:rPr>
                <w:rFonts w:asciiTheme="minorHAnsi" w:hAnsiTheme="minorHAnsi"/>
                <w:sz w:val="20"/>
                <w:szCs w:val="20"/>
              </w:rPr>
            </w:pPr>
            <w:r>
              <w:rPr>
                <w:rFonts w:asciiTheme="minorHAnsi" w:hAnsiTheme="minorHAnsi"/>
                <w:sz w:val="20"/>
                <w:szCs w:val="20"/>
              </w:rPr>
              <w:t>Updated guidance on report</w:t>
            </w:r>
            <w:r w:rsidR="00DF2639">
              <w:rPr>
                <w:rFonts w:asciiTheme="minorHAnsi" w:hAnsiTheme="minorHAnsi"/>
                <w:sz w:val="20"/>
                <w:szCs w:val="20"/>
              </w:rPr>
              <w:t>ing</w:t>
            </w:r>
            <w:r>
              <w:rPr>
                <w:rFonts w:asciiTheme="minorHAnsi" w:hAnsiTheme="minorHAnsi"/>
                <w:sz w:val="20"/>
                <w:szCs w:val="20"/>
              </w:rPr>
              <w:t xml:space="preserve"> for Build to Rent </w:t>
            </w:r>
            <w:r w:rsidR="00DF2639">
              <w:rPr>
                <w:rFonts w:asciiTheme="minorHAnsi" w:hAnsiTheme="minorHAnsi"/>
                <w:sz w:val="20"/>
                <w:szCs w:val="20"/>
              </w:rPr>
              <w:t>(BTR)</w:t>
            </w:r>
            <w:r w:rsidR="003248C3">
              <w:rPr>
                <w:rFonts w:asciiTheme="minorHAnsi" w:hAnsiTheme="minorHAnsi"/>
                <w:sz w:val="20"/>
                <w:szCs w:val="20"/>
              </w:rPr>
              <w:t xml:space="preserve"> and reporting examples</w:t>
            </w:r>
          </w:p>
          <w:p w14:paraId="6A555F85" w14:textId="73E6CEEE" w:rsidR="00414916" w:rsidRDefault="005D3B1D" w:rsidP="00EA18DB">
            <w:pPr>
              <w:pStyle w:val="Maintext"/>
              <w:numPr>
                <w:ilvl w:val="0"/>
                <w:numId w:val="90"/>
              </w:numPr>
              <w:rPr>
                <w:rFonts w:asciiTheme="minorHAnsi" w:hAnsiTheme="minorHAnsi"/>
                <w:sz w:val="20"/>
                <w:szCs w:val="20"/>
              </w:rPr>
            </w:pPr>
            <w:r>
              <w:rPr>
                <w:rFonts w:asciiTheme="minorHAnsi" w:hAnsiTheme="minorHAnsi"/>
                <w:sz w:val="20"/>
                <w:szCs w:val="20"/>
              </w:rPr>
              <w:t xml:space="preserve">Section 1 – </w:t>
            </w:r>
            <w:r w:rsidR="00F84634">
              <w:rPr>
                <w:rFonts w:asciiTheme="minorHAnsi" w:hAnsiTheme="minorHAnsi"/>
                <w:sz w:val="20"/>
                <w:szCs w:val="20"/>
              </w:rPr>
              <w:t>N</w:t>
            </w:r>
            <w:r>
              <w:rPr>
                <w:rFonts w:asciiTheme="minorHAnsi" w:hAnsiTheme="minorHAnsi"/>
                <w:sz w:val="20"/>
                <w:szCs w:val="20"/>
              </w:rPr>
              <w:t xml:space="preserve">ew fields </w:t>
            </w:r>
            <w:r w:rsidR="00C17F5E">
              <w:rPr>
                <w:rFonts w:asciiTheme="minorHAnsi" w:hAnsiTheme="minorHAnsi"/>
                <w:sz w:val="20"/>
                <w:szCs w:val="20"/>
              </w:rPr>
              <w:t>and updated definition</w:t>
            </w:r>
          </w:p>
          <w:p w14:paraId="1C3F9FFB" w14:textId="77777777" w:rsidR="00DE54A1" w:rsidRDefault="0088151B" w:rsidP="00EA18DB">
            <w:pPr>
              <w:pStyle w:val="Maintext"/>
              <w:numPr>
                <w:ilvl w:val="0"/>
                <w:numId w:val="90"/>
              </w:numPr>
              <w:rPr>
                <w:rFonts w:asciiTheme="minorHAnsi" w:hAnsiTheme="minorHAnsi"/>
                <w:sz w:val="20"/>
                <w:szCs w:val="20"/>
              </w:rPr>
            </w:pPr>
            <w:r>
              <w:rPr>
                <w:rFonts w:asciiTheme="minorHAnsi" w:hAnsiTheme="minorHAnsi"/>
                <w:sz w:val="20"/>
                <w:szCs w:val="20"/>
              </w:rPr>
              <w:t xml:space="preserve">Section 4 – </w:t>
            </w:r>
            <w:r w:rsidR="007F7A35">
              <w:rPr>
                <w:rFonts w:asciiTheme="minorHAnsi" w:hAnsiTheme="minorHAnsi"/>
                <w:sz w:val="20"/>
                <w:szCs w:val="20"/>
              </w:rPr>
              <w:t>Payment types</w:t>
            </w:r>
            <w:r w:rsidR="00883A34">
              <w:rPr>
                <w:rFonts w:asciiTheme="minorHAnsi" w:hAnsiTheme="minorHAnsi"/>
                <w:sz w:val="20"/>
                <w:szCs w:val="20"/>
              </w:rPr>
              <w:t xml:space="preserve"> </w:t>
            </w:r>
            <w:r w:rsidR="00BA0913">
              <w:rPr>
                <w:rFonts w:asciiTheme="minorHAnsi" w:hAnsiTheme="minorHAnsi"/>
                <w:sz w:val="20"/>
                <w:szCs w:val="20"/>
              </w:rPr>
              <w:t xml:space="preserve">for the new </w:t>
            </w:r>
            <w:r w:rsidR="00A22517">
              <w:rPr>
                <w:rFonts w:asciiTheme="minorHAnsi" w:hAnsiTheme="minorHAnsi"/>
                <w:sz w:val="20"/>
                <w:szCs w:val="20"/>
              </w:rPr>
              <w:t xml:space="preserve">BTR </w:t>
            </w:r>
            <w:r w:rsidR="00BA0913">
              <w:rPr>
                <w:rFonts w:asciiTheme="minorHAnsi" w:hAnsiTheme="minorHAnsi"/>
                <w:sz w:val="20"/>
                <w:szCs w:val="20"/>
              </w:rPr>
              <w:t>f</w:t>
            </w:r>
            <w:r w:rsidR="00A22517">
              <w:rPr>
                <w:rFonts w:asciiTheme="minorHAnsi" w:hAnsiTheme="minorHAnsi"/>
                <w:sz w:val="20"/>
                <w:szCs w:val="20"/>
              </w:rPr>
              <w:t>ields</w:t>
            </w:r>
          </w:p>
          <w:p w14:paraId="76318BE8" w14:textId="77777777" w:rsidR="00A22517" w:rsidRDefault="00A22517" w:rsidP="00EA18DB">
            <w:pPr>
              <w:pStyle w:val="Maintext"/>
              <w:numPr>
                <w:ilvl w:val="0"/>
                <w:numId w:val="90"/>
              </w:numPr>
              <w:rPr>
                <w:rFonts w:asciiTheme="minorHAnsi" w:hAnsiTheme="minorHAnsi"/>
                <w:sz w:val="20"/>
                <w:szCs w:val="20"/>
              </w:rPr>
            </w:pPr>
            <w:r>
              <w:rPr>
                <w:rFonts w:asciiTheme="minorHAnsi" w:hAnsiTheme="minorHAnsi"/>
                <w:sz w:val="20"/>
                <w:szCs w:val="20"/>
              </w:rPr>
              <w:t xml:space="preserve">Section </w:t>
            </w:r>
            <w:r w:rsidR="00827BD8">
              <w:rPr>
                <w:rFonts w:asciiTheme="minorHAnsi" w:hAnsiTheme="minorHAnsi"/>
                <w:sz w:val="20"/>
                <w:szCs w:val="20"/>
              </w:rPr>
              <w:t xml:space="preserve">6 – </w:t>
            </w:r>
            <w:r w:rsidR="000528E8">
              <w:rPr>
                <w:rFonts w:asciiTheme="minorHAnsi" w:hAnsiTheme="minorHAnsi"/>
                <w:sz w:val="20"/>
                <w:szCs w:val="20"/>
              </w:rPr>
              <w:t>AMITs f</w:t>
            </w:r>
            <w:r w:rsidR="00827BD8">
              <w:rPr>
                <w:rFonts w:asciiTheme="minorHAnsi" w:hAnsiTheme="minorHAnsi"/>
                <w:sz w:val="20"/>
                <w:szCs w:val="20"/>
              </w:rPr>
              <w:t xml:space="preserve">ield </w:t>
            </w:r>
            <w:r w:rsidR="00C43900">
              <w:rPr>
                <w:rFonts w:asciiTheme="minorHAnsi" w:hAnsiTheme="minorHAnsi"/>
                <w:sz w:val="20"/>
                <w:szCs w:val="20"/>
              </w:rPr>
              <w:t xml:space="preserve">type </w:t>
            </w:r>
            <w:r w:rsidR="00827BD8">
              <w:rPr>
                <w:rFonts w:asciiTheme="minorHAnsi" w:hAnsiTheme="minorHAnsi"/>
                <w:sz w:val="20"/>
                <w:szCs w:val="20"/>
              </w:rPr>
              <w:t>requirement</w:t>
            </w:r>
            <w:r w:rsidR="00C43900">
              <w:rPr>
                <w:rFonts w:asciiTheme="minorHAnsi" w:hAnsiTheme="minorHAnsi"/>
                <w:sz w:val="20"/>
                <w:szCs w:val="20"/>
              </w:rPr>
              <w:t xml:space="preserve">s </w:t>
            </w:r>
          </w:p>
          <w:p w14:paraId="45976D5E" w14:textId="77777777" w:rsidR="000528E8" w:rsidRDefault="000528E8" w:rsidP="00EA18DB">
            <w:pPr>
              <w:pStyle w:val="Maintext"/>
              <w:numPr>
                <w:ilvl w:val="0"/>
                <w:numId w:val="90"/>
              </w:numPr>
              <w:rPr>
                <w:rFonts w:asciiTheme="minorHAnsi" w:hAnsiTheme="minorHAnsi"/>
                <w:sz w:val="20"/>
                <w:szCs w:val="20"/>
              </w:rPr>
            </w:pPr>
            <w:r>
              <w:rPr>
                <w:rFonts w:asciiTheme="minorHAnsi" w:hAnsiTheme="minorHAnsi"/>
                <w:sz w:val="20"/>
                <w:szCs w:val="20"/>
              </w:rPr>
              <w:t xml:space="preserve">Section </w:t>
            </w:r>
            <w:r w:rsidR="003D251C">
              <w:rPr>
                <w:rFonts w:asciiTheme="minorHAnsi" w:hAnsiTheme="minorHAnsi"/>
                <w:sz w:val="20"/>
                <w:szCs w:val="20"/>
              </w:rPr>
              <w:t>7 – BTR in Trust Reporting</w:t>
            </w:r>
          </w:p>
          <w:p w14:paraId="1922BF0E" w14:textId="77777777" w:rsidR="003D251C" w:rsidRDefault="00D312B4" w:rsidP="00EA18DB">
            <w:pPr>
              <w:pStyle w:val="Maintext"/>
              <w:numPr>
                <w:ilvl w:val="0"/>
                <w:numId w:val="90"/>
              </w:numPr>
              <w:rPr>
                <w:rFonts w:asciiTheme="minorHAnsi" w:hAnsiTheme="minorHAnsi"/>
                <w:sz w:val="20"/>
                <w:szCs w:val="20"/>
              </w:rPr>
            </w:pPr>
            <w:r>
              <w:rPr>
                <w:rFonts w:asciiTheme="minorHAnsi" w:hAnsiTheme="minorHAnsi"/>
                <w:sz w:val="20"/>
                <w:szCs w:val="20"/>
              </w:rPr>
              <w:t>Section 8 – Alignment of new fields between AMMA and AIIR</w:t>
            </w:r>
          </w:p>
          <w:p w14:paraId="19CDAC6C" w14:textId="1BD6F53A" w:rsidR="004A15DA" w:rsidRDefault="00881FF4" w:rsidP="00EA18DB">
            <w:pPr>
              <w:pStyle w:val="Maintext"/>
              <w:numPr>
                <w:ilvl w:val="0"/>
                <w:numId w:val="90"/>
              </w:numPr>
              <w:rPr>
                <w:rFonts w:asciiTheme="minorHAnsi" w:hAnsiTheme="minorHAnsi"/>
                <w:sz w:val="20"/>
                <w:szCs w:val="20"/>
              </w:rPr>
            </w:pPr>
            <w:r>
              <w:rPr>
                <w:rFonts w:asciiTheme="minorHAnsi" w:hAnsiTheme="minorHAnsi"/>
                <w:sz w:val="20"/>
                <w:szCs w:val="20"/>
              </w:rPr>
              <w:t>Relevant a</w:t>
            </w:r>
            <w:r w:rsidR="008F27EC">
              <w:rPr>
                <w:rFonts w:asciiTheme="minorHAnsi" w:hAnsiTheme="minorHAnsi"/>
                <w:sz w:val="20"/>
                <w:szCs w:val="20"/>
              </w:rPr>
              <w:t>ppen</w:t>
            </w:r>
            <w:r w:rsidR="002A18FA">
              <w:rPr>
                <w:rFonts w:asciiTheme="minorHAnsi" w:hAnsiTheme="minorHAnsi"/>
                <w:sz w:val="20"/>
                <w:szCs w:val="20"/>
              </w:rPr>
              <w:t>dic</w:t>
            </w:r>
            <w:r w:rsidR="008A0302">
              <w:rPr>
                <w:rFonts w:asciiTheme="minorHAnsi" w:hAnsiTheme="minorHAnsi"/>
                <w:sz w:val="20"/>
                <w:szCs w:val="20"/>
              </w:rPr>
              <w:t>es</w:t>
            </w:r>
            <w:r w:rsidR="0062311F">
              <w:rPr>
                <w:rFonts w:asciiTheme="minorHAnsi" w:hAnsiTheme="minorHAnsi"/>
                <w:sz w:val="20"/>
                <w:szCs w:val="20"/>
              </w:rPr>
              <w:t xml:space="preserve"> have been updated.</w:t>
            </w:r>
          </w:p>
        </w:tc>
        <w:tc>
          <w:tcPr>
            <w:tcW w:w="1730" w:type="dxa"/>
            <w:tcBorders>
              <w:top w:val="single" w:sz="6" w:space="0" w:color="auto"/>
              <w:bottom w:val="single" w:sz="6" w:space="0" w:color="auto"/>
            </w:tcBorders>
          </w:tcPr>
          <w:p w14:paraId="025C5F04" w14:textId="0769CC28" w:rsidR="004A15DA" w:rsidRDefault="00222C08" w:rsidP="006A5A29">
            <w:pPr>
              <w:pStyle w:val="Maintext"/>
              <w:rPr>
                <w:rFonts w:asciiTheme="minorHAnsi" w:hAnsiTheme="minorHAnsi"/>
                <w:sz w:val="20"/>
                <w:szCs w:val="20"/>
              </w:rPr>
            </w:pPr>
            <w:r>
              <w:rPr>
                <w:rFonts w:asciiTheme="minorHAnsi" w:hAnsiTheme="minorHAnsi"/>
                <w:sz w:val="20"/>
                <w:szCs w:val="20"/>
              </w:rPr>
              <w:t>April</w:t>
            </w:r>
            <w:r w:rsidR="0062311F">
              <w:rPr>
                <w:rFonts w:asciiTheme="minorHAnsi" w:hAnsiTheme="minorHAnsi"/>
                <w:sz w:val="20"/>
                <w:szCs w:val="20"/>
              </w:rPr>
              <w:t xml:space="preserve"> 2026</w:t>
            </w:r>
          </w:p>
        </w:tc>
      </w:tr>
    </w:tbl>
    <w:p w14:paraId="06E10D23" w14:textId="6F595BB0" w:rsidR="00A816BC" w:rsidRPr="00EA18DB" w:rsidRDefault="00A816BC">
      <w:bookmarkStart w:id="0" w:name="_Toc5192641"/>
    </w:p>
    <w:p w14:paraId="0473D093" w14:textId="0D664821" w:rsidR="00B87193" w:rsidRDefault="00B87193" w:rsidP="00B87193">
      <w:pPr>
        <w:pStyle w:val="Heading1"/>
      </w:pPr>
      <w:bookmarkStart w:id="1" w:name="_Toc232191275"/>
      <w:r w:rsidRPr="00B87193">
        <w:t>Terms &amp; Acronyms</w:t>
      </w:r>
      <w:bookmarkEnd w:id="0"/>
      <w:bookmarkEnd w:id="1"/>
    </w:p>
    <w:tbl>
      <w:tblPr>
        <w:tblW w:w="9285" w:type="dxa"/>
        <w:tblLayout w:type="fixed"/>
        <w:tblLook w:val="06A0" w:firstRow="1" w:lastRow="0" w:firstColumn="1" w:lastColumn="0" w:noHBand="1" w:noVBand="1"/>
      </w:tblPr>
      <w:tblGrid>
        <w:gridCol w:w="3835"/>
        <w:gridCol w:w="5450"/>
      </w:tblGrid>
      <w:tr w:rsidR="00B87193" w14:paraId="34E97DCB" w14:textId="77777777" w:rsidTr="002748EB">
        <w:trPr>
          <w:trHeight w:val="375"/>
          <w:tblHeader/>
        </w:trPr>
        <w:tc>
          <w:tcPr>
            <w:tcW w:w="3835" w:type="dxa"/>
            <w:tcBorders>
              <w:top w:val="single" w:sz="8" w:space="0" w:color="auto"/>
              <w:left w:val="single" w:sz="8" w:space="0" w:color="auto"/>
              <w:bottom w:val="single" w:sz="8" w:space="0" w:color="auto"/>
              <w:right w:val="single" w:sz="8" w:space="0" w:color="auto"/>
            </w:tcBorders>
            <w:shd w:val="clear" w:color="auto" w:fill="3844CA" w:themeFill="accent1"/>
            <w:vAlign w:val="center"/>
            <w:hideMark/>
          </w:tcPr>
          <w:p w14:paraId="6A155A76" w14:textId="77777777" w:rsidR="00B87193" w:rsidRDefault="00B87193">
            <w:r w:rsidRPr="002748EB">
              <w:rPr>
                <w:rFonts w:eastAsia="Arial" w:cs="Arial"/>
                <w:b/>
                <w:bCs/>
                <w:color w:val="FFFFFF" w:themeColor="background1"/>
                <w:szCs w:val="22"/>
              </w:rPr>
              <w:t>Term/Acronym</w:t>
            </w:r>
          </w:p>
        </w:tc>
        <w:tc>
          <w:tcPr>
            <w:tcW w:w="5450" w:type="dxa"/>
            <w:tcBorders>
              <w:top w:val="single" w:sz="8" w:space="0" w:color="auto"/>
              <w:left w:val="single" w:sz="8" w:space="0" w:color="auto"/>
              <w:bottom w:val="single" w:sz="8" w:space="0" w:color="auto"/>
              <w:right w:val="single" w:sz="8" w:space="0" w:color="auto"/>
            </w:tcBorders>
            <w:shd w:val="clear" w:color="auto" w:fill="3844CA" w:themeFill="accent1"/>
            <w:vAlign w:val="center"/>
            <w:hideMark/>
          </w:tcPr>
          <w:p w14:paraId="503C5082" w14:textId="77777777" w:rsidR="00B87193" w:rsidRDefault="00B87193">
            <w:r w:rsidRPr="002748EB">
              <w:rPr>
                <w:rFonts w:eastAsia="Arial" w:cs="Arial"/>
                <w:b/>
                <w:bCs/>
                <w:color w:val="FFFFFF" w:themeColor="background1"/>
                <w:szCs w:val="22"/>
              </w:rPr>
              <w:t>Definition</w:t>
            </w:r>
          </w:p>
        </w:tc>
      </w:tr>
      <w:tr w:rsidR="00B87193" w14:paraId="0F13DFEC"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C8BA42B" w14:textId="77777777" w:rsidR="00B87193" w:rsidRDefault="00B87193">
            <w:r>
              <w:rPr>
                <w:rFonts w:eastAsia="Arial" w:cs="Arial"/>
                <w:szCs w:val="22"/>
              </w:rPr>
              <w:t>ABN</w:t>
            </w:r>
          </w:p>
        </w:tc>
        <w:tc>
          <w:tcPr>
            <w:tcW w:w="5450" w:type="dxa"/>
            <w:tcBorders>
              <w:top w:val="single" w:sz="8" w:space="0" w:color="auto"/>
              <w:left w:val="single" w:sz="8" w:space="0" w:color="auto"/>
              <w:bottom w:val="single" w:sz="8" w:space="0" w:color="auto"/>
              <w:right w:val="single" w:sz="8" w:space="0" w:color="auto"/>
            </w:tcBorders>
            <w:hideMark/>
          </w:tcPr>
          <w:p w14:paraId="1425F425" w14:textId="77777777" w:rsidR="00B87193" w:rsidRDefault="00B87193">
            <w:r>
              <w:rPr>
                <w:rFonts w:eastAsia="Arial" w:cs="Arial"/>
                <w:szCs w:val="22"/>
              </w:rPr>
              <w:t>Australian Business Number</w:t>
            </w:r>
          </w:p>
        </w:tc>
      </w:tr>
      <w:tr w:rsidR="00B87193" w14:paraId="329CBA15"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8822838" w14:textId="77777777" w:rsidR="00B87193" w:rsidRDefault="00B87193">
            <w:r>
              <w:rPr>
                <w:rFonts w:eastAsia="Arial" w:cs="Arial"/>
                <w:szCs w:val="22"/>
              </w:rPr>
              <w:t>ADI</w:t>
            </w:r>
          </w:p>
        </w:tc>
        <w:tc>
          <w:tcPr>
            <w:tcW w:w="5450" w:type="dxa"/>
            <w:tcBorders>
              <w:top w:val="single" w:sz="8" w:space="0" w:color="auto"/>
              <w:left w:val="single" w:sz="8" w:space="0" w:color="auto"/>
              <w:bottom w:val="single" w:sz="8" w:space="0" w:color="auto"/>
              <w:right w:val="single" w:sz="8" w:space="0" w:color="auto"/>
            </w:tcBorders>
            <w:hideMark/>
          </w:tcPr>
          <w:p w14:paraId="044DAAC3" w14:textId="77777777" w:rsidR="00B87193" w:rsidRDefault="00B87193">
            <w:r>
              <w:rPr>
                <w:rFonts w:eastAsia="Arial" w:cs="Arial"/>
                <w:szCs w:val="22"/>
              </w:rPr>
              <w:t xml:space="preserve">Authorised deposit-taking institution </w:t>
            </w:r>
          </w:p>
        </w:tc>
      </w:tr>
      <w:tr w:rsidR="00B87193" w14:paraId="39FC1B04"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19B76CB" w14:textId="77777777" w:rsidR="00B87193" w:rsidRDefault="00B87193">
            <w:r>
              <w:rPr>
                <w:rFonts w:eastAsia="Arial" w:cs="Arial"/>
                <w:szCs w:val="22"/>
              </w:rPr>
              <w:t xml:space="preserve">AIIR </w:t>
            </w:r>
          </w:p>
        </w:tc>
        <w:tc>
          <w:tcPr>
            <w:tcW w:w="5450" w:type="dxa"/>
            <w:tcBorders>
              <w:top w:val="single" w:sz="8" w:space="0" w:color="auto"/>
              <w:left w:val="single" w:sz="8" w:space="0" w:color="auto"/>
              <w:bottom w:val="single" w:sz="8" w:space="0" w:color="auto"/>
              <w:right w:val="single" w:sz="8" w:space="0" w:color="auto"/>
            </w:tcBorders>
            <w:hideMark/>
          </w:tcPr>
          <w:p w14:paraId="0429284F" w14:textId="77777777" w:rsidR="00B87193" w:rsidRDefault="00B87193">
            <w:r>
              <w:rPr>
                <w:rFonts w:eastAsia="Arial" w:cs="Arial"/>
                <w:szCs w:val="22"/>
              </w:rPr>
              <w:t>Annual investment income report</w:t>
            </w:r>
          </w:p>
        </w:tc>
      </w:tr>
      <w:tr w:rsidR="00B87193" w14:paraId="0290B669"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7A54AC3" w14:textId="77777777" w:rsidR="00B87193" w:rsidRDefault="00B87193">
            <w:r>
              <w:rPr>
                <w:rFonts w:eastAsia="Arial" w:cs="Arial"/>
                <w:szCs w:val="22"/>
              </w:rPr>
              <w:t>AMMA</w:t>
            </w:r>
          </w:p>
        </w:tc>
        <w:tc>
          <w:tcPr>
            <w:tcW w:w="5450" w:type="dxa"/>
            <w:tcBorders>
              <w:top w:val="single" w:sz="8" w:space="0" w:color="auto"/>
              <w:left w:val="single" w:sz="8" w:space="0" w:color="auto"/>
              <w:bottom w:val="single" w:sz="8" w:space="0" w:color="auto"/>
              <w:right w:val="single" w:sz="8" w:space="0" w:color="auto"/>
            </w:tcBorders>
            <w:hideMark/>
          </w:tcPr>
          <w:p w14:paraId="3B31DA4E" w14:textId="77777777" w:rsidR="00B87193" w:rsidRDefault="00B87193">
            <w:r>
              <w:rPr>
                <w:rFonts w:eastAsia="Arial" w:cs="Arial"/>
                <w:szCs w:val="22"/>
              </w:rPr>
              <w:t>Attribution managed investment trust member’s annual statement</w:t>
            </w:r>
          </w:p>
        </w:tc>
      </w:tr>
      <w:tr w:rsidR="00B87193" w14:paraId="2D2707DC"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4B285FB" w14:textId="77777777" w:rsidR="00B87193" w:rsidRDefault="00B87193">
            <w:r>
              <w:rPr>
                <w:rFonts w:eastAsia="Arial" w:cs="Arial"/>
                <w:szCs w:val="22"/>
              </w:rPr>
              <w:t>AMIT</w:t>
            </w:r>
          </w:p>
        </w:tc>
        <w:tc>
          <w:tcPr>
            <w:tcW w:w="5450" w:type="dxa"/>
            <w:tcBorders>
              <w:top w:val="single" w:sz="8" w:space="0" w:color="auto"/>
              <w:left w:val="single" w:sz="8" w:space="0" w:color="auto"/>
              <w:bottom w:val="single" w:sz="8" w:space="0" w:color="auto"/>
              <w:right w:val="single" w:sz="8" w:space="0" w:color="auto"/>
            </w:tcBorders>
            <w:hideMark/>
          </w:tcPr>
          <w:p w14:paraId="4FCAABA0" w14:textId="77777777" w:rsidR="00B87193" w:rsidRDefault="00B87193">
            <w:r>
              <w:rPr>
                <w:rFonts w:eastAsia="Arial" w:cs="Arial"/>
                <w:szCs w:val="22"/>
              </w:rPr>
              <w:t>Attribution managed investment trust</w:t>
            </w:r>
          </w:p>
        </w:tc>
      </w:tr>
      <w:tr w:rsidR="00B87193" w14:paraId="19BD6944"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D655F4F" w14:textId="77777777" w:rsidR="00B87193" w:rsidRDefault="00B87193">
            <w:r>
              <w:rPr>
                <w:rFonts w:eastAsia="Arial" w:cs="Arial"/>
                <w:szCs w:val="22"/>
              </w:rPr>
              <w:t>ATF</w:t>
            </w:r>
          </w:p>
        </w:tc>
        <w:tc>
          <w:tcPr>
            <w:tcW w:w="5450" w:type="dxa"/>
            <w:tcBorders>
              <w:top w:val="single" w:sz="8" w:space="0" w:color="auto"/>
              <w:left w:val="single" w:sz="8" w:space="0" w:color="auto"/>
              <w:bottom w:val="single" w:sz="8" w:space="0" w:color="auto"/>
              <w:right w:val="single" w:sz="8" w:space="0" w:color="auto"/>
            </w:tcBorders>
            <w:hideMark/>
          </w:tcPr>
          <w:p w14:paraId="4506321D" w14:textId="77777777" w:rsidR="00B87193" w:rsidRDefault="00B87193">
            <w:r>
              <w:rPr>
                <w:rFonts w:eastAsia="Arial" w:cs="Arial"/>
                <w:szCs w:val="22"/>
              </w:rPr>
              <w:t>As trustee for</w:t>
            </w:r>
          </w:p>
        </w:tc>
      </w:tr>
      <w:tr w:rsidR="00B87193" w14:paraId="2170EC5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27C0A4E" w14:textId="77777777" w:rsidR="00B87193" w:rsidRDefault="00B87193">
            <w:r>
              <w:rPr>
                <w:rFonts w:eastAsia="Arial" w:cs="Arial"/>
                <w:szCs w:val="22"/>
              </w:rPr>
              <w:lastRenderedPageBreak/>
              <w:t>ATO</w:t>
            </w:r>
          </w:p>
        </w:tc>
        <w:tc>
          <w:tcPr>
            <w:tcW w:w="5450" w:type="dxa"/>
            <w:tcBorders>
              <w:top w:val="single" w:sz="8" w:space="0" w:color="auto"/>
              <w:left w:val="single" w:sz="8" w:space="0" w:color="auto"/>
              <w:bottom w:val="single" w:sz="8" w:space="0" w:color="auto"/>
              <w:right w:val="single" w:sz="8" w:space="0" w:color="auto"/>
            </w:tcBorders>
            <w:hideMark/>
          </w:tcPr>
          <w:p w14:paraId="3BA41972" w14:textId="77777777" w:rsidR="00B87193" w:rsidRDefault="00B87193">
            <w:r>
              <w:rPr>
                <w:rFonts w:eastAsia="Arial" w:cs="Arial"/>
                <w:szCs w:val="22"/>
              </w:rPr>
              <w:t>Australian Taxation Office</w:t>
            </w:r>
          </w:p>
        </w:tc>
      </w:tr>
      <w:tr w:rsidR="00B87193" w14:paraId="3A302830"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4280C8B" w14:textId="77777777" w:rsidR="00B87193" w:rsidRDefault="00B87193">
            <w:r>
              <w:rPr>
                <w:rFonts w:eastAsia="Arial" w:cs="Arial"/>
                <w:szCs w:val="22"/>
              </w:rPr>
              <w:t>Attribute</w:t>
            </w:r>
          </w:p>
        </w:tc>
        <w:tc>
          <w:tcPr>
            <w:tcW w:w="5450" w:type="dxa"/>
            <w:tcBorders>
              <w:top w:val="single" w:sz="8" w:space="0" w:color="auto"/>
              <w:left w:val="single" w:sz="8" w:space="0" w:color="auto"/>
              <w:bottom w:val="single" w:sz="8" w:space="0" w:color="auto"/>
              <w:right w:val="single" w:sz="8" w:space="0" w:color="auto"/>
            </w:tcBorders>
            <w:hideMark/>
          </w:tcPr>
          <w:p w14:paraId="0F75EDCA" w14:textId="77777777" w:rsidR="00B87193" w:rsidRDefault="00B87193">
            <w:r>
              <w:rPr>
                <w:rFonts w:eastAsia="Arial" w:cs="Arial"/>
                <w:szCs w:val="22"/>
              </w:rPr>
              <w:t>AMITs will attribute amounts of a particular tax character to members according to their membership interests on a fair and reasonable basis, rather than members being taxed on the basis of their present entitlement to trust income. Amounts of a particular character are taxed as if derived, received, made or paid directly to (or by) the member.</w:t>
            </w:r>
          </w:p>
        </w:tc>
      </w:tr>
      <w:tr w:rsidR="00B87193" w14:paraId="663AD15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757707D" w14:textId="40B3B84A" w:rsidR="00A0614C" w:rsidRDefault="00A0614C">
            <w:pPr>
              <w:rPr>
                <w:rFonts w:eastAsia="Arial" w:cs="Arial"/>
                <w:szCs w:val="22"/>
              </w:rPr>
            </w:pPr>
            <w:bookmarkStart w:id="2" w:name="_Hlk152070413"/>
            <w:r>
              <w:rPr>
                <w:rFonts w:eastAsia="Arial" w:cs="Arial"/>
                <w:szCs w:val="22"/>
              </w:rPr>
              <w:t>Attribution CCIV sub-fund trust</w:t>
            </w:r>
          </w:p>
          <w:bookmarkEnd w:id="2"/>
          <w:p w14:paraId="6482900D" w14:textId="2A0C78CE" w:rsidR="00B87193" w:rsidRDefault="00B87193"/>
        </w:tc>
        <w:tc>
          <w:tcPr>
            <w:tcW w:w="5450" w:type="dxa"/>
            <w:tcBorders>
              <w:top w:val="single" w:sz="8" w:space="0" w:color="auto"/>
              <w:left w:val="single" w:sz="8" w:space="0" w:color="auto"/>
              <w:bottom w:val="single" w:sz="8" w:space="0" w:color="auto"/>
              <w:right w:val="single" w:sz="8" w:space="0" w:color="auto"/>
            </w:tcBorders>
            <w:hideMark/>
          </w:tcPr>
          <w:p w14:paraId="7FDD4206" w14:textId="6F1E3D81" w:rsidR="00B87193" w:rsidRPr="00FB54C4" w:rsidRDefault="00FB54C4">
            <w:pPr>
              <w:rPr>
                <w:rFonts w:eastAsia="Arial" w:cs="Arial"/>
                <w:szCs w:val="22"/>
              </w:rPr>
            </w:pPr>
            <w:r>
              <w:rPr>
                <w:rFonts w:eastAsia="Arial" w:cs="Arial"/>
                <w:szCs w:val="22"/>
              </w:rPr>
              <w:t xml:space="preserve">A Sub-fund of a corporate collective investment vehicle (CCIV) that is deemed to be a unit trust and meets the AMIT eligibility criteria to be taxed as an AMIT in an income year under the attribution regime in Division 276 of the </w:t>
            </w:r>
            <w:r>
              <w:rPr>
                <w:rFonts w:eastAsia="Arial" w:cs="Arial"/>
                <w:i/>
                <w:iCs/>
                <w:szCs w:val="22"/>
              </w:rPr>
              <w:t>Income Tax Assessment Act 1997</w:t>
            </w:r>
            <w:r w:rsidR="00A46BCA">
              <w:rPr>
                <w:rFonts w:eastAsia="Arial" w:cs="Arial"/>
                <w:i/>
                <w:iCs/>
                <w:szCs w:val="22"/>
              </w:rPr>
              <w:t>.</w:t>
            </w:r>
          </w:p>
        </w:tc>
      </w:tr>
      <w:tr w:rsidR="00162514" w14:paraId="0D563A94" w14:textId="77777777" w:rsidTr="00B87193">
        <w:tc>
          <w:tcPr>
            <w:tcW w:w="3835" w:type="dxa"/>
            <w:tcBorders>
              <w:top w:val="single" w:sz="8" w:space="0" w:color="auto"/>
              <w:left w:val="single" w:sz="8" w:space="0" w:color="auto"/>
              <w:bottom w:val="single" w:sz="8" w:space="0" w:color="auto"/>
              <w:right w:val="single" w:sz="8" w:space="0" w:color="auto"/>
            </w:tcBorders>
          </w:tcPr>
          <w:p w14:paraId="4F281CB5" w14:textId="2E634F69" w:rsidR="00162514" w:rsidRDefault="00162514">
            <w:r>
              <w:t>Build to Rent (BTR)</w:t>
            </w:r>
          </w:p>
        </w:tc>
        <w:tc>
          <w:tcPr>
            <w:tcW w:w="5450" w:type="dxa"/>
            <w:tcBorders>
              <w:top w:val="single" w:sz="8" w:space="0" w:color="auto"/>
              <w:left w:val="single" w:sz="8" w:space="0" w:color="auto"/>
              <w:bottom w:val="single" w:sz="8" w:space="0" w:color="auto"/>
              <w:right w:val="single" w:sz="8" w:space="0" w:color="auto"/>
            </w:tcBorders>
          </w:tcPr>
          <w:p w14:paraId="50E21BED" w14:textId="584886BD" w:rsidR="00162514" w:rsidRDefault="000F4588" w:rsidP="00741378">
            <w:r w:rsidRPr="00E91920">
              <w:rPr>
                <w:rFonts w:eastAsia="Arial" w:cs="Arial"/>
                <w:szCs w:val="22"/>
              </w:rPr>
              <w:t xml:space="preserve">A Build to Rent (BTR) entity is a single entity that owns, manages, and operates a large-scale, purpose-built residential development specifically for long-term rental as defined under Section 43-152 of the </w:t>
            </w:r>
            <w:r w:rsidRPr="00E91920">
              <w:rPr>
                <w:rFonts w:eastAsia="Arial" w:cs="Arial"/>
                <w:i/>
                <w:szCs w:val="22"/>
              </w:rPr>
              <w:t>Income Tax Assessment Act 1997</w:t>
            </w:r>
            <w:r w:rsidRPr="00E91920">
              <w:rPr>
                <w:rFonts w:eastAsia="Arial" w:cs="Arial"/>
                <w:szCs w:val="22"/>
              </w:rPr>
              <w:t>.</w:t>
            </w:r>
          </w:p>
        </w:tc>
      </w:tr>
      <w:tr w:rsidR="00B87193" w14:paraId="230808B1"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97D1B6A" w14:textId="4F721C5B" w:rsidR="00B87193" w:rsidRDefault="00FB54C4">
            <w:pPr>
              <w:rPr>
                <w:rFonts w:eastAsia="Times New Roman"/>
                <w:szCs w:val="24"/>
              </w:rPr>
            </w:pPr>
            <w:r>
              <w:t>CCIV</w:t>
            </w:r>
          </w:p>
        </w:tc>
        <w:tc>
          <w:tcPr>
            <w:tcW w:w="5450" w:type="dxa"/>
            <w:tcBorders>
              <w:top w:val="single" w:sz="8" w:space="0" w:color="auto"/>
              <w:left w:val="single" w:sz="8" w:space="0" w:color="auto"/>
              <w:bottom w:val="single" w:sz="8" w:space="0" w:color="auto"/>
              <w:right w:val="single" w:sz="8" w:space="0" w:color="auto"/>
            </w:tcBorders>
            <w:hideMark/>
          </w:tcPr>
          <w:p w14:paraId="4F91AF89" w14:textId="013DE0AE" w:rsidR="00B87193" w:rsidRDefault="00FB54C4">
            <w:r>
              <w:t>Corporate collective investment vehicle</w:t>
            </w:r>
          </w:p>
        </w:tc>
      </w:tr>
      <w:tr w:rsidR="00B87193" w14:paraId="4C72045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64233B0" w14:textId="64E2F27F" w:rsidR="00B87193" w:rsidRDefault="00FB54C4">
            <w:r>
              <w:t>CCIV sub-fund trust</w:t>
            </w:r>
          </w:p>
        </w:tc>
        <w:tc>
          <w:tcPr>
            <w:tcW w:w="5450" w:type="dxa"/>
            <w:tcBorders>
              <w:top w:val="single" w:sz="8" w:space="0" w:color="auto"/>
              <w:left w:val="single" w:sz="8" w:space="0" w:color="auto"/>
              <w:bottom w:val="single" w:sz="8" w:space="0" w:color="auto"/>
              <w:right w:val="single" w:sz="8" w:space="0" w:color="auto"/>
            </w:tcBorders>
          </w:tcPr>
          <w:p w14:paraId="2F1501A5" w14:textId="70D64B1C" w:rsidR="00FB54C4" w:rsidRDefault="00FB54C4">
            <w:pPr>
              <w:rPr>
                <w:rFonts w:cs="Arial"/>
                <w:szCs w:val="22"/>
              </w:rPr>
            </w:pPr>
            <w:r>
              <w:rPr>
                <w:rFonts w:cs="Arial"/>
                <w:szCs w:val="22"/>
              </w:rPr>
              <w:t>A sub-fund of a corporate collective investment vehicle (or CCIV) that is deemed to be a unit trust for tax purposes.</w:t>
            </w:r>
          </w:p>
          <w:p w14:paraId="5F1F3CF2" w14:textId="4A69AB4E" w:rsidR="00B87193" w:rsidRDefault="00FB54C4">
            <w:pPr>
              <w:rPr>
                <w:szCs w:val="24"/>
              </w:rPr>
            </w:pPr>
            <w:r>
              <w:rPr>
                <w:rFonts w:cs="Arial"/>
                <w:szCs w:val="22"/>
              </w:rPr>
              <w:t>Note: A CCIV may have one or more CCIV sub-funds. Whether a CCIV sub-fund trust is subject to attribution [AMIT] tax treatment is tested every income year and two or more CCIV sub-fund trusts on the one CCIV may be subject to different tax treatment in the same income year.</w:t>
            </w:r>
          </w:p>
        </w:tc>
      </w:tr>
      <w:tr w:rsidR="00B87193" w14:paraId="1BEBCC5B"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D1DD4E0" w14:textId="77777777" w:rsidR="00B87193" w:rsidRDefault="00B87193">
            <w:r>
              <w:rPr>
                <w:rFonts w:eastAsia="Arial" w:cs="Arial"/>
                <w:szCs w:val="22"/>
              </w:rPr>
              <w:t>CFC</w:t>
            </w:r>
          </w:p>
        </w:tc>
        <w:tc>
          <w:tcPr>
            <w:tcW w:w="5450" w:type="dxa"/>
            <w:tcBorders>
              <w:top w:val="single" w:sz="8" w:space="0" w:color="auto"/>
              <w:left w:val="single" w:sz="8" w:space="0" w:color="auto"/>
              <w:bottom w:val="single" w:sz="8" w:space="0" w:color="auto"/>
              <w:right w:val="single" w:sz="8" w:space="0" w:color="auto"/>
            </w:tcBorders>
            <w:hideMark/>
          </w:tcPr>
          <w:p w14:paraId="0C7C6999" w14:textId="77777777" w:rsidR="00B87193" w:rsidRDefault="00B87193">
            <w:r>
              <w:rPr>
                <w:rFonts w:eastAsia="Arial" w:cs="Arial"/>
                <w:szCs w:val="22"/>
              </w:rPr>
              <w:t>Controlled foreign company</w:t>
            </w:r>
          </w:p>
        </w:tc>
      </w:tr>
      <w:tr w:rsidR="00B87193" w14:paraId="1BEB22EE"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00B7442" w14:textId="77777777" w:rsidR="00B87193" w:rsidRDefault="00B87193">
            <w:r>
              <w:rPr>
                <w:rFonts w:eastAsia="Arial" w:cs="Arial"/>
                <w:szCs w:val="22"/>
              </w:rPr>
              <w:t>CFI</w:t>
            </w:r>
          </w:p>
        </w:tc>
        <w:tc>
          <w:tcPr>
            <w:tcW w:w="5450" w:type="dxa"/>
            <w:tcBorders>
              <w:top w:val="single" w:sz="8" w:space="0" w:color="auto"/>
              <w:left w:val="single" w:sz="8" w:space="0" w:color="auto"/>
              <w:bottom w:val="single" w:sz="8" w:space="0" w:color="auto"/>
              <w:right w:val="single" w:sz="8" w:space="0" w:color="auto"/>
            </w:tcBorders>
            <w:hideMark/>
          </w:tcPr>
          <w:p w14:paraId="1277E078" w14:textId="77777777" w:rsidR="00B87193" w:rsidRDefault="00B87193">
            <w:r>
              <w:rPr>
                <w:rFonts w:eastAsia="Arial" w:cs="Arial"/>
                <w:szCs w:val="22"/>
              </w:rPr>
              <w:t>Conduit foreign income</w:t>
            </w:r>
          </w:p>
        </w:tc>
      </w:tr>
      <w:tr w:rsidR="00B87193" w14:paraId="335F9CB0"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6A7B4F1" w14:textId="77777777" w:rsidR="00B87193" w:rsidRDefault="00B87193">
            <w:r>
              <w:rPr>
                <w:rFonts w:eastAsia="Arial" w:cs="Arial"/>
                <w:szCs w:val="22"/>
              </w:rPr>
              <w:t>CGT</w:t>
            </w:r>
          </w:p>
        </w:tc>
        <w:tc>
          <w:tcPr>
            <w:tcW w:w="5450" w:type="dxa"/>
            <w:tcBorders>
              <w:top w:val="single" w:sz="8" w:space="0" w:color="auto"/>
              <w:left w:val="single" w:sz="8" w:space="0" w:color="auto"/>
              <w:bottom w:val="single" w:sz="8" w:space="0" w:color="auto"/>
              <w:right w:val="single" w:sz="8" w:space="0" w:color="auto"/>
            </w:tcBorders>
            <w:hideMark/>
          </w:tcPr>
          <w:p w14:paraId="0AD54909" w14:textId="77777777" w:rsidR="00B87193" w:rsidRDefault="00B87193">
            <w:r>
              <w:rPr>
                <w:rFonts w:eastAsia="Arial" w:cs="Arial"/>
                <w:szCs w:val="22"/>
              </w:rPr>
              <w:t>Capital gains tax</w:t>
            </w:r>
          </w:p>
        </w:tc>
      </w:tr>
      <w:tr w:rsidR="00B87193" w14:paraId="375F5D00"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60ACB2D" w14:textId="77777777" w:rsidR="00B87193" w:rsidRDefault="00B87193">
            <w:r>
              <w:rPr>
                <w:rFonts w:eastAsia="Arial" w:cs="Arial"/>
                <w:szCs w:val="22"/>
              </w:rPr>
              <w:t>Character (relating to AMIT)</w:t>
            </w:r>
          </w:p>
        </w:tc>
        <w:tc>
          <w:tcPr>
            <w:tcW w:w="5450" w:type="dxa"/>
            <w:tcBorders>
              <w:top w:val="single" w:sz="8" w:space="0" w:color="auto"/>
              <w:left w:val="single" w:sz="8" w:space="0" w:color="auto"/>
              <w:bottom w:val="single" w:sz="8" w:space="0" w:color="auto"/>
              <w:right w:val="single" w:sz="8" w:space="0" w:color="auto"/>
            </w:tcBorders>
            <w:hideMark/>
          </w:tcPr>
          <w:p w14:paraId="172162E1" w14:textId="77777777" w:rsidR="00B87193" w:rsidRDefault="00B87193">
            <w:r>
              <w:rPr>
                <w:rFonts w:eastAsia="Arial" w:cs="Arial"/>
                <w:szCs w:val="22"/>
              </w:rPr>
              <w:t>The character of a particular amount will depend on the activities of the AMIT that give rise to the amount and the source of the amount. Amounts of a particular character fall broadly into four main categories:</w:t>
            </w:r>
          </w:p>
          <w:p w14:paraId="76DB0A02" w14:textId="77777777" w:rsidR="00B87193" w:rsidRDefault="00B87193" w:rsidP="001601AF">
            <w:pPr>
              <w:pStyle w:val="ListParagraph"/>
              <w:numPr>
                <w:ilvl w:val="0"/>
                <w:numId w:val="75"/>
              </w:numPr>
              <w:spacing w:after="200" w:line="276" w:lineRule="auto"/>
              <w:rPr>
                <w:rFonts w:ascii="Arial" w:eastAsia="Calibri" w:hAnsi="Arial" w:cs="Arial"/>
              </w:rPr>
            </w:pPr>
            <w:r>
              <w:rPr>
                <w:rFonts w:ascii="Arial" w:hAnsi="Arial" w:cs="Arial"/>
              </w:rPr>
              <w:t>assessable income characters</w:t>
            </w:r>
          </w:p>
          <w:p w14:paraId="4C1BD860" w14:textId="77777777" w:rsidR="00B87193" w:rsidRDefault="00B87193" w:rsidP="001601AF">
            <w:pPr>
              <w:pStyle w:val="ListParagraph"/>
              <w:numPr>
                <w:ilvl w:val="0"/>
                <w:numId w:val="75"/>
              </w:numPr>
              <w:spacing w:after="200" w:line="276" w:lineRule="auto"/>
              <w:rPr>
                <w:rFonts w:ascii="Arial" w:eastAsia="Calibri" w:hAnsi="Arial" w:cs="Arial"/>
              </w:rPr>
            </w:pPr>
            <w:r>
              <w:rPr>
                <w:rFonts w:ascii="Arial" w:hAnsi="Arial" w:cs="Arial"/>
              </w:rPr>
              <w:t>exempt income character</w:t>
            </w:r>
          </w:p>
          <w:p w14:paraId="6348B935" w14:textId="77777777" w:rsidR="00B87193" w:rsidRDefault="00B87193" w:rsidP="001601AF">
            <w:pPr>
              <w:pStyle w:val="ListParagraph"/>
              <w:numPr>
                <w:ilvl w:val="0"/>
                <w:numId w:val="75"/>
              </w:numPr>
              <w:spacing w:after="200" w:line="276" w:lineRule="auto"/>
              <w:rPr>
                <w:rFonts w:ascii="Arial" w:eastAsia="Calibri" w:hAnsi="Arial" w:cs="Arial"/>
              </w:rPr>
            </w:pPr>
            <w:r>
              <w:rPr>
                <w:rFonts w:ascii="Arial" w:hAnsi="Arial" w:cs="Arial"/>
              </w:rPr>
              <w:lastRenderedPageBreak/>
              <w:t>non-assessable non-exempt income character</w:t>
            </w:r>
          </w:p>
          <w:p w14:paraId="77F61A64" w14:textId="77777777" w:rsidR="00B87193" w:rsidRDefault="00B87193" w:rsidP="001601AF">
            <w:pPr>
              <w:pStyle w:val="ListParagraph"/>
              <w:numPr>
                <w:ilvl w:val="0"/>
                <w:numId w:val="75"/>
              </w:numPr>
              <w:spacing w:after="200" w:line="276" w:lineRule="auto"/>
              <w:rPr>
                <w:rFonts w:ascii="Calibri" w:eastAsia="Calibri" w:hAnsi="Calibri" w:cs="Calibri"/>
              </w:rPr>
            </w:pPr>
            <w:r>
              <w:rPr>
                <w:rFonts w:ascii="Arial" w:hAnsi="Arial" w:cs="Arial"/>
              </w:rPr>
              <w:t>tax offset characters.</w:t>
            </w:r>
          </w:p>
        </w:tc>
      </w:tr>
      <w:tr w:rsidR="00B87193" w14:paraId="5E01BEB3"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607F876A" w14:textId="77777777" w:rsidR="00B87193" w:rsidRDefault="00B87193">
            <w:pPr>
              <w:rPr>
                <w:rFonts w:eastAsia="Times New Roman"/>
              </w:rPr>
            </w:pPr>
            <w:r>
              <w:rPr>
                <w:rFonts w:eastAsia="Arial" w:cs="Arial"/>
                <w:szCs w:val="22"/>
              </w:rPr>
              <w:lastRenderedPageBreak/>
              <w:t>DIS</w:t>
            </w:r>
          </w:p>
        </w:tc>
        <w:tc>
          <w:tcPr>
            <w:tcW w:w="5450" w:type="dxa"/>
            <w:tcBorders>
              <w:top w:val="single" w:sz="8" w:space="0" w:color="auto"/>
              <w:left w:val="single" w:sz="8" w:space="0" w:color="auto"/>
              <w:bottom w:val="single" w:sz="8" w:space="0" w:color="auto"/>
              <w:right w:val="single" w:sz="8" w:space="0" w:color="auto"/>
            </w:tcBorders>
            <w:hideMark/>
          </w:tcPr>
          <w:p w14:paraId="177AD31D" w14:textId="77777777" w:rsidR="00B87193" w:rsidRDefault="00B87193">
            <w:r>
              <w:rPr>
                <w:rFonts w:eastAsia="Arial" w:cs="Arial"/>
                <w:szCs w:val="22"/>
              </w:rPr>
              <w:t>Deferred interest security</w:t>
            </w:r>
          </w:p>
        </w:tc>
      </w:tr>
      <w:tr w:rsidR="00B87193" w14:paraId="3209F24B"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3FDB797" w14:textId="77777777" w:rsidR="00B87193" w:rsidRDefault="00B87193">
            <w:r>
              <w:rPr>
                <w:rFonts w:eastAsia="Arial" w:cs="Arial"/>
                <w:szCs w:val="22"/>
              </w:rPr>
              <w:t>DIV</w:t>
            </w:r>
          </w:p>
        </w:tc>
        <w:tc>
          <w:tcPr>
            <w:tcW w:w="5450" w:type="dxa"/>
            <w:tcBorders>
              <w:top w:val="single" w:sz="8" w:space="0" w:color="auto"/>
              <w:left w:val="single" w:sz="8" w:space="0" w:color="auto"/>
              <w:bottom w:val="single" w:sz="8" w:space="0" w:color="auto"/>
              <w:right w:val="single" w:sz="8" w:space="0" w:color="auto"/>
            </w:tcBorders>
            <w:hideMark/>
          </w:tcPr>
          <w:p w14:paraId="3778D82C" w14:textId="77777777" w:rsidR="00B87193" w:rsidRDefault="00B87193">
            <w:r>
              <w:rPr>
                <w:rFonts w:eastAsia="Arial" w:cs="Arial"/>
                <w:szCs w:val="22"/>
              </w:rPr>
              <w:t>Dividend</w:t>
            </w:r>
          </w:p>
        </w:tc>
      </w:tr>
      <w:tr w:rsidR="00B87193" w14:paraId="20A40BA3"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2A0E6B6" w14:textId="77777777" w:rsidR="00B87193" w:rsidRDefault="00B87193">
            <w:r>
              <w:rPr>
                <w:rFonts w:eastAsia="Arial" w:cs="Arial"/>
                <w:szCs w:val="22"/>
              </w:rPr>
              <w:t>EDI</w:t>
            </w:r>
          </w:p>
        </w:tc>
        <w:tc>
          <w:tcPr>
            <w:tcW w:w="5450" w:type="dxa"/>
            <w:tcBorders>
              <w:top w:val="single" w:sz="8" w:space="0" w:color="auto"/>
              <w:left w:val="single" w:sz="8" w:space="0" w:color="auto"/>
              <w:bottom w:val="single" w:sz="8" w:space="0" w:color="auto"/>
              <w:right w:val="single" w:sz="8" w:space="0" w:color="auto"/>
            </w:tcBorders>
            <w:hideMark/>
          </w:tcPr>
          <w:p w14:paraId="31BFA830" w14:textId="77777777" w:rsidR="00B87193" w:rsidRDefault="00B87193">
            <w:r>
              <w:rPr>
                <w:rFonts w:eastAsia="Arial" w:cs="Arial"/>
                <w:szCs w:val="22"/>
              </w:rPr>
              <w:t>Exploration development incentive</w:t>
            </w:r>
          </w:p>
        </w:tc>
      </w:tr>
      <w:tr w:rsidR="00B87193" w14:paraId="0F8E1F4F"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505F29A8" w14:textId="77777777" w:rsidR="00B87193" w:rsidRDefault="00B87193">
            <w:r>
              <w:rPr>
                <w:rFonts w:eastAsia="Arial" w:cs="Arial"/>
                <w:szCs w:val="22"/>
              </w:rPr>
              <w:t>ERS</w:t>
            </w:r>
          </w:p>
        </w:tc>
        <w:tc>
          <w:tcPr>
            <w:tcW w:w="5450" w:type="dxa"/>
            <w:tcBorders>
              <w:top w:val="single" w:sz="8" w:space="0" w:color="auto"/>
              <w:left w:val="single" w:sz="8" w:space="0" w:color="auto"/>
              <w:bottom w:val="single" w:sz="8" w:space="0" w:color="auto"/>
              <w:right w:val="single" w:sz="8" w:space="0" w:color="auto"/>
            </w:tcBorders>
            <w:hideMark/>
          </w:tcPr>
          <w:p w14:paraId="6DCDE9C5" w14:textId="77777777" w:rsidR="00B87193" w:rsidRDefault="00B87193">
            <w:r>
              <w:rPr>
                <w:rFonts w:eastAsia="Arial" w:cs="Arial"/>
                <w:szCs w:val="22"/>
              </w:rPr>
              <w:t>Electronic reporting specification</w:t>
            </w:r>
          </w:p>
        </w:tc>
      </w:tr>
      <w:tr w:rsidR="00B87193" w14:paraId="15ADDE35"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5A53CD2C" w14:textId="77777777" w:rsidR="00B87193" w:rsidRDefault="00B87193">
            <w:r>
              <w:rPr>
                <w:rFonts w:eastAsia="Arial" w:cs="Arial"/>
                <w:szCs w:val="22"/>
              </w:rPr>
              <w:t>FMD</w:t>
            </w:r>
          </w:p>
        </w:tc>
        <w:tc>
          <w:tcPr>
            <w:tcW w:w="5450" w:type="dxa"/>
            <w:tcBorders>
              <w:top w:val="single" w:sz="8" w:space="0" w:color="auto"/>
              <w:left w:val="single" w:sz="8" w:space="0" w:color="auto"/>
              <w:bottom w:val="single" w:sz="8" w:space="0" w:color="auto"/>
              <w:right w:val="single" w:sz="8" w:space="0" w:color="auto"/>
            </w:tcBorders>
            <w:hideMark/>
          </w:tcPr>
          <w:p w14:paraId="5BF30905" w14:textId="77777777" w:rsidR="00B87193" w:rsidRDefault="00B87193">
            <w:r>
              <w:rPr>
                <w:rFonts w:eastAsia="Arial" w:cs="Arial"/>
                <w:szCs w:val="22"/>
              </w:rPr>
              <w:t>Farm management deposit</w:t>
            </w:r>
          </w:p>
        </w:tc>
      </w:tr>
      <w:tr w:rsidR="00B87193" w14:paraId="6933F3A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A32657B" w14:textId="77777777" w:rsidR="00B87193" w:rsidRDefault="00B87193">
            <w:r>
              <w:rPr>
                <w:rFonts w:eastAsia="Arial" w:cs="Arial"/>
                <w:szCs w:val="22"/>
              </w:rPr>
              <w:t>FCS</w:t>
            </w:r>
          </w:p>
        </w:tc>
        <w:tc>
          <w:tcPr>
            <w:tcW w:w="5450" w:type="dxa"/>
            <w:tcBorders>
              <w:top w:val="single" w:sz="8" w:space="0" w:color="auto"/>
              <w:left w:val="single" w:sz="8" w:space="0" w:color="auto"/>
              <w:bottom w:val="single" w:sz="8" w:space="0" w:color="auto"/>
              <w:right w:val="single" w:sz="8" w:space="0" w:color="auto"/>
            </w:tcBorders>
            <w:hideMark/>
          </w:tcPr>
          <w:p w14:paraId="0A6BEB71" w14:textId="77777777" w:rsidR="00B87193" w:rsidRDefault="00B87193">
            <w:r>
              <w:rPr>
                <w:rFonts w:eastAsia="Arial" w:cs="Arial"/>
                <w:szCs w:val="22"/>
              </w:rPr>
              <w:t>Financial claims scheme</w:t>
            </w:r>
          </w:p>
        </w:tc>
      </w:tr>
      <w:tr w:rsidR="00B87193" w14:paraId="3981C5B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917A1A5" w14:textId="77777777" w:rsidR="00B87193" w:rsidRDefault="00B87193">
            <w:r>
              <w:rPr>
                <w:rFonts w:eastAsia="Arial" w:cs="Arial"/>
                <w:szCs w:val="22"/>
              </w:rPr>
              <w:t>FSI</w:t>
            </w:r>
          </w:p>
        </w:tc>
        <w:tc>
          <w:tcPr>
            <w:tcW w:w="5450" w:type="dxa"/>
            <w:tcBorders>
              <w:top w:val="single" w:sz="8" w:space="0" w:color="auto"/>
              <w:left w:val="single" w:sz="8" w:space="0" w:color="auto"/>
              <w:bottom w:val="single" w:sz="8" w:space="0" w:color="auto"/>
              <w:right w:val="single" w:sz="8" w:space="0" w:color="auto"/>
            </w:tcBorders>
            <w:hideMark/>
          </w:tcPr>
          <w:p w14:paraId="6AA0E518" w14:textId="77777777" w:rsidR="00B87193" w:rsidRDefault="00B87193">
            <w:r>
              <w:rPr>
                <w:rFonts w:eastAsia="Arial" w:cs="Arial"/>
                <w:szCs w:val="22"/>
              </w:rPr>
              <w:t>Foreign source income</w:t>
            </w:r>
          </w:p>
        </w:tc>
      </w:tr>
      <w:tr w:rsidR="00B87193" w14:paraId="204901DB"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28B3BA6" w14:textId="77777777" w:rsidR="00B87193" w:rsidRDefault="00B87193">
            <w:r>
              <w:rPr>
                <w:rFonts w:eastAsia="Arial" w:cs="Arial"/>
                <w:szCs w:val="22"/>
              </w:rPr>
              <w:t>Franking credit gross up attributed</w:t>
            </w:r>
          </w:p>
        </w:tc>
        <w:tc>
          <w:tcPr>
            <w:tcW w:w="5450" w:type="dxa"/>
            <w:tcBorders>
              <w:top w:val="single" w:sz="8" w:space="0" w:color="auto"/>
              <w:left w:val="single" w:sz="8" w:space="0" w:color="auto"/>
              <w:bottom w:val="single" w:sz="8" w:space="0" w:color="auto"/>
              <w:right w:val="single" w:sz="8" w:space="0" w:color="auto"/>
            </w:tcBorders>
            <w:hideMark/>
          </w:tcPr>
          <w:p w14:paraId="727C294A" w14:textId="77777777" w:rsidR="00B87193" w:rsidRDefault="00B87193">
            <w:r>
              <w:rPr>
                <w:rFonts w:eastAsia="Arial" w:cs="Arial"/>
                <w:szCs w:val="22"/>
              </w:rPr>
              <w:t>The amount of franking credits less allocated deductions.</w:t>
            </w:r>
          </w:p>
        </w:tc>
      </w:tr>
      <w:tr w:rsidR="00B87193" w14:paraId="48A177A5"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BD8FFB5" w14:textId="77777777" w:rsidR="00B87193" w:rsidRDefault="00B87193">
            <w:r>
              <w:rPr>
                <w:rFonts w:eastAsia="Arial" w:cs="Arial"/>
                <w:szCs w:val="22"/>
              </w:rPr>
              <w:t>Junior mineral explorer (formerly Greenfields mineral explorer)</w:t>
            </w:r>
          </w:p>
        </w:tc>
        <w:tc>
          <w:tcPr>
            <w:tcW w:w="5450" w:type="dxa"/>
            <w:tcBorders>
              <w:top w:val="single" w:sz="8" w:space="0" w:color="auto"/>
              <w:left w:val="single" w:sz="8" w:space="0" w:color="auto"/>
              <w:bottom w:val="single" w:sz="8" w:space="0" w:color="auto"/>
              <w:right w:val="single" w:sz="8" w:space="0" w:color="auto"/>
            </w:tcBorders>
            <w:hideMark/>
          </w:tcPr>
          <w:p w14:paraId="3ED691BB" w14:textId="3DFC7333" w:rsidR="00B87193" w:rsidRDefault="00B87193">
            <w:r>
              <w:rPr>
                <w:rFonts w:eastAsia="Arial" w:cs="Arial"/>
              </w:rPr>
              <w:t xml:space="preserve">The Junior Minerals Exploration Incentive (JMEI) encourages investment in small minerals exploration companies that carry out </w:t>
            </w:r>
            <w:r w:rsidR="00FB54C4">
              <w:rPr>
                <w:rFonts w:eastAsia="Arial" w:cs="Arial"/>
              </w:rPr>
              <w:t xml:space="preserve">Greenfields </w:t>
            </w:r>
            <w:r>
              <w:rPr>
                <w:rFonts w:eastAsia="Arial" w:cs="Arial"/>
              </w:rPr>
              <w:t>mineral exploration in Australia.</w:t>
            </w:r>
          </w:p>
        </w:tc>
      </w:tr>
      <w:tr w:rsidR="00B87193" w14:paraId="2471525D"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577BE12" w14:textId="77777777" w:rsidR="00B87193" w:rsidRDefault="00B87193">
            <w:r>
              <w:rPr>
                <w:rFonts w:eastAsia="Arial" w:cs="Arial"/>
                <w:szCs w:val="22"/>
              </w:rPr>
              <w:t>IDPS</w:t>
            </w:r>
          </w:p>
        </w:tc>
        <w:tc>
          <w:tcPr>
            <w:tcW w:w="5450" w:type="dxa"/>
            <w:tcBorders>
              <w:top w:val="single" w:sz="8" w:space="0" w:color="auto"/>
              <w:left w:val="single" w:sz="8" w:space="0" w:color="auto"/>
              <w:bottom w:val="single" w:sz="8" w:space="0" w:color="auto"/>
              <w:right w:val="single" w:sz="8" w:space="0" w:color="auto"/>
            </w:tcBorders>
            <w:hideMark/>
          </w:tcPr>
          <w:p w14:paraId="0DC39D2C" w14:textId="77777777" w:rsidR="00B87193" w:rsidRDefault="00B87193">
            <w:r>
              <w:rPr>
                <w:rFonts w:eastAsia="Arial" w:cs="Arial"/>
                <w:szCs w:val="22"/>
              </w:rPr>
              <w:t>Investor directed portfolio services</w:t>
            </w:r>
          </w:p>
        </w:tc>
      </w:tr>
      <w:tr w:rsidR="00B87193" w14:paraId="5F494C3A"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A718829" w14:textId="77777777" w:rsidR="00B87193" w:rsidRDefault="00B87193">
            <w:r>
              <w:rPr>
                <w:rFonts w:eastAsia="Arial" w:cs="Arial"/>
                <w:szCs w:val="22"/>
              </w:rPr>
              <w:t>INT</w:t>
            </w:r>
          </w:p>
        </w:tc>
        <w:tc>
          <w:tcPr>
            <w:tcW w:w="5450" w:type="dxa"/>
            <w:tcBorders>
              <w:top w:val="single" w:sz="8" w:space="0" w:color="auto"/>
              <w:left w:val="single" w:sz="8" w:space="0" w:color="auto"/>
              <w:bottom w:val="single" w:sz="8" w:space="0" w:color="auto"/>
              <w:right w:val="single" w:sz="8" w:space="0" w:color="auto"/>
            </w:tcBorders>
            <w:hideMark/>
          </w:tcPr>
          <w:p w14:paraId="60816695" w14:textId="77777777" w:rsidR="00B87193" w:rsidRDefault="00B87193">
            <w:r>
              <w:rPr>
                <w:rFonts w:eastAsia="Arial" w:cs="Arial"/>
                <w:szCs w:val="22"/>
              </w:rPr>
              <w:t>Interest</w:t>
            </w:r>
          </w:p>
        </w:tc>
      </w:tr>
      <w:tr w:rsidR="00B87193" w14:paraId="428D237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9FE2EB4" w14:textId="77777777" w:rsidR="00B87193" w:rsidRDefault="00B87193">
            <w:r>
              <w:rPr>
                <w:rFonts w:eastAsia="Arial" w:cs="Arial"/>
                <w:szCs w:val="22"/>
              </w:rPr>
              <w:t>IRB</w:t>
            </w:r>
          </w:p>
        </w:tc>
        <w:tc>
          <w:tcPr>
            <w:tcW w:w="5450" w:type="dxa"/>
            <w:tcBorders>
              <w:top w:val="single" w:sz="8" w:space="0" w:color="auto"/>
              <w:left w:val="single" w:sz="8" w:space="0" w:color="auto"/>
              <w:bottom w:val="single" w:sz="8" w:space="0" w:color="auto"/>
              <w:right w:val="single" w:sz="8" w:space="0" w:color="auto"/>
            </w:tcBorders>
            <w:hideMark/>
          </w:tcPr>
          <w:p w14:paraId="47527CDE" w14:textId="77777777" w:rsidR="00B87193" w:rsidRDefault="00B87193">
            <w:r>
              <w:rPr>
                <w:rFonts w:eastAsia="Arial" w:cs="Arial"/>
                <w:szCs w:val="22"/>
              </w:rPr>
              <w:t>Investment related betting chance</w:t>
            </w:r>
          </w:p>
        </w:tc>
      </w:tr>
      <w:tr w:rsidR="00B87193" w14:paraId="172244FC"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3B959B3D" w14:textId="77777777" w:rsidR="00B87193" w:rsidRDefault="00B87193">
            <w:r>
              <w:rPr>
                <w:rFonts w:eastAsia="Arial" w:cs="Arial"/>
                <w:szCs w:val="22"/>
              </w:rPr>
              <w:t>ITAA 1936</w:t>
            </w:r>
          </w:p>
        </w:tc>
        <w:tc>
          <w:tcPr>
            <w:tcW w:w="5450" w:type="dxa"/>
            <w:tcBorders>
              <w:top w:val="single" w:sz="8" w:space="0" w:color="auto"/>
              <w:left w:val="single" w:sz="8" w:space="0" w:color="auto"/>
              <w:bottom w:val="single" w:sz="8" w:space="0" w:color="auto"/>
              <w:right w:val="single" w:sz="8" w:space="0" w:color="auto"/>
            </w:tcBorders>
            <w:hideMark/>
          </w:tcPr>
          <w:p w14:paraId="7571504B" w14:textId="77777777" w:rsidR="00B87193" w:rsidRDefault="00B87193">
            <w:r>
              <w:rPr>
                <w:rFonts w:eastAsia="Arial" w:cs="Arial"/>
                <w:i/>
                <w:iCs/>
                <w:szCs w:val="22"/>
              </w:rPr>
              <w:t>Income Tax Assessment Act 1936</w:t>
            </w:r>
          </w:p>
        </w:tc>
      </w:tr>
      <w:tr w:rsidR="00B87193" w14:paraId="380103B7"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8BD3537" w14:textId="77777777" w:rsidR="00B87193" w:rsidRDefault="00B87193">
            <w:r>
              <w:rPr>
                <w:rFonts w:eastAsia="Arial" w:cs="Arial"/>
                <w:szCs w:val="22"/>
              </w:rPr>
              <w:t>ITAA 1997</w:t>
            </w:r>
          </w:p>
        </w:tc>
        <w:tc>
          <w:tcPr>
            <w:tcW w:w="5450" w:type="dxa"/>
            <w:tcBorders>
              <w:top w:val="single" w:sz="8" w:space="0" w:color="auto"/>
              <w:left w:val="single" w:sz="8" w:space="0" w:color="auto"/>
              <w:bottom w:val="single" w:sz="8" w:space="0" w:color="auto"/>
              <w:right w:val="single" w:sz="8" w:space="0" w:color="auto"/>
            </w:tcBorders>
            <w:hideMark/>
          </w:tcPr>
          <w:p w14:paraId="2DAF4544" w14:textId="77777777" w:rsidR="00B87193" w:rsidRDefault="00B87193">
            <w:r>
              <w:rPr>
                <w:rFonts w:eastAsia="Arial" w:cs="Arial"/>
                <w:i/>
                <w:iCs/>
                <w:szCs w:val="22"/>
              </w:rPr>
              <w:t>Income Tax Assessment Act 1997</w:t>
            </w:r>
          </w:p>
        </w:tc>
      </w:tr>
      <w:tr w:rsidR="00B87193" w14:paraId="6A7CBCD5"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9F85E4C" w14:textId="77777777" w:rsidR="00B87193" w:rsidRDefault="00B87193">
            <w:r>
              <w:rPr>
                <w:rFonts w:eastAsia="Arial" w:cs="Arial"/>
                <w:szCs w:val="22"/>
              </w:rPr>
              <w:t>ITR</w:t>
            </w:r>
          </w:p>
        </w:tc>
        <w:tc>
          <w:tcPr>
            <w:tcW w:w="5450" w:type="dxa"/>
            <w:tcBorders>
              <w:top w:val="single" w:sz="8" w:space="0" w:color="auto"/>
              <w:left w:val="single" w:sz="8" w:space="0" w:color="auto"/>
              <w:bottom w:val="single" w:sz="8" w:space="0" w:color="auto"/>
              <w:right w:val="single" w:sz="8" w:space="0" w:color="auto"/>
            </w:tcBorders>
            <w:hideMark/>
          </w:tcPr>
          <w:p w14:paraId="684642C7" w14:textId="77777777" w:rsidR="00B87193" w:rsidRDefault="00B87193">
            <w:r>
              <w:rPr>
                <w:rFonts w:eastAsia="Arial" w:cs="Arial"/>
                <w:szCs w:val="22"/>
              </w:rPr>
              <w:t>Individual tax return</w:t>
            </w:r>
          </w:p>
        </w:tc>
      </w:tr>
      <w:tr w:rsidR="00B87193" w14:paraId="39BFF7B4"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E6530D6" w14:textId="77777777" w:rsidR="00B87193" w:rsidRDefault="00B87193">
            <w:r>
              <w:rPr>
                <w:rFonts w:eastAsia="Arial" w:cs="Arial"/>
                <w:szCs w:val="22"/>
              </w:rPr>
              <w:t>ITR 1936</w:t>
            </w:r>
          </w:p>
        </w:tc>
        <w:tc>
          <w:tcPr>
            <w:tcW w:w="5450" w:type="dxa"/>
            <w:tcBorders>
              <w:top w:val="single" w:sz="8" w:space="0" w:color="auto"/>
              <w:left w:val="single" w:sz="8" w:space="0" w:color="auto"/>
              <w:bottom w:val="single" w:sz="8" w:space="0" w:color="auto"/>
              <w:right w:val="single" w:sz="8" w:space="0" w:color="auto"/>
            </w:tcBorders>
            <w:hideMark/>
          </w:tcPr>
          <w:p w14:paraId="1B0F6C71" w14:textId="77777777" w:rsidR="00B87193" w:rsidRDefault="00B87193">
            <w:r>
              <w:rPr>
                <w:rFonts w:eastAsia="Arial" w:cs="Arial"/>
                <w:szCs w:val="22"/>
              </w:rPr>
              <w:t>Income Tax Regulations 1936</w:t>
            </w:r>
          </w:p>
        </w:tc>
      </w:tr>
      <w:tr w:rsidR="00B87193" w14:paraId="6E34505D"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48E8744" w14:textId="77777777" w:rsidR="00B87193" w:rsidRDefault="00B87193">
            <w:r>
              <w:rPr>
                <w:rFonts w:eastAsia="Arial" w:cs="Arial"/>
                <w:szCs w:val="22"/>
              </w:rPr>
              <w:t>MIT</w:t>
            </w:r>
          </w:p>
        </w:tc>
        <w:tc>
          <w:tcPr>
            <w:tcW w:w="5450" w:type="dxa"/>
            <w:tcBorders>
              <w:top w:val="single" w:sz="8" w:space="0" w:color="auto"/>
              <w:left w:val="single" w:sz="8" w:space="0" w:color="auto"/>
              <w:bottom w:val="single" w:sz="8" w:space="0" w:color="auto"/>
              <w:right w:val="single" w:sz="8" w:space="0" w:color="auto"/>
            </w:tcBorders>
            <w:hideMark/>
          </w:tcPr>
          <w:p w14:paraId="3AE7EB22" w14:textId="77777777" w:rsidR="00B87193" w:rsidRDefault="00B87193">
            <w:r>
              <w:rPr>
                <w:rFonts w:eastAsia="Arial" w:cs="Arial"/>
                <w:szCs w:val="22"/>
              </w:rPr>
              <w:t>Managed investment trust</w:t>
            </w:r>
          </w:p>
        </w:tc>
      </w:tr>
      <w:tr w:rsidR="00B87193" w14:paraId="6FBF873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67FBF7E5" w14:textId="77777777" w:rsidR="00B87193" w:rsidRDefault="00B87193">
            <w:r>
              <w:rPr>
                <w:rFonts w:eastAsia="Arial" w:cs="Arial"/>
                <w:szCs w:val="22"/>
              </w:rPr>
              <w:t>NANE</w:t>
            </w:r>
          </w:p>
        </w:tc>
        <w:tc>
          <w:tcPr>
            <w:tcW w:w="5450" w:type="dxa"/>
            <w:tcBorders>
              <w:top w:val="single" w:sz="8" w:space="0" w:color="auto"/>
              <w:left w:val="single" w:sz="8" w:space="0" w:color="auto"/>
              <w:bottom w:val="single" w:sz="8" w:space="0" w:color="auto"/>
              <w:right w:val="single" w:sz="8" w:space="0" w:color="auto"/>
            </w:tcBorders>
            <w:hideMark/>
          </w:tcPr>
          <w:p w14:paraId="4861ECA0" w14:textId="77777777" w:rsidR="00B87193" w:rsidRDefault="00B87193">
            <w:r>
              <w:rPr>
                <w:rFonts w:eastAsia="Arial" w:cs="Arial"/>
                <w:szCs w:val="22"/>
              </w:rPr>
              <w:t>Non-assessable Non-exempt Non trust income</w:t>
            </w:r>
          </w:p>
        </w:tc>
      </w:tr>
      <w:tr w:rsidR="00B87193" w14:paraId="681B3B9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1B27789" w14:textId="77777777" w:rsidR="00B87193" w:rsidRDefault="00B87193">
            <w:r>
              <w:rPr>
                <w:rFonts w:eastAsia="Arial" w:cs="Arial"/>
                <w:szCs w:val="22"/>
              </w:rPr>
              <w:t>NCMI</w:t>
            </w:r>
          </w:p>
        </w:tc>
        <w:tc>
          <w:tcPr>
            <w:tcW w:w="5450" w:type="dxa"/>
            <w:tcBorders>
              <w:top w:val="single" w:sz="8" w:space="0" w:color="auto"/>
              <w:left w:val="single" w:sz="8" w:space="0" w:color="auto"/>
              <w:bottom w:val="single" w:sz="8" w:space="0" w:color="auto"/>
              <w:right w:val="single" w:sz="8" w:space="0" w:color="auto"/>
            </w:tcBorders>
            <w:hideMark/>
          </w:tcPr>
          <w:p w14:paraId="56A08BAC" w14:textId="1A9CF590" w:rsidR="00B87193" w:rsidRDefault="00B87193">
            <w:r>
              <w:rPr>
                <w:rFonts w:eastAsia="Arial" w:cs="Arial"/>
                <w:szCs w:val="22"/>
              </w:rPr>
              <w:t>Non-concessional MIT Income</w:t>
            </w:r>
          </w:p>
        </w:tc>
      </w:tr>
      <w:tr w:rsidR="00B87193" w14:paraId="26D63064" w14:textId="77777777" w:rsidTr="00B87193">
        <w:trPr>
          <w:trHeight w:val="870"/>
        </w:trPr>
        <w:tc>
          <w:tcPr>
            <w:tcW w:w="3835" w:type="dxa"/>
            <w:tcBorders>
              <w:top w:val="single" w:sz="8" w:space="0" w:color="auto"/>
              <w:left w:val="single" w:sz="8" w:space="0" w:color="auto"/>
              <w:bottom w:val="single" w:sz="8" w:space="0" w:color="auto"/>
              <w:right w:val="single" w:sz="8" w:space="0" w:color="auto"/>
            </w:tcBorders>
            <w:hideMark/>
          </w:tcPr>
          <w:p w14:paraId="77C93411" w14:textId="77777777" w:rsidR="00B87193" w:rsidRDefault="00B87193">
            <w:r>
              <w:rPr>
                <w:rFonts w:eastAsia="Arial" w:cs="Arial"/>
                <w:szCs w:val="22"/>
              </w:rPr>
              <w:t>Pre-AMMA actual payments</w:t>
            </w:r>
          </w:p>
          <w:p w14:paraId="7CDF5CD2" w14:textId="77777777" w:rsidR="00B87193" w:rsidRDefault="00B87193">
            <w:r>
              <w:rPr>
                <w:rFonts w:eastAsia="Arial" w:cs="Arial"/>
                <w:szCs w:val="22"/>
              </w:rPr>
              <w:t xml:space="preserve"> </w:t>
            </w:r>
          </w:p>
        </w:tc>
        <w:tc>
          <w:tcPr>
            <w:tcW w:w="5450" w:type="dxa"/>
            <w:tcBorders>
              <w:top w:val="single" w:sz="8" w:space="0" w:color="auto"/>
              <w:left w:val="single" w:sz="8" w:space="0" w:color="auto"/>
              <w:bottom w:val="single" w:sz="8" w:space="0" w:color="auto"/>
              <w:right w:val="single" w:sz="8" w:space="0" w:color="auto"/>
            </w:tcBorders>
            <w:hideMark/>
          </w:tcPr>
          <w:p w14:paraId="1FF8CCD1" w14:textId="77777777" w:rsidR="00B87193" w:rsidRDefault="00B87193">
            <w:r>
              <w:rPr>
                <w:rFonts w:eastAsia="Arial" w:cs="Arial"/>
                <w:szCs w:val="22"/>
              </w:rPr>
              <w:t>Cash payments made to you during the income year, before you're provided with an AMMA statement are called 'pre-AMMA actual payments'.</w:t>
            </w:r>
          </w:p>
        </w:tc>
      </w:tr>
      <w:tr w:rsidR="00B87193" w14:paraId="51F8032B"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20B243B" w14:textId="77777777" w:rsidR="00B87193" w:rsidRDefault="00B87193">
            <w:r>
              <w:rPr>
                <w:rFonts w:eastAsia="Arial" w:cs="Arial"/>
                <w:szCs w:val="22"/>
              </w:rPr>
              <w:t>SAP</w:t>
            </w:r>
          </w:p>
        </w:tc>
        <w:tc>
          <w:tcPr>
            <w:tcW w:w="5450" w:type="dxa"/>
            <w:tcBorders>
              <w:top w:val="single" w:sz="8" w:space="0" w:color="auto"/>
              <w:left w:val="single" w:sz="8" w:space="0" w:color="auto"/>
              <w:bottom w:val="single" w:sz="8" w:space="0" w:color="auto"/>
              <w:right w:val="single" w:sz="8" w:space="0" w:color="auto"/>
            </w:tcBorders>
            <w:hideMark/>
          </w:tcPr>
          <w:p w14:paraId="00798BE2" w14:textId="77777777" w:rsidR="00B87193" w:rsidRDefault="00B87193">
            <w:r>
              <w:rPr>
                <w:rFonts w:eastAsia="Arial" w:cs="Arial"/>
                <w:szCs w:val="22"/>
              </w:rPr>
              <w:t>Substituted accounting period</w:t>
            </w:r>
          </w:p>
        </w:tc>
      </w:tr>
      <w:tr w:rsidR="00B87193" w14:paraId="3E6D59D3" w14:textId="77777777" w:rsidTr="00B87193">
        <w:trPr>
          <w:trHeight w:val="300"/>
        </w:trPr>
        <w:tc>
          <w:tcPr>
            <w:tcW w:w="3835" w:type="dxa"/>
            <w:tcBorders>
              <w:top w:val="single" w:sz="8" w:space="0" w:color="auto"/>
              <w:left w:val="single" w:sz="8" w:space="0" w:color="auto"/>
              <w:bottom w:val="single" w:sz="8" w:space="0" w:color="auto"/>
              <w:right w:val="single" w:sz="8" w:space="0" w:color="auto"/>
            </w:tcBorders>
            <w:hideMark/>
          </w:tcPr>
          <w:p w14:paraId="329E5D96" w14:textId="7B80E39D" w:rsidR="00B87193" w:rsidRDefault="00FB54C4">
            <w:pPr>
              <w:rPr>
                <w:rFonts w:eastAsia="Arial" w:cs="Arial"/>
              </w:rPr>
            </w:pPr>
            <w:r>
              <w:rPr>
                <w:rFonts w:eastAsia="Arial" w:cs="Arial"/>
              </w:rPr>
              <w:t>SBR</w:t>
            </w:r>
          </w:p>
        </w:tc>
        <w:tc>
          <w:tcPr>
            <w:tcW w:w="5450" w:type="dxa"/>
            <w:tcBorders>
              <w:top w:val="single" w:sz="8" w:space="0" w:color="auto"/>
              <w:left w:val="single" w:sz="8" w:space="0" w:color="auto"/>
              <w:bottom w:val="single" w:sz="8" w:space="0" w:color="auto"/>
              <w:right w:val="single" w:sz="8" w:space="0" w:color="auto"/>
            </w:tcBorders>
            <w:hideMark/>
          </w:tcPr>
          <w:p w14:paraId="0079097B" w14:textId="713AF38C" w:rsidR="00B87193" w:rsidRDefault="00FB54C4">
            <w:pPr>
              <w:rPr>
                <w:rFonts w:eastAsia="Arial" w:cs="Arial"/>
              </w:rPr>
            </w:pPr>
            <w:r>
              <w:rPr>
                <w:rFonts w:eastAsia="Arial" w:cs="Arial"/>
              </w:rPr>
              <w:t>Standard business reporting</w:t>
            </w:r>
          </w:p>
        </w:tc>
      </w:tr>
      <w:tr w:rsidR="00B87193" w14:paraId="305B4F86"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041BB897" w14:textId="77777777" w:rsidR="00B87193" w:rsidRDefault="00B87193">
            <w:pPr>
              <w:rPr>
                <w:rFonts w:eastAsia="Times New Roman"/>
              </w:rPr>
            </w:pPr>
            <w:r>
              <w:rPr>
                <w:rFonts w:eastAsia="Arial" w:cs="Arial"/>
                <w:szCs w:val="22"/>
              </w:rPr>
              <w:lastRenderedPageBreak/>
              <w:t>SDS</w:t>
            </w:r>
          </w:p>
        </w:tc>
        <w:tc>
          <w:tcPr>
            <w:tcW w:w="5450" w:type="dxa"/>
            <w:tcBorders>
              <w:top w:val="single" w:sz="8" w:space="0" w:color="auto"/>
              <w:left w:val="single" w:sz="8" w:space="0" w:color="auto"/>
              <w:bottom w:val="single" w:sz="8" w:space="0" w:color="auto"/>
              <w:right w:val="single" w:sz="8" w:space="0" w:color="auto"/>
            </w:tcBorders>
            <w:hideMark/>
          </w:tcPr>
          <w:p w14:paraId="36853BFE" w14:textId="77777777" w:rsidR="00B87193" w:rsidRDefault="00B87193">
            <w:r>
              <w:rPr>
                <w:rFonts w:eastAsia="Arial" w:cs="Arial"/>
                <w:szCs w:val="22"/>
              </w:rPr>
              <w:t>Standard distribution statement</w:t>
            </w:r>
          </w:p>
        </w:tc>
      </w:tr>
      <w:tr w:rsidR="00B87193" w14:paraId="75770B24"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3A068FC3" w14:textId="77777777" w:rsidR="00B87193" w:rsidRDefault="00B87193">
            <w:r>
              <w:rPr>
                <w:rFonts w:eastAsia="Arial" w:cs="Arial"/>
                <w:szCs w:val="22"/>
              </w:rPr>
              <w:t>SS</w:t>
            </w:r>
          </w:p>
        </w:tc>
        <w:tc>
          <w:tcPr>
            <w:tcW w:w="5450" w:type="dxa"/>
            <w:tcBorders>
              <w:top w:val="single" w:sz="8" w:space="0" w:color="auto"/>
              <w:left w:val="single" w:sz="8" w:space="0" w:color="auto"/>
              <w:bottom w:val="single" w:sz="8" w:space="0" w:color="auto"/>
              <w:right w:val="single" w:sz="8" w:space="0" w:color="auto"/>
            </w:tcBorders>
            <w:hideMark/>
          </w:tcPr>
          <w:p w14:paraId="4E538736" w14:textId="1C1D5B9E" w:rsidR="00B87193" w:rsidRDefault="00B87193" w:rsidP="0023547A">
            <w:pPr>
              <w:ind w:left="425" w:hanging="425"/>
              <w:rPr>
                <w:rFonts w:eastAsia="Times New Roman"/>
                <w:szCs w:val="24"/>
              </w:rPr>
            </w:pPr>
            <w:r>
              <w:rPr>
                <w:rFonts w:eastAsia="Arial" w:cs="Arial"/>
                <w:szCs w:val="22"/>
              </w:rPr>
              <w:t>Stapled Structures</w:t>
            </w:r>
          </w:p>
        </w:tc>
      </w:tr>
      <w:tr w:rsidR="00B87193" w14:paraId="2D9DB972"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72F34CD3" w14:textId="77777777" w:rsidR="00B87193" w:rsidRDefault="00B87193">
            <w:r>
              <w:rPr>
                <w:rFonts w:eastAsia="Arial" w:cs="Arial"/>
                <w:szCs w:val="22"/>
              </w:rPr>
              <w:t>TAA 1953</w:t>
            </w:r>
          </w:p>
        </w:tc>
        <w:tc>
          <w:tcPr>
            <w:tcW w:w="5450" w:type="dxa"/>
            <w:tcBorders>
              <w:top w:val="single" w:sz="8" w:space="0" w:color="auto"/>
              <w:left w:val="single" w:sz="8" w:space="0" w:color="auto"/>
              <w:bottom w:val="single" w:sz="8" w:space="0" w:color="auto"/>
              <w:right w:val="single" w:sz="8" w:space="0" w:color="auto"/>
            </w:tcBorders>
            <w:hideMark/>
          </w:tcPr>
          <w:p w14:paraId="7AD73874" w14:textId="77777777" w:rsidR="00B87193" w:rsidRDefault="00B87193">
            <w:r>
              <w:rPr>
                <w:rFonts w:eastAsia="Arial" w:cs="Arial"/>
                <w:i/>
                <w:iCs/>
                <w:szCs w:val="22"/>
              </w:rPr>
              <w:t>Tax Administration Act 1953</w:t>
            </w:r>
          </w:p>
        </w:tc>
      </w:tr>
      <w:tr w:rsidR="00B87193" w14:paraId="7EBA43B3"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16E01545" w14:textId="77777777" w:rsidR="00B87193" w:rsidRDefault="00B87193">
            <w:r>
              <w:rPr>
                <w:rFonts w:eastAsia="Arial" w:cs="Arial"/>
                <w:szCs w:val="22"/>
              </w:rPr>
              <w:t>Taxable Australian property</w:t>
            </w:r>
          </w:p>
        </w:tc>
        <w:tc>
          <w:tcPr>
            <w:tcW w:w="5450" w:type="dxa"/>
            <w:tcBorders>
              <w:top w:val="single" w:sz="8" w:space="0" w:color="auto"/>
              <w:left w:val="single" w:sz="8" w:space="0" w:color="auto"/>
              <w:bottom w:val="single" w:sz="8" w:space="0" w:color="auto"/>
              <w:right w:val="single" w:sz="8" w:space="0" w:color="auto"/>
            </w:tcBorders>
            <w:hideMark/>
          </w:tcPr>
          <w:p w14:paraId="2D9CBD27" w14:textId="77777777" w:rsidR="00B87193" w:rsidRDefault="00B87193">
            <w:r>
              <w:rPr>
                <w:rFonts w:eastAsia="Arial" w:cs="Arial"/>
                <w:szCs w:val="22"/>
                <w:lang w:val="en"/>
              </w:rPr>
              <w:t xml:space="preserve">Includes: </w:t>
            </w:r>
          </w:p>
          <w:p w14:paraId="711146C6" w14:textId="77777777" w:rsidR="00B87193" w:rsidRPr="00F94DFB" w:rsidRDefault="00B87193" w:rsidP="001601AF">
            <w:pPr>
              <w:pStyle w:val="ListParagraph"/>
              <w:numPr>
                <w:ilvl w:val="0"/>
                <w:numId w:val="76"/>
              </w:numPr>
              <w:spacing w:after="200" w:line="276" w:lineRule="auto"/>
              <w:rPr>
                <w:rFonts w:eastAsia="Arial" w:cs="Arial"/>
              </w:rPr>
            </w:pPr>
            <w:r w:rsidRPr="00F94DFB">
              <w:rPr>
                <w:rFonts w:eastAsia="Arial" w:cs="Arial"/>
              </w:rPr>
              <w:t>a direct interest in real property situated in Australia or a mining, quarrying or prospecting right to minerals, petroleum or quarry materials situated in Australia</w:t>
            </w:r>
          </w:p>
          <w:p w14:paraId="3ED51051" w14:textId="77777777" w:rsidR="00B87193" w:rsidRPr="00F94DFB" w:rsidRDefault="00B87193" w:rsidP="001601AF">
            <w:pPr>
              <w:pStyle w:val="ListParagraph"/>
              <w:numPr>
                <w:ilvl w:val="0"/>
                <w:numId w:val="76"/>
              </w:numPr>
              <w:spacing w:after="200" w:line="276" w:lineRule="auto"/>
              <w:rPr>
                <w:rFonts w:eastAsia="Arial" w:cs="Arial"/>
              </w:rPr>
            </w:pPr>
            <w:r w:rsidRPr="00F94DFB">
              <w:rPr>
                <w:rFonts w:eastAsia="Arial" w:cs="Arial"/>
              </w:rPr>
              <w:t>a CGT asset that you have used at any time in carrying on a business through a permanent establishment in Australia, and</w:t>
            </w:r>
          </w:p>
          <w:p w14:paraId="0EDFCCF8" w14:textId="77777777" w:rsidR="00B87193" w:rsidRPr="00F94DFB" w:rsidRDefault="00B87193" w:rsidP="001601AF">
            <w:pPr>
              <w:pStyle w:val="ListParagraph"/>
              <w:numPr>
                <w:ilvl w:val="0"/>
                <w:numId w:val="76"/>
              </w:numPr>
              <w:spacing w:after="200" w:line="276" w:lineRule="auto"/>
              <w:rPr>
                <w:rFonts w:eastAsia="Arial" w:cs="Arial"/>
              </w:rPr>
            </w:pPr>
            <w:r w:rsidRPr="00F94DFB">
              <w:rPr>
                <w:rFonts w:eastAsia="Arial" w:cs="Arial"/>
              </w:rPr>
              <w:t>an indirect Australian real property interest; which is an interest in an entity, including a foreign entity, where you and your associates hold 10% or more of the entity and the value of your interest is principally attributable to Australian real property.</w:t>
            </w:r>
          </w:p>
          <w:p w14:paraId="3AC6FBE5" w14:textId="77777777" w:rsidR="00B87193" w:rsidRDefault="00B87193" w:rsidP="001601AF">
            <w:pPr>
              <w:pStyle w:val="ListParagraph"/>
              <w:numPr>
                <w:ilvl w:val="0"/>
                <w:numId w:val="76"/>
              </w:numPr>
              <w:spacing w:after="200" w:line="276" w:lineRule="auto"/>
              <w:rPr>
                <w:rFonts w:ascii="Calibri" w:eastAsia="Calibri" w:hAnsi="Calibri" w:cs="Calibri"/>
                <w:lang w:val="en"/>
              </w:rPr>
            </w:pPr>
            <w:r w:rsidRPr="00F94DFB">
              <w:rPr>
                <w:rFonts w:eastAsia="Arial" w:cs="Arial"/>
              </w:rPr>
              <w:t>options or rights over any of the above.</w:t>
            </w:r>
            <w:r>
              <w:rPr>
                <w:lang w:val="en"/>
              </w:rPr>
              <w:t xml:space="preserve"> </w:t>
            </w:r>
          </w:p>
        </w:tc>
      </w:tr>
      <w:tr w:rsidR="00B87193" w14:paraId="23E9E156"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AC41D1E" w14:textId="77777777" w:rsidR="00B87193" w:rsidRDefault="00B87193">
            <w:pPr>
              <w:rPr>
                <w:rFonts w:eastAsia="Times New Roman"/>
              </w:rPr>
            </w:pPr>
            <w:r>
              <w:rPr>
                <w:rFonts w:eastAsia="Arial" w:cs="Arial"/>
                <w:szCs w:val="22"/>
              </w:rPr>
              <w:t>TDP</w:t>
            </w:r>
          </w:p>
        </w:tc>
        <w:tc>
          <w:tcPr>
            <w:tcW w:w="5450" w:type="dxa"/>
            <w:tcBorders>
              <w:top w:val="single" w:sz="8" w:space="0" w:color="auto"/>
              <w:left w:val="single" w:sz="8" w:space="0" w:color="auto"/>
              <w:bottom w:val="single" w:sz="8" w:space="0" w:color="auto"/>
              <w:right w:val="single" w:sz="8" w:space="0" w:color="auto"/>
            </w:tcBorders>
            <w:hideMark/>
          </w:tcPr>
          <w:p w14:paraId="609DE1BC" w14:textId="77777777" w:rsidR="00B87193" w:rsidRDefault="00B87193">
            <w:r>
              <w:rPr>
                <w:rFonts w:eastAsia="Arial" w:cs="Arial"/>
                <w:szCs w:val="22"/>
              </w:rPr>
              <w:t>Term deposit</w:t>
            </w:r>
          </w:p>
        </w:tc>
      </w:tr>
      <w:tr w:rsidR="00B87193" w14:paraId="552CA4FF"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5E765344" w14:textId="77777777" w:rsidR="00B87193" w:rsidRDefault="00B87193">
            <w:r>
              <w:rPr>
                <w:rFonts w:eastAsia="Arial" w:cs="Arial"/>
                <w:szCs w:val="22"/>
              </w:rPr>
              <w:t>TFN</w:t>
            </w:r>
          </w:p>
        </w:tc>
        <w:tc>
          <w:tcPr>
            <w:tcW w:w="5450" w:type="dxa"/>
            <w:tcBorders>
              <w:top w:val="single" w:sz="8" w:space="0" w:color="auto"/>
              <w:left w:val="single" w:sz="8" w:space="0" w:color="auto"/>
              <w:bottom w:val="single" w:sz="8" w:space="0" w:color="auto"/>
              <w:right w:val="single" w:sz="8" w:space="0" w:color="auto"/>
            </w:tcBorders>
            <w:hideMark/>
          </w:tcPr>
          <w:p w14:paraId="7C654C4A" w14:textId="77777777" w:rsidR="00B87193" w:rsidRDefault="00B87193">
            <w:r>
              <w:rPr>
                <w:rFonts w:eastAsia="Arial" w:cs="Arial"/>
                <w:szCs w:val="22"/>
              </w:rPr>
              <w:t>Tax file number</w:t>
            </w:r>
          </w:p>
        </w:tc>
      </w:tr>
      <w:tr w:rsidR="00B87193" w14:paraId="11536ECE"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2CC2BD0E" w14:textId="77777777" w:rsidR="00B87193" w:rsidRDefault="00B87193">
            <w:r>
              <w:rPr>
                <w:rFonts w:eastAsia="Arial" w:cs="Arial"/>
                <w:szCs w:val="22"/>
              </w:rPr>
              <w:t>UTD</w:t>
            </w:r>
          </w:p>
        </w:tc>
        <w:tc>
          <w:tcPr>
            <w:tcW w:w="5450" w:type="dxa"/>
            <w:tcBorders>
              <w:top w:val="single" w:sz="8" w:space="0" w:color="auto"/>
              <w:left w:val="single" w:sz="8" w:space="0" w:color="auto"/>
              <w:bottom w:val="single" w:sz="8" w:space="0" w:color="auto"/>
              <w:right w:val="single" w:sz="8" w:space="0" w:color="auto"/>
            </w:tcBorders>
            <w:hideMark/>
          </w:tcPr>
          <w:p w14:paraId="45DB8393" w14:textId="77777777" w:rsidR="00B87193" w:rsidRDefault="00B87193">
            <w:r>
              <w:rPr>
                <w:rFonts w:eastAsia="Arial" w:cs="Arial"/>
                <w:szCs w:val="22"/>
              </w:rPr>
              <w:t>Unit trust distribution</w:t>
            </w:r>
          </w:p>
        </w:tc>
      </w:tr>
      <w:tr w:rsidR="00B87193" w14:paraId="46498B43" w14:textId="77777777" w:rsidTr="00B87193">
        <w:tc>
          <w:tcPr>
            <w:tcW w:w="3835" w:type="dxa"/>
            <w:tcBorders>
              <w:top w:val="single" w:sz="8" w:space="0" w:color="auto"/>
              <w:left w:val="single" w:sz="8" w:space="0" w:color="auto"/>
              <w:bottom w:val="single" w:sz="8" w:space="0" w:color="auto"/>
              <w:right w:val="single" w:sz="8" w:space="0" w:color="auto"/>
            </w:tcBorders>
            <w:hideMark/>
          </w:tcPr>
          <w:p w14:paraId="48CE847D" w14:textId="77777777" w:rsidR="00B87193" w:rsidRDefault="00B87193">
            <w:r>
              <w:rPr>
                <w:rFonts w:eastAsia="Arial" w:cs="Arial"/>
                <w:szCs w:val="22"/>
              </w:rPr>
              <w:t>WPN</w:t>
            </w:r>
          </w:p>
        </w:tc>
        <w:tc>
          <w:tcPr>
            <w:tcW w:w="5450" w:type="dxa"/>
            <w:tcBorders>
              <w:top w:val="single" w:sz="8" w:space="0" w:color="auto"/>
              <w:left w:val="single" w:sz="8" w:space="0" w:color="auto"/>
              <w:bottom w:val="single" w:sz="8" w:space="0" w:color="auto"/>
              <w:right w:val="single" w:sz="8" w:space="0" w:color="auto"/>
            </w:tcBorders>
            <w:hideMark/>
          </w:tcPr>
          <w:p w14:paraId="35BD9D55" w14:textId="77777777" w:rsidR="00B87193" w:rsidRDefault="00B87193">
            <w:r>
              <w:rPr>
                <w:rFonts w:eastAsia="Arial" w:cs="Arial"/>
                <w:szCs w:val="22"/>
              </w:rPr>
              <w:t>Withholding payer number</w:t>
            </w:r>
          </w:p>
        </w:tc>
      </w:tr>
    </w:tbl>
    <w:p w14:paraId="0E706AD3" w14:textId="77777777" w:rsidR="00B87193" w:rsidRDefault="00B87193" w:rsidP="00B87193">
      <w:pPr>
        <w:rPr>
          <w:rFonts w:ascii="Arial" w:hAnsi="Arial"/>
          <w:sz w:val="22"/>
        </w:rPr>
      </w:pPr>
      <w:r>
        <w:br/>
      </w:r>
    </w:p>
    <w:tbl>
      <w:tblPr>
        <w:tblpPr w:leftFromText="180" w:rightFromText="180" w:vertAnchor="text" w:horzAnchor="margin" w:tblpY="-40"/>
        <w:tblW w:w="9922" w:type="dxa"/>
        <w:tblBorders>
          <w:insideH w:val="single" w:sz="4" w:space="0" w:color="auto"/>
          <w:insideV w:val="single" w:sz="4" w:space="0" w:color="BFBFBF" w:themeColor="background1" w:themeShade="BF"/>
        </w:tblBorders>
        <w:tblCellMar>
          <w:left w:w="0" w:type="dxa"/>
          <w:right w:w="0" w:type="dxa"/>
        </w:tblCellMar>
        <w:tblLook w:val="04A0" w:firstRow="1" w:lastRow="0" w:firstColumn="1" w:lastColumn="0" w:noHBand="0" w:noVBand="1"/>
      </w:tblPr>
      <w:tblGrid>
        <w:gridCol w:w="1077"/>
        <w:gridCol w:w="8845"/>
      </w:tblGrid>
      <w:tr w:rsidR="00955737" w:rsidRPr="005027A4" w14:paraId="4B311FA4" w14:textId="77777777" w:rsidTr="00955737">
        <w:trPr>
          <w:trHeight w:val="66"/>
        </w:trPr>
        <w:tc>
          <w:tcPr>
            <w:tcW w:w="1077" w:type="dxa"/>
            <w:vAlign w:val="center"/>
          </w:tcPr>
          <w:p w14:paraId="1FBD52A0" w14:textId="77777777" w:rsidR="00955737" w:rsidRPr="007631CC" w:rsidRDefault="00955737" w:rsidP="00955737">
            <w:pPr>
              <w:spacing w:line="276" w:lineRule="auto"/>
              <w:rPr>
                <w:rFonts w:ascii="Inter" w:hAnsi="Inter"/>
                <w:color w:val="808080" w:themeColor="background1" w:themeShade="80"/>
                <w:vertAlign w:val="subscript"/>
              </w:rPr>
            </w:pPr>
            <w:r w:rsidRPr="007631CC">
              <w:rPr>
                <w:rFonts w:ascii="Inter" w:hAnsi="Inter"/>
                <w:noProof/>
                <w:color w:val="808080" w:themeColor="background1" w:themeShade="80"/>
                <w:vertAlign w:val="subscript"/>
              </w:rPr>
              <w:drawing>
                <wp:anchor distT="0" distB="0" distL="114300" distR="114300" simplePos="0" relativeHeight="251658241" behindDoc="0" locked="0" layoutInCell="1" allowOverlap="1" wp14:anchorId="3697A0E8" wp14:editId="7204C550">
                  <wp:simplePos x="0" y="0"/>
                  <wp:positionH relativeFrom="column">
                    <wp:posOffset>-1621</wp:posOffset>
                  </wp:positionH>
                  <wp:positionV relativeFrom="paragraph">
                    <wp:posOffset>2891</wp:posOffset>
                  </wp:positionV>
                  <wp:extent cx="525600" cy="525600"/>
                  <wp:effectExtent l="0" t="0" r="8255" b="8255"/>
                  <wp:wrapNone/>
                  <wp:docPr id="2" name="Picture 2" descr="ATO Indigenous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O Indigenous artwork"/>
                          <pic:cNvPicPr/>
                        </pic:nvPicPr>
                        <pic:blipFill>
                          <a:blip r:embed="rId13">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c>
          <w:tcPr>
            <w:tcW w:w="0" w:type="auto"/>
            <w:tcMar>
              <w:left w:w="227" w:type="dxa"/>
            </w:tcMar>
            <w:vAlign w:val="center"/>
          </w:tcPr>
          <w:p w14:paraId="3D178AB5" w14:textId="77777777" w:rsidR="00955737" w:rsidRPr="005027A4" w:rsidRDefault="00955737" w:rsidP="00955737">
            <w:pPr>
              <w:spacing w:after="0" w:line="276" w:lineRule="auto"/>
              <w:rPr>
                <w:rFonts w:ascii="Inter" w:hAnsi="Inter"/>
                <w:color w:val="333333"/>
              </w:rPr>
            </w:pPr>
            <w:r w:rsidRPr="005027A4">
              <w:rPr>
                <w:rFonts w:ascii="Inter" w:hAnsi="Inter"/>
                <w:color w:val="333333"/>
              </w:rPr>
              <w:t>We acknowledge the Traditional Owners and Custodians of Country throughout </w:t>
            </w:r>
            <w:r w:rsidRPr="005027A4">
              <w:rPr>
                <w:rFonts w:ascii="Inter" w:hAnsi="Inter"/>
                <w:color w:val="333333"/>
              </w:rPr>
              <w:br/>
              <w:t xml:space="preserve">Australia and their continuing connection to land, waters and community. </w:t>
            </w:r>
            <w:r w:rsidRPr="005027A4">
              <w:rPr>
                <w:rFonts w:ascii="Inter" w:hAnsi="Inter"/>
                <w:color w:val="333333"/>
              </w:rPr>
              <w:br/>
              <w:t>We pay our respects to them, their cultures, and Elders past and present.</w:t>
            </w:r>
          </w:p>
        </w:tc>
      </w:tr>
    </w:tbl>
    <w:p w14:paraId="09BEE032" w14:textId="77777777" w:rsidR="00B87193" w:rsidRDefault="00B87193" w:rsidP="00B87193">
      <w:pPr>
        <w:pStyle w:val="Maintext"/>
        <w:rPr>
          <w:szCs w:val="22"/>
        </w:rPr>
      </w:pPr>
    </w:p>
    <w:p w14:paraId="7AAB92D6" w14:textId="77777777" w:rsidR="00B87193" w:rsidRDefault="00B87193" w:rsidP="00B87193">
      <w:pPr>
        <w:pStyle w:val="Maintext"/>
        <w:rPr>
          <w:rFonts w:cs="Arial"/>
        </w:rPr>
      </w:pPr>
    </w:p>
    <w:p w14:paraId="4804D76D" w14:textId="77777777" w:rsidR="0016592F" w:rsidRDefault="00DD566A" w:rsidP="00C13323">
      <w:pPr>
        <w:pStyle w:val="TOCHeading"/>
        <w:outlineLvl w:val="0"/>
        <w:rPr>
          <w:bCs/>
          <w:sz w:val="24"/>
          <w:szCs w:val="24"/>
        </w:rPr>
      </w:pPr>
      <w:r>
        <w:rPr>
          <w:bCs/>
          <w:sz w:val="24"/>
          <w:szCs w:val="24"/>
        </w:rPr>
        <w:br w:type="page"/>
      </w:r>
    </w:p>
    <w:sdt>
      <w:sdtPr>
        <w:rPr>
          <w:rFonts w:asciiTheme="minorHAnsi" w:eastAsiaTheme="minorEastAsia" w:hAnsiTheme="minorHAnsi" w:cs="Times New Roman"/>
          <w:b w:val="0"/>
          <w:color w:val="000000" w:themeColor="text1"/>
          <w:spacing w:val="0"/>
          <w:sz w:val="20"/>
          <w:szCs w:val="20"/>
        </w:rPr>
        <w:id w:val="-412931449"/>
        <w:docPartObj>
          <w:docPartGallery w:val="Table of Contents"/>
          <w:docPartUnique/>
        </w:docPartObj>
      </w:sdtPr>
      <w:sdtEndPr>
        <w:rPr>
          <w:noProof/>
        </w:rPr>
      </w:sdtEndPr>
      <w:sdtContent>
        <w:sdt>
          <w:sdtPr>
            <w:rPr>
              <w:rFonts w:ascii="Arial" w:eastAsia="Times New Roman" w:hAnsi="Arial" w:cs="Times New Roman"/>
              <w:b w:val="0"/>
              <w:color w:val="auto"/>
              <w:spacing w:val="0"/>
              <w:sz w:val="22"/>
              <w:szCs w:val="22"/>
              <w:lang w:eastAsia="en-AU"/>
            </w:rPr>
            <w:id w:val="1094525129"/>
            <w:docPartObj>
              <w:docPartGallery w:val="Table of Contents"/>
              <w:docPartUnique/>
            </w:docPartObj>
          </w:sdtPr>
          <w:sdtEndPr>
            <w:rPr>
              <w:rFonts w:asciiTheme="minorHAnsi" w:eastAsiaTheme="minorEastAsia" w:hAnsiTheme="minorHAnsi"/>
              <w:noProof/>
              <w:color w:val="000000" w:themeColor="text1"/>
              <w:sz w:val="20"/>
              <w:szCs w:val="20"/>
              <w:lang w:eastAsia="en-US"/>
            </w:rPr>
          </w:sdtEndPr>
          <w:sdtContent>
            <w:p w14:paraId="2F8E2096" w14:textId="32A03B04" w:rsidR="001248A7" w:rsidRDefault="001248A7" w:rsidP="00C13323">
              <w:pPr>
                <w:pStyle w:val="TOCHeading"/>
                <w:outlineLvl w:val="0"/>
              </w:pPr>
              <w:r>
                <w:t>Table of Contents</w:t>
              </w:r>
            </w:p>
            <w:p w14:paraId="09AD71FC" w14:textId="63B4301B" w:rsidR="009A79B6" w:rsidRDefault="004A6F71">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r>
                <w:rPr>
                  <w:color w:val="3844CA" w:themeColor="background2"/>
                  <w:spacing w:val="-10"/>
                  <w:sz w:val="44"/>
                  <w:szCs w:val="32"/>
                </w:rPr>
                <w:fldChar w:fldCharType="begin"/>
              </w:r>
              <w:r>
                <w:instrText xml:space="preserve"> TOC \o "1-3" \h \z \u </w:instrText>
              </w:r>
              <w:r>
                <w:rPr>
                  <w:color w:val="3844CA" w:themeColor="background2"/>
                  <w:spacing w:val="-10"/>
                  <w:sz w:val="44"/>
                  <w:szCs w:val="32"/>
                </w:rPr>
                <w:fldChar w:fldCharType="separate"/>
              </w:r>
              <w:hyperlink w:anchor="_Toc232191275" w:history="1">
                <w:r w:rsidR="009A79B6" w:rsidRPr="00354D38">
                  <w:rPr>
                    <w:rStyle w:val="Hyperlink"/>
                    <w:noProof/>
                  </w:rPr>
                  <w:t>Terms &amp; Acronyms</w:t>
                </w:r>
                <w:r w:rsidR="009A79B6">
                  <w:rPr>
                    <w:noProof/>
                    <w:webHidden/>
                  </w:rPr>
                  <w:tab/>
                </w:r>
                <w:r w:rsidR="009A79B6">
                  <w:rPr>
                    <w:noProof/>
                    <w:webHidden/>
                  </w:rPr>
                  <w:fldChar w:fldCharType="begin"/>
                </w:r>
                <w:r w:rsidR="009A79B6">
                  <w:rPr>
                    <w:noProof/>
                    <w:webHidden/>
                  </w:rPr>
                  <w:instrText xml:space="preserve"> PAGEREF _Toc232191275 \h </w:instrText>
                </w:r>
                <w:r w:rsidR="009A79B6">
                  <w:rPr>
                    <w:noProof/>
                    <w:webHidden/>
                  </w:rPr>
                </w:r>
                <w:r w:rsidR="009A79B6">
                  <w:rPr>
                    <w:noProof/>
                    <w:webHidden/>
                  </w:rPr>
                  <w:fldChar w:fldCharType="separate"/>
                </w:r>
                <w:r w:rsidR="00796CB9">
                  <w:rPr>
                    <w:noProof/>
                    <w:webHidden/>
                  </w:rPr>
                  <w:t>3</w:t>
                </w:r>
                <w:r w:rsidR="009A79B6">
                  <w:rPr>
                    <w:noProof/>
                    <w:webHidden/>
                  </w:rPr>
                  <w:fldChar w:fldCharType="end"/>
                </w:r>
              </w:hyperlink>
            </w:p>
            <w:p w14:paraId="5DFA7E2D" w14:textId="03EA41BB"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276" w:history="1">
                <w:r w:rsidRPr="00354D38">
                  <w:rPr>
                    <w:rStyle w:val="Hyperlink"/>
                    <w:noProof/>
                  </w:rPr>
                  <w:t>Table of Contents</w:t>
                </w:r>
                <w:r>
                  <w:rPr>
                    <w:noProof/>
                    <w:webHidden/>
                  </w:rPr>
                  <w:tab/>
                </w:r>
                <w:r>
                  <w:rPr>
                    <w:noProof/>
                    <w:webHidden/>
                  </w:rPr>
                  <w:fldChar w:fldCharType="begin"/>
                </w:r>
                <w:r>
                  <w:rPr>
                    <w:noProof/>
                    <w:webHidden/>
                  </w:rPr>
                  <w:instrText xml:space="preserve"> PAGEREF _Toc232191276 \h </w:instrText>
                </w:r>
                <w:r>
                  <w:rPr>
                    <w:noProof/>
                    <w:webHidden/>
                  </w:rPr>
                </w:r>
                <w:r>
                  <w:rPr>
                    <w:noProof/>
                    <w:webHidden/>
                  </w:rPr>
                  <w:fldChar w:fldCharType="separate"/>
                </w:r>
                <w:r w:rsidR="00796CB9">
                  <w:rPr>
                    <w:noProof/>
                    <w:webHidden/>
                  </w:rPr>
                  <w:t>1</w:t>
                </w:r>
                <w:r>
                  <w:rPr>
                    <w:noProof/>
                    <w:webHidden/>
                  </w:rPr>
                  <w:fldChar w:fldCharType="end"/>
                </w:r>
              </w:hyperlink>
            </w:p>
            <w:p w14:paraId="6DC775F0" w14:textId="0A13B721"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277" w:history="1">
                <w:r w:rsidRPr="00354D38">
                  <w:rPr>
                    <w:rStyle w:val="Hyperlink"/>
                    <w:noProof/>
                  </w:rPr>
                  <w:t>1 Introduction</w:t>
                </w:r>
                <w:r>
                  <w:rPr>
                    <w:noProof/>
                    <w:webHidden/>
                  </w:rPr>
                  <w:tab/>
                </w:r>
                <w:r>
                  <w:rPr>
                    <w:noProof/>
                    <w:webHidden/>
                  </w:rPr>
                  <w:fldChar w:fldCharType="begin"/>
                </w:r>
                <w:r>
                  <w:rPr>
                    <w:noProof/>
                    <w:webHidden/>
                  </w:rPr>
                  <w:instrText xml:space="preserve"> PAGEREF _Toc232191277 \h </w:instrText>
                </w:r>
                <w:r>
                  <w:rPr>
                    <w:noProof/>
                    <w:webHidden/>
                  </w:rPr>
                </w:r>
                <w:r>
                  <w:rPr>
                    <w:noProof/>
                    <w:webHidden/>
                  </w:rPr>
                  <w:fldChar w:fldCharType="separate"/>
                </w:r>
                <w:r w:rsidR="00796CB9">
                  <w:rPr>
                    <w:noProof/>
                    <w:webHidden/>
                  </w:rPr>
                  <w:t>12</w:t>
                </w:r>
                <w:r>
                  <w:rPr>
                    <w:noProof/>
                    <w:webHidden/>
                  </w:rPr>
                  <w:fldChar w:fldCharType="end"/>
                </w:r>
              </w:hyperlink>
            </w:p>
            <w:p w14:paraId="1804601E" w14:textId="0E761419"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78" w:history="1">
                <w:r w:rsidRPr="00354D38">
                  <w:rPr>
                    <w:rStyle w:val="Hyperlink"/>
                    <w:noProof/>
                  </w:rPr>
                  <w:t>Information in explanations and instructions</w:t>
                </w:r>
                <w:r>
                  <w:rPr>
                    <w:noProof/>
                    <w:webHidden/>
                  </w:rPr>
                  <w:tab/>
                </w:r>
                <w:r>
                  <w:rPr>
                    <w:noProof/>
                    <w:webHidden/>
                  </w:rPr>
                  <w:fldChar w:fldCharType="begin"/>
                </w:r>
                <w:r>
                  <w:rPr>
                    <w:noProof/>
                    <w:webHidden/>
                  </w:rPr>
                  <w:instrText xml:space="preserve"> PAGEREF _Toc232191278 \h </w:instrText>
                </w:r>
                <w:r>
                  <w:rPr>
                    <w:noProof/>
                    <w:webHidden/>
                  </w:rPr>
                </w:r>
                <w:r>
                  <w:rPr>
                    <w:noProof/>
                    <w:webHidden/>
                  </w:rPr>
                  <w:fldChar w:fldCharType="separate"/>
                </w:r>
                <w:r w:rsidR="00796CB9">
                  <w:rPr>
                    <w:noProof/>
                    <w:webHidden/>
                  </w:rPr>
                  <w:t>12</w:t>
                </w:r>
                <w:r>
                  <w:rPr>
                    <w:noProof/>
                    <w:webHidden/>
                  </w:rPr>
                  <w:fldChar w:fldCharType="end"/>
                </w:r>
              </w:hyperlink>
            </w:p>
            <w:p w14:paraId="7AE80FF9" w14:textId="5430E13E"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79" w:history="1">
                <w:r w:rsidRPr="00354D38">
                  <w:rPr>
                    <w:rStyle w:val="Hyperlink"/>
                    <w:noProof/>
                  </w:rPr>
                  <w:t>Who should use this guide?</w:t>
                </w:r>
                <w:r>
                  <w:rPr>
                    <w:noProof/>
                    <w:webHidden/>
                  </w:rPr>
                  <w:tab/>
                </w:r>
                <w:r>
                  <w:rPr>
                    <w:noProof/>
                    <w:webHidden/>
                  </w:rPr>
                  <w:fldChar w:fldCharType="begin"/>
                </w:r>
                <w:r>
                  <w:rPr>
                    <w:noProof/>
                    <w:webHidden/>
                  </w:rPr>
                  <w:instrText xml:space="preserve"> PAGEREF _Toc232191279 \h </w:instrText>
                </w:r>
                <w:r>
                  <w:rPr>
                    <w:noProof/>
                    <w:webHidden/>
                  </w:rPr>
                </w:r>
                <w:r>
                  <w:rPr>
                    <w:noProof/>
                    <w:webHidden/>
                  </w:rPr>
                  <w:fldChar w:fldCharType="separate"/>
                </w:r>
                <w:r w:rsidR="00796CB9">
                  <w:rPr>
                    <w:noProof/>
                    <w:webHidden/>
                  </w:rPr>
                  <w:t>12</w:t>
                </w:r>
                <w:r>
                  <w:rPr>
                    <w:noProof/>
                    <w:webHidden/>
                  </w:rPr>
                  <w:fldChar w:fldCharType="end"/>
                </w:r>
              </w:hyperlink>
            </w:p>
            <w:p w14:paraId="33B9C2B0" w14:textId="4AF5BEB7"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80" w:history="1">
                <w:r w:rsidRPr="00354D38">
                  <w:rPr>
                    <w:rStyle w:val="Hyperlink"/>
                    <w:noProof/>
                  </w:rPr>
                  <w:t>How to use this guide</w:t>
                </w:r>
                <w:r>
                  <w:rPr>
                    <w:noProof/>
                    <w:webHidden/>
                  </w:rPr>
                  <w:tab/>
                </w:r>
                <w:r>
                  <w:rPr>
                    <w:noProof/>
                    <w:webHidden/>
                  </w:rPr>
                  <w:fldChar w:fldCharType="begin"/>
                </w:r>
                <w:r>
                  <w:rPr>
                    <w:noProof/>
                    <w:webHidden/>
                  </w:rPr>
                  <w:instrText xml:space="preserve"> PAGEREF _Toc232191280 \h </w:instrText>
                </w:r>
                <w:r>
                  <w:rPr>
                    <w:noProof/>
                    <w:webHidden/>
                  </w:rPr>
                </w:r>
                <w:r>
                  <w:rPr>
                    <w:noProof/>
                    <w:webHidden/>
                  </w:rPr>
                  <w:fldChar w:fldCharType="separate"/>
                </w:r>
                <w:r w:rsidR="00796CB9">
                  <w:rPr>
                    <w:noProof/>
                    <w:webHidden/>
                  </w:rPr>
                  <w:t>12</w:t>
                </w:r>
                <w:r>
                  <w:rPr>
                    <w:noProof/>
                    <w:webHidden/>
                  </w:rPr>
                  <w:fldChar w:fldCharType="end"/>
                </w:r>
              </w:hyperlink>
            </w:p>
            <w:p w14:paraId="786E9DE5" w14:textId="7E81AA02"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81" w:history="1">
                <w:r w:rsidRPr="00354D38">
                  <w:rPr>
                    <w:rStyle w:val="Hyperlink"/>
                    <w:noProof/>
                  </w:rPr>
                  <w:t>Specification updates for v14.0.0 reporting for 2025/2026 Financial Year onwards</w:t>
                </w:r>
                <w:r>
                  <w:rPr>
                    <w:noProof/>
                    <w:webHidden/>
                  </w:rPr>
                  <w:tab/>
                </w:r>
                <w:r>
                  <w:rPr>
                    <w:noProof/>
                    <w:webHidden/>
                  </w:rPr>
                  <w:fldChar w:fldCharType="begin"/>
                </w:r>
                <w:r>
                  <w:rPr>
                    <w:noProof/>
                    <w:webHidden/>
                  </w:rPr>
                  <w:instrText xml:space="preserve"> PAGEREF _Toc232191281 \h </w:instrText>
                </w:r>
                <w:r>
                  <w:rPr>
                    <w:noProof/>
                    <w:webHidden/>
                  </w:rPr>
                </w:r>
                <w:r>
                  <w:rPr>
                    <w:noProof/>
                    <w:webHidden/>
                  </w:rPr>
                  <w:fldChar w:fldCharType="separate"/>
                </w:r>
                <w:r w:rsidR="00796CB9">
                  <w:rPr>
                    <w:noProof/>
                    <w:webHidden/>
                  </w:rPr>
                  <w:t>12</w:t>
                </w:r>
                <w:r>
                  <w:rPr>
                    <w:noProof/>
                    <w:webHidden/>
                  </w:rPr>
                  <w:fldChar w:fldCharType="end"/>
                </w:r>
              </w:hyperlink>
            </w:p>
            <w:p w14:paraId="46AC50BA" w14:textId="4B8F5E5D"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82" w:history="1">
                <w:r w:rsidRPr="00354D38">
                  <w:rPr>
                    <w:rStyle w:val="Hyperlink"/>
                    <w:noProof/>
                  </w:rPr>
                  <w:t>New/updated fields</w:t>
                </w:r>
                <w:r>
                  <w:rPr>
                    <w:noProof/>
                    <w:webHidden/>
                  </w:rPr>
                  <w:tab/>
                </w:r>
                <w:r>
                  <w:rPr>
                    <w:noProof/>
                    <w:webHidden/>
                  </w:rPr>
                  <w:fldChar w:fldCharType="begin"/>
                </w:r>
                <w:r>
                  <w:rPr>
                    <w:noProof/>
                    <w:webHidden/>
                  </w:rPr>
                  <w:instrText xml:space="preserve"> PAGEREF _Toc232191282 \h </w:instrText>
                </w:r>
                <w:r>
                  <w:rPr>
                    <w:noProof/>
                    <w:webHidden/>
                  </w:rPr>
                </w:r>
                <w:r>
                  <w:rPr>
                    <w:noProof/>
                    <w:webHidden/>
                  </w:rPr>
                  <w:fldChar w:fldCharType="separate"/>
                </w:r>
                <w:r w:rsidR="00796CB9">
                  <w:rPr>
                    <w:noProof/>
                    <w:webHidden/>
                  </w:rPr>
                  <w:t>13</w:t>
                </w:r>
                <w:r>
                  <w:rPr>
                    <w:noProof/>
                    <w:webHidden/>
                  </w:rPr>
                  <w:fldChar w:fldCharType="end"/>
                </w:r>
              </w:hyperlink>
            </w:p>
            <w:p w14:paraId="5BA1D732" w14:textId="3D366D14"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83" w:history="1">
                <w:r w:rsidRPr="00354D38">
                  <w:rPr>
                    <w:rStyle w:val="Hyperlink"/>
                    <w:noProof/>
                  </w:rPr>
                  <w:t>Regular updates</w:t>
                </w:r>
                <w:r>
                  <w:rPr>
                    <w:noProof/>
                    <w:webHidden/>
                  </w:rPr>
                  <w:tab/>
                </w:r>
                <w:r>
                  <w:rPr>
                    <w:noProof/>
                    <w:webHidden/>
                  </w:rPr>
                  <w:fldChar w:fldCharType="begin"/>
                </w:r>
                <w:r>
                  <w:rPr>
                    <w:noProof/>
                    <w:webHidden/>
                  </w:rPr>
                  <w:instrText xml:space="preserve"> PAGEREF _Toc232191283 \h </w:instrText>
                </w:r>
                <w:r>
                  <w:rPr>
                    <w:noProof/>
                    <w:webHidden/>
                  </w:rPr>
                </w:r>
                <w:r>
                  <w:rPr>
                    <w:noProof/>
                    <w:webHidden/>
                  </w:rPr>
                  <w:fldChar w:fldCharType="separate"/>
                </w:r>
                <w:r w:rsidR="00796CB9">
                  <w:rPr>
                    <w:noProof/>
                    <w:webHidden/>
                  </w:rPr>
                  <w:t>14</w:t>
                </w:r>
                <w:r>
                  <w:rPr>
                    <w:noProof/>
                    <w:webHidden/>
                  </w:rPr>
                  <w:fldChar w:fldCharType="end"/>
                </w:r>
              </w:hyperlink>
            </w:p>
            <w:p w14:paraId="6AC97B05" w14:textId="5CCCD581"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284" w:history="1">
                <w:r w:rsidRPr="00354D38">
                  <w:rPr>
                    <w:rStyle w:val="Hyperlink"/>
                    <w:noProof/>
                  </w:rPr>
                  <w:t>2 Legal requirements</w:t>
                </w:r>
                <w:r>
                  <w:rPr>
                    <w:noProof/>
                    <w:webHidden/>
                  </w:rPr>
                  <w:tab/>
                </w:r>
                <w:r>
                  <w:rPr>
                    <w:noProof/>
                    <w:webHidden/>
                  </w:rPr>
                  <w:fldChar w:fldCharType="begin"/>
                </w:r>
                <w:r>
                  <w:rPr>
                    <w:noProof/>
                    <w:webHidden/>
                  </w:rPr>
                  <w:instrText xml:space="preserve"> PAGEREF _Toc232191284 \h </w:instrText>
                </w:r>
                <w:r>
                  <w:rPr>
                    <w:noProof/>
                    <w:webHidden/>
                  </w:rPr>
                </w:r>
                <w:r>
                  <w:rPr>
                    <w:noProof/>
                    <w:webHidden/>
                  </w:rPr>
                  <w:fldChar w:fldCharType="separate"/>
                </w:r>
                <w:r w:rsidR="00796CB9">
                  <w:rPr>
                    <w:noProof/>
                    <w:webHidden/>
                  </w:rPr>
                  <w:t>15</w:t>
                </w:r>
                <w:r>
                  <w:rPr>
                    <w:noProof/>
                    <w:webHidden/>
                  </w:rPr>
                  <w:fldChar w:fldCharType="end"/>
                </w:r>
              </w:hyperlink>
            </w:p>
            <w:p w14:paraId="4E815132" w14:textId="3E16FA2F"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85" w:history="1">
                <w:r w:rsidRPr="00354D38">
                  <w:rPr>
                    <w:rStyle w:val="Hyperlink"/>
                    <w:noProof/>
                  </w:rPr>
                  <w:t>Retention of information</w:t>
                </w:r>
                <w:r>
                  <w:rPr>
                    <w:noProof/>
                    <w:webHidden/>
                  </w:rPr>
                  <w:tab/>
                </w:r>
                <w:r>
                  <w:rPr>
                    <w:noProof/>
                    <w:webHidden/>
                  </w:rPr>
                  <w:fldChar w:fldCharType="begin"/>
                </w:r>
                <w:r>
                  <w:rPr>
                    <w:noProof/>
                    <w:webHidden/>
                  </w:rPr>
                  <w:instrText xml:space="preserve"> PAGEREF _Toc232191285 \h </w:instrText>
                </w:r>
                <w:r>
                  <w:rPr>
                    <w:noProof/>
                    <w:webHidden/>
                  </w:rPr>
                </w:r>
                <w:r>
                  <w:rPr>
                    <w:noProof/>
                    <w:webHidden/>
                  </w:rPr>
                  <w:fldChar w:fldCharType="separate"/>
                </w:r>
                <w:r w:rsidR="00796CB9">
                  <w:rPr>
                    <w:noProof/>
                    <w:webHidden/>
                  </w:rPr>
                  <w:t>15</w:t>
                </w:r>
                <w:r>
                  <w:rPr>
                    <w:noProof/>
                    <w:webHidden/>
                  </w:rPr>
                  <w:fldChar w:fldCharType="end"/>
                </w:r>
              </w:hyperlink>
            </w:p>
            <w:p w14:paraId="5214D809" w14:textId="20851033"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86" w:history="1">
                <w:r w:rsidRPr="00354D38">
                  <w:rPr>
                    <w:rStyle w:val="Hyperlink"/>
                    <w:noProof/>
                  </w:rPr>
                  <w:t>Supplier lodging on behalf of an Investment body</w:t>
                </w:r>
                <w:r>
                  <w:rPr>
                    <w:noProof/>
                    <w:webHidden/>
                  </w:rPr>
                  <w:tab/>
                </w:r>
                <w:r>
                  <w:rPr>
                    <w:noProof/>
                    <w:webHidden/>
                  </w:rPr>
                  <w:fldChar w:fldCharType="begin"/>
                </w:r>
                <w:r>
                  <w:rPr>
                    <w:noProof/>
                    <w:webHidden/>
                  </w:rPr>
                  <w:instrText xml:space="preserve"> PAGEREF _Toc232191286 \h </w:instrText>
                </w:r>
                <w:r>
                  <w:rPr>
                    <w:noProof/>
                    <w:webHidden/>
                  </w:rPr>
                </w:r>
                <w:r>
                  <w:rPr>
                    <w:noProof/>
                    <w:webHidden/>
                  </w:rPr>
                  <w:fldChar w:fldCharType="separate"/>
                </w:r>
                <w:r w:rsidR="00796CB9">
                  <w:rPr>
                    <w:noProof/>
                    <w:webHidden/>
                  </w:rPr>
                  <w:t>16</w:t>
                </w:r>
                <w:r>
                  <w:rPr>
                    <w:noProof/>
                    <w:webHidden/>
                  </w:rPr>
                  <w:fldChar w:fldCharType="end"/>
                </w:r>
              </w:hyperlink>
            </w:p>
            <w:p w14:paraId="04B0A831" w14:textId="30D805D7"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87" w:history="1">
                <w:r w:rsidRPr="00354D38">
                  <w:rPr>
                    <w:rStyle w:val="Hyperlink"/>
                    <w:noProof/>
                  </w:rPr>
                  <w:t>Other obligations</w:t>
                </w:r>
                <w:r>
                  <w:rPr>
                    <w:noProof/>
                    <w:webHidden/>
                  </w:rPr>
                  <w:tab/>
                </w:r>
                <w:r>
                  <w:rPr>
                    <w:noProof/>
                    <w:webHidden/>
                  </w:rPr>
                  <w:fldChar w:fldCharType="begin"/>
                </w:r>
                <w:r>
                  <w:rPr>
                    <w:noProof/>
                    <w:webHidden/>
                  </w:rPr>
                  <w:instrText xml:space="preserve"> PAGEREF _Toc232191287 \h </w:instrText>
                </w:r>
                <w:r>
                  <w:rPr>
                    <w:noProof/>
                    <w:webHidden/>
                  </w:rPr>
                </w:r>
                <w:r>
                  <w:rPr>
                    <w:noProof/>
                    <w:webHidden/>
                  </w:rPr>
                  <w:fldChar w:fldCharType="separate"/>
                </w:r>
                <w:r w:rsidR="00796CB9">
                  <w:rPr>
                    <w:noProof/>
                    <w:webHidden/>
                  </w:rPr>
                  <w:t>16</w:t>
                </w:r>
                <w:r>
                  <w:rPr>
                    <w:noProof/>
                    <w:webHidden/>
                  </w:rPr>
                  <w:fldChar w:fldCharType="end"/>
                </w:r>
              </w:hyperlink>
            </w:p>
            <w:p w14:paraId="083107E4" w14:textId="395DC6DE"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88" w:history="1">
                <w:r w:rsidRPr="00354D38">
                  <w:rPr>
                    <w:rStyle w:val="Hyperlink"/>
                    <w:noProof/>
                  </w:rPr>
                  <w:t>Requirement to deduct TFN withholding tax</w:t>
                </w:r>
                <w:r>
                  <w:rPr>
                    <w:noProof/>
                    <w:webHidden/>
                  </w:rPr>
                  <w:tab/>
                </w:r>
                <w:r>
                  <w:rPr>
                    <w:noProof/>
                    <w:webHidden/>
                  </w:rPr>
                  <w:fldChar w:fldCharType="begin"/>
                </w:r>
                <w:r>
                  <w:rPr>
                    <w:noProof/>
                    <w:webHidden/>
                  </w:rPr>
                  <w:instrText xml:space="preserve"> PAGEREF _Toc232191288 \h </w:instrText>
                </w:r>
                <w:r>
                  <w:rPr>
                    <w:noProof/>
                    <w:webHidden/>
                  </w:rPr>
                </w:r>
                <w:r>
                  <w:rPr>
                    <w:noProof/>
                    <w:webHidden/>
                  </w:rPr>
                  <w:fldChar w:fldCharType="separate"/>
                </w:r>
                <w:r w:rsidR="00796CB9">
                  <w:rPr>
                    <w:noProof/>
                    <w:webHidden/>
                  </w:rPr>
                  <w:t>16</w:t>
                </w:r>
                <w:r>
                  <w:rPr>
                    <w:noProof/>
                    <w:webHidden/>
                  </w:rPr>
                  <w:fldChar w:fldCharType="end"/>
                </w:r>
              </w:hyperlink>
            </w:p>
            <w:p w14:paraId="5C08701F" w14:textId="4F4055D4"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89" w:history="1">
                <w:r w:rsidRPr="00354D38">
                  <w:rPr>
                    <w:rStyle w:val="Hyperlink"/>
                    <w:noProof/>
                  </w:rPr>
                  <w:t>Requirement to deduct non-resident withholding amounts</w:t>
                </w:r>
                <w:r>
                  <w:rPr>
                    <w:noProof/>
                    <w:webHidden/>
                  </w:rPr>
                  <w:tab/>
                </w:r>
                <w:r>
                  <w:rPr>
                    <w:noProof/>
                    <w:webHidden/>
                  </w:rPr>
                  <w:fldChar w:fldCharType="begin"/>
                </w:r>
                <w:r>
                  <w:rPr>
                    <w:noProof/>
                    <w:webHidden/>
                  </w:rPr>
                  <w:instrText xml:space="preserve"> PAGEREF _Toc232191289 \h </w:instrText>
                </w:r>
                <w:r>
                  <w:rPr>
                    <w:noProof/>
                    <w:webHidden/>
                  </w:rPr>
                </w:r>
                <w:r>
                  <w:rPr>
                    <w:noProof/>
                    <w:webHidden/>
                  </w:rPr>
                  <w:fldChar w:fldCharType="separate"/>
                </w:r>
                <w:r w:rsidR="00796CB9">
                  <w:rPr>
                    <w:noProof/>
                    <w:webHidden/>
                  </w:rPr>
                  <w:t>16</w:t>
                </w:r>
                <w:r>
                  <w:rPr>
                    <w:noProof/>
                    <w:webHidden/>
                  </w:rPr>
                  <w:fldChar w:fldCharType="end"/>
                </w:r>
              </w:hyperlink>
            </w:p>
            <w:p w14:paraId="4AC23B3D" w14:textId="3E00BBE3"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90" w:history="1">
                <w:r w:rsidRPr="00354D38">
                  <w:rPr>
                    <w:rStyle w:val="Hyperlink"/>
                    <w:noProof/>
                  </w:rPr>
                  <w:t>Managed investment trust fund payments and withheld amounts</w:t>
                </w:r>
                <w:r>
                  <w:rPr>
                    <w:noProof/>
                    <w:webHidden/>
                  </w:rPr>
                  <w:tab/>
                </w:r>
                <w:r>
                  <w:rPr>
                    <w:noProof/>
                    <w:webHidden/>
                  </w:rPr>
                  <w:fldChar w:fldCharType="begin"/>
                </w:r>
                <w:r>
                  <w:rPr>
                    <w:noProof/>
                    <w:webHidden/>
                  </w:rPr>
                  <w:instrText xml:space="preserve"> PAGEREF _Toc232191290 \h </w:instrText>
                </w:r>
                <w:r>
                  <w:rPr>
                    <w:noProof/>
                    <w:webHidden/>
                  </w:rPr>
                </w:r>
                <w:r>
                  <w:rPr>
                    <w:noProof/>
                    <w:webHidden/>
                  </w:rPr>
                  <w:fldChar w:fldCharType="separate"/>
                </w:r>
                <w:r w:rsidR="00796CB9">
                  <w:rPr>
                    <w:noProof/>
                    <w:webHidden/>
                  </w:rPr>
                  <w:t>17</w:t>
                </w:r>
                <w:r>
                  <w:rPr>
                    <w:noProof/>
                    <w:webHidden/>
                  </w:rPr>
                  <w:fldChar w:fldCharType="end"/>
                </w:r>
              </w:hyperlink>
            </w:p>
            <w:p w14:paraId="1867752B" w14:textId="2A3FA2D8"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91" w:history="1">
                <w:r w:rsidRPr="00354D38">
                  <w:rPr>
                    <w:rStyle w:val="Hyperlink"/>
                    <w:noProof/>
                  </w:rPr>
                  <w:t>Build To Rent</w:t>
                </w:r>
                <w:r>
                  <w:rPr>
                    <w:noProof/>
                    <w:webHidden/>
                  </w:rPr>
                  <w:tab/>
                </w:r>
                <w:r>
                  <w:rPr>
                    <w:noProof/>
                    <w:webHidden/>
                  </w:rPr>
                  <w:fldChar w:fldCharType="begin"/>
                </w:r>
                <w:r>
                  <w:rPr>
                    <w:noProof/>
                    <w:webHidden/>
                  </w:rPr>
                  <w:instrText xml:space="preserve"> PAGEREF _Toc232191291 \h </w:instrText>
                </w:r>
                <w:r>
                  <w:rPr>
                    <w:noProof/>
                    <w:webHidden/>
                  </w:rPr>
                </w:r>
                <w:r>
                  <w:rPr>
                    <w:noProof/>
                    <w:webHidden/>
                  </w:rPr>
                  <w:fldChar w:fldCharType="separate"/>
                </w:r>
                <w:r w:rsidR="00796CB9">
                  <w:rPr>
                    <w:noProof/>
                    <w:webHidden/>
                  </w:rPr>
                  <w:t>17</w:t>
                </w:r>
                <w:r>
                  <w:rPr>
                    <w:noProof/>
                    <w:webHidden/>
                  </w:rPr>
                  <w:fldChar w:fldCharType="end"/>
                </w:r>
              </w:hyperlink>
            </w:p>
            <w:p w14:paraId="5406BC93" w14:textId="3013AFAC"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92" w:history="1">
                <w:r w:rsidRPr="00354D38">
                  <w:rPr>
                    <w:rStyle w:val="Hyperlink"/>
                    <w:noProof/>
                  </w:rPr>
                  <w:t>Australian business numbers</w:t>
                </w:r>
                <w:r>
                  <w:rPr>
                    <w:noProof/>
                    <w:webHidden/>
                  </w:rPr>
                  <w:tab/>
                </w:r>
                <w:r>
                  <w:rPr>
                    <w:noProof/>
                    <w:webHidden/>
                  </w:rPr>
                  <w:fldChar w:fldCharType="begin"/>
                </w:r>
                <w:r>
                  <w:rPr>
                    <w:noProof/>
                    <w:webHidden/>
                  </w:rPr>
                  <w:instrText xml:space="preserve"> PAGEREF _Toc232191292 \h </w:instrText>
                </w:r>
                <w:r>
                  <w:rPr>
                    <w:noProof/>
                    <w:webHidden/>
                  </w:rPr>
                </w:r>
                <w:r>
                  <w:rPr>
                    <w:noProof/>
                    <w:webHidden/>
                  </w:rPr>
                  <w:fldChar w:fldCharType="separate"/>
                </w:r>
                <w:r w:rsidR="00796CB9">
                  <w:rPr>
                    <w:noProof/>
                    <w:webHidden/>
                  </w:rPr>
                  <w:t>18</w:t>
                </w:r>
                <w:r>
                  <w:rPr>
                    <w:noProof/>
                    <w:webHidden/>
                  </w:rPr>
                  <w:fldChar w:fldCharType="end"/>
                </w:r>
              </w:hyperlink>
            </w:p>
            <w:p w14:paraId="217D37F5" w14:textId="0BFECF09"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93" w:history="1">
                <w:r w:rsidRPr="00354D38">
                  <w:rPr>
                    <w:rStyle w:val="Hyperlink"/>
                    <w:noProof/>
                  </w:rPr>
                  <w:t>Withholding payer numbers</w:t>
                </w:r>
                <w:r>
                  <w:rPr>
                    <w:noProof/>
                    <w:webHidden/>
                  </w:rPr>
                  <w:tab/>
                </w:r>
                <w:r>
                  <w:rPr>
                    <w:noProof/>
                    <w:webHidden/>
                  </w:rPr>
                  <w:fldChar w:fldCharType="begin"/>
                </w:r>
                <w:r>
                  <w:rPr>
                    <w:noProof/>
                    <w:webHidden/>
                  </w:rPr>
                  <w:instrText xml:space="preserve"> PAGEREF _Toc232191293 \h </w:instrText>
                </w:r>
                <w:r>
                  <w:rPr>
                    <w:noProof/>
                    <w:webHidden/>
                  </w:rPr>
                </w:r>
                <w:r>
                  <w:rPr>
                    <w:noProof/>
                    <w:webHidden/>
                  </w:rPr>
                  <w:fldChar w:fldCharType="separate"/>
                </w:r>
                <w:r w:rsidR="00796CB9">
                  <w:rPr>
                    <w:noProof/>
                    <w:webHidden/>
                  </w:rPr>
                  <w:t>18</w:t>
                </w:r>
                <w:r>
                  <w:rPr>
                    <w:noProof/>
                    <w:webHidden/>
                  </w:rPr>
                  <w:fldChar w:fldCharType="end"/>
                </w:r>
              </w:hyperlink>
            </w:p>
            <w:p w14:paraId="5BD882B3" w14:textId="00C9CA3C"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94" w:history="1">
                <w:r w:rsidRPr="00354D38">
                  <w:rPr>
                    <w:rStyle w:val="Hyperlink"/>
                    <w:noProof/>
                  </w:rPr>
                  <w:t>Consolidated reporting</w:t>
                </w:r>
                <w:r>
                  <w:rPr>
                    <w:noProof/>
                    <w:webHidden/>
                  </w:rPr>
                  <w:tab/>
                </w:r>
                <w:r>
                  <w:rPr>
                    <w:noProof/>
                    <w:webHidden/>
                  </w:rPr>
                  <w:fldChar w:fldCharType="begin"/>
                </w:r>
                <w:r>
                  <w:rPr>
                    <w:noProof/>
                    <w:webHidden/>
                  </w:rPr>
                  <w:instrText xml:space="preserve"> PAGEREF _Toc232191294 \h </w:instrText>
                </w:r>
                <w:r>
                  <w:rPr>
                    <w:noProof/>
                    <w:webHidden/>
                  </w:rPr>
                </w:r>
                <w:r>
                  <w:rPr>
                    <w:noProof/>
                    <w:webHidden/>
                  </w:rPr>
                  <w:fldChar w:fldCharType="separate"/>
                </w:r>
                <w:r w:rsidR="00796CB9">
                  <w:rPr>
                    <w:noProof/>
                    <w:webHidden/>
                  </w:rPr>
                  <w:t>18</w:t>
                </w:r>
                <w:r>
                  <w:rPr>
                    <w:noProof/>
                    <w:webHidden/>
                  </w:rPr>
                  <w:fldChar w:fldCharType="end"/>
                </w:r>
              </w:hyperlink>
            </w:p>
            <w:p w14:paraId="1C1AFEEC" w14:textId="77CD81BD"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95" w:history="1">
                <w:r w:rsidRPr="00354D38">
                  <w:rPr>
                    <w:rStyle w:val="Hyperlink"/>
                    <w:noProof/>
                  </w:rPr>
                  <w:t>Mergers</w:t>
                </w:r>
                <w:r>
                  <w:rPr>
                    <w:noProof/>
                    <w:webHidden/>
                  </w:rPr>
                  <w:tab/>
                </w:r>
                <w:r>
                  <w:rPr>
                    <w:noProof/>
                    <w:webHidden/>
                  </w:rPr>
                  <w:fldChar w:fldCharType="begin"/>
                </w:r>
                <w:r>
                  <w:rPr>
                    <w:noProof/>
                    <w:webHidden/>
                  </w:rPr>
                  <w:instrText xml:space="preserve"> PAGEREF _Toc232191295 \h </w:instrText>
                </w:r>
                <w:r>
                  <w:rPr>
                    <w:noProof/>
                    <w:webHidden/>
                  </w:rPr>
                </w:r>
                <w:r>
                  <w:rPr>
                    <w:noProof/>
                    <w:webHidden/>
                  </w:rPr>
                  <w:fldChar w:fldCharType="separate"/>
                </w:r>
                <w:r w:rsidR="00796CB9">
                  <w:rPr>
                    <w:noProof/>
                    <w:webHidden/>
                  </w:rPr>
                  <w:t>19</w:t>
                </w:r>
                <w:r>
                  <w:rPr>
                    <w:noProof/>
                    <w:webHidden/>
                  </w:rPr>
                  <w:fldChar w:fldCharType="end"/>
                </w:r>
              </w:hyperlink>
            </w:p>
            <w:p w14:paraId="52B25ACE" w14:textId="22B1E5EF"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96" w:history="1">
                <w:r w:rsidRPr="00354D38">
                  <w:rPr>
                    <w:rStyle w:val="Hyperlink"/>
                    <w:noProof/>
                  </w:rPr>
                  <w:t>Supplier change</w:t>
                </w:r>
                <w:r>
                  <w:rPr>
                    <w:noProof/>
                    <w:webHidden/>
                  </w:rPr>
                  <w:tab/>
                </w:r>
                <w:r>
                  <w:rPr>
                    <w:noProof/>
                    <w:webHidden/>
                  </w:rPr>
                  <w:fldChar w:fldCharType="begin"/>
                </w:r>
                <w:r>
                  <w:rPr>
                    <w:noProof/>
                    <w:webHidden/>
                  </w:rPr>
                  <w:instrText xml:space="preserve"> PAGEREF _Toc232191296 \h </w:instrText>
                </w:r>
                <w:r>
                  <w:rPr>
                    <w:noProof/>
                    <w:webHidden/>
                  </w:rPr>
                </w:r>
                <w:r>
                  <w:rPr>
                    <w:noProof/>
                    <w:webHidden/>
                  </w:rPr>
                  <w:fldChar w:fldCharType="separate"/>
                </w:r>
                <w:r w:rsidR="00796CB9">
                  <w:rPr>
                    <w:noProof/>
                    <w:webHidden/>
                  </w:rPr>
                  <w:t>19</w:t>
                </w:r>
                <w:r>
                  <w:rPr>
                    <w:noProof/>
                    <w:webHidden/>
                  </w:rPr>
                  <w:fldChar w:fldCharType="end"/>
                </w:r>
              </w:hyperlink>
            </w:p>
            <w:p w14:paraId="1F527E15" w14:textId="20B19E41"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297" w:history="1">
                <w:r w:rsidRPr="00354D38">
                  <w:rPr>
                    <w:rStyle w:val="Hyperlink"/>
                    <w:noProof/>
                  </w:rPr>
                  <w:t>Financial claims scheme</w:t>
                </w:r>
                <w:r>
                  <w:rPr>
                    <w:noProof/>
                    <w:webHidden/>
                  </w:rPr>
                  <w:tab/>
                </w:r>
                <w:r>
                  <w:rPr>
                    <w:noProof/>
                    <w:webHidden/>
                  </w:rPr>
                  <w:fldChar w:fldCharType="begin"/>
                </w:r>
                <w:r>
                  <w:rPr>
                    <w:noProof/>
                    <w:webHidden/>
                  </w:rPr>
                  <w:instrText xml:space="preserve"> PAGEREF _Toc232191297 \h </w:instrText>
                </w:r>
                <w:r>
                  <w:rPr>
                    <w:noProof/>
                    <w:webHidden/>
                  </w:rPr>
                </w:r>
                <w:r>
                  <w:rPr>
                    <w:noProof/>
                    <w:webHidden/>
                  </w:rPr>
                  <w:fldChar w:fldCharType="separate"/>
                </w:r>
                <w:r w:rsidR="00796CB9">
                  <w:rPr>
                    <w:noProof/>
                    <w:webHidden/>
                  </w:rPr>
                  <w:t>19</w:t>
                </w:r>
                <w:r>
                  <w:rPr>
                    <w:noProof/>
                    <w:webHidden/>
                  </w:rPr>
                  <w:fldChar w:fldCharType="end"/>
                </w:r>
              </w:hyperlink>
            </w:p>
            <w:p w14:paraId="3ABBBF06" w14:textId="7A5F8DC0"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298" w:history="1">
                <w:r w:rsidRPr="00354D38">
                  <w:rPr>
                    <w:rStyle w:val="Hyperlink"/>
                    <w:noProof/>
                  </w:rPr>
                  <w:t>3 Lodgment Information</w:t>
                </w:r>
                <w:r>
                  <w:rPr>
                    <w:noProof/>
                    <w:webHidden/>
                  </w:rPr>
                  <w:tab/>
                </w:r>
                <w:r>
                  <w:rPr>
                    <w:noProof/>
                    <w:webHidden/>
                  </w:rPr>
                  <w:fldChar w:fldCharType="begin"/>
                </w:r>
                <w:r>
                  <w:rPr>
                    <w:noProof/>
                    <w:webHidden/>
                  </w:rPr>
                  <w:instrText xml:space="preserve"> PAGEREF _Toc232191298 \h </w:instrText>
                </w:r>
                <w:r>
                  <w:rPr>
                    <w:noProof/>
                    <w:webHidden/>
                  </w:rPr>
                </w:r>
                <w:r>
                  <w:rPr>
                    <w:noProof/>
                    <w:webHidden/>
                  </w:rPr>
                  <w:fldChar w:fldCharType="separate"/>
                </w:r>
                <w:r w:rsidR="00796CB9">
                  <w:rPr>
                    <w:noProof/>
                    <w:webHidden/>
                  </w:rPr>
                  <w:t>21</w:t>
                </w:r>
                <w:r>
                  <w:rPr>
                    <w:noProof/>
                    <w:webHidden/>
                  </w:rPr>
                  <w:fldChar w:fldCharType="end"/>
                </w:r>
              </w:hyperlink>
            </w:p>
            <w:p w14:paraId="4F9C2963" w14:textId="0013C475"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299" w:history="1">
                <w:r w:rsidRPr="00354D38">
                  <w:rPr>
                    <w:rStyle w:val="Hyperlink"/>
                    <w:noProof/>
                  </w:rPr>
                  <w:t>Do I need to lodge?</w:t>
                </w:r>
                <w:r>
                  <w:rPr>
                    <w:noProof/>
                    <w:webHidden/>
                  </w:rPr>
                  <w:tab/>
                </w:r>
                <w:r>
                  <w:rPr>
                    <w:noProof/>
                    <w:webHidden/>
                  </w:rPr>
                  <w:fldChar w:fldCharType="begin"/>
                </w:r>
                <w:r>
                  <w:rPr>
                    <w:noProof/>
                    <w:webHidden/>
                  </w:rPr>
                  <w:instrText xml:space="preserve"> PAGEREF _Toc232191299 \h </w:instrText>
                </w:r>
                <w:r>
                  <w:rPr>
                    <w:noProof/>
                    <w:webHidden/>
                  </w:rPr>
                </w:r>
                <w:r>
                  <w:rPr>
                    <w:noProof/>
                    <w:webHidden/>
                  </w:rPr>
                  <w:fldChar w:fldCharType="separate"/>
                </w:r>
                <w:r w:rsidR="00796CB9">
                  <w:rPr>
                    <w:noProof/>
                    <w:webHidden/>
                  </w:rPr>
                  <w:t>21</w:t>
                </w:r>
                <w:r>
                  <w:rPr>
                    <w:noProof/>
                    <w:webHidden/>
                  </w:rPr>
                  <w:fldChar w:fldCharType="end"/>
                </w:r>
              </w:hyperlink>
            </w:p>
            <w:p w14:paraId="34EC9D7F" w14:textId="5548606F"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00" w:history="1">
                <w:r w:rsidRPr="00354D38">
                  <w:rPr>
                    <w:rStyle w:val="Hyperlink"/>
                    <w:noProof/>
                  </w:rPr>
                  <w:t>Specifications</w:t>
                </w:r>
                <w:r>
                  <w:rPr>
                    <w:noProof/>
                    <w:webHidden/>
                  </w:rPr>
                  <w:tab/>
                </w:r>
                <w:r>
                  <w:rPr>
                    <w:noProof/>
                    <w:webHidden/>
                  </w:rPr>
                  <w:fldChar w:fldCharType="begin"/>
                </w:r>
                <w:r>
                  <w:rPr>
                    <w:noProof/>
                    <w:webHidden/>
                  </w:rPr>
                  <w:instrText xml:space="preserve"> PAGEREF _Toc232191300 \h </w:instrText>
                </w:r>
                <w:r>
                  <w:rPr>
                    <w:noProof/>
                    <w:webHidden/>
                  </w:rPr>
                </w:r>
                <w:r>
                  <w:rPr>
                    <w:noProof/>
                    <w:webHidden/>
                  </w:rPr>
                  <w:fldChar w:fldCharType="separate"/>
                </w:r>
                <w:r w:rsidR="00796CB9">
                  <w:rPr>
                    <w:noProof/>
                    <w:webHidden/>
                  </w:rPr>
                  <w:t>21</w:t>
                </w:r>
                <w:r>
                  <w:rPr>
                    <w:noProof/>
                    <w:webHidden/>
                  </w:rPr>
                  <w:fldChar w:fldCharType="end"/>
                </w:r>
              </w:hyperlink>
            </w:p>
            <w:p w14:paraId="7462E581" w14:textId="5AD3D625"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01" w:history="1">
                <w:r w:rsidRPr="00354D38">
                  <w:rPr>
                    <w:rStyle w:val="Hyperlink"/>
                    <w:noProof/>
                  </w:rPr>
                  <w:t>When to lodge</w:t>
                </w:r>
                <w:r>
                  <w:rPr>
                    <w:noProof/>
                    <w:webHidden/>
                  </w:rPr>
                  <w:tab/>
                </w:r>
                <w:r>
                  <w:rPr>
                    <w:noProof/>
                    <w:webHidden/>
                  </w:rPr>
                  <w:fldChar w:fldCharType="begin"/>
                </w:r>
                <w:r>
                  <w:rPr>
                    <w:noProof/>
                    <w:webHidden/>
                  </w:rPr>
                  <w:instrText xml:space="preserve"> PAGEREF _Toc232191301 \h </w:instrText>
                </w:r>
                <w:r>
                  <w:rPr>
                    <w:noProof/>
                    <w:webHidden/>
                  </w:rPr>
                </w:r>
                <w:r>
                  <w:rPr>
                    <w:noProof/>
                    <w:webHidden/>
                  </w:rPr>
                  <w:fldChar w:fldCharType="separate"/>
                </w:r>
                <w:r w:rsidR="00796CB9">
                  <w:rPr>
                    <w:noProof/>
                    <w:webHidden/>
                  </w:rPr>
                  <w:t>22</w:t>
                </w:r>
                <w:r>
                  <w:rPr>
                    <w:noProof/>
                    <w:webHidden/>
                  </w:rPr>
                  <w:fldChar w:fldCharType="end"/>
                </w:r>
              </w:hyperlink>
            </w:p>
            <w:p w14:paraId="110B73F0" w14:textId="0B1552D5"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02" w:history="1">
                <w:r w:rsidRPr="00354D38">
                  <w:rPr>
                    <w:rStyle w:val="Hyperlink"/>
                    <w:noProof/>
                  </w:rPr>
                  <w:t>Lodging your AIIR early to assist pre-filling</w:t>
                </w:r>
                <w:r>
                  <w:rPr>
                    <w:noProof/>
                    <w:webHidden/>
                  </w:rPr>
                  <w:tab/>
                </w:r>
                <w:r>
                  <w:rPr>
                    <w:noProof/>
                    <w:webHidden/>
                  </w:rPr>
                  <w:fldChar w:fldCharType="begin"/>
                </w:r>
                <w:r>
                  <w:rPr>
                    <w:noProof/>
                    <w:webHidden/>
                  </w:rPr>
                  <w:instrText xml:space="preserve"> PAGEREF _Toc232191302 \h </w:instrText>
                </w:r>
                <w:r>
                  <w:rPr>
                    <w:noProof/>
                    <w:webHidden/>
                  </w:rPr>
                </w:r>
                <w:r>
                  <w:rPr>
                    <w:noProof/>
                    <w:webHidden/>
                  </w:rPr>
                  <w:fldChar w:fldCharType="separate"/>
                </w:r>
                <w:r w:rsidR="00796CB9">
                  <w:rPr>
                    <w:noProof/>
                    <w:webHidden/>
                  </w:rPr>
                  <w:t>22</w:t>
                </w:r>
                <w:r>
                  <w:rPr>
                    <w:noProof/>
                    <w:webHidden/>
                  </w:rPr>
                  <w:fldChar w:fldCharType="end"/>
                </w:r>
              </w:hyperlink>
            </w:p>
            <w:p w14:paraId="7F6B6B37" w14:textId="390D2C02"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03" w:history="1">
                <w:r w:rsidRPr="00354D38">
                  <w:rPr>
                    <w:rStyle w:val="Hyperlink"/>
                    <w:noProof/>
                  </w:rPr>
                  <w:t>AIIR lodgments that contain MIT fund payments</w:t>
                </w:r>
                <w:r>
                  <w:rPr>
                    <w:noProof/>
                    <w:webHidden/>
                  </w:rPr>
                  <w:tab/>
                </w:r>
                <w:r>
                  <w:rPr>
                    <w:noProof/>
                    <w:webHidden/>
                  </w:rPr>
                  <w:fldChar w:fldCharType="begin"/>
                </w:r>
                <w:r>
                  <w:rPr>
                    <w:noProof/>
                    <w:webHidden/>
                  </w:rPr>
                  <w:instrText xml:space="preserve"> PAGEREF _Toc232191303 \h </w:instrText>
                </w:r>
                <w:r>
                  <w:rPr>
                    <w:noProof/>
                    <w:webHidden/>
                  </w:rPr>
                </w:r>
                <w:r>
                  <w:rPr>
                    <w:noProof/>
                    <w:webHidden/>
                  </w:rPr>
                  <w:fldChar w:fldCharType="separate"/>
                </w:r>
                <w:r w:rsidR="00796CB9">
                  <w:rPr>
                    <w:noProof/>
                    <w:webHidden/>
                  </w:rPr>
                  <w:t>22</w:t>
                </w:r>
                <w:r>
                  <w:rPr>
                    <w:noProof/>
                    <w:webHidden/>
                  </w:rPr>
                  <w:fldChar w:fldCharType="end"/>
                </w:r>
              </w:hyperlink>
            </w:p>
            <w:p w14:paraId="56FD238D" w14:textId="39447EA9"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04" w:history="1">
                <w:r w:rsidRPr="00354D38">
                  <w:rPr>
                    <w:rStyle w:val="Hyperlink"/>
                    <w:noProof/>
                  </w:rPr>
                  <w:t>Lodgment methods</w:t>
                </w:r>
                <w:r>
                  <w:rPr>
                    <w:noProof/>
                    <w:webHidden/>
                  </w:rPr>
                  <w:tab/>
                </w:r>
                <w:r>
                  <w:rPr>
                    <w:noProof/>
                    <w:webHidden/>
                  </w:rPr>
                  <w:fldChar w:fldCharType="begin"/>
                </w:r>
                <w:r>
                  <w:rPr>
                    <w:noProof/>
                    <w:webHidden/>
                  </w:rPr>
                  <w:instrText xml:space="preserve"> PAGEREF _Toc232191304 \h </w:instrText>
                </w:r>
                <w:r>
                  <w:rPr>
                    <w:noProof/>
                    <w:webHidden/>
                  </w:rPr>
                </w:r>
                <w:r>
                  <w:rPr>
                    <w:noProof/>
                    <w:webHidden/>
                  </w:rPr>
                  <w:fldChar w:fldCharType="separate"/>
                </w:r>
                <w:r w:rsidR="00796CB9">
                  <w:rPr>
                    <w:noProof/>
                    <w:webHidden/>
                  </w:rPr>
                  <w:t>23</w:t>
                </w:r>
                <w:r>
                  <w:rPr>
                    <w:noProof/>
                    <w:webHidden/>
                  </w:rPr>
                  <w:fldChar w:fldCharType="end"/>
                </w:r>
              </w:hyperlink>
            </w:p>
            <w:p w14:paraId="4849BAC1" w14:textId="2D7D4A50"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05" w:history="1">
                <w:r w:rsidRPr="00354D38">
                  <w:rPr>
                    <w:rStyle w:val="Hyperlink"/>
                    <w:noProof/>
                  </w:rPr>
                  <w:t>OSB and OSfA</w:t>
                </w:r>
                <w:r>
                  <w:rPr>
                    <w:noProof/>
                    <w:webHidden/>
                  </w:rPr>
                  <w:tab/>
                </w:r>
                <w:r>
                  <w:rPr>
                    <w:noProof/>
                    <w:webHidden/>
                  </w:rPr>
                  <w:fldChar w:fldCharType="begin"/>
                </w:r>
                <w:r>
                  <w:rPr>
                    <w:noProof/>
                    <w:webHidden/>
                  </w:rPr>
                  <w:instrText xml:space="preserve"> PAGEREF _Toc232191305 \h </w:instrText>
                </w:r>
                <w:r>
                  <w:rPr>
                    <w:noProof/>
                    <w:webHidden/>
                  </w:rPr>
                </w:r>
                <w:r>
                  <w:rPr>
                    <w:noProof/>
                    <w:webHidden/>
                  </w:rPr>
                  <w:fldChar w:fldCharType="separate"/>
                </w:r>
                <w:r w:rsidR="00796CB9">
                  <w:rPr>
                    <w:noProof/>
                    <w:webHidden/>
                  </w:rPr>
                  <w:t>23</w:t>
                </w:r>
                <w:r>
                  <w:rPr>
                    <w:noProof/>
                    <w:webHidden/>
                  </w:rPr>
                  <w:fldChar w:fldCharType="end"/>
                </w:r>
              </w:hyperlink>
            </w:p>
            <w:p w14:paraId="4F8E527B" w14:textId="0F594ED6"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06" w:history="1">
                <w:r w:rsidRPr="00354D38">
                  <w:rPr>
                    <w:rStyle w:val="Hyperlink"/>
                    <w:noProof/>
                  </w:rPr>
                  <w:t>AIIR ERS lodgment via file transfer</w:t>
                </w:r>
                <w:r>
                  <w:rPr>
                    <w:noProof/>
                    <w:webHidden/>
                  </w:rPr>
                  <w:tab/>
                </w:r>
                <w:r>
                  <w:rPr>
                    <w:noProof/>
                    <w:webHidden/>
                  </w:rPr>
                  <w:fldChar w:fldCharType="begin"/>
                </w:r>
                <w:r>
                  <w:rPr>
                    <w:noProof/>
                    <w:webHidden/>
                  </w:rPr>
                  <w:instrText xml:space="preserve"> PAGEREF _Toc232191306 \h </w:instrText>
                </w:r>
                <w:r>
                  <w:rPr>
                    <w:noProof/>
                    <w:webHidden/>
                  </w:rPr>
                </w:r>
                <w:r>
                  <w:rPr>
                    <w:noProof/>
                    <w:webHidden/>
                  </w:rPr>
                  <w:fldChar w:fldCharType="separate"/>
                </w:r>
                <w:r w:rsidR="00796CB9">
                  <w:rPr>
                    <w:noProof/>
                    <w:webHidden/>
                  </w:rPr>
                  <w:t>23</w:t>
                </w:r>
                <w:r>
                  <w:rPr>
                    <w:noProof/>
                    <w:webHidden/>
                  </w:rPr>
                  <w:fldChar w:fldCharType="end"/>
                </w:r>
              </w:hyperlink>
            </w:p>
            <w:p w14:paraId="21FF26C1" w14:textId="4D50C4C2"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07" w:history="1">
                <w:r w:rsidRPr="00354D38">
                  <w:rPr>
                    <w:rStyle w:val="Hyperlink"/>
                    <w:noProof/>
                  </w:rPr>
                  <w:t>AIIR PC Spreadsheet lodgment via Communication</w:t>
                </w:r>
                <w:r>
                  <w:rPr>
                    <w:noProof/>
                    <w:webHidden/>
                  </w:rPr>
                  <w:tab/>
                </w:r>
                <w:r>
                  <w:rPr>
                    <w:noProof/>
                    <w:webHidden/>
                  </w:rPr>
                  <w:fldChar w:fldCharType="begin"/>
                </w:r>
                <w:r>
                  <w:rPr>
                    <w:noProof/>
                    <w:webHidden/>
                  </w:rPr>
                  <w:instrText xml:space="preserve"> PAGEREF _Toc232191307 \h </w:instrText>
                </w:r>
                <w:r>
                  <w:rPr>
                    <w:noProof/>
                    <w:webHidden/>
                  </w:rPr>
                </w:r>
                <w:r>
                  <w:rPr>
                    <w:noProof/>
                    <w:webHidden/>
                  </w:rPr>
                  <w:fldChar w:fldCharType="separate"/>
                </w:r>
                <w:r w:rsidR="00796CB9">
                  <w:rPr>
                    <w:noProof/>
                    <w:webHidden/>
                  </w:rPr>
                  <w:t>23</w:t>
                </w:r>
                <w:r>
                  <w:rPr>
                    <w:noProof/>
                    <w:webHidden/>
                  </w:rPr>
                  <w:fldChar w:fldCharType="end"/>
                </w:r>
              </w:hyperlink>
            </w:p>
            <w:p w14:paraId="547E8D6F" w14:textId="422C241A"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08" w:history="1">
                <w:r w:rsidRPr="00354D38">
                  <w:rPr>
                    <w:rStyle w:val="Hyperlink"/>
                    <w:noProof/>
                  </w:rPr>
                  <w:t>Lodging nil AIIR reports</w:t>
                </w:r>
                <w:r>
                  <w:rPr>
                    <w:noProof/>
                    <w:webHidden/>
                  </w:rPr>
                  <w:tab/>
                </w:r>
                <w:r>
                  <w:rPr>
                    <w:noProof/>
                    <w:webHidden/>
                  </w:rPr>
                  <w:fldChar w:fldCharType="begin"/>
                </w:r>
                <w:r>
                  <w:rPr>
                    <w:noProof/>
                    <w:webHidden/>
                  </w:rPr>
                  <w:instrText xml:space="preserve"> PAGEREF _Toc232191308 \h </w:instrText>
                </w:r>
                <w:r>
                  <w:rPr>
                    <w:noProof/>
                    <w:webHidden/>
                  </w:rPr>
                </w:r>
                <w:r>
                  <w:rPr>
                    <w:noProof/>
                    <w:webHidden/>
                  </w:rPr>
                  <w:fldChar w:fldCharType="separate"/>
                </w:r>
                <w:r w:rsidR="00796CB9">
                  <w:rPr>
                    <w:noProof/>
                    <w:webHidden/>
                  </w:rPr>
                  <w:t>24</w:t>
                </w:r>
                <w:r>
                  <w:rPr>
                    <w:noProof/>
                    <w:webHidden/>
                  </w:rPr>
                  <w:fldChar w:fldCharType="end"/>
                </w:r>
              </w:hyperlink>
            </w:p>
            <w:p w14:paraId="1604B491" w14:textId="5098CDA9"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09" w:history="1">
                <w:r w:rsidRPr="00354D38">
                  <w:rPr>
                    <w:rStyle w:val="Hyperlink"/>
                    <w:noProof/>
                  </w:rPr>
                  <w:t>Portal communication notifications</w:t>
                </w:r>
                <w:r>
                  <w:rPr>
                    <w:noProof/>
                    <w:webHidden/>
                  </w:rPr>
                  <w:tab/>
                </w:r>
                <w:r>
                  <w:rPr>
                    <w:noProof/>
                    <w:webHidden/>
                  </w:rPr>
                  <w:fldChar w:fldCharType="begin"/>
                </w:r>
                <w:r>
                  <w:rPr>
                    <w:noProof/>
                    <w:webHidden/>
                  </w:rPr>
                  <w:instrText xml:space="preserve"> PAGEREF _Toc232191309 \h </w:instrText>
                </w:r>
                <w:r>
                  <w:rPr>
                    <w:noProof/>
                    <w:webHidden/>
                  </w:rPr>
                </w:r>
                <w:r>
                  <w:rPr>
                    <w:noProof/>
                    <w:webHidden/>
                  </w:rPr>
                  <w:fldChar w:fldCharType="separate"/>
                </w:r>
                <w:r w:rsidR="00796CB9">
                  <w:rPr>
                    <w:noProof/>
                    <w:webHidden/>
                  </w:rPr>
                  <w:t>24</w:t>
                </w:r>
                <w:r>
                  <w:rPr>
                    <w:noProof/>
                    <w:webHidden/>
                  </w:rPr>
                  <w:fldChar w:fldCharType="end"/>
                </w:r>
              </w:hyperlink>
            </w:p>
            <w:p w14:paraId="4D8FDEF7" w14:textId="2E920AD9"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10" w:history="1">
                <w:r w:rsidRPr="00354D38">
                  <w:rPr>
                    <w:rStyle w:val="Hyperlink"/>
                    <w:noProof/>
                  </w:rPr>
                  <w:t>Lodgment validations</w:t>
                </w:r>
                <w:r>
                  <w:rPr>
                    <w:noProof/>
                    <w:webHidden/>
                  </w:rPr>
                  <w:tab/>
                </w:r>
                <w:r>
                  <w:rPr>
                    <w:noProof/>
                    <w:webHidden/>
                  </w:rPr>
                  <w:fldChar w:fldCharType="begin"/>
                </w:r>
                <w:r>
                  <w:rPr>
                    <w:noProof/>
                    <w:webHidden/>
                  </w:rPr>
                  <w:instrText xml:space="preserve"> PAGEREF _Toc232191310 \h </w:instrText>
                </w:r>
                <w:r>
                  <w:rPr>
                    <w:noProof/>
                    <w:webHidden/>
                  </w:rPr>
                </w:r>
                <w:r>
                  <w:rPr>
                    <w:noProof/>
                    <w:webHidden/>
                  </w:rPr>
                  <w:fldChar w:fldCharType="separate"/>
                </w:r>
                <w:r w:rsidR="00796CB9">
                  <w:rPr>
                    <w:noProof/>
                    <w:webHidden/>
                  </w:rPr>
                  <w:t>24</w:t>
                </w:r>
                <w:r>
                  <w:rPr>
                    <w:noProof/>
                    <w:webHidden/>
                  </w:rPr>
                  <w:fldChar w:fldCharType="end"/>
                </w:r>
              </w:hyperlink>
            </w:p>
            <w:p w14:paraId="23697DBA" w14:textId="0BDE77F9"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11" w:history="1">
                <w:r w:rsidRPr="00354D38">
                  <w:rPr>
                    <w:rStyle w:val="Hyperlink"/>
                    <w:noProof/>
                  </w:rPr>
                  <w:t>Extension of time to lodge</w:t>
                </w:r>
                <w:r>
                  <w:rPr>
                    <w:noProof/>
                    <w:webHidden/>
                  </w:rPr>
                  <w:tab/>
                </w:r>
                <w:r>
                  <w:rPr>
                    <w:noProof/>
                    <w:webHidden/>
                  </w:rPr>
                  <w:fldChar w:fldCharType="begin"/>
                </w:r>
                <w:r>
                  <w:rPr>
                    <w:noProof/>
                    <w:webHidden/>
                  </w:rPr>
                  <w:instrText xml:space="preserve"> PAGEREF _Toc232191311 \h </w:instrText>
                </w:r>
                <w:r>
                  <w:rPr>
                    <w:noProof/>
                    <w:webHidden/>
                  </w:rPr>
                </w:r>
                <w:r>
                  <w:rPr>
                    <w:noProof/>
                    <w:webHidden/>
                  </w:rPr>
                  <w:fldChar w:fldCharType="separate"/>
                </w:r>
                <w:r w:rsidR="00796CB9">
                  <w:rPr>
                    <w:noProof/>
                    <w:webHidden/>
                  </w:rPr>
                  <w:t>25</w:t>
                </w:r>
                <w:r>
                  <w:rPr>
                    <w:noProof/>
                    <w:webHidden/>
                  </w:rPr>
                  <w:fldChar w:fldCharType="end"/>
                </w:r>
              </w:hyperlink>
            </w:p>
            <w:p w14:paraId="210913CD" w14:textId="43B58D14"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12" w:history="1">
                <w:r w:rsidRPr="00354D38">
                  <w:rPr>
                    <w:rStyle w:val="Hyperlink"/>
                    <w:noProof/>
                  </w:rPr>
                  <w:t>4 Investor and account reporting</w:t>
                </w:r>
                <w:r>
                  <w:rPr>
                    <w:noProof/>
                    <w:webHidden/>
                  </w:rPr>
                  <w:tab/>
                </w:r>
                <w:r>
                  <w:rPr>
                    <w:noProof/>
                    <w:webHidden/>
                  </w:rPr>
                  <w:fldChar w:fldCharType="begin"/>
                </w:r>
                <w:r>
                  <w:rPr>
                    <w:noProof/>
                    <w:webHidden/>
                  </w:rPr>
                  <w:instrText xml:space="preserve"> PAGEREF _Toc232191312 \h </w:instrText>
                </w:r>
                <w:r>
                  <w:rPr>
                    <w:noProof/>
                    <w:webHidden/>
                  </w:rPr>
                </w:r>
                <w:r>
                  <w:rPr>
                    <w:noProof/>
                    <w:webHidden/>
                  </w:rPr>
                  <w:fldChar w:fldCharType="separate"/>
                </w:r>
                <w:r w:rsidR="00796CB9">
                  <w:rPr>
                    <w:noProof/>
                    <w:webHidden/>
                  </w:rPr>
                  <w:t>26</w:t>
                </w:r>
                <w:r>
                  <w:rPr>
                    <w:noProof/>
                    <w:webHidden/>
                  </w:rPr>
                  <w:fldChar w:fldCharType="end"/>
                </w:r>
              </w:hyperlink>
            </w:p>
            <w:p w14:paraId="74496108" w14:textId="30EF58FF"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13" w:history="1">
                <w:r w:rsidRPr="00354D38">
                  <w:rPr>
                    <w:rStyle w:val="Hyperlink"/>
                    <w:noProof/>
                  </w:rPr>
                  <w:t>Account signatories</w:t>
                </w:r>
                <w:r>
                  <w:rPr>
                    <w:noProof/>
                    <w:webHidden/>
                  </w:rPr>
                  <w:tab/>
                </w:r>
                <w:r>
                  <w:rPr>
                    <w:noProof/>
                    <w:webHidden/>
                  </w:rPr>
                  <w:fldChar w:fldCharType="begin"/>
                </w:r>
                <w:r>
                  <w:rPr>
                    <w:noProof/>
                    <w:webHidden/>
                  </w:rPr>
                  <w:instrText xml:space="preserve"> PAGEREF _Toc232191313 \h </w:instrText>
                </w:r>
                <w:r>
                  <w:rPr>
                    <w:noProof/>
                    <w:webHidden/>
                  </w:rPr>
                </w:r>
                <w:r>
                  <w:rPr>
                    <w:noProof/>
                    <w:webHidden/>
                  </w:rPr>
                  <w:fldChar w:fldCharType="separate"/>
                </w:r>
                <w:r w:rsidR="00796CB9">
                  <w:rPr>
                    <w:noProof/>
                    <w:webHidden/>
                  </w:rPr>
                  <w:t>26</w:t>
                </w:r>
                <w:r>
                  <w:rPr>
                    <w:noProof/>
                    <w:webHidden/>
                  </w:rPr>
                  <w:fldChar w:fldCharType="end"/>
                </w:r>
              </w:hyperlink>
            </w:p>
            <w:p w14:paraId="3E1C6DA3" w14:textId="58B0C4D6"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14" w:history="1">
                <w:r w:rsidRPr="00354D38">
                  <w:rPr>
                    <w:rStyle w:val="Hyperlink"/>
                    <w:noProof/>
                  </w:rPr>
                  <w:t>Deferred interest securities</w:t>
                </w:r>
                <w:r>
                  <w:rPr>
                    <w:noProof/>
                    <w:webHidden/>
                  </w:rPr>
                  <w:tab/>
                </w:r>
                <w:r>
                  <w:rPr>
                    <w:noProof/>
                    <w:webHidden/>
                  </w:rPr>
                  <w:fldChar w:fldCharType="begin"/>
                </w:r>
                <w:r>
                  <w:rPr>
                    <w:noProof/>
                    <w:webHidden/>
                  </w:rPr>
                  <w:instrText xml:space="preserve"> PAGEREF _Toc232191314 \h </w:instrText>
                </w:r>
                <w:r>
                  <w:rPr>
                    <w:noProof/>
                    <w:webHidden/>
                  </w:rPr>
                </w:r>
                <w:r>
                  <w:rPr>
                    <w:noProof/>
                    <w:webHidden/>
                  </w:rPr>
                  <w:fldChar w:fldCharType="separate"/>
                </w:r>
                <w:r w:rsidR="00796CB9">
                  <w:rPr>
                    <w:noProof/>
                    <w:webHidden/>
                  </w:rPr>
                  <w:t>27</w:t>
                </w:r>
                <w:r>
                  <w:rPr>
                    <w:noProof/>
                    <w:webHidden/>
                  </w:rPr>
                  <w:fldChar w:fldCharType="end"/>
                </w:r>
              </w:hyperlink>
            </w:p>
            <w:p w14:paraId="63A6D842" w14:textId="06D9D187"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15" w:history="1">
                <w:r w:rsidRPr="00354D38">
                  <w:rPr>
                    <w:rStyle w:val="Hyperlink"/>
                    <w:noProof/>
                  </w:rPr>
                  <w:t>Reporting arrangements</w:t>
                </w:r>
                <w:r>
                  <w:rPr>
                    <w:noProof/>
                    <w:webHidden/>
                  </w:rPr>
                  <w:tab/>
                </w:r>
                <w:r>
                  <w:rPr>
                    <w:noProof/>
                    <w:webHidden/>
                  </w:rPr>
                  <w:fldChar w:fldCharType="begin"/>
                </w:r>
                <w:r>
                  <w:rPr>
                    <w:noProof/>
                    <w:webHidden/>
                  </w:rPr>
                  <w:instrText xml:space="preserve"> PAGEREF _Toc232191315 \h </w:instrText>
                </w:r>
                <w:r>
                  <w:rPr>
                    <w:noProof/>
                    <w:webHidden/>
                  </w:rPr>
                </w:r>
                <w:r>
                  <w:rPr>
                    <w:noProof/>
                    <w:webHidden/>
                  </w:rPr>
                  <w:fldChar w:fldCharType="separate"/>
                </w:r>
                <w:r w:rsidR="00796CB9">
                  <w:rPr>
                    <w:noProof/>
                    <w:webHidden/>
                  </w:rPr>
                  <w:t>27</w:t>
                </w:r>
                <w:r>
                  <w:rPr>
                    <w:noProof/>
                    <w:webHidden/>
                  </w:rPr>
                  <w:fldChar w:fldCharType="end"/>
                </w:r>
              </w:hyperlink>
            </w:p>
            <w:p w14:paraId="12C35836" w14:textId="76BDA601"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16" w:history="1">
                <w:r w:rsidRPr="00354D38">
                  <w:rPr>
                    <w:rStyle w:val="Hyperlink"/>
                    <w:noProof/>
                  </w:rPr>
                  <w:t>Investor entity type</w:t>
                </w:r>
                <w:r>
                  <w:rPr>
                    <w:noProof/>
                    <w:webHidden/>
                  </w:rPr>
                  <w:tab/>
                </w:r>
                <w:r>
                  <w:rPr>
                    <w:noProof/>
                    <w:webHidden/>
                  </w:rPr>
                  <w:fldChar w:fldCharType="begin"/>
                </w:r>
                <w:r>
                  <w:rPr>
                    <w:noProof/>
                    <w:webHidden/>
                  </w:rPr>
                  <w:instrText xml:space="preserve"> PAGEREF _Toc232191316 \h </w:instrText>
                </w:r>
                <w:r>
                  <w:rPr>
                    <w:noProof/>
                    <w:webHidden/>
                  </w:rPr>
                </w:r>
                <w:r>
                  <w:rPr>
                    <w:noProof/>
                    <w:webHidden/>
                  </w:rPr>
                  <w:fldChar w:fldCharType="separate"/>
                </w:r>
                <w:r w:rsidR="00796CB9">
                  <w:rPr>
                    <w:noProof/>
                    <w:webHidden/>
                  </w:rPr>
                  <w:t>28</w:t>
                </w:r>
                <w:r>
                  <w:rPr>
                    <w:noProof/>
                    <w:webHidden/>
                  </w:rPr>
                  <w:fldChar w:fldCharType="end"/>
                </w:r>
              </w:hyperlink>
            </w:p>
            <w:p w14:paraId="6B1BC93C" w14:textId="7BA3A92D"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17" w:history="1">
                <w:r w:rsidRPr="00354D38">
                  <w:rPr>
                    <w:rStyle w:val="Hyperlink"/>
                    <w:noProof/>
                  </w:rPr>
                  <w:t>Reporting for different investor entity types</w:t>
                </w:r>
                <w:r>
                  <w:rPr>
                    <w:noProof/>
                    <w:webHidden/>
                  </w:rPr>
                  <w:tab/>
                </w:r>
                <w:r>
                  <w:rPr>
                    <w:noProof/>
                    <w:webHidden/>
                  </w:rPr>
                  <w:fldChar w:fldCharType="begin"/>
                </w:r>
                <w:r>
                  <w:rPr>
                    <w:noProof/>
                    <w:webHidden/>
                  </w:rPr>
                  <w:instrText xml:space="preserve"> PAGEREF _Toc232191317 \h </w:instrText>
                </w:r>
                <w:r>
                  <w:rPr>
                    <w:noProof/>
                    <w:webHidden/>
                  </w:rPr>
                </w:r>
                <w:r>
                  <w:rPr>
                    <w:noProof/>
                    <w:webHidden/>
                  </w:rPr>
                  <w:fldChar w:fldCharType="separate"/>
                </w:r>
                <w:r w:rsidR="00796CB9">
                  <w:rPr>
                    <w:noProof/>
                    <w:webHidden/>
                  </w:rPr>
                  <w:t>29</w:t>
                </w:r>
                <w:r>
                  <w:rPr>
                    <w:noProof/>
                    <w:webHidden/>
                  </w:rPr>
                  <w:fldChar w:fldCharType="end"/>
                </w:r>
              </w:hyperlink>
            </w:p>
            <w:p w14:paraId="2403F6CA" w14:textId="5EA9BFD3"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18" w:history="1">
                <w:r w:rsidRPr="00354D38">
                  <w:rPr>
                    <w:rStyle w:val="Hyperlink"/>
                    <w:noProof/>
                  </w:rPr>
                  <w:t>Investor TFN</w:t>
                </w:r>
                <w:r>
                  <w:rPr>
                    <w:noProof/>
                    <w:webHidden/>
                  </w:rPr>
                  <w:tab/>
                </w:r>
                <w:r>
                  <w:rPr>
                    <w:noProof/>
                    <w:webHidden/>
                  </w:rPr>
                  <w:fldChar w:fldCharType="begin"/>
                </w:r>
                <w:r>
                  <w:rPr>
                    <w:noProof/>
                    <w:webHidden/>
                  </w:rPr>
                  <w:instrText xml:space="preserve"> PAGEREF _Toc232191318 \h </w:instrText>
                </w:r>
                <w:r>
                  <w:rPr>
                    <w:noProof/>
                    <w:webHidden/>
                  </w:rPr>
                </w:r>
                <w:r>
                  <w:rPr>
                    <w:noProof/>
                    <w:webHidden/>
                  </w:rPr>
                  <w:fldChar w:fldCharType="separate"/>
                </w:r>
                <w:r w:rsidR="00796CB9">
                  <w:rPr>
                    <w:noProof/>
                    <w:webHidden/>
                  </w:rPr>
                  <w:t>34</w:t>
                </w:r>
                <w:r>
                  <w:rPr>
                    <w:noProof/>
                    <w:webHidden/>
                  </w:rPr>
                  <w:fldChar w:fldCharType="end"/>
                </w:r>
              </w:hyperlink>
            </w:p>
            <w:p w14:paraId="471F5DC0" w14:textId="3F5AA927"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19" w:history="1">
                <w:r w:rsidRPr="00354D38">
                  <w:rPr>
                    <w:rStyle w:val="Hyperlink"/>
                    <w:noProof/>
                  </w:rPr>
                  <w:t>Updating records for children over 16</w:t>
                </w:r>
                <w:r>
                  <w:rPr>
                    <w:noProof/>
                    <w:webHidden/>
                  </w:rPr>
                  <w:tab/>
                </w:r>
                <w:r>
                  <w:rPr>
                    <w:noProof/>
                    <w:webHidden/>
                  </w:rPr>
                  <w:fldChar w:fldCharType="begin"/>
                </w:r>
                <w:r>
                  <w:rPr>
                    <w:noProof/>
                    <w:webHidden/>
                  </w:rPr>
                  <w:instrText xml:space="preserve"> PAGEREF _Toc232191319 \h </w:instrText>
                </w:r>
                <w:r>
                  <w:rPr>
                    <w:noProof/>
                    <w:webHidden/>
                  </w:rPr>
                </w:r>
                <w:r>
                  <w:rPr>
                    <w:noProof/>
                    <w:webHidden/>
                  </w:rPr>
                  <w:fldChar w:fldCharType="separate"/>
                </w:r>
                <w:r w:rsidR="00796CB9">
                  <w:rPr>
                    <w:noProof/>
                    <w:webHidden/>
                  </w:rPr>
                  <w:t>35</w:t>
                </w:r>
                <w:r>
                  <w:rPr>
                    <w:noProof/>
                    <w:webHidden/>
                  </w:rPr>
                  <w:fldChar w:fldCharType="end"/>
                </w:r>
              </w:hyperlink>
            </w:p>
            <w:p w14:paraId="195C7BB3" w14:textId="7D84BEE2"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20" w:history="1">
                <w:r w:rsidRPr="00354D38">
                  <w:rPr>
                    <w:rStyle w:val="Hyperlink"/>
                    <w:noProof/>
                  </w:rPr>
                  <w:t>Joint accounts</w:t>
                </w:r>
                <w:r>
                  <w:rPr>
                    <w:noProof/>
                    <w:webHidden/>
                  </w:rPr>
                  <w:tab/>
                </w:r>
                <w:r>
                  <w:rPr>
                    <w:noProof/>
                    <w:webHidden/>
                  </w:rPr>
                  <w:fldChar w:fldCharType="begin"/>
                </w:r>
                <w:r>
                  <w:rPr>
                    <w:noProof/>
                    <w:webHidden/>
                  </w:rPr>
                  <w:instrText xml:space="preserve"> PAGEREF _Toc232191320 \h </w:instrText>
                </w:r>
                <w:r>
                  <w:rPr>
                    <w:noProof/>
                    <w:webHidden/>
                  </w:rPr>
                </w:r>
                <w:r>
                  <w:rPr>
                    <w:noProof/>
                    <w:webHidden/>
                  </w:rPr>
                  <w:fldChar w:fldCharType="separate"/>
                </w:r>
                <w:r w:rsidR="00796CB9">
                  <w:rPr>
                    <w:noProof/>
                    <w:webHidden/>
                  </w:rPr>
                  <w:t>35</w:t>
                </w:r>
                <w:r>
                  <w:rPr>
                    <w:noProof/>
                    <w:webHidden/>
                  </w:rPr>
                  <w:fldChar w:fldCharType="end"/>
                </w:r>
              </w:hyperlink>
            </w:p>
            <w:p w14:paraId="0C02398D" w14:textId="3F61785B"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21" w:history="1">
                <w:r w:rsidRPr="00354D38">
                  <w:rPr>
                    <w:rStyle w:val="Hyperlink"/>
                    <w:noProof/>
                  </w:rPr>
                  <w:t>Listed investment company (LIC) capital gain deduction</w:t>
                </w:r>
                <w:r>
                  <w:rPr>
                    <w:noProof/>
                    <w:webHidden/>
                  </w:rPr>
                  <w:tab/>
                </w:r>
                <w:r>
                  <w:rPr>
                    <w:noProof/>
                    <w:webHidden/>
                  </w:rPr>
                  <w:fldChar w:fldCharType="begin"/>
                </w:r>
                <w:r>
                  <w:rPr>
                    <w:noProof/>
                    <w:webHidden/>
                  </w:rPr>
                  <w:instrText xml:space="preserve"> PAGEREF _Toc232191321 \h </w:instrText>
                </w:r>
                <w:r>
                  <w:rPr>
                    <w:noProof/>
                    <w:webHidden/>
                  </w:rPr>
                </w:r>
                <w:r>
                  <w:rPr>
                    <w:noProof/>
                    <w:webHidden/>
                  </w:rPr>
                  <w:fldChar w:fldCharType="separate"/>
                </w:r>
                <w:r w:rsidR="00796CB9">
                  <w:rPr>
                    <w:noProof/>
                    <w:webHidden/>
                  </w:rPr>
                  <w:t>35</w:t>
                </w:r>
                <w:r>
                  <w:rPr>
                    <w:noProof/>
                    <w:webHidden/>
                  </w:rPr>
                  <w:fldChar w:fldCharType="end"/>
                </w:r>
              </w:hyperlink>
            </w:p>
            <w:p w14:paraId="4C66A08D" w14:textId="245B2176"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22" w:history="1">
                <w:r w:rsidRPr="00354D38">
                  <w:rPr>
                    <w:rStyle w:val="Hyperlink"/>
                    <w:noProof/>
                  </w:rPr>
                  <w:t>Payment dates</w:t>
                </w:r>
                <w:r>
                  <w:rPr>
                    <w:noProof/>
                    <w:webHidden/>
                  </w:rPr>
                  <w:tab/>
                </w:r>
                <w:r>
                  <w:rPr>
                    <w:noProof/>
                    <w:webHidden/>
                  </w:rPr>
                  <w:fldChar w:fldCharType="begin"/>
                </w:r>
                <w:r>
                  <w:rPr>
                    <w:noProof/>
                    <w:webHidden/>
                  </w:rPr>
                  <w:instrText xml:space="preserve"> PAGEREF _Toc232191322 \h </w:instrText>
                </w:r>
                <w:r>
                  <w:rPr>
                    <w:noProof/>
                    <w:webHidden/>
                  </w:rPr>
                </w:r>
                <w:r>
                  <w:rPr>
                    <w:noProof/>
                    <w:webHidden/>
                  </w:rPr>
                  <w:fldChar w:fldCharType="separate"/>
                </w:r>
                <w:r w:rsidR="00796CB9">
                  <w:rPr>
                    <w:noProof/>
                    <w:webHidden/>
                  </w:rPr>
                  <w:t>36</w:t>
                </w:r>
                <w:r>
                  <w:rPr>
                    <w:noProof/>
                    <w:webHidden/>
                  </w:rPr>
                  <w:fldChar w:fldCharType="end"/>
                </w:r>
              </w:hyperlink>
            </w:p>
            <w:p w14:paraId="182A2242" w14:textId="6AD2D68B"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23" w:history="1">
                <w:r w:rsidRPr="00354D38">
                  <w:rPr>
                    <w:rStyle w:val="Hyperlink"/>
                    <w:noProof/>
                  </w:rPr>
                  <w:t>Payment types</w:t>
                </w:r>
                <w:r>
                  <w:rPr>
                    <w:noProof/>
                    <w:webHidden/>
                  </w:rPr>
                  <w:tab/>
                </w:r>
                <w:r>
                  <w:rPr>
                    <w:noProof/>
                    <w:webHidden/>
                  </w:rPr>
                  <w:fldChar w:fldCharType="begin"/>
                </w:r>
                <w:r>
                  <w:rPr>
                    <w:noProof/>
                    <w:webHidden/>
                  </w:rPr>
                  <w:instrText xml:space="preserve"> PAGEREF _Toc232191323 \h </w:instrText>
                </w:r>
                <w:r>
                  <w:rPr>
                    <w:noProof/>
                    <w:webHidden/>
                  </w:rPr>
                </w:r>
                <w:r>
                  <w:rPr>
                    <w:noProof/>
                    <w:webHidden/>
                  </w:rPr>
                  <w:fldChar w:fldCharType="separate"/>
                </w:r>
                <w:r w:rsidR="00796CB9">
                  <w:rPr>
                    <w:noProof/>
                    <w:webHidden/>
                  </w:rPr>
                  <w:t>36</w:t>
                </w:r>
                <w:r>
                  <w:rPr>
                    <w:noProof/>
                    <w:webHidden/>
                  </w:rPr>
                  <w:fldChar w:fldCharType="end"/>
                </w:r>
              </w:hyperlink>
            </w:p>
            <w:p w14:paraId="2370FA12" w14:textId="294CFE92"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24" w:history="1">
                <w:r w:rsidRPr="00354D38">
                  <w:rPr>
                    <w:rStyle w:val="Hyperlink"/>
                    <w:noProof/>
                  </w:rPr>
                  <w:t>Reporting for deceased investors</w:t>
                </w:r>
                <w:r>
                  <w:rPr>
                    <w:noProof/>
                    <w:webHidden/>
                  </w:rPr>
                  <w:tab/>
                </w:r>
                <w:r>
                  <w:rPr>
                    <w:noProof/>
                    <w:webHidden/>
                  </w:rPr>
                  <w:fldChar w:fldCharType="begin"/>
                </w:r>
                <w:r>
                  <w:rPr>
                    <w:noProof/>
                    <w:webHidden/>
                  </w:rPr>
                  <w:instrText xml:space="preserve"> PAGEREF _Toc232191324 \h </w:instrText>
                </w:r>
                <w:r>
                  <w:rPr>
                    <w:noProof/>
                    <w:webHidden/>
                  </w:rPr>
                </w:r>
                <w:r>
                  <w:rPr>
                    <w:noProof/>
                    <w:webHidden/>
                  </w:rPr>
                  <w:fldChar w:fldCharType="separate"/>
                </w:r>
                <w:r w:rsidR="00796CB9">
                  <w:rPr>
                    <w:noProof/>
                    <w:webHidden/>
                  </w:rPr>
                  <w:t>41</w:t>
                </w:r>
                <w:r>
                  <w:rPr>
                    <w:noProof/>
                    <w:webHidden/>
                  </w:rPr>
                  <w:fldChar w:fldCharType="end"/>
                </w:r>
              </w:hyperlink>
            </w:p>
            <w:p w14:paraId="403651F1" w14:textId="65532A0E"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25" w:history="1">
                <w:r w:rsidRPr="00354D38">
                  <w:rPr>
                    <w:rStyle w:val="Hyperlink"/>
                    <w:noProof/>
                  </w:rPr>
                  <w:t>Reporting for Non-Residents</w:t>
                </w:r>
                <w:r>
                  <w:rPr>
                    <w:noProof/>
                    <w:webHidden/>
                  </w:rPr>
                  <w:tab/>
                </w:r>
                <w:r>
                  <w:rPr>
                    <w:noProof/>
                    <w:webHidden/>
                  </w:rPr>
                  <w:fldChar w:fldCharType="begin"/>
                </w:r>
                <w:r>
                  <w:rPr>
                    <w:noProof/>
                    <w:webHidden/>
                  </w:rPr>
                  <w:instrText xml:space="preserve"> PAGEREF _Toc232191325 \h </w:instrText>
                </w:r>
                <w:r>
                  <w:rPr>
                    <w:noProof/>
                    <w:webHidden/>
                  </w:rPr>
                </w:r>
                <w:r>
                  <w:rPr>
                    <w:noProof/>
                    <w:webHidden/>
                  </w:rPr>
                  <w:fldChar w:fldCharType="separate"/>
                </w:r>
                <w:r w:rsidR="00796CB9">
                  <w:rPr>
                    <w:noProof/>
                    <w:webHidden/>
                  </w:rPr>
                  <w:t>44</w:t>
                </w:r>
                <w:r>
                  <w:rPr>
                    <w:noProof/>
                    <w:webHidden/>
                  </w:rPr>
                  <w:fldChar w:fldCharType="end"/>
                </w:r>
              </w:hyperlink>
            </w:p>
            <w:p w14:paraId="7EF25660" w14:textId="74DD76FA"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26" w:history="1">
                <w:r w:rsidRPr="00354D38">
                  <w:rPr>
                    <w:rStyle w:val="Hyperlink"/>
                    <w:noProof/>
                  </w:rPr>
                  <w:t>Non-resident tax rates</w:t>
                </w:r>
                <w:r>
                  <w:rPr>
                    <w:noProof/>
                    <w:webHidden/>
                  </w:rPr>
                  <w:tab/>
                </w:r>
                <w:r>
                  <w:rPr>
                    <w:noProof/>
                    <w:webHidden/>
                  </w:rPr>
                  <w:fldChar w:fldCharType="begin"/>
                </w:r>
                <w:r>
                  <w:rPr>
                    <w:noProof/>
                    <w:webHidden/>
                  </w:rPr>
                  <w:instrText xml:space="preserve"> PAGEREF _Toc232191326 \h </w:instrText>
                </w:r>
                <w:r>
                  <w:rPr>
                    <w:noProof/>
                    <w:webHidden/>
                  </w:rPr>
                </w:r>
                <w:r>
                  <w:rPr>
                    <w:noProof/>
                    <w:webHidden/>
                  </w:rPr>
                  <w:fldChar w:fldCharType="separate"/>
                </w:r>
                <w:r w:rsidR="00796CB9">
                  <w:rPr>
                    <w:noProof/>
                    <w:webHidden/>
                  </w:rPr>
                  <w:t>45</w:t>
                </w:r>
                <w:r>
                  <w:rPr>
                    <w:noProof/>
                    <w:webHidden/>
                  </w:rPr>
                  <w:fldChar w:fldCharType="end"/>
                </w:r>
              </w:hyperlink>
            </w:p>
            <w:p w14:paraId="31E89A2F" w14:textId="4693B2EC"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27" w:history="1">
                <w:r w:rsidRPr="00354D38">
                  <w:rPr>
                    <w:rStyle w:val="Hyperlink"/>
                    <w:noProof/>
                  </w:rPr>
                  <w:t>Non-resident addresses</w:t>
                </w:r>
                <w:r>
                  <w:rPr>
                    <w:noProof/>
                    <w:webHidden/>
                  </w:rPr>
                  <w:tab/>
                </w:r>
                <w:r>
                  <w:rPr>
                    <w:noProof/>
                    <w:webHidden/>
                  </w:rPr>
                  <w:fldChar w:fldCharType="begin"/>
                </w:r>
                <w:r>
                  <w:rPr>
                    <w:noProof/>
                    <w:webHidden/>
                  </w:rPr>
                  <w:instrText xml:space="preserve"> PAGEREF _Toc232191327 \h </w:instrText>
                </w:r>
                <w:r>
                  <w:rPr>
                    <w:noProof/>
                    <w:webHidden/>
                  </w:rPr>
                </w:r>
                <w:r>
                  <w:rPr>
                    <w:noProof/>
                    <w:webHidden/>
                  </w:rPr>
                  <w:fldChar w:fldCharType="separate"/>
                </w:r>
                <w:r w:rsidR="00796CB9">
                  <w:rPr>
                    <w:noProof/>
                    <w:webHidden/>
                  </w:rPr>
                  <w:t>45</w:t>
                </w:r>
                <w:r>
                  <w:rPr>
                    <w:noProof/>
                    <w:webHidden/>
                  </w:rPr>
                  <w:fldChar w:fldCharType="end"/>
                </w:r>
              </w:hyperlink>
            </w:p>
            <w:p w14:paraId="436FD9E9" w14:textId="67F201E6"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28" w:history="1">
                <w:r w:rsidRPr="00354D38">
                  <w:rPr>
                    <w:rStyle w:val="Hyperlink"/>
                    <w:noProof/>
                  </w:rPr>
                  <w:t>Residency status</w:t>
                </w:r>
                <w:r>
                  <w:rPr>
                    <w:noProof/>
                    <w:webHidden/>
                  </w:rPr>
                  <w:tab/>
                </w:r>
                <w:r>
                  <w:rPr>
                    <w:noProof/>
                    <w:webHidden/>
                  </w:rPr>
                  <w:fldChar w:fldCharType="begin"/>
                </w:r>
                <w:r>
                  <w:rPr>
                    <w:noProof/>
                    <w:webHidden/>
                  </w:rPr>
                  <w:instrText xml:space="preserve"> PAGEREF _Toc232191328 \h </w:instrText>
                </w:r>
                <w:r>
                  <w:rPr>
                    <w:noProof/>
                    <w:webHidden/>
                  </w:rPr>
                </w:r>
                <w:r>
                  <w:rPr>
                    <w:noProof/>
                    <w:webHidden/>
                  </w:rPr>
                  <w:fldChar w:fldCharType="separate"/>
                </w:r>
                <w:r w:rsidR="00796CB9">
                  <w:rPr>
                    <w:noProof/>
                    <w:webHidden/>
                  </w:rPr>
                  <w:t>46</w:t>
                </w:r>
                <w:r>
                  <w:rPr>
                    <w:noProof/>
                    <w:webHidden/>
                  </w:rPr>
                  <w:fldChar w:fldCharType="end"/>
                </w:r>
              </w:hyperlink>
            </w:p>
            <w:p w14:paraId="35079B82" w14:textId="09655B1B"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29" w:history="1">
                <w:r w:rsidRPr="00354D38">
                  <w:rPr>
                    <w:rStyle w:val="Hyperlink"/>
                    <w:noProof/>
                  </w:rPr>
                  <w:t>Change of residency status during the year</w:t>
                </w:r>
                <w:r>
                  <w:rPr>
                    <w:noProof/>
                    <w:webHidden/>
                  </w:rPr>
                  <w:tab/>
                </w:r>
                <w:r>
                  <w:rPr>
                    <w:noProof/>
                    <w:webHidden/>
                  </w:rPr>
                  <w:fldChar w:fldCharType="begin"/>
                </w:r>
                <w:r>
                  <w:rPr>
                    <w:noProof/>
                    <w:webHidden/>
                  </w:rPr>
                  <w:instrText xml:space="preserve"> PAGEREF _Toc232191329 \h </w:instrText>
                </w:r>
                <w:r>
                  <w:rPr>
                    <w:noProof/>
                    <w:webHidden/>
                  </w:rPr>
                </w:r>
                <w:r>
                  <w:rPr>
                    <w:noProof/>
                    <w:webHidden/>
                  </w:rPr>
                  <w:fldChar w:fldCharType="separate"/>
                </w:r>
                <w:r w:rsidR="00796CB9">
                  <w:rPr>
                    <w:noProof/>
                    <w:webHidden/>
                  </w:rPr>
                  <w:t>46</w:t>
                </w:r>
                <w:r>
                  <w:rPr>
                    <w:noProof/>
                    <w:webHidden/>
                  </w:rPr>
                  <w:fldChar w:fldCharType="end"/>
                </w:r>
              </w:hyperlink>
            </w:p>
            <w:p w14:paraId="7FE59839" w14:textId="08168381"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30" w:history="1">
                <w:r w:rsidRPr="00354D38">
                  <w:rPr>
                    <w:rStyle w:val="Hyperlink"/>
                    <w:noProof/>
                  </w:rPr>
                  <w:t>Conduit foreign income</w:t>
                </w:r>
                <w:r>
                  <w:rPr>
                    <w:noProof/>
                    <w:webHidden/>
                  </w:rPr>
                  <w:tab/>
                </w:r>
                <w:r>
                  <w:rPr>
                    <w:noProof/>
                    <w:webHidden/>
                  </w:rPr>
                  <w:fldChar w:fldCharType="begin"/>
                </w:r>
                <w:r>
                  <w:rPr>
                    <w:noProof/>
                    <w:webHidden/>
                  </w:rPr>
                  <w:instrText xml:space="preserve"> PAGEREF _Toc232191330 \h </w:instrText>
                </w:r>
                <w:r>
                  <w:rPr>
                    <w:noProof/>
                    <w:webHidden/>
                  </w:rPr>
                </w:r>
                <w:r>
                  <w:rPr>
                    <w:noProof/>
                    <w:webHidden/>
                  </w:rPr>
                  <w:fldChar w:fldCharType="separate"/>
                </w:r>
                <w:r w:rsidR="00796CB9">
                  <w:rPr>
                    <w:noProof/>
                    <w:webHidden/>
                  </w:rPr>
                  <w:t>48</w:t>
                </w:r>
                <w:r>
                  <w:rPr>
                    <w:noProof/>
                    <w:webHidden/>
                  </w:rPr>
                  <w:fldChar w:fldCharType="end"/>
                </w:r>
              </w:hyperlink>
            </w:p>
            <w:p w14:paraId="260DC648" w14:textId="6B2B6B77"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31" w:history="1">
                <w:r w:rsidRPr="00354D38">
                  <w:rPr>
                    <w:rStyle w:val="Hyperlink"/>
                    <w:noProof/>
                  </w:rPr>
                  <w:t>Substituted accounting periods</w:t>
                </w:r>
                <w:r>
                  <w:rPr>
                    <w:noProof/>
                    <w:webHidden/>
                  </w:rPr>
                  <w:tab/>
                </w:r>
                <w:r>
                  <w:rPr>
                    <w:noProof/>
                    <w:webHidden/>
                  </w:rPr>
                  <w:fldChar w:fldCharType="begin"/>
                </w:r>
                <w:r>
                  <w:rPr>
                    <w:noProof/>
                    <w:webHidden/>
                  </w:rPr>
                  <w:instrText xml:space="preserve"> PAGEREF _Toc232191331 \h </w:instrText>
                </w:r>
                <w:r>
                  <w:rPr>
                    <w:noProof/>
                    <w:webHidden/>
                  </w:rPr>
                </w:r>
                <w:r>
                  <w:rPr>
                    <w:noProof/>
                    <w:webHidden/>
                  </w:rPr>
                  <w:fldChar w:fldCharType="separate"/>
                </w:r>
                <w:r w:rsidR="00796CB9">
                  <w:rPr>
                    <w:noProof/>
                    <w:webHidden/>
                  </w:rPr>
                  <w:t>49</w:t>
                </w:r>
                <w:r>
                  <w:rPr>
                    <w:noProof/>
                    <w:webHidden/>
                  </w:rPr>
                  <w:fldChar w:fldCharType="end"/>
                </w:r>
              </w:hyperlink>
            </w:p>
            <w:p w14:paraId="797C907E" w14:textId="10B45BB2"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32" w:history="1">
                <w:r w:rsidRPr="00354D38">
                  <w:rPr>
                    <w:rStyle w:val="Hyperlink"/>
                    <w:noProof/>
                  </w:rPr>
                  <w:t>Third party accounts</w:t>
                </w:r>
                <w:r>
                  <w:rPr>
                    <w:noProof/>
                    <w:webHidden/>
                  </w:rPr>
                  <w:tab/>
                </w:r>
                <w:r>
                  <w:rPr>
                    <w:noProof/>
                    <w:webHidden/>
                  </w:rPr>
                  <w:fldChar w:fldCharType="begin"/>
                </w:r>
                <w:r>
                  <w:rPr>
                    <w:noProof/>
                    <w:webHidden/>
                  </w:rPr>
                  <w:instrText xml:space="preserve"> PAGEREF _Toc232191332 \h </w:instrText>
                </w:r>
                <w:r>
                  <w:rPr>
                    <w:noProof/>
                    <w:webHidden/>
                  </w:rPr>
                </w:r>
                <w:r>
                  <w:rPr>
                    <w:noProof/>
                    <w:webHidden/>
                  </w:rPr>
                  <w:fldChar w:fldCharType="separate"/>
                </w:r>
                <w:r w:rsidR="00796CB9">
                  <w:rPr>
                    <w:noProof/>
                    <w:webHidden/>
                  </w:rPr>
                  <w:t>50</w:t>
                </w:r>
                <w:r>
                  <w:rPr>
                    <w:noProof/>
                    <w:webHidden/>
                  </w:rPr>
                  <w:fldChar w:fldCharType="end"/>
                </w:r>
              </w:hyperlink>
            </w:p>
            <w:p w14:paraId="3AC037E5" w14:textId="7B72FDD9"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33" w:history="1">
                <w:r w:rsidRPr="00354D38">
                  <w:rPr>
                    <w:rStyle w:val="Hyperlink"/>
                    <w:noProof/>
                  </w:rPr>
                  <w:t>5 Interposed entities</w:t>
                </w:r>
                <w:r>
                  <w:rPr>
                    <w:noProof/>
                    <w:webHidden/>
                  </w:rPr>
                  <w:tab/>
                </w:r>
                <w:r>
                  <w:rPr>
                    <w:noProof/>
                    <w:webHidden/>
                  </w:rPr>
                  <w:fldChar w:fldCharType="begin"/>
                </w:r>
                <w:r>
                  <w:rPr>
                    <w:noProof/>
                    <w:webHidden/>
                  </w:rPr>
                  <w:instrText xml:space="preserve"> PAGEREF _Toc232191333 \h </w:instrText>
                </w:r>
                <w:r>
                  <w:rPr>
                    <w:noProof/>
                    <w:webHidden/>
                  </w:rPr>
                </w:r>
                <w:r>
                  <w:rPr>
                    <w:noProof/>
                    <w:webHidden/>
                  </w:rPr>
                  <w:fldChar w:fldCharType="separate"/>
                </w:r>
                <w:r w:rsidR="00796CB9">
                  <w:rPr>
                    <w:noProof/>
                    <w:webHidden/>
                  </w:rPr>
                  <w:t>53</w:t>
                </w:r>
                <w:r>
                  <w:rPr>
                    <w:noProof/>
                    <w:webHidden/>
                  </w:rPr>
                  <w:fldChar w:fldCharType="end"/>
                </w:r>
              </w:hyperlink>
            </w:p>
            <w:p w14:paraId="7B2D2B6C" w14:textId="520819C6"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34" w:history="1">
                <w:r w:rsidRPr="00354D38">
                  <w:rPr>
                    <w:rStyle w:val="Hyperlink"/>
                    <w:noProof/>
                  </w:rPr>
                  <w:t>Reporting requirements</w:t>
                </w:r>
                <w:r>
                  <w:rPr>
                    <w:noProof/>
                    <w:webHidden/>
                  </w:rPr>
                  <w:tab/>
                </w:r>
                <w:r>
                  <w:rPr>
                    <w:noProof/>
                    <w:webHidden/>
                  </w:rPr>
                  <w:fldChar w:fldCharType="begin"/>
                </w:r>
                <w:r>
                  <w:rPr>
                    <w:noProof/>
                    <w:webHidden/>
                  </w:rPr>
                  <w:instrText xml:space="preserve"> PAGEREF _Toc232191334 \h </w:instrText>
                </w:r>
                <w:r>
                  <w:rPr>
                    <w:noProof/>
                    <w:webHidden/>
                  </w:rPr>
                </w:r>
                <w:r>
                  <w:rPr>
                    <w:noProof/>
                    <w:webHidden/>
                  </w:rPr>
                  <w:fldChar w:fldCharType="separate"/>
                </w:r>
                <w:r w:rsidR="00796CB9">
                  <w:rPr>
                    <w:noProof/>
                    <w:webHidden/>
                  </w:rPr>
                  <w:t>53</w:t>
                </w:r>
                <w:r>
                  <w:rPr>
                    <w:noProof/>
                    <w:webHidden/>
                  </w:rPr>
                  <w:fldChar w:fldCharType="end"/>
                </w:r>
              </w:hyperlink>
            </w:p>
            <w:p w14:paraId="0EE7C945" w14:textId="540E5F05"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35" w:history="1">
                <w:r w:rsidRPr="00354D38">
                  <w:rPr>
                    <w:rStyle w:val="Hyperlink"/>
                    <w:noProof/>
                  </w:rPr>
                  <w:t>Non-resident interposed entities/investors</w:t>
                </w:r>
                <w:r>
                  <w:rPr>
                    <w:noProof/>
                    <w:webHidden/>
                  </w:rPr>
                  <w:tab/>
                </w:r>
                <w:r>
                  <w:rPr>
                    <w:noProof/>
                    <w:webHidden/>
                  </w:rPr>
                  <w:fldChar w:fldCharType="begin"/>
                </w:r>
                <w:r>
                  <w:rPr>
                    <w:noProof/>
                    <w:webHidden/>
                  </w:rPr>
                  <w:instrText xml:space="preserve"> PAGEREF _Toc232191335 \h </w:instrText>
                </w:r>
                <w:r>
                  <w:rPr>
                    <w:noProof/>
                    <w:webHidden/>
                  </w:rPr>
                </w:r>
                <w:r>
                  <w:rPr>
                    <w:noProof/>
                    <w:webHidden/>
                  </w:rPr>
                  <w:fldChar w:fldCharType="separate"/>
                </w:r>
                <w:r w:rsidR="00796CB9">
                  <w:rPr>
                    <w:noProof/>
                    <w:webHidden/>
                  </w:rPr>
                  <w:t>55</w:t>
                </w:r>
                <w:r>
                  <w:rPr>
                    <w:noProof/>
                    <w:webHidden/>
                  </w:rPr>
                  <w:fldChar w:fldCharType="end"/>
                </w:r>
              </w:hyperlink>
            </w:p>
            <w:p w14:paraId="6D21196E" w14:textId="731AE977"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36" w:history="1">
                <w:r w:rsidRPr="00354D38">
                  <w:rPr>
                    <w:rStyle w:val="Hyperlink"/>
                    <w:noProof/>
                  </w:rPr>
                  <w:t>MITs, AMITs, CCIV sub-fund trusts &amp; interposed entity label reporting</w:t>
                </w:r>
                <w:r>
                  <w:rPr>
                    <w:noProof/>
                    <w:webHidden/>
                  </w:rPr>
                  <w:tab/>
                </w:r>
                <w:r>
                  <w:rPr>
                    <w:noProof/>
                    <w:webHidden/>
                  </w:rPr>
                  <w:fldChar w:fldCharType="begin"/>
                </w:r>
                <w:r>
                  <w:rPr>
                    <w:noProof/>
                    <w:webHidden/>
                  </w:rPr>
                  <w:instrText xml:space="preserve"> PAGEREF _Toc232191336 \h </w:instrText>
                </w:r>
                <w:r>
                  <w:rPr>
                    <w:noProof/>
                    <w:webHidden/>
                  </w:rPr>
                </w:r>
                <w:r>
                  <w:rPr>
                    <w:noProof/>
                    <w:webHidden/>
                  </w:rPr>
                  <w:fldChar w:fldCharType="separate"/>
                </w:r>
                <w:r w:rsidR="00796CB9">
                  <w:rPr>
                    <w:noProof/>
                    <w:webHidden/>
                  </w:rPr>
                  <w:t>55</w:t>
                </w:r>
                <w:r>
                  <w:rPr>
                    <w:noProof/>
                    <w:webHidden/>
                  </w:rPr>
                  <w:fldChar w:fldCharType="end"/>
                </w:r>
              </w:hyperlink>
            </w:p>
            <w:p w14:paraId="29D98819" w14:textId="1A858F25"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37" w:history="1">
                <w:r w:rsidRPr="00354D38">
                  <w:rPr>
                    <w:rStyle w:val="Hyperlink"/>
                    <w:noProof/>
                  </w:rPr>
                  <w:t>Entities not considered interposed entities</w:t>
                </w:r>
                <w:r>
                  <w:rPr>
                    <w:noProof/>
                    <w:webHidden/>
                  </w:rPr>
                  <w:tab/>
                </w:r>
                <w:r>
                  <w:rPr>
                    <w:noProof/>
                    <w:webHidden/>
                  </w:rPr>
                  <w:fldChar w:fldCharType="begin"/>
                </w:r>
                <w:r>
                  <w:rPr>
                    <w:noProof/>
                    <w:webHidden/>
                  </w:rPr>
                  <w:instrText xml:space="preserve"> PAGEREF _Toc232191337 \h </w:instrText>
                </w:r>
                <w:r>
                  <w:rPr>
                    <w:noProof/>
                    <w:webHidden/>
                  </w:rPr>
                </w:r>
                <w:r>
                  <w:rPr>
                    <w:noProof/>
                    <w:webHidden/>
                  </w:rPr>
                  <w:fldChar w:fldCharType="separate"/>
                </w:r>
                <w:r w:rsidR="00796CB9">
                  <w:rPr>
                    <w:noProof/>
                    <w:webHidden/>
                  </w:rPr>
                  <w:t>55</w:t>
                </w:r>
                <w:r>
                  <w:rPr>
                    <w:noProof/>
                    <w:webHidden/>
                  </w:rPr>
                  <w:fldChar w:fldCharType="end"/>
                </w:r>
              </w:hyperlink>
            </w:p>
            <w:p w14:paraId="1946F9BB" w14:textId="46C7DB46"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38" w:history="1">
                <w:r w:rsidRPr="00354D38">
                  <w:rPr>
                    <w:rStyle w:val="Hyperlink"/>
                    <w:noProof/>
                  </w:rPr>
                  <w:t>6 Attribution Managed Investment Trusts &amp; Attribution CCIV sub-fund Trusts</w:t>
                </w:r>
                <w:r>
                  <w:rPr>
                    <w:noProof/>
                    <w:webHidden/>
                  </w:rPr>
                  <w:tab/>
                </w:r>
                <w:r>
                  <w:rPr>
                    <w:noProof/>
                    <w:webHidden/>
                  </w:rPr>
                  <w:fldChar w:fldCharType="begin"/>
                </w:r>
                <w:r>
                  <w:rPr>
                    <w:noProof/>
                    <w:webHidden/>
                  </w:rPr>
                  <w:instrText xml:space="preserve"> PAGEREF _Toc232191338 \h </w:instrText>
                </w:r>
                <w:r>
                  <w:rPr>
                    <w:noProof/>
                    <w:webHidden/>
                  </w:rPr>
                </w:r>
                <w:r>
                  <w:rPr>
                    <w:noProof/>
                    <w:webHidden/>
                  </w:rPr>
                  <w:fldChar w:fldCharType="separate"/>
                </w:r>
                <w:r w:rsidR="00796CB9">
                  <w:rPr>
                    <w:noProof/>
                    <w:webHidden/>
                  </w:rPr>
                  <w:t>56</w:t>
                </w:r>
                <w:r>
                  <w:rPr>
                    <w:noProof/>
                    <w:webHidden/>
                  </w:rPr>
                  <w:fldChar w:fldCharType="end"/>
                </w:r>
              </w:hyperlink>
            </w:p>
            <w:p w14:paraId="52E73BD2" w14:textId="6CA8A729"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39" w:history="1">
                <w:r w:rsidRPr="00354D38">
                  <w:rPr>
                    <w:rStyle w:val="Hyperlink"/>
                    <w:noProof/>
                  </w:rPr>
                  <w:t>MIT, AMITS and CCIV sub-fund trusts</w:t>
                </w:r>
                <w:r>
                  <w:rPr>
                    <w:noProof/>
                    <w:webHidden/>
                  </w:rPr>
                  <w:tab/>
                </w:r>
                <w:r>
                  <w:rPr>
                    <w:noProof/>
                    <w:webHidden/>
                  </w:rPr>
                  <w:fldChar w:fldCharType="begin"/>
                </w:r>
                <w:r>
                  <w:rPr>
                    <w:noProof/>
                    <w:webHidden/>
                  </w:rPr>
                  <w:instrText xml:space="preserve"> PAGEREF _Toc232191339 \h </w:instrText>
                </w:r>
                <w:r>
                  <w:rPr>
                    <w:noProof/>
                    <w:webHidden/>
                  </w:rPr>
                </w:r>
                <w:r>
                  <w:rPr>
                    <w:noProof/>
                    <w:webHidden/>
                  </w:rPr>
                  <w:fldChar w:fldCharType="separate"/>
                </w:r>
                <w:r w:rsidR="00796CB9">
                  <w:rPr>
                    <w:noProof/>
                    <w:webHidden/>
                  </w:rPr>
                  <w:t>57</w:t>
                </w:r>
                <w:r>
                  <w:rPr>
                    <w:noProof/>
                    <w:webHidden/>
                  </w:rPr>
                  <w:fldChar w:fldCharType="end"/>
                </w:r>
              </w:hyperlink>
            </w:p>
            <w:p w14:paraId="0BEECCAC" w14:textId="331CB925"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40" w:history="1">
                <w:r w:rsidRPr="00354D38">
                  <w:rPr>
                    <w:rStyle w:val="Hyperlink"/>
                    <w:noProof/>
                  </w:rPr>
                  <w:t>AMMA statement</w:t>
                </w:r>
                <w:r>
                  <w:rPr>
                    <w:noProof/>
                    <w:webHidden/>
                  </w:rPr>
                  <w:tab/>
                </w:r>
                <w:r>
                  <w:rPr>
                    <w:noProof/>
                    <w:webHidden/>
                  </w:rPr>
                  <w:fldChar w:fldCharType="begin"/>
                </w:r>
                <w:r>
                  <w:rPr>
                    <w:noProof/>
                    <w:webHidden/>
                  </w:rPr>
                  <w:instrText xml:space="preserve"> PAGEREF _Toc232191340 \h </w:instrText>
                </w:r>
                <w:r>
                  <w:rPr>
                    <w:noProof/>
                    <w:webHidden/>
                  </w:rPr>
                </w:r>
                <w:r>
                  <w:rPr>
                    <w:noProof/>
                    <w:webHidden/>
                  </w:rPr>
                  <w:fldChar w:fldCharType="separate"/>
                </w:r>
                <w:r w:rsidR="00796CB9">
                  <w:rPr>
                    <w:noProof/>
                    <w:webHidden/>
                  </w:rPr>
                  <w:t>61</w:t>
                </w:r>
                <w:r>
                  <w:rPr>
                    <w:noProof/>
                    <w:webHidden/>
                  </w:rPr>
                  <w:fldChar w:fldCharType="end"/>
                </w:r>
              </w:hyperlink>
            </w:p>
            <w:p w14:paraId="632E8CBE" w14:textId="054057DD"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41" w:history="1">
                <w:r w:rsidRPr="00354D38">
                  <w:rPr>
                    <w:rStyle w:val="Hyperlink"/>
                    <w:noProof/>
                  </w:rPr>
                  <w:t>General Information</w:t>
                </w:r>
                <w:r>
                  <w:rPr>
                    <w:noProof/>
                    <w:webHidden/>
                  </w:rPr>
                  <w:tab/>
                </w:r>
                <w:r>
                  <w:rPr>
                    <w:noProof/>
                    <w:webHidden/>
                  </w:rPr>
                  <w:fldChar w:fldCharType="begin"/>
                </w:r>
                <w:r>
                  <w:rPr>
                    <w:noProof/>
                    <w:webHidden/>
                  </w:rPr>
                  <w:instrText xml:space="preserve"> PAGEREF _Toc232191341 \h </w:instrText>
                </w:r>
                <w:r>
                  <w:rPr>
                    <w:noProof/>
                    <w:webHidden/>
                  </w:rPr>
                </w:r>
                <w:r>
                  <w:rPr>
                    <w:noProof/>
                    <w:webHidden/>
                  </w:rPr>
                  <w:fldChar w:fldCharType="separate"/>
                </w:r>
                <w:r w:rsidR="00796CB9">
                  <w:rPr>
                    <w:noProof/>
                    <w:webHidden/>
                  </w:rPr>
                  <w:t>61</w:t>
                </w:r>
                <w:r>
                  <w:rPr>
                    <w:noProof/>
                    <w:webHidden/>
                  </w:rPr>
                  <w:fldChar w:fldCharType="end"/>
                </w:r>
              </w:hyperlink>
            </w:p>
            <w:p w14:paraId="0BDA3FF3" w14:textId="50048CFA"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42" w:history="1">
                <w:r w:rsidRPr="00354D38">
                  <w:rPr>
                    <w:rStyle w:val="Hyperlink"/>
                    <w:noProof/>
                  </w:rPr>
                  <w:t>Mandatory and conditional fields for AMITs</w:t>
                </w:r>
                <w:r>
                  <w:rPr>
                    <w:noProof/>
                    <w:webHidden/>
                  </w:rPr>
                  <w:tab/>
                </w:r>
                <w:r>
                  <w:rPr>
                    <w:noProof/>
                    <w:webHidden/>
                  </w:rPr>
                  <w:fldChar w:fldCharType="begin"/>
                </w:r>
                <w:r>
                  <w:rPr>
                    <w:noProof/>
                    <w:webHidden/>
                  </w:rPr>
                  <w:instrText xml:space="preserve"> PAGEREF _Toc232191342 \h </w:instrText>
                </w:r>
                <w:r>
                  <w:rPr>
                    <w:noProof/>
                    <w:webHidden/>
                  </w:rPr>
                </w:r>
                <w:r>
                  <w:rPr>
                    <w:noProof/>
                    <w:webHidden/>
                  </w:rPr>
                  <w:fldChar w:fldCharType="separate"/>
                </w:r>
                <w:r w:rsidR="00796CB9">
                  <w:rPr>
                    <w:noProof/>
                    <w:webHidden/>
                  </w:rPr>
                  <w:t>61</w:t>
                </w:r>
                <w:r>
                  <w:rPr>
                    <w:noProof/>
                    <w:webHidden/>
                  </w:rPr>
                  <w:fldChar w:fldCharType="end"/>
                </w:r>
              </w:hyperlink>
            </w:p>
            <w:p w14:paraId="4ED40878" w14:textId="194C0946"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43" w:history="1">
                <w:r w:rsidRPr="00354D38">
                  <w:rPr>
                    <w:rStyle w:val="Hyperlink"/>
                    <w:noProof/>
                  </w:rPr>
                  <w:t>Logical structure requirements</w:t>
                </w:r>
                <w:r>
                  <w:rPr>
                    <w:noProof/>
                    <w:webHidden/>
                  </w:rPr>
                  <w:tab/>
                </w:r>
                <w:r>
                  <w:rPr>
                    <w:noProof/>
                    <w:webHidden/>
                  </w:rPr>
                  <w:fldChar w:fldCharType="begin"/>
                </w:r>
                <w:r>
                  <w:rPr>
                    <w:noProof/>
                    <w:webHidden/>
                  </w:rPr>
                  <w:instrText xml:space="preserve"> PAGEREF _Toc232191343 \h </w:instrText>
                </w:r>
                <w:r>
                  <w:rPr>
                    <w:noProof/>
                    <w:webHidden/>
                  </w:rPr>
                </w:r>
                <w:r>
                  <w:rPr>
                    <w:noProof/>
                    <w:webHidden/>
                  </w:rPr>
                  <w:fldChar w:fldCharType="separate"/>
                </w:r>
                <w:r w:rsidR="00796CB9">
                  <w:rPr>
                    <w:noProof/>
                    <w:webHidden/>
                  </w:rPr>
                  <w:t>63</w:t>
                </w:r>
                <w:r>
                  <w:rPr>
                    <w:noProof/>
                    <w:webHidden/>
                  </w:rPr>
                  <w:fldChar w:fldCharType="end"/>
                </w:r>
              </w:hyperlink>
            </w:p>
            <w:p w14:paraId="3755D077" w14:textId="1B5BC836"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44" w:history="1">
                <w:r w:rsidRPr="00354D38">
                  <w:rPr>
                    <w:rStyle w:val="Hyperlink"/>
                    <w:noProof/>
                  </w:rPr>
                  <w:t>Conditional requirements</w:t>
                </w:r>
                <w:r>
                  <w:rPr>
                    <w:noProof/>
                    <w:webHidden/>
                  </w:rPr>
                  <w:tab/>
                </w:r>
                <w:r>
                  <w:rPr>
                    <w:noProof/>
                    <w:webHidden/>
                  </w:rPr>
                  <w:fldChar w:fldCharType="begin"/>
                </w:r>
                <w:r>
                  <w:rPr>
                    <w:noProof/>
                    <w:webHidden/>
                  </w:rPr>
                  <w:instrText xml:space="preserve"> PAGEREF _Toc232191344 \h </w:instrText>
                </w:r>
                <w:r>
                  <w:rPr>
                    <w:noProof/>
                    <w:webHidden/>
                  </w:rPr>
                </w:r>
                <w:r>
                  <w:rPr>
                    <w:noProof/>
                    <w:webHidden/>
                  </w:rPr>
                  <w:fldChar w:fldCharType="separate"/>
                </w:r>
                <w:r w:rsidR="00796CB9">
                  <w:rPr>
                    <w:noProof/>
                    <w:webHidden/>
                  </w:rPr>
                  <w:t>64</w:t>
                </w:r>
                <w:r>
                  <w:rPr>
                    <w:noProof/>
                    <w:webHidden/>
                  </w:rPr>
                  <w:fldChar w:fldCharType="end"/>
                </w:r>
              </w:hyperlink>
            </w:p>
            <w:p w14:paraId="722B3C25" w14:textId="01BC8040"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45" w:history="1">
                <w:r w:rsidRPr="00354D38">
                  <w:rPr>
                    <w:rStyle w:val="Hyperlink"/>
                    <w:noProof/>
                  </w:rPr>
                  <w:t>Specific information</w:t>
                </w:r>
                <w:r>
                  <w:rPr>
                    <w:noProof/>
                    <w:webHidden/>
                  </w:rPr>
                  <w:tab/>
                </w:r>
                <w:r>
                  <w:rPr>
                    <w:noProof/>
                    <w:webHidden/>
                  </w:rPr>
                  <w:fldChar w:fldCharType="begin"/>
                </w:r>
                <w:r>
                  <w:rPr>
                    <w:noProof/>
                    <w:webHidden/>
                  </w:rPr>
                  <w:instrText xml:space="preserve"> PAGEREF _Toc232191345 \h </w:instrText>
                </w:r>
                <w:r>
                  <w:rPr>
                    <w:noProof/>
                    <w:webHidden/>
                  </w:rPr>
                </w:r>
                <w:r>
                  <w:rPr>
                    <w:noProof/>
                    <w:webHidden/>
                  </w:rPr>
                  <w:fldChar w:fldCharType="separate"/>
                </w:r>
                <w:r w:rsidR="00796CB9">
                  <w:rPr>
                    <w:noProof/>
                    <w:webHidden/>
                  </w:rPr>
                  <w:t>68</w:t>
                </w:r>
                <w:r>
                  <w:rPr>
                    <w:noProof/>
                    <w:webHidden/>
                  </w:rPr>
                  <w:fldChar w:fldCharType="end"/>
                </w:r>
              </w:hyperlink>
            </w:p>
            <w:p w14:paraId="7FAF4C40" w14:textId="49B5481F"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46" w:history="1">
                <w:r w:rsidRPr="00354D38">
                  <w:rPr>
                    <w:rStyle w:val="Hyperlink"/>
                    <w:noProof/>
                  </w:rPr>
                  <w:t>AMIT cost base net amounts</w:t>
                </w:r>
                <w:r>
                  <w:rPr>
                    <w:noProof/>
                    <w:webHidden/>
                  </w:rPr>
                  <w:tab/>
                </w:r>
                <w:r>
                  <w:rPr>
                    <w:noProof/>
                    <w:webHidden/>
                  </w:rPr>
                  <w:fldChar w:fldCharType="begin"/>
                </w:r>
                <w:r>
                  <w:rPr>
                    <w:noProof/>
                    <w:webHidden/>
                  </w:rPr>
                  <w:instrText xml:space="preserve"> PAGEREF _Toc232191346 \h </w:instrText>
                </w:r>
                <w:r>
                  <w:rPr>
                    <w:noProof/>
                    <w:webHidden/>
                  </w:rPr>
                </w:r>
                <w:r>
                  <w:rPr>
                    <w:noProof/>
                    <w:webHidden/>
                  </w:rPr>
                  <w:fldChar w:fldCharType="separate"/>
                </w:r>
                <w:r w:rsidR="00796CB9">
                  <w:rPr>
                    <w:noProof/>
                    <w:webHidden/>
                  </w:rPr>
                  <w:t>68</w:t>
                </w:r>
                <w:r>
                  <w:rPr>
                    <w:noProof/>
                    <w:webHidden/>
                  </w:rPr>
                  <w:fldChar w:fldCharType="end"/>
                </w:r>
              </w:hyperlink>
            </w:p>
            <w:p w14:paraId="030D3A5A" w14:textId="78C5EAF7"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47" w:history="1">
                <w:r w:rsidRPr="00354D38">
                  <w:rPr>
                    <w:rStyle w:val="Hyperlink"/>
                    <w:noProof/>
                  </w:rPr>
                  <w:t>AMIT classes</w:t>
                </w:r>
                <w:r>
                  <w:rPr>
                    <w:noProof/>
                    <w:webHidden/>
                  </w:rPr>
                  <w:tab/>
                </w:r>
                <w:r>
                  <w:rPr>
                    <w:noProof/>
                    <w:webHidden/>
                  </w:rPr>
                  <w:fldChar w:fldCharType="begin"/>
                </w:r>
                <w:r>
                  <w:rPr>
                    <w:noProof/>
                    <w:webHidden/>
                  </w:rPr>
                  <w:instrText xml:space="preserve"> PAGEREF _Toc232191347 \h </w:instrText>
                </w:r>
                <w:r>
                  <w:rPr>
                    <w:noProof/>
                    <w:webHidden/>
                  </w:rPr>
                </w:r>
                <w:r>
                  <w:rPr>
                    <w:noProof/>
                    <w:webHidden/>
                  </w:rPr>
                  <w:fldChar w:fldCharType="separate"/>
                </w:r>
                <w:r w:rsidR="00796CB9">
                  <w:rPr>
                    <w:noProof/>
                    <w:webHidden/>
                  </w:rPr>
                  <w:t>71</w:t>
                </w:r>
                <w:r>
                  <w:rPr>
                    <w:noProof/>
                    <w:webHidden/>
                  </w:rPr>
                  <w:fldChar w:fldCharType="end"/>
                </w:r>
              </w:hyperlink>
            </w:p>
            <w:p w14:paraId="2D842EFE" w14:textId="6E92E367"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48" w:history="1">
                <w:r w:rsidRPr="00354D38">
                  <w:rPr>
                    <w:rStyle w:val="Hyperlink"/>
                    <w:noProof/>
                  </w:rPr>
                  <w:t>Allocation of deductions and flow through reporting</w:t>
                </w:r>
                <w:r>
                  <w:rPr>
                    <w:noProof/>
                    <w:webHidden/>
                  </w:rPr>
                  <w:tab/>
                </w:r>
                <w:r>
                  <w:rPr>
                    <w:noProof/>
                    <w:webHidden/>
                  </w:rPr>
                  <w:fldChar w:fldCharType="begin"/>
                </w:r>
                <w:r>
                  <w:rPr>
                    <w:noProof/>
                    <w:webHidden/>
                  </w:rPr>
                  <w:instrText xml:space="preserve"> PAGEREF _Toc232191348 \h </w:instrText>
                </w:r>
                <w:r>
                  <w:rPr>
                    <w:noProof/>
                    <w:webHidden/>
                  </w:rPr>
                </w:r>
                <w:r>
                  <w:rPr>
                    <w:noProof/>
                    <w:webHidden/>
                  </w:rPr>
                  <w:fldChar w:fldCharType="separate"/>
                </w:r>
                <w:r w:rsidR="00796CB9">
                  <w:rPr>
                    <w:noProof/>
                    <w:webHidden/>
                  </w:rPr>
                  <w:t>73</w:t>
                </w:r>
                <w:r>
                  <w:rPr>
                    <w:noProof/>
                    <w:webHidden/>
                  </w:rPr>
                  <w:fldChar w:fldCharType="end"/>
                </w:r>
              </w:hyperlink>
            </w:p>
            <w:p w14:paraId="430B84C4" w14:textId="4846887A"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49" w:history="1">
                <w:r w:rsidRPr="00354D38">
                  <w:rPr>
                    <w:rStyle w:val="Hyperlink"/>
                    <w:noProof/>
                  </w:rPr>
                  <w:t>7 Trust Reporting</w:t>
                </w:r>
                <w:r>
                  <w:rPr>
                    <w:noProof/>
                    <w:webHidden/>
                  </w:rPr>
                  <w:tab/>
                </w:r>
                <w:r>
                  <w:rPr>
                    <w:noProof/>
                    <w:webHidden/>
                  </w:rPr>
                  <w:fldChar w:fldCharType="begin"/>
                </w:r>
                <w:r>
                  <w:rPr>
                    <w:noProof/>
                    <w:webHidden/>
                  </w:rPr>
                  <w:instrText xml:space="preserve"> PAGEREF _Toc232191349 \h </w:instrText>
                </w:r>
                <w:r>
                  <w:rPr>
                    <w:noProof/>
                    <w:webHidden/>
                  </w:rPr>
                </w:r>
                <w:r>
                  <w:rPr>
                    <w:noProof/>
                    <w:webHidden/>
                  </w:rPr>
                  <w:fldChar w:fldCharType="separate"/>
                </w:r>
                <w:r w:rsidR="00796CB9">
                  <w:rPr>
                    <w:noProof/>
                    <w:webHidden/>
                  </w:rPr>
                  <w:t>75</w:t>
                </w:r>
                <w:r>
                  <w:rPr>
                    <w:noProof/>
                    <w:webHidden/>
                  </w:rPr>
                  <w:fldChar w:fldCharType="end"/>
                </w:r>
              </w:hyperlink>
            </w:p>
            <w:p w14:paraId="2BF1306A" w14:textId="5FDDA58E"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50" w:history="1">
                <w:r w:rsidRPr="00354D38">
                  <w:rPr>
                    <w:rStyle w:val="Hyperlink"/>
                    <w:noProof/>
                  </w:rPr>
                  <w:t>Build to Rent (BTR) Measure – new from Version 14 reporting for 2025/2026 Financial Year onwards</w:t>
                </w:r>
                <w:r>
                  <w:rPr>
                    <w:noProof/>
                    <w:webHidden/>
                  </w:rPr>
                  <w:tab/>
                </w:r>
                <w:r>
                  <w:rPr>
                    <w:noProof/>
                    <w:webHidden/>
                  </w:rPr>
                  <w:fldChar w:fldCharType="begin"/>
                </w:r>
                <w:r>
                  <w:rPr>
                    <w:noProof/>
                    <w:webHidden/>
                  </w:rPr>
                  <w:instrText xml:space="preserve"> PAGEREF _Toc232191350 \h </w:instrText>
                </w:r>
                <w:r>
                  <w:rPr>
                    <w:noProof/>
                    <w:webHidden/>
                  </w:rPr>
                </w:r>
                <w:r>
                  <w:rPr>
                    <w:noProof/>
                    <w:webHidden/>
                  </w:rPr>
                  <w:fldChar w:fldCharType="separate"/>
                </w:r>
                <w:r w:rsidR="00796CB9">
                  <w:rPr>
                    <w:noProof/>
                    <w:webHidden/>
                  </w:rPr>
                  <w:t>75</w:t>
                </w:r>
                <w:r>
                  <w:rPr>
                    <w:noProof/>
                    <w:webHidden/>
                  </w:rPr>
                  <w:fldChar w:fldCharType="end"/>
                </w:r>
              </w:hyperlink>
            </w:p>
            <w:p w14:paraId="5EDB2AD9" w14:textId="0B630436"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51" w:history="1">
                <w:r w:rsidRPr="00354D38">
                  <w:rPr>
                    <w:rStyle w:val="Hyperlink"/>
                    <w:noProof/>
                  </w:rPr>
                  <w:t>CGT discount for affordable housing</w:t>
                </w:r>
                <w:r>
                  <w:rPr>
                    <w:noProof/>
                    <w:webHidden/>
                  </w:rPr>
                  <w:tab/>
                </w:r>
                <w:r>
                  <w:rPr>
                    <w:noProof/>
                    <w:webHidden/>
                  </w:rPr>
                  <w:fldChar w:fldCharType="begin"/>
                </w:r>
                <w:r>
                  <w:rPr>
                    <w:noProof/>
                    <w:webHidden/>
                  </w:rPr>
                  <w:instrText xml:space="preserve"> PAGEREF _Toc232191351 \h </w:instrText>
                </w:r>
                <w:r>
                  <w:rPr>
                    <w:noProof/>
                    <w:webHidden/>
                  </w:rPr>
                </w:r>
                <w:r>
                  <w:rPr>
                    <w:noProof/>
                    <w:webHidden/>
                  </w:rPr>
                  <w:fldChar w:fldCharType="separate"/>
                </w:r>
                <w:r w:rsidR="00796CB9">
                  <w:rPr>
                    <w:noProof/>
                    <w:webHidden/>
                  </w:rPr>
                  <w:t>82</w:t>
                </w:r>
                <w:r>
                  <w:rPr>
                    <w:noProof/>
                    <w:webHidden/>
                  </w:rPr>
                  <w:fldChar w:fldCharType="end"/>
                </w:r>
              </w:hyperlink>
            </w:p>
            <w:p w14:paraId="1907A698" w14:textId="0F3E6436"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52" w:history="1">
                <w:r w:rsidRPr="00354D38">
                  <w:rPr>
                    <w:rStyle w:val="Hyperlink"/>
                    <w:noProof/>
                  </w:rPr>
                  <w:t>Stapled Structures and non-concessional MIT income (NCMI) reporting</w:t>
                </w:r>
                <w:r>
                  <w:rPr>
                    <w:noProof/>
                    <w:webHidden/>
                  </w:rPr>
                  <w:tab/>
                </w:r>
                <w:r>
                  <w:rPr>
                    <w:noProof/>
                    <w:webHidden/>
                  </w:rPr>
                  <w:fldChar w:fldCharType="begin"/>
                </w:r>
                <w:r>
                  <w:rPr>
                    <w:noProof/>
                    <w:webHidden/>
                  </w:rPr>
                  <w:instrText xml:space="preserve"> PAGEREF _Toc232191352 \h </w:instrText>
                </w:r>
                <w:r>
                  <w:rPr>
                    <w:noProof/>
                    <w:webHidden/>
                  </w:rPr>
                </w:r>
                <w:r>
                  <w:rPr>
                    <w:noProof/>
                    <w:webHidden/>
                  </w:rPr>
                  <w:fldChar w:fldCharType="separate"/>
                </w:r>
                <w:r w:rsidR="00796CB9">
                  <w:rPr>
                    <w:noProof/>
                    <w:webHidden/>
                  </w:rPr>
                  <w:t>83</w:t>
                </w:r>
                <w:r>
                  <w:rPr>
                    <w:noProof/>
                    <w:webHidden/>
                  </w:rPr>
                  <w:fldChar w:fldCharType="end"/>
                </w:r>
              </w:hyperlink>
            </w:p>
            <w:p w14:paraId="558ECDF0" w14:textId="2DA75556"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53" w:history="1">
                <w:r w:rsidRPr="00354D38">
                  <w:rPr>
                    <w:rStyle w:val="Hyperlink"/>
                    <w:noProof/>
                  </w:rPr>
                  <w:t>What can be included in a trust distribution</w:t>
                </w:r>
                <w:r>
                  <w:rPr>
                    <w:noProof/>
                    <w:webHidden/>
                  </w:rPr>
                  <w:tab/>
                </w:r>
                <w:r>
                  <w:rPr>
                    <w:noProof/>
                    <w:webHidden/>
                  </w:rPr>
                  <w:fldChar w:fldCharType="begin"/>
                </w:r>
                <w:r>
                  <w:rPr>
                    <w:noProof/>
                    <w:webHidden/>
                  </w:rPr>
                  <w:instrText xml:space="preserve"> PAGEREF _Toc232191353 \h </w:instrText>
                </w:r>
                <w:r>
                  <w:rPr>
                    <w:noProof/>
                    <w:webHidden/>
                  </w:rPr>
                </w:r>
                <w:r>
                  <w:rPr>
                    <w:noProof/>
                    <w:webHidden/>
                  </w:rPr>
                  <w:fldChar w:fldCharType="separate"/>
                </w:r>
                <w:r w:rsidR="00796CB9">
                  <w:rPr>
                    <w:noProof/>
                    <w:webHidden/>
                  </w:rPr>
                  <w:t>90</w:t>
                </w:r>
                <w:r>
                  <w:rPr>
                    <w:noProof/>
                    <w:webHidden/>
                  </w:rPr>
                  <w:fldChar w:fldCharType="end"/>
                </w:r>
              </w:hyperlink>
            </w:p>
            <w:p w14:paraId="627F5D48" w14:textId="12A5DCC9"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54" w:history="1">
                <w:r w:rsidRPr="00354D38">
                  <w:rPr>
                    <w:rStyle w:val="Hyperlink"/>
                    <w:noProof/>
                  </w:rPr>
                  <w:t>Distributions from corporate unit trusts and public trading trusts</w:t>
                </w:r>
                <w:r>
                  <w:rPr>
                    <w:noProof/>
                    <w:webHidden/>
                  </w:rPr>
                  <w:tab/>
                </w:r>
                <w:r>
                  <w:rPr>
                    <w:noProof/>
                    <w:webHidden/>
                  </w:rPr>
                  <w:fldChar w:fldCharType="begin"/>
                </w:r>
                <w:r>
                  <w:rPr>
                    <w:noProof/>
                    <w:webHidden/>
                  </w:rPr>
                  <w:instrText xml:space="preserve"> PAGEREF _Toc232191354 \h </w:instrText>
                </w:r>
                <w:r>
                  <w:rPr>
                    <w:noProof/>
                    <w:webHidden/>
                  </w:rPr>
                </w:r>
                <w:r>
                  <w:rPr>
                    <w:noProof/>
                    <w:webHidden/>
                  </w:rPr>
                  <w:fldChar w:fldCharType="separate"/>
                </w:r>
                <w:r w:rsidR="00796CB9">
                  <w:rPr>
                    <w:noProof/>
                    <w:webHidden/>
                  </w:rPr>
                  <w:t>90</w:t>
                </w:r>
                <w:r>
                  <w:rPr>
                    <w:noProof/>
                    <w:webHidden/>
                  </w:rPr>
                  <w:fldChar w:fldCharType="end"/>
                </w:r>
              </w:hyperlink>
            </w:p>
            <w:p w14:paraId="4B2A7EFA" w14:textId="13B5FAD3"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55" w:history="1">
                <w:r w:rsidRPr="00354D38">
                  <w:rPr>
                    <w:rStyle w:val="Hyperlink"/>
                    <w:bCs/>
                    <w:iCs/>
                    <w:noProof/>
                  </w:rPr>
                  <w:t>Negative amounts cannot be reported in the AIIR</w:t>
                </w:r>
                <w:r>
                  <w:rPr>
                    <w:noProof/>
                    <w:webHidden/>
                  </w:rPr>
                  <w:tab/>
                </w:r>
                <w:r>
                  <w:rPr>
                    <w:noProof/>
                    <w:webHidden/>
                  </w:rPr>
                  <w:fldChar w:fldCharType="begin"/>
                </w:r>
                <w:r>
                  <w:rPr>
                    <w:noProof/>
                    <w:webHidden/>
                  </w:rPr>
                  <w:instrText xml:space="preserve"> PAGEREF _Toc232191355 \h </w:instrText>
                </w:r>
                <w:r>
                  <w:rPr>
                    <w:noProof/>
                    <w:webHidden/>
                  </w:rPr>
                </w:r>
                <w:r>
                  <w:rPr>
                    <w:noProof/>
                    <w:webHidden/>
                  </w:rPr>
                  <w:fldChar w:fldCharType="separate"/>
                </w:r>
                <w:r w:rsidR="00796CB9">
                  <w:rPr>
                    <w:noProof/>
                    <w:webHidden/>
                  </w:rPr>
                  <w:t>90</w:t>
                </w:r>
                <w:r>
                  <w:rPr>
                    <w:noProof/>
                    <w:webHidden/>
                  </w:rPr>
                  <w:fldChar w:fldCharType="end"/>
                </w:r>
              </w:hyperlink>
            </w:p>
            <w:p w14:paraId="38562545" w14:textId="6951D3BA"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56" w:history="1">
                <w:r w:rsidRPr="00354D38">
                  <w:rPr>
                    <w:rStyle w:val="Hyperlink"/>
                    <w:noProof/>
                  </w:rPr>
                  <w:t>General Information</w:t>
                </w:r>
                <w:r>
                  <w:rPr>
                    <w:noProof/>
                    <w:webHidden/>
                  </w:rPr>
                  <w:tab/>
                </w:r>
                <w:r>
                  <w:rPr>
                    <w:noProof/>
                    <w:webHidden/>
                  </w:rPr>
                  <w:fldChar w:fldCharType="begin"/>
                </w:r>
                <w:r>
                  <w:rPr>
                    <w:noProof/>
                    <w:webHidden/>
                  </w:rPr>
                  <w:instrText xml:space="preserve"> PAGEREF _Toc232191356 \h </w:instrText>
                </w:r>
                <w:r>
                  <w:rPr>
                    <w:noProof/>
                    <w:webHidden/>
                  </w:rPr>
                </w:r>
                <w:r>
                  <w:rPr>
                    <w:noProof/>
                    <w:webHidden/>
                  </w:rPr>
                  <w:fldChar w:fldCharType="separate"/>
                </w:r>
                <w:r w:rsidR="00796CB9">
                  <w:rPr>
                    <w:noProof/>
                    <w:webHidden/>
                  </w:rPr>
                  <w:t>91</w:t>
                </w:r>
                <w:r>
                  <w:rPr>
                    <w:noProof/>
                    <w:webHidden/>
                  </w:rPr>
                  <w:fldChar w:fldCharType="end"/>
                </w:r>
              </w:hyperlink>
            </w:p>
            <w:p w14:paraId="5BE0A9D9" w14:textId="0CB97E6E"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57" w:history="1">
                <w:r w:rsidRPr="00354D38">
                  <w:rPr>
                    <w:rStyle w:val="Hyperlink"/>
                    <w:noProof/>
                  </w:rPr>
                  <w:t>Mandatory requirements</w:t>
                </w:r>
                <w:r>
                  <w:rPr>
                    <w:noProof/>
                    <w:webHidden/>
                  </w:rPr>
                  <w:tab/>
                </w:r>
                <w:r>
                  <w:rPr>
                    <w:noProof/>
                    <w:webHidden/>
                  </w:rPr>
                  <w:fldChar w:fldCharType="begin"/>
                </w:r>
                <w:r>
                  <w:rPr>
                    <w:noProof/>
                    <w:webHidden/>
                  </w:rPr>
                  <w:instrText xml:space="preserve"> PAGEREF _Toc232191357 \h </w:instrText>
                </w:r>
                <w:r>
                  <w:rPr>
                    <w:noProof/>
                    <w:webHidden/>
                  </w:rPr>
                </w:r>
                <w:r>
                  <w:rPr>
                    <w:noProof/>
                    <w:webHidden/>
                  </w:rPr>
                  <w:fldChar w:fldCharType="separate"/>
                </w:r>
                <w:r w:rsidR="00796CB9">
                  <w:rPr>
                    <w:noProof/>
                    <w:webHidden/>
                  </w:rPr>
                  <w:t>91</w:t>
                </w:r>
                <w:r>
                  <w:rPr>
                    <w:noProof/>
                    <w:webHidden/>
                  </w:rPr>
                  <w:fldChar w:fldCharType="end"/>
                </w:r>
              </w:hyperlink>
            </w:p>
            <w:p w14:paraId="54E0C53E" w14:textId="3C8984C6"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58" w:history="1">
                <w:r w:rsidRPr="00354D38">
                  <w:rPr>
                    <w:rStyle w:val="Hyperlink"/>
                    <w:noProof/>
                  </w:rPr>
                  <w:t>Conditional requirements</w:t>
                </w:r>
                <w:r>
                  <w:rPr>
                    <w:noProof/>
                    <w:webHidden/>
                  </w:rPr>
                  <w:tab/>
                </w:r>
                <w:r>
                  <w:rPr>
                    <w:noProof/>
                    <w:webHidden/>
                  </w:rPr>
                  <w:fldChar w:fldCharType="begin"/>
                </w:r>
                <w:r>
                  <w:rPr>
                    <w:noProof/>
                    <w:webHidden/>
                  </w:rPr>
                  <w:instrText xml:space="preserve"> PAGEREF _Toc232191358 \h </w:instrText>
                </w:r>
                <w:r>
                  <w:rPr>
                    <w:noProof/>
                    <w:webHidden/>
                  </w:rPr>
                </w:r>
                <w:r>
                  <w:rPr>
                    <w:noProof/>
                    <w:webHidden/>
                  </w:rPr>
                  <w:fldChar w:fldCharType="separate"/>
                </w:r>
                <w:r w:rsidR="00796CB9">
                  <w:rPr>
                    <w:noProof/>
                    <w:webHidden/>
                  </w:rPr>
                  <w:t>91</w:t>
                </w:r>
                <w:r>
                  <w:rPr>
                    <w:noProof/>
                    <w:webHidden/>
                  </w:rPr>
                  <w:fldChar w:fldCharType="end"/>
                </w:r>
              </w:hyperlink>
            </w:p>
            <w:p w14:paraId="4DFBCC71" w14:textId="54348753"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59" w:history="1">
                <w:r w:rsidRPr="00354D38">
                  <w:rPr>
                    <w:rStyle w:val="Hyperlink"/>
                    <w:noProof/>
                  </w:rPr>
                  <w:t>Specific information</w:t>
                </w:r>
                <w:r>
                  <w:rPr>
                    <w:noProof/>
                    <w:webHidden/>
                  </w:rPr>
                  <w:tab/>
                </w:r>
                <w:r>
                  <w:rPr>
                    <w:noProof/>
                    <w:webHidden/>
                  </w:rPr>
                  <w:fldChar w:fldCharType="begin"/>
                </w:r>
                <w:r>
                  <w:rPr>
                    <w:noProof/>
                    <w:webHidden/>
                  </w:rPr>
                  <w:instrText xml:space="preserve"> PAGEREF _Toc232191359 \h </w:instrText>
                </w:r>
                <w:r>
                  <w:rPr>
                    <w:noProof/>
                    <w:webHidden/>
                  </w:rPr>
                </w:r>
                <w:r>
                  <w:rPr>
                    <w:noProof/>
                    <w:webHidden/>
                  </w:rPr>
                  <w:fldChar w:fldCharType="separate"/>
                </w:r>
                <w:r w:rsidR="00796CB9">
                  <w:rPr>
                    <w:noProof/>
                    <w:webHidden/>
                  </w:rPr>
                  <w:t>95</w:t>
                </w:r>
                <w:r>
                  <w:rPr>
                    <w:noProof/>
                    <w:webHidden/>
                  </w:rPr>
                  <w:fldChar w:fldCharType="end"/>
                </w:r>
              </w:hyperlink>
            </w:p>
            <w:p w14:paraId="4FDEDAA0" w14:textId="51978328"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60" w:history="1">
                <w:r w:rsidRPr="00354D38">
                  <w:rPr>
                    <w:rStyle w:val="Hyperlink"/>
                    <w:noProof/>
                  </w:rPr>
                  <w:t>Capital gains distributions</w:t>
                </w:r>
                <w:r>
                  <w:rPr>
                    <w:noProof/>
                    <w:webHidden/>
                  </w:rPr>
                  <w:tab/>
                </w:r>
                <w:r>
                  <w:rPr>
                    <w:noProof/>
                    <w:webHidden/>
                  </w:rPr>
                  <w:fldChar w:fldCharType="begin"/>
                </w:r>
                <w:r>
                  <w:rPr>
                    <w:noProof/>
                    <w:webHidden/>
                  </w:rPr>
                  <w:instrText xml:space="preserve"> PAGEREF _Toc232191360 \h </w:instrText>
                </w:r>
                <w:r>
                  <w:rPr>
                    <w:noProof/>
                    <w:webHidden/>
                  </w:rPr>
                </w:r>
                <w:r>
                  <w:rPr>
                    <w:noProof/>
                    <w:webHidden/>
                  </w:rPr>
                  <w:fldChar w:fldCharType="separate"/>
                </w:r>
                <w:r w:rsidR="00796CB9">
                  <w:rPr>
                    <w:noProof/>
                    <w:webHidden/>
                  </w:rPr>
                  <w:t>95</w:t>
                </w:r>
                <w:r>
                  <w:rPr>
                    <w:noProof/>
                    <w:webHidden/>
                  </w:rPr>
                  <w:fldChar w:fldCharType="end"/>
                </w:r>
              </w:hyperlink>
            </w:p>
            <w:p w14:paraId="33760238" w14:textId="652C2721"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61" w:history="1">
                <w:r w:rsidRPr="00354D38">
                  <w:rPr>
                    <w:rStyle w:val="Hyperlink"/>
                    <w:noProof/>
                  </w:rPr>
                  <w:t>Investor Directed Portfolio Services</w:t>
                </w:r>
                <w:r>
                  <w:rPr>
                    <w:noProof/>
                    <w:webHidden/>
                  </w:rPr>
                  <w:tab/>
                </w:r>
                <w:r>
                  <w:rPr>
                    <w:noProof/>
                    <w:webHidden/>
                  </w:rPr>
                  <w:fldChar w:fldCharType="begin"/>
                </w:r>
                <w:r>
                  <w:rPr>
                    <w:noProof/>
                    <w:webHidden/>
                  </w:rPr>
                  <w:instrText xml:space="preserve"> PAGEREF _Toc232191361 \h </w:instrText>
                </w:r>
                <w:r>
                  <w:rPr>
                    <w:noProof/>
                    <w:webHidden/>
                  </w:rPr>
                </w:r>
                <w:r>
                  <w:rPr>
                    <w:noProof/>
                    <w:webHidden/>
                  </w:rPr>
                  <w:fldChar w:fldCharType="separate"/>
                </w:r>
                <w:r w:rsidR="00796CB9">
                  <w:rPr>
                    <w:noProof/>
                    <w:webHidden/>
                  </w:rPr>
                  <w:t>97</w:t>
                </w:r>
                <w:r>
                  <w:rPr>
                    <w:noProof/>
                    <w:webHidden/>
                  </w:rPr>
                  <w:fldChar w:fldCharType="end"/>
                </w:r>
              </w:hyperlink>
            </w:p>
            <w:p w14:paraId="513FECDE" w14:textId="3B933721"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62" w:history="1">
                <w:r w:rsidRPr="00354D38">
                  <w:rPr>
                    <w:rStyle w:val="Hyperlink"/>
                    <w:noProof/>
                  </w:rPr>
                  <w:t>Share of Early Stage Investor tax offset</w:t>
                </w:r>
                <w:r>
                  <w:rPr>
                    <w:noProof/>
                    <w:webHidden/>
                  </w:rPr>
                  <w:tab/>
                </w:r>
                <w:r>
                  <w:rPr>
                    <w:noProof/>
                    <w:webHidden/>
                  </w:rPr>
                  <w:fldChar w:fldCharType="begin"/>
                </w:r>
                <w:r>
                  <w:rPr>
                    <w:noProof/>
                    <w:webHidden/>
                  </w:rPr>
                  <w:instrText xml:space="preserve"> PAGEREF _Toc232191362 \h </w:instrText>
                </w:r>
                <w:r>
                  <w:rPr>
                    <w:noProof/>
                    <w:webHidden/>
                  </w:rPr>
                </w:r>
                <w:r>
                  <w:rPr>
                    <w:noProof/>
                    <w:webHidden/>
                  </w:rPr>
                  <w:fldChar w:fldCharType="separate"/>
                </w:r>
                <w:r w:rsidR="00796CB9">
                  <w:rPr>
                    <w:noProof/>
                    <w:webHidden/>
                  </w:rPr>
                  <w:t>100</w:t>
                </w:r>
                <w:r>
                  <w:rPr>
                    <w:noProof/>
                    <w:webHidden/>
                  </w:rPr>
                  <w:fldChar w:fldCharType="end"/>
                </w:r>
              </w:hyperlink>
            </w:p>
            <w:p w14:paraId="1C6EE847" w14:textId="1321CE43"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63" w:history="1">
                <w:r w:rsidRPr="00354D38">
                  <w:rPr>
                    <w:rStyle w:val="Hyperlink"/>
                    <w:noProof/>
                  </w:rPr>
                  <w:t>Share of Early Stage Venture Capital Limited Partnership tax offset</w:t>
                </w:r>
                <w:r>
                  <w:rPr>
                    <w:noProof/>
                    <w:webHidden/>
                  </w:rPr>
                  <w:tab/>
                </w:r>
                <w:r>
                  <w:rPr>
                    <w:noProof/>
                    <w:webHidden/>
                  </w:rPr>
                  <w:fldChar w:fldCharType="begin"/>
                </w:r>
                <w:r>
                  <w:rPr>
                    <w:noProof/>
                    <w:webHidden/>
                  </w:rPr>
                  <w:instrText xml:space="preserve"> PAGEREF _Toc232191363 \h </w:instrText>
                </w:r>
                <w:r>
                  <w:rPr>
                    <w:noProof/>
                    <w:webHidden/>
                  </w:rPr>
                </w:r>
                <w:r>
                  <w:rPr>
                    <w:noProof/>
                    <w:webHidden/>
                  </w:rPr>
                  <w:fldChar w:fldCharType="separate"/>
                </w:r>
                <w:r w:rsidR="00796CB9">
                  <w:rPr>
                    <w:noProof/>
                    <w:webHidden/>
                  </w:rPr>
                  <w:t>101</w:t>
                </w:r>
                <w:r>
                  <w:rPr>
                    <w:noProof/>
                    <w:webHidden/>
                  </w:rPr>
                  <w:fldChar w:fldCharType="end"/>
                </w:r>
              </w:hyperlink>
            </w:p>
            <w:p w14:paraId="65D1A749" w14:textId="7EC18EBC"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64" w:history="1">
                <w:r w:rsidRPr="00354D38">
                  <w:rPr>
                    <w:rStyle w:val="Hyperlink"/>
                    <w:noProof/>
                  </w:rPr>
                  <w:t>Share of Foreign resident capital gain withholding credits</w:t>
                </w:r>
                <w:r>
                  <w:rPr>
                    <w:noProof/>
                    <w:webHidden/>
                  </w:rPr>
                  <w:tab/>
                </w:r>
                <w:r>
                  <w:rPr>
                    <w:noProof/>
                    <w:webHidden/>
                  </w:rPr>
                  <w:fldChar w:fldCharType="begin"/>
                </w:r>
                <w:r>
                  <w:rPr>
                    <w:noProof/>
                    <w:webHidden/>
                  </w:rPr>
                  <w:instrText xml:space="preserve"> PAGEREF _Toc232191364 \h </w:instrText>
                </w:r>
                <w:r>
                  <w:rPr>
                    <w:noProof/>
                    <w:webHidden/>
                  </w:rPr>
                </w:r>
                <w:r>
                  <w:rPr>
                    <w:noProof/>
                    <w:webHidden/>
                  </w:rPr>
                  <w:fldChar w:fldCharType="separate"/>
                </w:r>
                <w:r w:rsidR="00796CB9">
                  <w:rPr>
                    <w:noProof/>
                    <w:webHidden/>
                  </w:rPr>
                  <w:t>101</w:t>
                </w:r>
                <w:r>
                  <w:rPr>
                    <w:noProof/>
                    <w:webHidden/>
                  </w:rPr>
                  <w:fldChar w:fldCharType="end"/>
                </w:r>
              </w:hyperlink>
            </w:p>
            <w:p w14:paraId="370B7DE7" w14:textId="701E6044"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65" w:history="1">
                <w:r w:rsidRPr="00354D38">
                  <w:rPr>
                    <w:rStyle w:val="Hyperlink"/>
                    <w:noProof/>
                  </w:rPr>
                  <w:t>8 Alignment between the AIIR, AMMA, SDS and the ITR</w:t>
                </w:r>
                <w:r>
                  <w:rPr>
                    <w:noProof/>
                    <w:webHidden/>
                  </w:rPr>
                  <w:tab/>
                </w:r>
                <w:r>
                  <w:rPr>
                    <w:noProof/>
                    <w:webHidden/>
                  </w:rPr>
                  <w:fldChar w:fldCharType="begin"/>
                </w:r>
                <w:r>
                  <w:rPr>
                    <w:noProof/>
                    <w:webHidden/>
                  </w:rPr>
                  <w:instrText xml:space="preserve"> PAGEREF _Toc232191365 \h </w:instrText>
                </w:r>
                <w:r>
                  <w:rPr>
                    <w:noProof/>
                    <w:webHidden/>
                  </w:rPr>
                </w:r>
                <w:r>
                  <w:rPr>
                    <w:noProof/>
                    <w:webHidden/>
                  </w:rPr>
                  <w:fldChar w:fldCharType="separate"/>
                </w:r>
                <w:r w:rsidR="00796CB9">
                  <w:rPr>
                    <w:noProof/>
                    <w:webHidden/>
                  </w:rPr>
                  <w:t>102</w:t>
                </w:r>
                <w:r>
                  <w:rPr>
                    <w:noProof/>
                    <w:webHidden/>
                  </w:rPr>
                  <w:fldChar w:fldCharType="end"/>
                </w:r>
              </w:hyperlink>
            </w:p>
            <w:p w14:paraId="4EE9CD5A" w14:textId="77085660"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66" w:history="1">
                <w:r w:rsidRPr="00354D38">
                  <w:rPr>
                    <w:rStyle w:val="Hyperlink"/>
                    <w:noProof/>
                  </w:rPr>
                  <w:t>Basic structure</w:t>
                </w:r>
                <w:r>
                  <w:rPr>
                    <w:noProof/>
                    <w:webHidden/>
                  </w:rPr>
                  <w:tab/>
                </w:r>
                <w:r>
                  <w:rPr>
                    <w:noProof/>
                    <w:webHidden/>
                  </w:rPr>
                  <w:fldChar w:fldCharType="begin"/>
                </w:r>
                <w:r>
                  <w:rPr>
                    <w:noProof/>
                    <w:webHidden/>
                  </w:rPr>
                  <w:instrText xml:space="preserve"> PAGEREF _Toc232191366 \h </w:instrText>
                </w:r>
                <w:r>
                  <w:rPr>
                    <w:noProof/>
                    <w:webHidden/>
                  </w:rPr>
                </w:r>
                <w:r>
                  <w:rPr>
                    <w:noProof/>
                    <w:webHidden/>
                  </w:rPr>
                  <w:fldChar w:fldCharType="separate"/>
                </w:r>
                <w:r w:rsidR="00796CB9">
                  <w:rPr>
                    <w:noProof/>
                    <w:webHidden/>
                  </w:rPr>
                  <w:t>102</w:t>
                </w:r>
                <w:r>
                  <w:rPr>
                    <w:noProof/>
                    <w:webHidden/>
                  </w:rPr>
                  <w:fldChar w:fldCharType="end"/>
                </w:r>
              </w:hyperlink>
            </w:p>
            <w:p w14:paraId="7A77C5A4" w14:textId="499F0688"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67" w:history="1">
                <w:r w:rsidRPr="00354D38">
                  <w:rPr>
                    <w:rStyle w:val="Hyperlink"/>
                    <w:noProof/>
                  </w:rPr>
                  <w:t>Aligning AIIR reporting with the AMMA or SDS</w:t>
                </w:r>
                <w:r>
                  <w:rPr>
                    <w:noProof/>
                    <w:webHidden/>
                  </w:rPr>
                  <w:tab/>
                </w:r>
                <w:r>
                  <w:rPr>
                    <w:noProof/>
                    <w:webHidden/>
                  </w:rPr>
                  <w:fldChar w:fldCharType="begin"/>
                </w:r>
                <w:r>
                  <w:rPr>
                    <w:noProof/>
                    <w:webHidden/>
                  </w:rPr>
                  <w:instrText xml:space="preserve"> PAGEREF _Toc232191367 \h </w:instrText>
                </w:r>
                <w:r>
                  <w:rPr>
                    <w:noProof/>
                    <w:webHidden/>
                  </w:rPr>
                </w:r>
                <w:r>
                  <w:rPr>
                    <w:noProof/>
                    <w:webHidden/>
                  </w:rPr>
                  <w:fldChar w:fldCharType="separate"/>
                </w:r>
                <w:r w:rsidR="00796CB9">
                  <w:rPr>
                    <w:noProof/>
                    <w:webHidden/>
                  </w:rPr>
                  <w:t>104</w:t>
                </w:r>
                <w:r>
                  <w:rPr>
                    <w:noProof/>
                    <w:webHidden/>
                  </w:rPr>
                  <w:fldChar w:fldCharType="end"/>
                </w:r>
              </w:hyperlink>
            </w:p>
            <w:p w14:paraId="5FE61D83" w14:textId="12379E74"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68" w:history="1">
                <w:r w:rsidRPr="00354D38">
                  <w:rPr>
                    <w:rStyle w:val="Hyperlink"/>
                    <w:noProof/>
                  </w:rPr>
                  <w:t>9 Farm management deposits</w:t>
                </w:r>
                <w:r>
                  <w:rPr>
                    <w:noProof/>
                    <w:webHidden/>
                  </w:rPr>
                  <w:tab/>
                </w:r>
                <w:r>
                  <w:rPr>
                    <w:noProof/>
                    <w:webHidden/>
                  </w:rPr>
                  <w:fldChar w:fldCharType="begin"/>
                </w:r>
                <w:r>
                  <w:rPr>
                    <w:noProof/>
                    <w:webHidden/>
                  </w:rPr>
                  <w:instrText xml:space="preserve"> PAGEREF _Toc232191368 \h </w:instrText>
                </w:r>
                <w:r>
                  <w:rPr>
                    <w:noProof/>
                    <w:webHidden/>
                  </w:rPr>
                </w:r>
                <w:r>
                  <w:rPr>
                    <w:noProof/>
                    <w:webHidden/>
                  </w:rPr>
                  <w:fldChar w:fldCharType="separate"/>
                </w:r>
                <w:r w:rsidR="00796CB9">
                  <w:rPr>
                    <w:noProof/>
                    <w:webHidden/>
                  </w:rPr>
                  <w:t>108</w:t>
                </w:r>
                <w:r>
                  <w:rPr>
                    <w:noProof/>
                    <w:webHidden/>
                  </w:rPr>
                  <w:fldChar w:fldCharType="end"/>
                </w:r>
              </w:hyperlink>
            </w:p>
            <w:p w14:paraId="1A070B06" w14:textId="2B86EDD0"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69" w:history="1">
                <w:r w:rsidRPr="00354D38">
                  <w:rPr>
                    <w:rStyle w:val="Hyperlink"/>
                    <w:noProof/>
                  </w:rPr>
                  <w:t>Consolidation</w:t>
                </w:r>
                <w:r>
                  <w:rPr>
                    <w:noProof/>
                    <w:webHidden/>
                  </w:rPr>
                  <w:tab/>
                </w:r>
                <w:r>
                  <w:rPr>
                    <w:noProof/>
                    <w:webHidden/>
                  </w:rPr>
                  <w:fldChar w:fldCharType="begin"/>
                </w:r>
                <w:r>
                  <w:rPr>
                    <w:noProof/>
                    <w:webHidden/>
                  </w:rPr>
                  <w:instrText xml:space="preserve"> PAGEREF _Toc232191369 \h </w:instrText>
                </w:r>
                <w:r>
                  <w:rPr>
                    <w:noProof/>
                    <w:webHidden/>
                  </w:rPr>
                </w:r>
                <w:r>
                  <w:rPr>
                    <w:noProof/>
                    <w:webHidden/>
                  </w:rPr>
                  <w:fldChar w:fldCharType="separate"/>
                </w:r>
                <w:r w:rsidR="00796CB9">
                  <w:rPr>
                    <w:noProof/>
                    <w:webHidden/>
                  </w:rPr>
                  <w:t>108</w:t>
                </w:r>
                <w:r>
                  <w:rPr>
                    <w:noProof/>
                    <w:webHidden/>
                  </w:rPr>
                  <w:fldChar w:fldCharType="end"/>
                </w:r>
              </w:hyperlink>
            </w:p>
            <w:p w14:paraId="1B3EB641" w14:textId="1E73B618"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70" w:history="1">
                <w:r w:rsidRPr="00354D38">
                  <w:rPr>
                    <w:rStyle w:val="Hyperlink"/>
                    <w:noProof/>
                  </w:rPr>
                  <w:t>Reporting information</w:t>
                </w:r>
                <w:r>
                  <w:rPr>
                    <w:noProof/>
                    <w:webHidden/>
                  </w:rPr>
                  <w:tab/>
                </w:r>
                <w:r>
                  <w:rPr>
                    <w:noProof/>
                    <w:webHidden/>
                  </w:rPr>
                  <w:fldChar w:fldCharType="begin"/>
                </w:r>
                <w:r>
                  <w:rPr>
                    <w:noProof/>
                    <w:webHidden/>
                  </w:rPr>
                  <w:instrText xml:space="preserve"> PAGEREF _Toc232191370 \h </w:instrText>
                </w:r>
                <w:r>
                  <w:rPr>
                    <w:noProof/>
                    <w:webHidden/>
                  </w:rPr>
                </w:r>
                <w:r>
                  <w:rPr>
                    <w:noProof/>
                    <w:webHidden/>
                  </w:rPr>
                  <w:fldChar w:fldCharType="separate"/>
                </w:r>
                <w:r w:rsidR="00796CB9">
                  <w:rPr>
                    <w:noProof/>
                    <w:webHidden/>
                  </w:rPr>
                  <w:t>108</w:t>
                </w:r>
                <w:r>
                  <w:rPr>
                    <w:noProof/>
                    <w:webHidden/>
                  </w:rPr>
                  <w:fldChar w:fldCharType="end"/>
                </w:r>
              </w:hyperlink>
            </w:p>
            <w:p w14:paraId="4FE2A39E" w14:textId="7E1AB3D4"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71" w:history="1">
                <w:r w:rsidRPr="00354D38">
                  <w:rPr>
                    <w:rStyle w:val="Hyperlink"/>
                    <w:noProof/>
                  </w:rPr>
                  <w:t>Mandatory requirements</w:t>
                </w:r>
                <w:r>
                  <w:rPr>
                    <w:noProof/>
                    <w:webHidden/>
                  </w:rPr>
                  <w:tab/>
                </w:r>
                <w:r>
                  <w:rPr>
                    <w:noProof/>
                    <w:webHidden/>
                  </w:rPr>
                  <w:fldChar w:fldCharType="begin"/>
                </w:r>
                <w:r>
                  <w:rPr>
                    <w:noProof/>
                    <w:webHidden/>
                  </w:rPr>
                  <w:instrText xml:space="preserve"> PAGEREF _Toc232191371 \h </w:instrText>
                </w:r>
                <w:r>
                  <w:rPr>
                    <w:noProof/>
                    <w:webHidden/>
                  </w:rPr>
                </w:r>
                <w:r>
                  <w:rPr>
                    <w:noProof/>
                    <w:webHidden/>
                  </w:rPr>
                  <w:fldChar w:fldCharType="separate"/>
                </w:r>
                <w:r w:rsidR="00796CB9">
                  <w:rPr>
                    <w:noProof/>
                    <w:webHidden/>
                  </w:rPr>
                  <w:t>109</w:t>
                </w:r>
                <w:r>
                  <w:rPr>
                    <w:noProof/>
                    <w:webHidden/>
                  </w:rPr>
                  <w:fldChar w:fldCharType="end"/>
                </w:r>
              </w:hyperlink>
            </w:p>
            <w:p w14:paraId="44ABD398" w14:textId="66160DB1"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72" w:history="1">
                <w:r w:rsidRPr="00354D38">
                  <w:rPr>
                    <w:rStyle w:val="Hyperlink"/>
                    <w:noProof/>
                  </w:rPr>
                  <w:t>Interest payments</w:t>
                </w:r>
                <w:r>
                  <w:rPr>
                    <w:noProof/>
                    <w:webHidden/>
                  </w:rPr>
                  <w:tab/>
                </w:r>
                <w:r>
                  <w:rPr>
                    <w:noProof/>
                    <w:webHidden/>
                  </w:rPr>
                  <w:fldChar w:fldCharType="begin"/>
                </w:r>
                <w:r>
                  <w:rPr>
                    <w:noProof/>
                    <w:webHidden/>
                  </w:rPr>
                  <w:instrText xml:space="preserve"> PAGEREF _Toc232191372 \h </w:instrText>
                </w:r>
                <w:r>
                  <w:rPr>
                    <w:noProof/>
                    <w:webHidden/>
                  </w:rPr>
                </w:r>
                <w:r>
                  <w:rPr>
                    <w:noProof/>
                    <w:webHidden/>
                  </w:rPr>
                  <w:fldChar w:fldCharType="separate"/>
                </w:r>
                <w:r w:rsidR="00796CB9">
                  <w:rPr>
                    <w:noProof/>
                    <w:webHidden/>
                  </w:rPr>
                  <w:t>110</w:t>
                </w:r>
                <w:r>
                  <w:rPr>
                    <w:noProof/>
                    <w:webHidden/>
                  </w:rPr>
                  <w:fldChar w:fldCharType="end"/>
                </w:r>
              </w:hyperlink>
            </w:p>
            <w:p w14:paraId="0EE136FA" w14:textId="7583097A"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73" w:history="1">
                <w:r w:rsidRPr="00354D38">
                  <w:rPr>
                    <w:rStyle w:val="Hyperlink"/>
                    <w:noProof/>
                  </w:rPr>
                  <w:t>Simplified reporting</w:t>
                </w:r>
                <w:r>
                  <w:rPr>
                    <w:noProof/>
                    <w:webHidden/>
                  </w:rPr>
                  <w:tab/>
                </w:r>
                <w:r>
                  <w:rPr>
                    <w:noProof/>
                    <w:webHidden/>
                  </w:rPr>
                  <w:fldChar w:fldCharType="begin"/>
                </w:r>
                <w:r>
                  <w:rPr>
                    <w:noProof/>
                    <w:webHidden/>
                  </w:rPr>
                  <w:instrText xml:space="preserve"> PAGEREF _Toc232191373 \h </w:instrText>
                </w:r>
                <w:r>
                  <w:rPr>
                    <w:noProof/>
                    <w:webHidden/>
                  </w:rPr>
                </w:r>
                <w:r>
                  <w:rPr>
                    <w:noProof/>
                    <w:webHidden/>
                  </w:rPr>
                  <w:fldChar w:fldCharType="separate"/>
                </w:r>
                <w:r w:rsidR="00796CB9">
                  <w:rPr>
                    <w:noProof/>
                    <w:webHidden/>
                  </w:rPr>
                  <w:t>110</w:t>
                </w:r>
                <w:r>
                  <w:rPr>
                    <w:noProof/>
                    <w:webHidden/>
                  </w:rPr>
                  <w:fldChar w:fldCharType="end"/>
                </w:r>
              </w:hyperlink>
            </w:p>
            <w:p w14:paraId="7106D69B" w14:textId="4FF7BEFB"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74" w:history="1">
                <w:r w:rsidRPr="00354D38">
                  <w:rPr>
                    <w:rStyle w:val="Hyperlink"/>
                    <w:noProof/>
                  </w:rPr>
                  <w:t>Reporting Date fields (excluding Date of payment (9.70) field)</w:t>
                </w:r>
                <w:r>
                  <w:rPr>
                    <w:noProof/>
                    <w:webHidden/>
                  </w:rPr>
                  <w:tab/>
                </w:r>
                <w:r>
                  <w:rPr>
                    <w:noProof/>
                    <w:webHidden/>
                  </w:rPr>
                  <w:fldChar w:fldCharType="begin"/>
                </w:r>
                <w:r>
                  <w:rPr>
                    <w:noProof/>
                    <w:webHidden/>
                  </w:rPr>
                  <w:instrText xml:space="preserve"> PAGEREF _Toc232191374 \h </w:instrText>
                </w:r>
                <w:r>
                  <w:rPr>
                    <w:noProof/>
                    <w:webHidden/>
                  </w:rPr>
                </w:r>
                <w:r>
                  <w:rPr>
                    <w:noProof/>
                    <w:webHidden/>
                  </w:rPr>
                  <w:fldChar w:fldCharType="separate"/>
                </w:r>
                <w:r w:rsidR="00796CB9">
                  <w:rPr>
                    <w:noProof/>
                    <w:webHidden/>
                  </w:rPr>
                  <w:t>111</w:t>
                </w:r>
                <w:r>
                  <w:rPr>
                    <w:noProof/>
                    <w:webHidden/>
                  </w:rPr>
                  <w:fldChar w:fldCharType="end"/>
                </w:r>
              </w:hyperlink>
            </w:p>
            <w:p w14:paraId="2E63E495" w14:textId="6F07A7A1"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75" w:history="1">
                <w:r w:rsidRPr="00354D38">
                  <w:rPr>
                    <w:rStyle w:val="Hyperlink"/>
                    <w:noProof/>
                  </w:rPr>
                  <w:t>Accounts held for less than 12 months</w:t>
                </w:r>
                <w:r>
                  <w:rPr>
                    <w:noProof/>
                    <w:webHidden/>
                  </w:rPr>
                  <w:tab/>
                </w:r>
                <w:r>
                  <w:rPr>
                    <w:noProof/>
                    <w:webHidden/>
                  </w:rPr>
                  <w:fldChar w:fldCharType="begin"/>
                </w:r>
                <w:r>
                  <w:rPr>
                    <w:noProof/>
                    <w:webHidden/>
                  </w:rPr>
                  <w:instrText xml:space="preserve"> PAGEREF _Toc232191375 \h </w:instrText>
                </w:r>
                <w:r>
                  <w:rPr>
                    <w:noProof/>
                    <w:webHidden/>
                  </w:rPr>
                </w:r>
                <w:r>
                  <w:rPr>
                    <w:noProof/>
                    <w:webHidden/>
                  </w:rPr>
                  <w:fldChar w:fldCharType="separate"/>
                </w:r>
                <w:r w:rsidR="00796CB9">
                  <w:rPr>
                    <w:noProof/>
                    <w:webHidden/>
                  </w:rPr>
                  <w:t>111</w:t>
                </w:r>
                <w:r>
                  <w:rPr>
                    <w:noProof/>
                    <w:webHidden/>
                  </w:rPr>
                  <w:fldChar w:fldCharType="end"/>
                </w:r>
              </w:hyperlink>
            </w:p>
            <w:p w14:paraId="4944EDBD" w14:textId="66F05433"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76" w:history="1">
                <w:r w:rsidRPr="00354D38">
                  <w:rPr>
                    <w:rStyle w:val="Hyperlink"/>
                    <w:noProof/>
                  </w:rPr>
                  <w:t>Consolidated accounts and accounts held for more than 12 months</w:t>
                </w:r>
                <w:r>
                  <w:rPr>
                    <w:noProof/>
                    <w:webHidden/>
                  </w:rPr>
                  <w:tab/>
                </w:r>
                <w:r>
                  <w:rPr>
                    <w:noProof/>
                    <w:webHidden/>
                  </w:rPr>
                  <w:fldChar w:fldCharType="begin"/>
                </w:r>
                <w:r>
                  <w:rPr>
                    <w:noProof/>
                    <w:webHidden/>
                  </w:rPr>
                  <w:instrText xml:space="preserve"> PAGEREF _Toc232191376 \h </w:instrText>
                </w:r>
                <w:r>
                  <w:rPr>
                    <w:noProof/>
                    <w:webHidden/>
                  </w:rPr>
                </w:r>
                <w:r>
                  <w:rPr>
                    <w:noProof/>
                    <w:webHidden/>
                  </w:rPr>
                  <w:fldChar w:fldCharType="separate"/>
                </w:r>
                <w:r w:rsidR="00796CB9">
                  <w:rPr>
                    <w:noProof/>
                    <w:webHidden/>
                  </w:rPr>
                  <w:t>112</w:t>
                </w:r>
                <w:r>
                  <w:rPr>
                    <w:noProof/>
                    <w:webHidden/>
                  </w:rPr>
                  <w:fldChar w:fldCharType="end"/>
                </w:r>
              </w:hyperlink>
            </w:p>
            <w:p w14:paraId="74613BAE" w14:textId="6D99CC68"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77" w:history="1">
                <w:r w:rsidRPr="00354D38">
                  <w:rPr>
                    <w:rStyle w:val="Hyperlink"/>
                    <w:noProof/>
                  </w:rPr>
                  <w:t>Reporting examples</w:t>
                </w:r>
                <w:r>
                  <w:rPr>
                    <w:noProof/>
                    <w:webHidden/>
                  </w:rPr>
                  <w:tab/>
                </w:r>
                <w:r>
                  <w:rPr>
                    <w:noProof/>
                    <w:webHidden/>
                  </w:rPr>
                  <w:fldChar w:fldCharType="begin"/>
                </w:r>
                <w:r>
                  <w:rPr>
                    <w:noProof/>
                    <w:webHidden/>
                  </w:rPr>
                  <w:instrText xml:space="preserve"> PAGEREF _Toc232191377 \h </w:instrText>
                </w:r>
                <w:r>
                  <w:rPr>
                    <w:noProof/>
                    <w:webHidden/>
                  </w:rPr>
                </w:r>
                <w:r>
                  <w:rPr>
                    <w:noProof/>
                    <w:webHidden/>
                  </w:rPr>
                  <w:fldChar w:fldCharType="separate"/>
                </w:r>
                <w:r w:rsidR="00796CB9">
                  <w:rPr>
                    <w:noProof/>
                    <w:webHidden/>
                  </w:rPr>
                  <w:t>114</w:t>
                </w:r>
                <w:r>
                  <w:rPr>
                    <w:noProof/>
                    <w:webHidden/>
                  </w:rPr>
                  <w:fldChar w:fldCharType="end"/>
                </w:r>
              </w:hyperlink>
            </w:p>
            <w:p w14:paraId="513B821D" w14:textId="7DE51B53"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78" w:history="1">
                <w:r w:rsidRPr="00354D38">
                  <w:rPr>
                    <w:rStyle w:val="Hyperlink"/>
                    <w:noProof/>
                  </w:rPr>
                  <w:t>10 Amendment processing</w:t>
                </w:r>
                <w:r>
                  <w:rPr>
                    <w:noProof/>
                    <w:webHidden/>
                  </w:rPr>
                  <w:tab/>
                </w:r>
                <w:r>
                  <w:rPr>
                    <w:noProof/>
                    <w:webHidden/>
                  </w:rPr>
                  <w:fldChar w:fldCharType="begin"/>
                </w:r>
                <w:r>
                  <w:rPr>
                    <w:noProof/>
                    <w:webHidden/>
                  </w:rPr>
                  <w:instrText xml:space="preserve"> PAGEREF _Toc232191378 \h </w:instrText>
                </w:r>
                <w:r>
                  <w:rPr>
                    <w:noProof/>
                    <w:webHidden/>
                  </w:rPr>
                </w:r>
                <w:r>
                  <w:rPr>
                    <w:noProof/>
                    <w:webHidden/>
                  </w:rPr>
                  <w:fldChar w:fldCharType="separate"/>
                </w:r>
                <w:r w:rsidR="00796CB9">
                  <w:rPr>
                    <w:noProof/>
                    <w:webHidden/>
                  </w:rPr>
                  <w:t>127</w:t>
                </w:r>
                <w:r>
                  <w:rPr>
                    <w:noProof/>
                    <w:webHidden/>
                  </w:rPr>
                  <w:fldChar w:fldCharType="end"/>
                </w:r>
              </w:hyperlink>
            </w:p>
            <w:p w14:paraId="72FB6EC5" w14:textId="5D44F251"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79" w:history="1">
                <w:r w:rsidRPr="00354D38">
                  <w:rPr>
                    <w:rStyle w:val="Hyperlink"/>
                    <w:noProof/>
                  </w:rPr>
                  <w:t>Sending files containing replacement AIIR records</w:t>
                </w:r>
                <w:r>
                  <w:rPr>
                    <w:noProof/>
                    <w:webHidden/>
                  </w:rPr>
                  <w:tab/>
                </w:r>
                <w:r>
                  <w:rPr>
                    <w:noProof/>
                    <w:webHidden/>
                  </w:rPr>
                  <w:fldChar w:fldCharType="begin"/>
                </w:r>
                <w:r>
                  <w:rPr>
                    <w:noProof/>
                    <w:webHidden/>
                  </w:rPr>
                  <w:instrText xml:space="preserve"> PAGEREF _Toc232191379 \h </w:instrText>
                </w:r>
                <w:r>
                  <w:rPr>
                    <w:noProof/>
                    <w:webHidden/>
                  </w:rPr>
                </w:r>
                <w:r>
                  <w:rPr>
                    <w:noProof/>
                    <w:webHidden/>
                  </w:rPr>
                  <w:fldChar w:fldCharType="separate"/>
                </w:r>
                <w:r w:rsidR="00796CB9">
                  <w:rPr>
                    <w:noProof/>
                    <w:webHidden/>
                  </w:rPr>
                  <w:t>127</w:t>
                </w:r>
                <w:r>
                  <w:rPr>
                    <w:noProof/>
                    <w:webHidden/>
                  </w:rPr>
                  <w:fldChar w:fldCharType="end"/>
                </w:r>
              </w:hyperlink>
            </w:p>
            <w:p w14:paraId="32D56C69" w14:textId="5CBADCE0" w:rsidR="009A79B6" w:rsidRDefault="009A79B6">
              <w:pPr>
                <w:pStyle w:val="TOC3"/>
                <w:rPr>
                  <w:rFonts w:eastAsiaTheme="minorEastAsia" w:cstheme="minorBidi"/>
                  <w:noProof/>
                  <w:color w:val="auto"/>
                  <w:spacing w:val="0"/>
                  <w:kern w:val="2"/>
                  <w:sz w:val="24"/>
                  <w:szCs w:val="24"/>
                  <w:lang w:eastAsia="en-AU"/>
                  <w14:ligatures w14:val="standardContextual"/>
                </w:rPr>
              </w:pPr>
              <w:hyperlink w:anchor="_Toc232191380" w:history="1">
                <w:r w:rsidRPr="00354D38">
                  <w:rPr>
                    <w:rStyle w:val="Hyperlink"/>
                    <w:noProof/>
                  </w:rPr>
                  <w:t>Example of replacement of a standard AIIR file report version FINVAV13.0</w:t>
                </w:r>
                <w:r>
                  <w:rPr>
                    <w:noProof/>
                    <w:webHidden/>
                  </w:rPr>
                  <w:tab/>
                </w:r>
                <w:r>
                  <w:rPr>
                    <w:noProof/>
                    <w:webHidden/>
                  </w:rPr>
                  <w:fldChar w:fldCharType="begin"/>
                </w:r>
                <w:r>
                  <w:rPr>
                    <w:noProof/>
                    <w:webHidden/>
                  </w:rPr>
                  <w:instrText xml:space="preserve"> PAGEREF _Toc232191380 \h </w:instrText>
                </w:r>
                <w:r>
                  <w:rPr>
                    <w:noProof/>
                    <w:webHidden/>
                  </w:rPr>
                </w:r>
                <w:r>
                  <w:rPr>
                    <w:noProof/>
                    <w:webHidden/>
                  </w:rPr>
                  <w:fldChar w:fldCharType="separate"/>
                </w:r>
                <w:r w:rsidR="00796CB9">
                  <w:rPr>
                    <w:noProof/>
                    <w:webHidden/>
                  </w:rPr>
                  <w:t>127</w:t>
                </w:r>
                <w:r>
                  <w:rPr>
                    <w:noProof/>
                    <w:webHidden/>
                  </w:rPr>
                  <w:fldChar w:fldCharType="end"/>
                </w:r>
              </w:hyperlink>
            </w:p>
            <w:p w14:paraId="40ACC0E6" w14:textId="4A045BF7"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81" w:history="1">
                <w:r w:rsidRPr="00354D38">
                  <w:rPr>
                    <w:rStyle w:val="Hyperlink"/>
                    <w:noProof/>
                  </w:rPr>
                  <w:t>Sending files containing corrected AIIR records</w:t>
                </w:r>
                <w:r>
                  <w:rPr>
                    <w:noProof/>
                    <w:webHidden/>
                  </w:rPr>
                  <w:tab/>
                </w:r>
                <w:r>
                  <w:rPr>
                    <w:noProof/>
                    <w:webHidden/>
                  </w:rPr>
                  <w:fldChar w:fldCharType="begin"/>
                </w:r>
                <w:r>
                  <w:rPr>
                    <w:noProof/>
                    <w:webHidden/>
                  </w:rPr>
                  <w:instrText xml:space="preserve"> PAGEREF _Toc232191381 \h </w:instrText>
                </w:r>
                <w:r>
                  <w:rPr>
                    <w:noProof/>
                    <w:webHidden/>
                  </w:rPr>
                </w:r>
                <w:r>
                  <w:rPr>
                    <w:noProof/>
                    <w:webHidden/>
                  </w:rPr>
                  <w:fldChar w:fldCharType="separate"/>
                </w:r>
                <w:r w:rsidR="00796CB9">
                  <w:rPr>
                    <w:noProof/>
                    <w:webHidden/>
                  </w:rPr>
                  <w:t>130</w:t>
                </w:r>
                <w:r>
                  <w:rPr>
                    <w:noProof/>
                    <w:webHidden/>
                  </w:rPr>
                  <w:fldChar w:fldCharType="end"/>
                </w:r>
              </w:hyperlink>
            </w:p>
            <w:p w14:paraId="3E711FB5" w14:textId="1DDC00E0"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82" w:history="1">
                <w:r w:rsidRPr="00354D38">
                  <w:rPr>
                    <w:rStyle w:val="Hyperlink"/>
                    <w:noProof/>
                  </w:rPr>
                  <w:t>11 Corrected TFN and ABN return files</w:t>
                </w:r>
                <w:r>
                  <w:rPr>
                    <w:noProof/>
                    <w:webHidden/>
                  </w:rPr>
                  <w:tab/>
                </w:r>
                <w:r>
                  <w:rPr>
                    <w:noProof/>
                    <w:webHidden/>
                  </w:rPr>
                  <w:fldChar w:fldCharType="begin"/>
                </w:r>
                <w:r>
                  <w:rPr>
                    <w:noProof/>
                    <w:webHidden/>
                  </w:rPr>
                  <w:instrText xml:space="preserve"> PAGEREF _Toc232191382 \h </w:instrText>
                </w:r>
                <w:r>
                  <w:rPr>
                    <w:noProof/>
                    <w:webHidden/>
                  </w:rPr>
                </w:r>
                <w:r>
                  <w:rPr>
                    <w:noProof/>
                    <w:webHidden/>
                  </w:rPr>
                  <w:fldChar w:fldCharType="separate"/>
                </w:r>
                <w:r w:rsidR="00796CB9">
                  <w:rPr>
                    <w:noProof/>
                    <w:webHidden/>
                  </w:rPr>
                  <w:t>133</w:t>
                </w:r>
                <w:r>
                  <w:rPr>
                    <w:noProof/>
                    <w:webHidden/>
                  </w:rPr>
                  <w:fldChar w:fldCharType="end"/>
                </w:r>
              </w:hyperlink>
            </w:p>
            <w:p w14:paraId="14DA28AA" w14:textId="39A77026"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83" w:history="1">
                <w:r w:rsidRPr="00354D38">
                  <w:rPr>
                    <w:rStyle w:val="Hyperlink"/>
                    <w:noProof/>
                  </w:rPr>
                  <w:t>Updating of TFN or ABN fields by investment bodies</w:t>
                </w:r>
                <w:r>
                  <w:rPr>
                    <w:noProof/>
                    <w:webHidden/>
                  </w:rPr>
                  <w:tab/>
                </w:r>
                <w:r>
                  <w:rPr>
                    <w:noProof/>
                    <w:webHidden/>
                  </w:rPr>
                  <w:fldChar w:fldCharType="begin"/>
                </w:r>
                <w:r>
                  <w:rPr>
                    <w:noProof/>
                    <w:webHidden/>
                  </w:rPr>
                  <w:instrText xml:space="preserve"> PAGEREF _Toc232191383 \h </w:instrText>
                </w:r>
                <w:r>
                  <w:rPr>
                    <w:noProof/>
                    <w:webHidden/>
                  </w:rPr>
                </w:r>
                <w:r>
                  <w:rPr>
                    <w:noProof/>
                    <w:webHidden/>
                  </w:rPr>
                  <w:fldChar w:fldCharType="separate"/>
                </w:r>
                <w:r w:rsidR="00796CB9">
                  <w:rPr>
                    <w:noProof/>
                    <w:webHidden/>
                  </w:rPr>
                  <w:t>133</w:t>
                </w:r>
                <w:r>
                  <w:rPr>
                    <w:noProof/>
                    <w:webHidden/>
                  </w:rPr>
                  <w:fldChar w:fldCharType="end"/>
                </w:r>
              </w:hyperlink>
            </w:p>
            <w:p w14:paraId="1056C74B" w14:textId="22942729"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84" w:history="1">
                <w:r w:rsidRPr="00354D38">
                  <w:rPr>
                    <w:rStyle w:val="Hyperlink"/>
                    <w:noProof/>
                  </w:rPr>
                  <w:t>Investors deemed not to have quoted a TFN or ABN</w:t>
                </w:r>
                <w:r>
                  <w:rPr>
                    <w:noProof/>
                    <w:webHidden/>
                  </w:rPr>
                  <w:tab/>
                </w:r>
                <w:r>
                  <w:rPr>
                    <w:noProof/>
                    <w:webHidden/>
                  </w:rPr>
                  <w:fldChar w:fldCharType="begin"/>
                </w:r>
                <w:r>
                  <w:rPr>
                    <w:noProof/>
                    <w:webHidden/>
                  </w:rPr>
                  <w:instrText xml:space="preserve"> PAGEREF _Toc232191384 \h </w:instrText>
                </w:r>
                <w:r>
                  <w:rPr>
                    <w:noProof/>
                    <w:webHidden/>
                  </w:rPr>
                </w:r>
                <w:r>
                  <w:rPr>
                    <w:noProof/>
                    <w:webHidden/>
                  </w:rPr>
                  <w:fldChar w:fldCharType="separate"/>
                </w:r>
                <w:r w:rsidR="00796CB9">
                  <w:rPr>
                    <w:noProof/>
                    <w:webHidden/>
                  </w:rPr>
                  <w:t>133</w:t>
                </w:r>
                <w:r>
                  <w:rPr>
                    <w:noProof/>
                    <w:webHidden/>
                  </w:rPr>
                  <w:fldChar w:fldCharType="end"/>
                </w:r>
              </w:hyperlink>
            </w:p>
            <w:p w14:paraId="6C28514C" w14:textId="5F79EA27"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85" w:history="1">
                <w:r w:rsidRPr="00354D38">
                  <w:rPr>
                    <w:rStyle w:val="Hyperlink"/>
                    <w:noProof/>
                  </w:rPr>
                  <w:t>Non-resident tax identification numbers (TINS)</w:t>
                </w:r>
                <w:r>
                  <w:rPr>
                    <w:noProof/>
                    <w:webHidden/>
                  </w:rPr>
                  <w:tab/>
                </w:r>
                <w:r>
                  <w:rPr>
                    <w:noProof/>
                    <w:webHidden/>
                  </w:rPr>
                  <w:fldChar w:fldCharType="begin"/>
                </w:r>
                <w:r>
                  <w:rPr>
                    <w:noProof/>
                    <w:webHidden/>
                  </w:rPr>
                  <w:instrText xml:space="preserve"> PAGEREF _Toc232191385 \h </w:instrText>
                </w:r>
                <w:r>
                  <w:rPr>
                    <w:noProof/>
                    <w:webHidden/>
                  </w:rPr>
                </w:r>
                <w:r>
                  <w:rPr>
                    <w:noProof/>
                    <w:webHidden/>
                  </w:rPr>
                  <w:fldChar w:fldCharType="separate"/>
                </w:r>
                <w:r w:rsidR="00796CB9">
                  <w:rPr>
                    <w:noProof/>
                    <w:webHidden/>
                  </w:rPr>
                  <w:t>133</w:t>
                </w:r>
                <w:r>
                  <w:rPr>
                    <w:noProof/>
                    <w:webHidden/>
                  </w:rPr>
                  <w:fldChar w:fldCharType="end"/>
                </w:r>
              </w:hyperlink>
            </w:p>
            <w:p w14:paraId="61C3D4A2" w14:textId="48D4FED5"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86" w:history="1">
                <w:r w:rsidRPr="00354D38">
                  <w:rPr>
                    <w:rStyle w:val="Hyperlink"/>
                    <w:noProof/>
                  </w:rPr>
                  <w:t>12 Frequently asked questions</w:t>
                </w:r>
                <w:r>
                  <w:rPr>
                    <w:noProof/>
                    <w:webHidden/>
                  </w:rPr>
                  <w:tab/>
                </w:r>
                <w:r>
                  <w:rPr>
                    <w:noProof/>
                    <w:webHidden/>
                  </w:rPr>
                  <w:fldChar w:fldCharType="begin"/>
                </w:r>
                <w:r>
                  <w:rPr>
                    <w:noProof/>
                    <w:webHidden/>
                  </w:rPr>
                  <w:instrText xml:space="preserve"> PAGEREF _Toc232191386 \h </w:instrText>
                </w:r>
                <w:r>
                  <w:rPr>
                    <w:noProof/>
                    <w:webHidden/>
                  </w:rPr>
                </w:r>
                <w:r>
                  <w:rPr>
                    <w:noProof/>
                    <w:webHidden/>
                  </w:rPr>
                  <w:fldChar w:fldCharType="separate"/>
                </w:r>
                <w:r w:rsidR="00796CB9">
                  <w:rPr>
                    <w:noProof/>
                    <w:webHidden/>
                  </w:rPr>
                  <w:t>134</w:t>
                </w:r>
                <w:r>
                  <w:rPr>
                    <w:noProof/>
                    <w:webHidden/>
                  </w:rPr>
                  <w:fldChar w:fldCharType="end"/>
                </w:r>
              </w:hyperlink>
            </w:p>
            <w:p w14:paraId="30C126CA" w14:textId="12EA7767"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87" w:history="1">
                <w:r w:rsidRPr="00354D38">
                  <w:rPr>
                    <w:rStyle w:val="Hyperlink"/>
                    <w:noProof/>
                  </w:rPr>
                  <w:t>General</w:t>
                </w:r>
                <w:r>
                  <w:rPr>
                    <w:noProof/>
                    <w:webHidden/>
                  </w:rPr>
                  <w:tab/>
                </w:r>
                <w:r>
                  <w:rPr>
                    <w:noProof/>
                    <w:webHidden/>
                  </w:rPr>
                  <w:fldChar w:fldCharType="begin"/>
                </w:r>
                <w:r>
                  <w:rPr>
                    <w:noProof/>
                    <w:webHidden/>
                  </w:rPr>
                  <w:instrText xml:space="preserve"> PAGEREF _Toc232191387 \h </w:instrText>
                </w:r>
                <w:r>
                  <w:rPr>
                    <w:noProof/>
                    <w:webHidden/>
                  </w:rPr>
                </w:r>
                <w:r>
                  <w:rPr>
                    <w:noProof/>
                    <w:webHidden/>
                  </w:rPr>
                  <w:fldChar w:fldCharType="separate"/>
                </w:r>
                <w:r w:rsidR="00796CB9">
                  <w:rPr>
                    <w:noProof/>
                    <w:webHidden/>
                  </w:rPr>
                  <w:t>134</w:t>
                </w:r>
                <w:r>
                  <w:rPr>
                    <w:noProof/>
                    <w:webHidden/>
                  </w:rPr>
                  <w:fldChar w:fldCharType="end"/>
                </w:r>
              </w:hyperlink>
            </w:p>
            <w:p w14:paraId="7CF9E859" w14:textId="60A1F220"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88" w:history="1">
                <w:r w:rsidRPr="00354D38">
                  <w:rPr>
                    <w:rStyle w:val="Hyperlink"/>
                    <w:noProof/>
                  </w:rPr>
                  <w:t>Withholding Tax</w:t>
                </w:r>
                <w:r>
                  <w:rPr>
                    <w:noProof/>
                    <w:webHidden/>
                  </w:rPr>
                  <w:tab/>
                </w:r>
                <w:r>
                  <w:rPr>
                    <w:noProof/>
                    <w:webHidden/>
                  </w:rPr>
                  <w:fldChar w:fldCharType="begin"/>
                </w:r>
                <w:r>
                  <w:rPr>
                    <w:noProof/>
                    <w:webHidden/>
                  </w:rPr>
                  <w:instrText xml:space="preserve"> PAGEREF _Toc232191388 \h </w:instrText>
                </w:r>
                <w:r>
                  <w:rPr>
                    <w:noProof/>
                    <w:webHidden/>
                  </w:rPr>
                </w:r>
                <w:r>
                  <w:rPr>
                    <w:noProof/>
                    <w:webHidden/>
                  </w:rPr>
                  <w:fldChar w:fldCharType="separate"/>
                </w:r>
                <w:r w:rsidR="00796CB9">
                  <w:rPr>
                    <w:noProof/>
                    <w:webHidden/>
                  </w:rPr>
                  <w:t>135</w:t>
                </w:r>
                <w:r>
                  <w:rPr>
                    <w:noProof/>
                    <w:webHidden/>
                  </w:rPr>
                  <w:fldChar w:fldCharType="end"/>
                </w:r>
              </w:hyperlink>
            </w:p>
            <w:p w14:paraId="1A539DCA" w14:textId="0F5A516D"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89" w:history="1">
                <w:r w:rsidRPr="00354D38">
                  <w:rPr>
                    <w:rStyle w:val="Hyperlink"/>
                    <w:noProof/>
                  </w:rPr>
                  <w:t>Income</w:t>
                </w:r>
                <w:r>
                  <w:rPr>
                    <w:noProof/>
                    <w:webHidden/>
                  </w:rPr>
                  <w:tab/>
                </w:r>
                <w:r>
                  <w:rPr>
                    <w:noProof/>
                    <w:webHidden/>
                  </w:rPr>
                  <w:fldChar w:fldCharType="begin"/>
                </w:r>
                <w:r>
                  <w:rPr>
                    <w:noProof/>
                    <w:webHidden/>
                  </w:rPr>
                  <w:instrText xml:space="preserve"> PAGEREF _Toc232191389 \h </w:instrText>
                </w:r>
                <w:r>
                  <w:rPr>
                    <w:noProof/>
                    <w:webHidden/>
                  </w:rPr>
                </w:r>
                <w:r>
                  <w:rPr>
                    <w:noProof/>
                    <w:webHidden/>
                  </w:rPr>
                  <w:fldChar w:fldCharType="separate"/>
                </w:r>
                <w:r w:rsidR="00796CB9">
                  <w:rPr>
                    <w:noProof/>
                    <w:webHidden/>
                  </w:rPr>
                  <w:t>137</w:t>
                </w:r>
                <w:r>
                  <w:rPr>
                    <w:noProof/>
                    <w:webHidden/>
                  </w:rPr>
                  <w:fldChar w:fldCharType="end"/>
                </w:r>
              </w:hyperlink>
            </w:p>
            <w:p w14:paraId="14D900D0" w14:textId="70C21063"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90" w:history="1">
                <w:r w:rsidRPr="00354D38">
                  <w:rPr>
                    <w:rStyle w:val="Hyperlink"/>
                    <w:noProof/>
                  </w:rPr>
                  <w:t>Foreign source income</w:t>
                </w:r>
                <w:r>
                  <w:rPr>
                    <w:noProof/>
                    <w:webHidden/>
                  </w:rPr>
                  <w:tab/>
                </w:r>
                <w:r>
                  <w:rPr>
                    <w:noProof/>
                    <w:webHidden/>
                  </w:rPr>
                  <w:fldChar w:fldCharType="begin"/>
                </w:r>
                <w:r>
                  <w:rPr>
                    <w:noProof/>
                    <w:webHidden/>
                  </w:rPr>
                  <w:instrText xml:space="preserve"> PAGEREF _Toc232191390 \h </w:instrText>
                </w:r>
                <w:r>
                  <w:rPr>
                    <w:noProof/>
                    <w:webHidden/>
                  </w:rPr>
                </w:r>
                <w:r>
                  <w:rPr>
                    <w:noProof/>
                    <w:webHidden/>
                  </w:rPr>
                  <w:fldChar w:fldCharType="separate"/>
                </w:r>
                <w:r w:rsidR="00796CB9">
                  <w:rPr>
                    <w:noProof/>
                    <w:webHidden/>
                  </w:rPr>
                  <w:t>138</w:t>
                </w:r>
                <w:r>
                  <w:rPr>
                    <w:noProof/>
                    <w:webHidden/>
                  </w:rPr>
                  <w:fldChar w:fldCharType="end"/>
                </w:r>
              </w:hyperlink>
            </w:p>
            <w:p w14:paraId="6400E867" w14:textId="538FF7E3"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91" w:history="1">
                <w:r w:rsidRPr="00354D38">
                  <w:rPr>
                    <w:rStyle w:val="Hyperlink"/>
                    <w:noProof/>
                  </w:rPr>
                  <w:t>Changes to investor details</w:t>
                </w:r>
                <w:r>
                  <w:rPr>
                    <w:noProof/>
                    <w:webHidden/>
                  </w:rPr>
                  <w:tab/>
                </w:r>
                <w:r>
                  <w:rPr>
                    <w:noProof/>
                    <w:webHidden/>
                  </w:rPr>
                  <w:fldChar w:fldCharType="begin"/>
                </w:r>
                <w:r>
                  <w:rPr>
                    <w:noProof/>
                    <w:webHidden/>
                  </w:rPr>
                  <w:instrText xml:space="preserve"> PAGEREF _Toc232191391 \h </w:instrText>
                </w:r>
                <w:r>
                  <w:rPr>
                    <w:noProof/>
                    <w:webHidden/>
                  </w:rPr>
                </w:r>
                <w:r>
                  <w:rPr>
                    <w:noProof/>
                    <w:webHidden/>
                  </w:rPr>
                  <w:fldChar w:fldCharType="separate"/>
                </w:r>
                <w:r w:rsidR="00796CB9">
                  <w:rPr>
                    <w:noProof/>
                    <w:webHidden/>
                  </w:rPr>
                  <w:t>139</w:t>
                </w:r>
                <w:r>
                  <w:rPr>
                    <w:noProof/>
                    <w:webHidden/>
                  </w:rPr>
                  <w:fldChar w:fldCharType="end"/>
                </w:r>
              </w:hyperlink>
            </w:p>
            <w:p w14:paraId="11E0A424" w14:textId="2126181A" w:rsidR="009A79B6" w:rsidRDefault="009A79B6">
              <w:pPr>
                <w:pStyle w:val="TOC1"/>
                <w:rPr>
                  <w:rFonts w:asciiTheme="minorHAnsi" w:eastAsiaTheme="minorEastAsia" w:hAnsiTheme="minorHAnsi" w:cstheme="minorBidi"/>
                  <w:b w:val="0"/>
                  <w:noProof/>
                  <w:color w:val="auto"/>
                  <w:spacing w:val="0"/>
                  <w:kern w:val="2"/>
                  <w:sz w:val="24"/>
                  <w:szCs w:val="24"/>
                  <w:lang w:eastAsia="en-AU"/>
                  <w14:ligatures w14:val="standardContextual"/>
                </w:rPr>
              </w:pPr>
              <w:hyperlink w:anchor="_Toc232191392" w:history="1">
                <w:r w:rsidRPr="00354D38">
                  <w:rPr>
                    <w:rStyle w:val="Hyperlink"/>
                    <w:noProof/>
                  </w:rPr>
                  <w:t>13 Appendices</w:t>
                </w:r>
                <w:r>
                  <w:rPr>
                    <w:noProof/>
                    <w:webHidden/>
                  </w:rPr>
                  <w:tab/>
                </w:r>
                <w:r>
                  <w:rPr>
                    <w:noProof/>
                    <w:webHidden/>
                  </w:rPr>
                  <w:fldChar w:fldCharType="begin"/>
                </w:r>
                <w:r>
                  <w:rPr>
                    <w:noProof/>
                    <w:webHidden/>
                  </w:rPr>
                  <w:instrText xml:space="preserve"> PAGEREF _Toc232191392 \h </w:instrText>
                </w:r>
                <w:r>
                  <w:rPr>
                    <w:noProof/>
                    <w:webHidden/>
                  </w:rPr>
                </w:r>
                <w:r>
                  <w:rPr>
                    <w:noProof/>
                    <w:webHidden/>
                  </w:rPr>
                  <w:fldChar w:fldCharType="separate"/>
                </w:r>
                <w:r w:rsidR="00796CB9">
                  <w:rPr>
                    <w:noProof/>
                    <w:webHidden/>
                  </w:rPr>
                  <w:t>140</w:t>
                </w:r>
                <w:r>
                  <w:rPr>
                    <w:noProof/>
                    <w:webHidden/>
                  </w:rPr>
                  <w:fldChar w:fldCharType="end"/>
                </w:r>
              </w:hyperlink>
            </w:p>
            <w:p w14:paraId="7205C20E" w14:textId="77370A95"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93" w:history="1">
                <w:r w:rsidRPr="00354D38">
                  <w:rPr>
                    <w:rStyle w:val="Hyperlink"/>
                    <w:noProof/>
                  </w:rPr>
                  <w:t>Appendix A - ERS/PC spreadsheet field name reference comparison</w:t>
                </w:r>
                <w:r>
                  <w:rPr>
                    <w:noProof/>
                    <w:webHidden/>
                  </w:rPr>
                  <w:tab/>
                </w:r>
                <w:r>
                  <w:rPr>
                    <w:noProof/>
                    <w:webHidden/>
                  </w:rPr>
                  <w:fldChar w:fldCharType="begin"/>
                </w:r>
                <w:r>
                  <w:rPr>
                    <w:noProof/>
                    <w:webHidden/>
                  </w:rPr>
                  <w:instrText xml:space="preserve"> PAGEREF _Toc232191393 \h </w:instrText>
                </w:r>
                <w:r>
                  <w:rPr>
                    <w:noProof/>
                    <w:webHidden/>
                  </w:rPr>
                </w:r>
                <w:r>
                  <w:rPr>
                    <w:noProof/>
                    <w:webHidden/>
                  </w:rPr>
                  <w:fldChar w:fldCharType="separate"/>
                </w:r>
                <w:r w:rsidR="00796CB9">
                  <w:rPr>
                    <w:noProof/>
                    <w:webHidden/>
                  </w:rPr>
                  <w:t>140</w:t>
                </w:r>
                <w:r>
                  <w:rPr>
                    <w:noProof/>
                    <w:webHidden/>
                  </w:rPr>
                  <w:fldChar w:fldCharType="end"/>
                </w:r>
              </w:hyperlink>
            </w:p>
            <w:p w14:paraId="61F29024" w14:textId="663CA101"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94" w:history="1">
                <w:r w:rsidRPr="00354D38">
                  <w:rPr>
                    <w:rStyle w:val="Hyperlink"/>
                    <w:noProof/>
                  </w:rPr>
                  <w:t>Appendix B – AIIR/ITR comparison</w:t>
                </w:r>
                <w:r>
                  <w:rPr>
                    <w:noProof/>
                    <w:webHidden/>
                  </w:rPr>
                  <w:tab/>
                </w:r>
                <w:r>
                  <w:rPr>
                    <w:noProof/>
                    <w:webHidden/>
                  </w:rPr>
                  <w:fldChar w:fldCharType="begin"/>
                </w:r>
                <w:r>
                  <w:rPr>
                    <w:noProof/>
                    <w:webHidden/>
                  </w:rPr>
                  <w:instrText xml:space="preserve"> PAGEREF _Toc232191394 \h </w:instrText>
                </w:r>
                <w:r>
                  <w:rPr>
                    <w:noProof/>
                    <w:webHidden/>
                  </w:rPr>
                </w:r>
                <w:r>
                  <w:rPr>
                    <w:noProof/>
                    <w:webHidden/>
                  </w:rPr>
                  <w:fldChar w:fldCharType="separate"/>
                </w:r>
                <w:r w:rsidR="00796CB9">
                  <w:rPr>
                    <w:noProof/>
                    <w:webHidden/>
                  </w:rPr>
                  <w:t>145</w:t>
                </w:r>
                <w:r>
                  <w:rPr>
                    <w:noProof/>
                    <w:webHidden/>
                  </w:rPr>
                  <w:fldChar w:fldCharType="end"/>
                </w:r>
              </w:hyperlink>
            </w:p>
            <w:p w14:paraId="31909510" w14:textId="05841736"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95" w:history="1">
                <w:r w:rsidRPr="00354D38">
                  <w:rPr>
                    <w:rStyle w:val="Hyperlink"/>
                    <w:noProof/>
                  </w:rPr>
                  <w:t>Appendix C – AIIR ERS v11/v12/V13/V14 Comparison</w:t>
                </w:r>
                <w:r>
                  <w:rPr>
                    <w:noProof/>
                    <w:webHidden/>
                  </w:rPr>
                  <w:tab/>
                </w:r>
                <w:r>
                  <w:rPr>
                    <w:noProof/>
                    <w:webHidden/>
                  </w:rPr>
                  <w:fldChar w:fldCharType="begin"/>
                </w:r>
                <w:r>
                  <w:rPr>
                    <w:noProof/>
                    <w:webHidden/>
                  </w:rPr>
                  <w:instrText xml:space="preserve"> PAGEREF _Toc232191395 \h </w:instrText>
                </w:r>
                <w:r>
                  <w:rPr>
                    <w:noProof/>
                    <w:webHidden/>
                  </w:rPr>
                </w:r>
                <w:r>
                  <w:rPr>
                    <w:noProof/>
                    <w:webHidden/>
                  </w:rPr>
                  <w:fldChar w:fldCharType="separate"/>
                </w:r>
                <w:r w:rsidR="00796CB9">
                  <w:rPr>
                    <w:noProof/>
                    <w:webHidden/>
                  </w:rPr>
                  <w:t>152</w:t>
                </w:r>
                <w:r>
                  <w:rPr>
                    <w:noProof/>
                    <w:webHidden/>
                  </w:rPr>
                  <w:fldChar w:fldCharType="end"/>
                </w:r>
              </w:hyperlink>
            </w:p>
            <w:p w14:paraId="12B35471" w14:textId="0AD01420" w:rsidR="009A79B6" w:rsidRDefault="009A79B6">
              <w:pPr>
                <w:pStyle w:val="TOC2"/>
                <w:rPr>
                  <w:rFonts w:asciiTheme="minorHAnsi" w:eastAsiaTheme="minorEastAsia" w:hAnsiTheme="minorHAnsi" w:cstheme="minorBidi"/>
                  <w:noProof/>
                  <w:color w:val="auto"/>
                  <w:spacing w:val="0"/>
                  <w:kern w:val="2"/>
                  <w:sz w:val="24"/>
                  <w:szCs w:val="24"/>
                  <w:lang w:eastAsia="en-AU"/>
                  <w14:ligatures w14:val="standardContextual"/>
                </w:rPr>
              </w:pPr>
              <w:hyperlink w:anchor="_Toc232191396" w:history="1">
                <w:r w:rsidRPr="00354D38">
                  <w:rPr>
                    <w:rStyle w:val="Hyperlink"/>
                    <w:noProof/>
                  </w:rPr>
                  <w:t>Appendix D– ATO lodgment validations – corrective action</w:t>
                </w:r>
                <w:r>
                  <w:rPr>
                    <w:noProof/>
                    <w:webHidden/>
                  </w:rPr>
                  <w:tab/>
                </w:r>
                <w:r>
                  <w:rPr>
                    <w:noProof/>
                    <w:webHidden/>
                  </w:rPr>
                  <w:fldChar w:fldCharType="begin"/>
                </w:r>
                <w:r>
                  <w:rPr>
                    <w:noProof/>
                    <w:webHidden/>
                  </w:rPr>
                  <w:instrText xml:space="preserve"> PAGEREF _Toc232191396 \h </w:instrText>
                </w:r>
                <w:r>
                  <w:rPr>
                    <w:noProof/>
                    <w:webHidden/>
                  </w:rPr>
                </w:r>
                <w:r>
                  <w:rPr>
                    <w:noProof/>
                    <w:webHidden/>
                  </w:rPr>
                  <w:fldChar w:fldCharType="separate"/>
                </w:r>
                <w:r w:rsidR="00796CB9">
                  <w:rPr>
                    <w:noProof/>
                    <w:webHidden/>
                  </w:rPr>
                  <w:t>161</w:t>
                </w:r>
                <w:r>
                  <w:rPr>
                    <w:noProof/>
                    <w:webHidden/>
                  </w:rPr>
                  <w:fldChar w:fldCharType="end"/>
                </w:r>
              </w:hyperlink>
            </w:p>
            <w:p w14:paraId="33E8550F" w14:textId="04BB2D6D" w:rsidR="004A6F71" w:rsidRDefault="004A6F71" w:rsidP="004A6F71">
              <w:pPr>
                <w:spacing w:after="0" w:line="240" w:lineRule="auto"/>
                <w:rPr>
                  <w:noProof/>
                </w:rPr>
              </w:pPr>
              <w:r>
                <w:rPr>
                  <w:rFonts w:cs="Arial"/>
                  <w:szCs w:val="22"/>
                </w:rPr>
                <w:fldChar w:fldCharType="end"/>
              </w:r>
            </w:p>
          </w:sdtContent>
        </w:sdt>
        <w:p w14:paraId="5C4D10DC" w14:textId="7313F7D0" w:rsidR="004F6CC1" w:rsidRDefault="002748EB"/>
      </w:sdtContent>
    </w:sdt>
    <w:p w14:paraId="6D859C65" w14:textId="77777777" w:rsidR="003848F0" w:rsidRPr="00574569" w:rsidRDefault="003848F0" w:rsidP="00750AFE"/>
    <w:p w14:paraId="7EC0AF38" w14:textId="378CC341" w:rsidR="004A6F71" w:rsidRDefault="004A6F71" w:rsidP="00CB3EB0">
      <w:pPr>
        <w:rPr>
          <w:rFonts w:ascii="Arial" w:eastAsia="Times New Roman" w:hAnsi="Arial"/>
          <w:color w:val="auto"/>
          <w:sz w:val="22"/>
          <w:szCs w:val="24"/>
          <w:lang w:eastAsia="en-AU"/>
        </w:rPr>
      </w:pPr>
    </w:p>
    <w:p w14:paraId="6D26A1CF" w14:textId="5093CDBD" w:rsidR="00AB6CA7" w:rsidRPr="003F138F" w:rsidRDefault="00BB7777" w:rsidP="00AB6CA7">
      <w:pPr>
        <w:pStyle w:val="Heading1"/>
      </w:pPr>
      <w:bookmarkStart w:id="3" w:name="_Toc350434586"/>
      <w:bookmarkStart w:id="4" w:name="_Toc351374879"/>
      <w:bookmarkStart w:id="5" w:name="_Toc232191277"/>
      <w:r w:rsidRPr="00BB7777">
        <w:t>1 Introduction</w:t>
      </w:r>
      <w:bookmarkEnd w:id="5"/>
    </w:p>
    <w:p w14:paraId="71C56E52" w14:textId="77777777" w:rsidR="004A6F71" w:rsidRPr="00F4606C" w:rsidRDefault="004A6F71" w:rsidP="005C495B">
      <w:pPr>
        <w:pStyle w:val="Maintext"/>
        <w:rPr>
          <w:rFonts w:asciiTheme="minorHAnsi" w:eastAsiaTheme="minorEastAsia" w:hAnsiTheme="minorHAnsi" w:cs="Arial"/>
          <w:color w:val="000000" w:themeColor="text1"/>
          <w:sz w:val="20"/>
          <w:szCs w:val="20"/>
          <w:lang w:eastAsia="en-US"/>
        </w:rPr>
      </w:pPr>
      <w:r w:rsidRPr="00F4606C">
        <w:rPr>
          <w:rFonts w:asciiTheme="minorHAnsi" w:eastAsiaTheme="minorEastAsia" w:hAnsiTheme="minorHAnsi" w:cs="Arial"/>
          <w:color w:val="000000" w:themeColor="text1"/>
          <w:sz w:val="20"/>
          <w:szCs w:val="20"/>
          <w:lang w:eastAsia="en-US"/>
        </w:rPr>
        <w:t>This guide provides information to assist investment bodies complete and supply the Annual investment income report (AIIR).  It contains instructions and examples of legislative requirements and commonly reported scenarios.</w:t>
      </w:r>
    </w:p>
    <w:p w14:paraId="3E263A5F" w14:textId="77777777" w:rsidR="004A6F71" w:rsidRPr="00F4606C" w:rsidRDefault="004A6F71" w:rsidP="004A6F71">
      <w:pPr>
        <w:pStyle w:val="Maintext"/>
        <w:rPr>
          <w:rFonts w:asciiTheme="minorHAnsi" w:eastAsiaTheme="minorEastAsia" w:hAnsiTheme="minorHAnsi" w:cs="Arial"/>
          <w:color w:val="000000" w:themeColor="text1"/>
          <w:sz w:val="20"/>
          <w:szCs w:val="20"/>
          <w:lang w:eastAsia="en-US"/>
        </w:rPr>
      </w:pPr>
    </w:p>
    <w:p w14:paraId="5B9A2EA5" w14:textId="77777777" w:rsidR="004A6F71" w:rsidRPr="00F4606C" w:rsidRDefault="004A6F71" w:rsidP="004A6F71">
      <w:pPr>
        <w:pStyle w:val="Maintext"/>
        <w:rPr>
          <w:rFonts w:asciiTheme="minorHAnsi" w:eastAsiaTheme="minorEastAsia" w:hAnsiTheme="minorHAnsi" w:cs="Arial"/>
          <w:color w:val="000000" w:themeColor="text1"/>
          <w:sz w:val="20"/>
          <w:szCs w:val="20"/>
          <w:lang w:eastAsia="en-US"/>
        </w:rPr>
      </w:pPr>
      <w:r w:rsidRPr="00F4606C">
        <w:rPr>
          <w:rFonts w:asciiTheme="minorHAnsi" w:eastAsiaTheme="minorEastAsia" w:hAnsiTheme="minorHAnsi" w:cs="Arial"/>
          <w:color w:val="000000" w:themeColor="text1"/>
          <w:sz w:val="20"/>
          <w:szCs w:val="20"/>
          <w:lang w:eastAsia="en-US"/>
        </w:rPr>
        <w:t>Although specifically designed to support users of the latest versions of the AIIR reporting specifications, it provides useful information for all AIIR users.</w:t>
      </w:r>
    </w:p>
    <w:p w14:paraId="44FC4B81" w14:textId="77777777" w:rsidR="004A6F71" w:rsidRPr="00CF1430" w:rsidRDefault="004A6F71" w:rsidP="004A6F71">
      <w:pPr>
        <w:pStyle w:val="Heading2"/>
      </w:pPr>
      <w:bookmarkStart w:id="6" w:name="_Toc232191278"/>
      <w:r w:rsidRPr="00CF1430">
        <w:t>Information in explanations and instructions</w:t>
      </w:r>
      <w:bookmarkEnd w:id="6"/>
    </w:p>
    <w:p w14:paraId="1EEEA665" w14:textId="182BD5C4" w:rsidR="004A6F71" w:rsidRPr="006A5A29" w:rsidRDefault="004A6F71" w:rsidP="008B22C9">
      <w:pPr>
        <w:pStyle w:val="Maintext"/>
        <w:rPr>
          <w:rFonts w:asciiTheme="minorHAnsi" w:eastAsiaTheme="minorEastAsia" w:hAnsiTheme="minorHAnsi" w:cs="Arial"/>
          <w:color w:val="000000" w:themeColor="text1"/>
          <w:sz w:val="20"/>
          <w:szCs w:val="20"/>
          <w:lang w:eastAsia="en-US"/>
        </w:rPr>
      </w:pPr>
      <w:r w:rsidRPr="006A5A29">
        <w:rPr>
          <w:rFonts w:asciiTheme="minorHAnsi" w:eastAsiaTheme="minorEastAsia" w:hAnsiTheme="minorHAnsi" w:cs="Arial"/>
          <w:color w:val="000000" w:themeColor="text1"/>
          <w:sz w:val="20"/>
          <w:szCs w:val="20"/>
          <w:lang w:eastAsia="en-US"/>
        </w:rPr>
        <w:t>The explanations and instructions in this guide are to assist preparers to identify information to report in the AIIR and to understand its relevance.  They are not Australian Tax Office (ATO) interpretive advice or statements of ATO interpretive positions on the character and calculation of the relevant amounts.</w:t>
      </w:r>
    </w:p>
    <w:p w14:paraId="0DE3573A" w14:textId="77777777" w:rsidR="008B22C9" w:rsidRPr="006A5A29" w:rsidRDefault="008B22C9" w:rsidP="00F4606C">
      <w:pPr>
        <w:pStyle w:val="Maintext"/>
        <w:rPr>
          <w:rFonts w:asciiTheme="minorHAnsi" w:eastAsiaTheme="minorEastAsia" w:hAnsiTheme="minorHAnsi" w:cs="Arial"/>
          <w:color w:val="000000" w:themeColor="text1"/>
          <w:sz w:val="20"/>
          <w:szCs w:val="20"/>
          <w:lang w:eastAsia="en-US"/>
        </w:rPr>
      </w:pPr>
    </w:p>
    <w:p w14:paraId="4472212C" w14:textId="77777777" w:rsidR="004A6F71" w:rsidRPr="006A5A29" w:rsidRDefault="004A6F71" w:rsidP="006A5A29">
      <w:pPr>
        <w:pStyle w:val="Maintext"/>
        <w:rPr>
          <w:rFonts w:asciiTheme="minorHAnsi" w:eastAsiaTheme="minorEastAsia" w:hAnsiTheme="minorHAnsi" w:cs="Arial"/>
          <w:color w:val="000000" w:themeColor="text1"/>
          <w:sz w:val="20"/>
          <w:szCs w:val="20"/>
          <w:lang w:eastAsia="en-US"/>
        </w:rPr>
      </w:pPr>
      <w:r w:rsidRPr="006A5A29">
        <w:rPr>
          <w:rFonts w:asciiTheme="minorHAnsi" w:eastAsiaTheme="minorEastAsia" w:hAnsiTheme="minorHAnsi" w:cs="Arial"/>
          <w:color w:val="000000" w:themeColor="text1"/>
          <w:sz w:val="20"/>
          <w:szCs w:val="20"/>
          <w:lang w:eastAsia="en-US"/>
        </w:rPr>
        <w:t xml:space="preserve">For information about ATO interpretive assistance </w:t>
      </w:r>
      <w:hyperlink r:id="rId14" w:history="1">
        <w:r w:rsidRPr="006A5A29">
          <w:rPr>
            <w:rFonts w:asciiTheme="minorHAnsi" w:eastAsiaTheme="minorEastAsia" w:hAnsiTheme="minorHAnsi" w:cs="Arial"/>
            <w:color w:val="000000" w:themeColor="text1"/>
            <w:sz w:val="20"/>
            <w:szCs w:val="20"/>
            <w:lang w:eastAsia="en-US"/>
          </w:rPr>
          <w:t>ATO advice and guidance</w:t>
        </w:r>
      </w:hyperlink>
      <w:r w:rsidRPr="006A5A29">
        <w:rPr>
          <w:rFonts w:asciiTheme="minorHAnsi" w:eastAsiaTheme="minorEastAsia" w:hAnsiTheme="minorHAnsi" w:cs="Arial"/>
          <w:color w:val="000000" w:themeColor="text1"/>
          <w:sz w:val="20"/>
          <w:szCs w:val="20"/>
          <w:lang w:eastAsia="en-US"/>
        </w:rPr>
        <w:t xml:space="preserve"> </w:t>
      </w:r>
    </w:p>
    <w:p w14:paraId="696F5C77" w14:textId="57B71570" w:rsidR="004A6F71" w:rsidRPr="00B35C0A" w:rsidRDefault="004A6F71" w:rsidP="004A6F71">
      <w:pPr>
        <w:pStyle w:val="Heading2"/>
      </w:pPr>
      <w:bookmarkStart w:id="7" w:name="_Toc358373191"/>
      <w:bookmarkStart w:id="8" w:name="_Toc5192643"/>
      <w:bookmarkStart w:id="9" w:name="_Toc232191279"/>
      <w:r w:rsidRPr="00B35C0A">
        <w:t xml:space="preserve">Who should use this </w:t>
      </w:r>
      <w:bookmarkEnd w:id="3"/>
      <w:bookmarkEnd w:id="4"/>
      <w:bookmarkEnd w:id="7"/>
      <w:bookmarkEnd w:id="8"/>
      <w:r w:rsidR="003E2672">
        <w:t>guide</w:t>
      </w:r>
      <w:r w:rsidRPr="00B35C0A">
        <w:t>?</w:t>
      </w:r>
      <w:bookmarkEnd w:id="9"/>
    </w:p>
    <w:p w14:paraId="703B2602"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This guide has been prepared for AIIR suppliers, reporters, software developers.</w:t>
      </w:r>
    </w:p>
    <w:p w14:paraId="282E0055" w14:textId="77777777" w:rsidR="004A6F71" w:rsidRDefault="004A6F71" w:rsidP="004A6F71">
      <w:pPr>
        <w:pStyle w:val="Heading2"/>
      </w:pPr>
      <w:bookmarkStart w:id="10" w:name="_Toc350434587"/>
      <w:bookmarkStart w:id="11" w:name="_Toc351374880"/>
      <w:bookmarkStart w:id="12" w:name="_Toc358373192"/>
      <w:bookmarkStart w:id="13" w:name="_Toc5192644"/>
      <w:bookmarkStart w:id="14" w:name="_Toc232191280"/>
      <w:r w:rsidRPr="00624E0D">
        <w:t>How to use this guide</w:t>
      </w:r>
      <w:bookmarkEnd w:id="10"/>
      <w:bookmarkEnd w:id="11"/>
      <w:bookmarkEnd w:id="12"/>
      <w:bookmarkEnd w:id="13"/>
      <w:bookmarkEnd w:id="14"/>
    </w:p>
    <w:p w14:paraId="07CF7C0C"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Read this guide in conjunction with the current versions of the AIIR reporting specifications. This guide does not address every field detailed in the electronic reporting specification (ERS). Its purpose is to provide examples and additional information to assist in completing the report.</w:t>
      </w:r>
    </w:p>
    <w:p w14:paraId="3DD6908E" w14:textId="77777777" w:rsidR="004A6F71" w:rsidRPr="00F4606C" w:rsidRDefault="004A6F71" w:rsidP="004A6F71">
      <w:pPr>
        <w:pStyle w:val="Bullet1"/>
        <w:rPr>
          <w:rFonts w:asciiTheme="minorHAnsi" w:hAnsiTheme="minorHAnsi" w:cs="Arial"/>
          <w:sz w:val="20"/>
          <w:szCs w:val="20"/>
        </w:rPr>
      </w:pPr>
    </w:p>
    <w:p w14:paraId="6B747A44" w14:textId="5840F3DC" w:rsidR="004A6F71" w:rsidRPr="00F4606C" w:rsidRDefault="004A6F71" w:rsidP="14B1A632">
      <w:pPr>
        <w:pStyle w:val="Maintext"/>
        <w:rPr>
          <w:rFonts w:asciiTheme="minorHAnsi" w:hAnsiTheme="minorHAnsi" w:cs="Arial"/>
          <w:sz w:val="20"/>
          <w:szCs w:val="20"/>
        </w:rPr>
      </w:pPr>
      <w:r w:rsidRPr="14B1A632">
        <w:rPr>
          <w:rFonts w:asciiTheme="minorHAnsi" w:hAnsiTheme="minorHAnsi" w:cs="Arial"/>
          <w:sz w:val="20"/>
          <w:szCs w:val="20"/>
        </w:rPr>
        <w:t>AIIR field references within this document relate to the ERS v1</w:t>
      </w:r>
      <w:r w:rsidR="5698880E" w:rsidRPr="14B1A632">
        <w:rPr>
          <w:rFonts w:asciiTheme="minorHAnsi" w:hAnsiTheme="minorHAnsi" w:cs="Arial"/>
          <w:sz w:val="20"/>
          <w:szCs w:val="20"/>
        </w:rPr>
        <w:t>4</w:t>
      </w:r>
      <w:r w:rsidRPr="14B1A632">
        <w:rPr>
          <w:rFonts w:asciiTheme="minorHAnsi" w:hAnsiTheme="minorHAnsi" w:cs="Arial"/>
          <w:sz w:val="20"/>
          <w:szCs w:val="20"/>
        </w:rPr>
        <w:t xml:space="preserve">. To assist PC spreadsheet specification users, </w:t>
      </w:r>
      <w:hyperlink w:anchor="_Appendix_A_-" w:history="1">
        <w:r w:rsidRPr="14B1A632">
          <w:rPr>
            <w:rStyle w:val="Hyperlink"/>
            <w:rFonts w:asciiTheme="minorHAnsi" w:hAnsiTheme="minorHAnsi" w:cs="Arial"/>
          </w:rPr>
          <w:t>Appendix A</w:t>
        </w:r>
      </w:hyperlink>
      <w:r w:rsidRPr="14B1A632">
        <w:rPr>
          <w:rFonts w:asciiTheme="minorHAnsi" w:hAnsiTheme="minorHAnsi" w:cs="Arial"/>
          <w:sz w:val="20"/>
          <w:szCs w:val="20"/>
        </w:rPr>
        <w:t xml:space="preserve"> contains a comparison of the current ERS and PC spreadsheet references and field numbers.</w:t>
      </w:r>
      <w:r w:rsidRPr="14B1A632">
        <w:rPr>
          <w:rFonts w:asciiTheme="minorHAnsi" w:hAnsiTheme="minorHAnsi"/>
          <w:sz w:val="20"/>
          <w:szCs w:val="20"/>
        </w:rPr>
        <w:t xml:space="preserve"> </w:t>
      </w:r>
      <w:r w:rsidRPr="14B1A632">
        <w:rPr>
          <w:rFonts w:asciiTheme="minorHAnsi" w:hAnsiTheme="minorHAnsi" w:cs="Arial"/>
          <w:sz w:val="20"/>
          <w:szCs w:val="20"/>
        </w:rPr>
        <w:t xml:space="preserve">A separate Transfer of shares and units (managed funds and trustees) companion guide </w:t>
      </w:r>
      <w:r w:rsidR="00FA3A85">
        <w:rPr>
          <w:rFonts w:asciiTheme="minorHAnsi" w:hAnsiTheme="minorHAnsi" w:cs="Arial"/>
          <w:sz w:val="20"/>
          <w:szCs w:val="20"/>
        </w:rPr>
        <w:t>for</w:t>
      </w:r>
      <w:r w:rsidRPr="14B1A632">
        <w:rPr>
          <w:rFonts w:asciiTheme="minorHAnsi" w:hAnsiTheme="minorHAnsi" w:cs="Arial"/>
          <w:sz w:val="20"/>
          <w:szCs w:val="20"/>
        </w:rPr>
        <w:t xml:space="preserve"> the completion of the </w:t>
      </w:r>
      <w:r w:rsidRPr="14B1A632">
        <w:rPr>
          <w:rFonts w:asciiTheme="minorHAnsi" w:hAnsiTheme="minorHAnsi" w:cs="Arial"/>
          <w:i/>
          <w:iCs/>
          <w:sz w:val="20"/>
          <w:szCs w:val="20"/>
        </w:rPr>
        <w:t xml:space="preserve">Security Level data record </w:t>
      </w:r>
      <w:r w:rsidRPr="14B1A632">
        <w:rPr>
          <w:rFonts w:asciiTheme="minorHAnsi" w:hAnsiTheme="minorHAnsi" w:cs="Arial"/>
          <w:sz w:val="20"/>
          <w:szCs w:val="20"/>
        </w:rPr>
        <w:t xml:space="preserve">and the </w:t>
      </w:r>
      <w:r w:rsidRPr="14B1A632">
        <w:rPr>
          <w:rFonts w:asciiTheme="minorHAnsi" w:hAnsiTheme="minorHAnsi" w:cs="Arial"/>
          <w:i/>
          <w:iCs/>
          <w:sz w:val="20"/>
          <w:szCs w:val="20"/>
        </w:rPr>
        <w:t>Sale of Securities data records</w:t>
      </w:r>
      <w:r w:rsidRPr="14B1A632">
        <w:rPr>
          <w:rFonts w:asciiTheme="minorHAnsi" w:hAnsiTheme="minorHAnsi" w:cs="Arial"/>
          <w:sz w:val="20"/>
          <w:szCs w:val="20"/>
        </w:rPr>
        <w:t xml:space="preserve"> is available on the Software developers’ website: </w:t>
      </w:r>
      <w:hyperlink r:id="rId15">
        <w:r w:rsidRPr="14B1A632">
          <w:rPr>
            <w:rStyle w:val="Hyperlink"/>
            <w:rFonts w:asciiTheme="minorHAnsi" w:hAnsiTheme="minorHAnsi" w:cs="Arial"/>
          </w:rPr>
          <w:t>http://softwaredevelopers.ato.gov.au</w:t>
        </w:r>
      </w:hyperlink>
    </w:p>
    <w:p w14:paraId="6E836502" w14:textId="78678048" w:rsidR="004A6F71" w:rsidRPr="006E3058" w:rsidRDefault="004A6F71" w:rsidP="004A6F71">
      <w:pPr>
        <w:pStyle w:val="Heading2"/>
      </w:pPr>
      <w:bookmarkStart w:id="15" w:name="_Toc232191281"/>
      <w:r w:rsidRPr="007511EB">
        <w:t xml:space="preserve">Specification </w:t>
      </w:r>
      <w:r w:rsidR="00FB54C4">
        <w:t xml:space="preserve">updates for </w:t>
      </w:r>
      <w:r w:rsidR="004075E9">
        <w:t>v14.0.0</w:t>
      </w:r>
      <w:r w:rsidR="00FB54C4">
        <w:t xml:space="preserve"> </w:t>
      </w:r>
      <w:r w:rsidR="004317B0">
        <w:t xml:space="preserve">reporting </w:t>
      </w:r>
      <w:r w:rsidR="00FB54C4">
        <w:t>f</w:t>
      </w:r>
      <w:r w:rsidR="00DF52DD">
        <w:t>or</w:t>
      </w:r>
      <w:r w:rsidR="00FB54C4">
        <w:t xml:space="preserve"> 202</w:t>
      </w:r>
      <w:r w:rsidR="00DF52DD">
        <w:t>5/2026</w:t>
      </w:r>
      <w:r w:rsidR="00817C15">
        <w:t xml:space="preserve"> </w:t>
      </w:r>
      <w:r w:rsidR="00DF52DD">
        <w:t>Financial Year onwards</w:t>
      </w:r>
      <w:bookmarkEnd w:id="15"/>
    </w:p>
    <w:p w14:paraId="0A94070C" w14:textId="77777777" w:rsidR="00CB3EB0" w:rsidRDefault="00CB3EB0" w:rsidP="00CB3EB0">
      <w:pPr>
        <w:pStyle w:val="Maintext"/>
        <w:rPr>
          <w:rFonts w:asciiTheme="minorHAnsi" w:hAnsiTheme="minorHAnsi"/>
          <w:sz w:val="20"/>
          <w:szCs w:val="20"/>
        </w:rPr>
      </w:pPr>
      <w:r w:rsidRPr="00B33105">
        <w:rPr>
          <w:rFonts w:asciiTheme="minorHAnsi" w:hAnsiTheme="minorHAnsi"/>
          <w:sz w:val="20"/>
          <w:szCs w:val="20"/>
        </w:rPr>
        <w:t xml:space="preserve">New Build to Rent (BTR) incentives </w:t>
      </w:r>
      <w:r>
        <w:rPr>
          <w:rFonts w:asciiTheme="minorHAnsi" w:hAnsiTheme="minorHAnsi"/>
          <w:sz w:val="20"/>
          <w:szCs w:val="20"/>
        </w:rPr>
        <w:t xml:space="preserve">have been </w:t>
      </w:r>
      <w:r w:rsidRPr="00B33105">
        <w:rPr>
          <w:rFonts w:asciiTheme="minorHAnsi" w:hAnsiTheme="minorHAnsi"/>
          <w:sz w:val="20"/>
          <w:szCs w:val="20"/>
        </w:rPr>
        <w:t xml:space="preserve">introduced where investment </w:t>
      </w:r>
      <w:r>
        <w:rPr>
          <w:rFonts w:asciiTheme="minorHAnsi" w:hAnsiTheme="minorHAnsi"/>
          <w:sz w:val="20"/>
          <w:szCs w:val="20"/>
        </w:rPr>
        <w:t>entities</w:t>
      </w:r>
      <w:r w:rsidRPr="00B33105">
        <w:rPr>
          <w:rFonts w:asciiTheme="minorHAnsi" w:hAnsiTheme="minorHAnsi"/>
          <w:sz w:val="20"/>
          <w:szCs w:val="20"/>
        </w:rPr>
        <w:t xml:space="preserve"> </w:t>
      </w:r>
      <w:r w:rsidRPr="5511C1B4">
        <w:rPr>
          <w:rFonts w:asciiTheme="minorHAnsi" w:hAnsiTheme="minorHAnsi"/>
          <w:sz w:val="20"/>
          <w:szCs w:val="20"/>
        </w:rPr>
        <w:t>who</w:t>
      </w:r>
      <w:r w:rsidRPr="00B33105">
        <w:rPr>
          <w:rFonts w:asciiTheme="minorHAnsi" w:hAnsiTheme="minorHAnsi"/>
          <w:sz w:val="20"/>
          <w:szCs w:val="20"/>
        </w:rPr>
        <w:t xml:space="preserve"> lodge an AIIR </w:t>
      </w:r>
      <w:r w:rsidRPr="2A6B0038">
        <w:rPr>
          <w:rFonts w:asciiTheme="minorHAnsi" w:hAnsiTheme="minorHAnsi"/>
          <w:sz w:val="20"/>
          <w:szCs w:val="20"/>
        </w:rPr>
        <w:t>must</w:t>
      </w:r>
      <w:r w:rsidRPr="00B33105">
        <w:rPr>
          <w:rFonts w:asciiTheme="minorHAnsi" w:hAnsiTheme="minorHAnsi"/>
          <w:sz w:val="20"/>
          <w:szCs w:val="20"/>
        </w:rPr>
        <w:t xml:space="preserve"> report</w:t>
      </w:r>
      <w:r>
        <w:rPr>
          <w:rFonts w:asciiTheme="minorHAnsi" w:hAnsiTheme="minorHAnsi"/>
          <w:sz w:val="20"/>
          <w:szCs w:val="20"/>
        </w:rPr>
        <w:t xml:space="preserve"> amounts </w:t>
      </w:r>
      <w:r w:rsidRPr="5511C1B4">
        <w:rPr>
          <w:rFonts w:asciiTheme="minorHAnsi" w:hAnsiTheme="minorHAnsi"/>
          <w:sz w:val="20"/>
          <w:szCs w:val="20"/>
        </w:rPr>
        <w:t>distributed</w:t>
      </w:r>
      <w:r w:rsidRPr="331C0155">
        <w:rPr>
          <w:rFonts w:asciiTheme="minorHAnsi" w:hAnsiTheme="minorHAnsi"/>
          <w:sz w:val="20"/>
          <w:szCs w:val="20"/>
        </w:rPr>
        <w:t>,</w:t>
      </w:r>
      <w:r w:rsidRPr="5511C1B4">
        <w:rPr>
          <w:rFonts w:asciiTheme="minorHAnsi" w:hAnsiTheme="minorHAnsi"/>
          <w:sz w:val="20"/>
          <w:szCs w:val="20"/>
        </w:rPr>
        <w:t xml:space="preserve"> as</w:t>
      </w:r>
      <w:r>
        <w:rPr>
          <w:rFonts w:asciiTheme="minorHAnsi" w:hAnsiTheme="minorHAnsi"/>
          <w:sz w:val="20"/>
          <w:szCs w:val="20"/>
        </w:rPr>
        <w:t xml:space="preserve"> an entity that holds an </w:t>
      </w:r>
      <w:r w:rsidRPr="093F77F6">
        <w:rPr>
          <w:rFonts w:asciiTheme="minorHAnsi" w:hAnsiTheme="minorHAnsi"/>
          <w:sz w:val="20"/>
          <w:szCs w:val="20"/>
        </w:rPr>
        <w:t>active</w:t>
      </w:r>
      <w:r w:rsidRPr="00B33105">
        <w:rPr>
          <w:rFonts w:asciiTheme="minorHAnsi" w:hAnsiTheme="minorHAnsi"/>
          <w:sz w:val="20"/>
          <w:szCs w:val="20"/>
        </w:rPr>
        <w:t xml:space="preserve"> BTR </w:t>
      </w:r>
      <w:r>
        <w:rPr>
          <w:rFonts w:asciiTheme="minorHAnsi" w:hAnsiTheme="minorHAnsi"/>
          <w:sz w:val="20"/>
          <w:szCs w:val="20"/>
        </w:rPr>
        <w:t xml:space="preserve">development or </w:t>
      </w:r>
      <w:r w:rsidRPr="4B2F100E">
        <w:rPr>
          <w:rFonts w:asciiTheme="minorHAnsi" w:hAnsiTheme="minorHAnsi"/>
          <w:sz w:val="20"/>
          <w:szCs w:val="20"/>
        </w:rPr>
        <w:t>a</w:t>
      </w:r>
      <w:r>
        <w:rPr>
          <w:rFonts w:asciiTheme="minorHAnsi" w:hAnsiTheme="minorHAnsi"/>
          <w:sz w:val="20"/>
          <w:szCs w:val="20"/>
        </w:rPr>
        <w:t>s a payment recipient (directly or indirectly receives payments from an owner of an active BTR development</w:t>
      </w:r>
      <w:r w:rsidRPr="4B2F100E">
        <w:rPr>
          <w:rFonts w:asciiTheme="minorHAnsi" w:hAnsiTheme="minorHAnsi"/>
          <w:sz w:val="20"/>
          <w:szCs w:val="20"/>
        </w:rPr>
        <w:t>),</w:t>
      </w:r>
      <w:r>
        <w:rPr>
          <w:rFonts w:asciiTheme="minorHAnsi" w:hAnsiTheme="minorHAnsi"/>
          <w:sz w:val="20"/>
          <w:szCs w:val="20"/>
        </w:rPr>
        <w:t xml:space="preserve"> under the </w:t>
      </w:r>
      <w:r>
        <w:rPr>
          <w:rFonts w:asciiTheme="minorHAnsi" w:hAnsiTheme="minorHAnsi"/>
          <w:i/>
          <w:iCs/>
          <w:sz w:val="20"/>
          <w:szCs w:val="20"/>
        </w:rPr>
        <w:t xml:space="preserve">Income Tax Assessment Act 1997 </w:t>
      </w:r>
      <w:r>
        <w:rPr>
          <w:rFonts w:asciiTheme="minorHAnsi" w:hAnsiTheme="minorHAnsi"/>
          <w:sz w:val="20"/>
          <w:szCs w:val="20"/>
        </w:rPr>
        <w:t>(ITAA 1997)</w:t>
      </w:r>
      <w:r w:rsidRPr="4B705D48">
        <w:rPr>
          <w:rFonts w:asciiTheme="minorHAnsi" w:hAnsiTheme="minorHAnsi"/>
          <w:sz w:val="20"/>
          <w:szCs w:val="20"/>
        </w:rPr>
        <w:t>.</w:t>
      </w:r>
    </w:p>
    <w:p w14:paraId="6DF443C3" w14:textId="77777777" w:rsidR="004A6F71" w:rsidRPr="00F4606C" w:rsidRDefault="004A6F71" w:rsidP="004A6F71">
      <w:pPr>
        <w:pStyle w:val="Maintext"/>
        <w:rPr>
          <w:rFonts w:asciiTheme="minorHAnsi" w:hAnsiTheme="minorHAnsi" w:cs="Arial"/>
          <w:sz w:val="20"/>
          <w:szCs w:val="20"/>
        </w:rPr>
      </w:pPr>
    </w:p>
    <w:p w14:paraId="4ED88E51" w14:textId="37C650A2" w:rsidR="004A6F71" w:rsidRPr="003E2672" w:rsidRDefault="004A6F71" w:rsidP="79643AD8">
      <w:pPr>
        <w:shd w:val="clear" w:color="auto" w:fill="FFFFFF" w:themeFill="background1"/>
        <w:spacing w:before="96" w:after="192"/>
        <w:rPr>
          <w:rFonts w:cs="Arial"/>
          <w:lang w:val="en-US"/>
        </w:rPr>
      </w:pPr>
      <w:r w:rsidRPr="79643AD8">
        <w:rPr>
          <w:rFonts w:cs="Arial"/>
          <w:lang w:val="en-US"/>
        </w:rPr>
        <w:t>Please refer to “</w:t>
      </w:r>
      <w:hyperlink w:anchor="_Specifications_and_lodgment">
        <w:r w:rsidRPr="79643AD8">
          <w:rPr>
            <w:rStyle w:val="Hyperlink"/>
            <w:rFonts w:cs="Arial"/>
            <w:lang w:val="en-US"/>
          </w:rPr>
          <w:t>Specifications</w:t>
        </w:r>
      </w:hyperlink>
      <w:r w:rsidRPr="79643AD8">
        <w:rPr>
          <w:rFonts w:cs="Arial"/>
          <w:lang w:val="en-US"/>
        </w:rPr>
        <w:t>” for information on which specification you should use to report.</w:t>
      </w:r>
    </w:p>
    <w:p w14:paraId="64D8AAA4" w14:textId="20C21D08" w:rsidR="004A6F71" w:rsidRPr="00F23ED5" w:rsidRDefault="003A19A7" w:rsidP="004A6F71">
      <w:pPr>
        <w:pStyle w:val="Heading2"/>
      </w:pPr>
      <w:bookmarkStart w:id="16" w:name="_Toc232191282"/>
      <w:r>
        <w:t>New/</w:t>
      </w:r>
      <w:r w:rsidR="0066189E">
        <w:t>u</w:t>
      </w:r>
      <w:r w:rsidR="004A6F71">
        <w:t>pdate</w:t>
      </w:r>
      <w:r>
        <w:t>d</w:t>
      </w:r>
      <w:r w:rsidR="004A6F71">
        <w:t xml:space="preserve"> </w:t>
      </w:r>
      <w:r w:rsidR="0066189E">
        <w:t>fields</w:t>
      </w:r>
      <w:bookmarkEnd w:id="16"/>
      <w:r w:rsidR="0066189E">
        <w:t xml:space="preserve"> </w:t>
      </w:r>
    </w:p>
    <w:p w14:paraId="67174106" w14:textId="0F185546" w:rsidR="004A6F71" w:rsidRDefault="004A6F71" w:rsidP="004A6F71">
      <w:r>
        <w:t>New fields have been added and a</w:t>
      </w:r>
      <w:r w:rsidRPr="00F23ED5">
        <w:t xml:space="preserve"> number of existing field names and definitions have been updated</w:t>
      </w:r>
      <w:r>
        <w:t>.</w:t>
      </w:r>
      <w:r w:rsidRPr="00F23ED5">
        <w:t xml:space="preserve"> Key changes are </w:t>
      </w:r>
      <w:r>
        <w:t>summarised</w:t>
      </w:r>
      <w:r w:rsidRPr="00F23ED5">
        <w:t xml:space="preserve"> below. All field numbers are relevant to the </w:t>
      </w:r>
      <w:r>
        <w:t>latest specification, ERS</w:t>
      </w:r>
      <w:r w:rsidRPr="00F23ED5">
        <w:t xml:space="preserve"> v1</w:t>
      </w:r>
      <w:r w:rsidR="0066189E">
        <w:t>4</w:t>
      </w:r>
      <w:r>
        <w:t>:</w:t>
      </w:r>
    </w:p>
    <w:tbl>
      <w:tblPr>
        <w:tblStyle w:val="TableGrid"/>
        <w:tblW w:w="0" w:type="auto"/>
        <w:tblLook w:val="04A0" w:firstRow="1" w:lastRow="0" w:firstColumn="1" w:lastColumn="0" w:noHBand="0" w:noVBand="1"/>
      </w:tblPr>
      <w:tblGrid>
        <w:gridCol w:w="1107"/>
        <w:gridCol w:w="2299"/>
        <w:gridCol w:w="1265"/>
        <w:gridCol w:w="4368"/>
        <w:gridCol w:w="259"/>
      </w:tblGrid>
      <w:tr w:rsidR="00CA5DA2" w:rsidRPr="00F23ED5" w14:paraId="34B1FA6D" w14:textId="77777777" w:rsidTr="00796CB9">
        <w:trPr>
          <w:tblHeader/>
        </w:trPr>
        <w:tc>
          <w:tcPr>
            <w:tcW w:w="1107" w:type="dxa"/>
            <w:shd w:val="clear" w:color="auto" w:fill="BFBFBF" w:themeFill="background1" w:themeFillShade="BF"/>
          </w:tcPr>
          <w:p w14:paraId="1782FB32" w14:textId="2A367473" w:rsidR="004A6F71" w:rsidRPr="006E3058" w:rsidRDefault="0044217B" w:rsidP="000C1365">
            <w:pPr>
              <w:rPr>
                <w:b/>
              </w:rPr>
            </w:pPr>
            <w:r>
              <w:rPr>
                <w:b/>
              </w:rPr>
              <w:t>Change</w:t>
            </w:r>
          </w:p>
        </w:tc>
        <w:tc>
          <w:tcPr>
            <w:tcW w:w="2299" w:type="dxa"/>
            <w:shd w:val="clear" w:color="auto" w:fill="BFBFBF" w:themeFill="background1" w:themeFillShade="BF"/>
          </w:tcPr>
          <w:p w14:paraId="16EB6058" w14:textId="316A0D03" w:rsidR="004A6F71" w:rsidRPr="006E3058" w:rsidRDefault="0044217B" w:rsidP="000C1365">
            <w:pPr>
              <w:rPr>
                <w:b/>
              </w:rPr>
            </w:pPr>
            <w:r>
              <w:rPr>
                <w:b/>
              </w:rPr>
              <w:t>Field name</w:t>
            </w:r>
          </w:p>
        </w:tc>
        <w:tc>
          <w:tcPr>
            <w:tcW w:w="1265" w:type="dxa"/>
            <w:shd w:val="clear" w:color="auto" w:fill="BFBFBF" w:themeFill="background1" w:themeFillShade="BF"/>
          </w:tcPr>
          <w:p w14:paraId="5EDBDCC5" w14:textId="44D1197C" w:rsidR="004A6F71" w:rsidRPr="006E3058" w:rsidRDefault="0044217B" w:rsidP="000C1365">
            <w:pPr>
              <w:rPr>
                <w:b/>
              </w:rPr>
            </w:pPr>
            <w:r>
              <w:rPr>
                <w:b/>
              </w:rPr>
              <w:t>Reference number</w:t>
            </w:r>
          </w:p>
        </w:tc>
        <w:tc>
          <w:tcPr>
            <w:tcW w:w="4627" w:type="dxa"/>
            <w:gridSpan w:val="2"/>
            <w:shd w:val="clear" w:color="auto" w:fill="BFBFBF" w:themeFill="background1" w:themeFillShade="BF"/>
          </w:tcPr>
          <w:p w14:paraId="33B15260" w14:textId="52C3FDE0" w:rsidR="004A6F71" w:rsidRPr="006E3058" w:rsidRDefault="0044217B" w:rsidP="000C1365">
            <w:pPr>
              <w:rPr>
                <w:b/>
              </w:rPr>
            </w:pPr>
            <w:r>
              <w:rPr>
                <w:b/>
              </w:rPr>
              <w:t>Description</w:t>
            </w:r>
          </w:p>
        </w:tc>
      </w:tr>
      <w:tr w:rsidR="00B23D28" w:rsidRPr="00F23ED5" w14:paraId="63DC907C" w14:textId="77777777" w:rsidTr="00796CB9">
        <w:trPr>
          <w:gridAfter w:val="1"/>
          <w:wAfter w:w="259" w:type="dxa"/>
          <w:tblHeader/>
        </w:trPr>
        <w:tc>
          <w:tcPr>
            <w:tcW w:w="1107" w:type="dxa"/>
          </w:tcPr>
          <w:p w14:paraId="75CA250F" w14:textId="633257B9" w:rsidR="00563BC1" w:rsidRPr="00796CB9" w:rsidRDefault="00563BC1" w:rsidP="00C97B82">
            <w:pPr>
              <w:spacing w:after="0" w:line="240" w:lineRule="auto"/>
              <w:rPr>
                <w:szCs w:val="18"/>
              </w:rPr>
            </w:pPr>
            <w:r w:rsidRPr="00796CB9">
              <w:rPr>
                <w:szCs w:val="18"/>
              </w:rPr>
              <w:t>Update</w:t>
            </w:r>
          </w:p>
        </w:tc>
        <w:tc>
          <w:tcPr>
            <w:tcW w:w="2299" w:type="dxa"/>
          </w:tcPr>
          <w:p w14:paraId="66FCA6FC" w14:textId="59ECC6E4" w:rsidR="00563BC1" w:rsidRPr="00796CB9" w:rsidRDefault="00563BC1" w:rsidP="00C97B82">
            <w:pPr>
              <w:spacing w:after="0" w:line="240" w:lineRule="auto"/>
              <w:rPr>
                <w:szCs w:val="18"/>
              </w:rPr>
            </w:pPr>
            <w:r w:rsidRPr="00796CB9">
              <w:rPr>
                <w:szCs w:val="18"/>
              </w:rPr>
              <w:t xml:space="preserve">Investment body </w:t>
            </w:r>
            <w:r w:rsidR="0054669E" w:rsidRPr="00796CB9">
              <w:rPr>
                <w:szCs w:val="18"/>
              </w:rPr>
              <w:t>entity sub-type code</w:t>
            </w:r>
          </w:p>
        </w:tc>
        <w:tc>
          <w:tcPr>
            <w:tcW w:w="1265" w:type="dxa"/>
          </w:tcPr>
          <w:p w14:paraId="059EF92D" w14:textId="09CFA41C" w:rsidR="00563BC1" w:rsidRPr="00796CB9" w:rsidRDefault="0054669E" w:rsidP="00C97B82">
            <w:pPr>
              <w:spacing w:after="0" w:line="240" w:lineRule="auto"/>
              <w:jc w:val="center"/>
              <w:rPr>
                <w:szCs w:val="18"/>
              </w:rPr>
            </w:pPr>
            <w:r w:rsidRPr="00796CB9">
              <w:rPr>
                <w:szCs w:val="18"/>
              </w:rPr>
              <w:t>9.49</w:t>
            </w:r>
          </w:p>
        </w:tc>
        <w:tc>
          <w:tcPr>
            <w:tcW w:w="4368" w:type="dxa"/>
          </w:tcPr>
          <w:p w14:paraId="0DEA2786" w14:textId="77777777" w:rsidR="00870D64" w:rsidRPr="00796CB9" w:rsidRDefault="00AC7A9D">
            <w:pPr>
              <w:spacing w:after="0" w:line="240" w:lineRule="auto"/>
              <w:rPr>
                <w:szCs w:val="18"/>
              </w:rPr>
            </w:pPr>
            <w:r w:rsidRPr="00796CB9">
              <w:rPr>
                <w:szCs w:val="18"/>
              </w:rPr>
              <w:t>Added</w:t>
            </w:r>
            <w:r w:rsidR="00FE1F7E" w:rsidRPr="00796CB9">
              <w:rPr>
                <w:szCs w:val="18"/>
              </w:rPr>
              <w:t xml:space="preserve"> trust sub-type codes for</w:t>
            </w:r>
            <w:r w:rsidR="00870D64" w:rsidRPr="00796CB9">
              <w:rPr>
                <w:szCs w:val="18"/>
              </w:rPr>
              <w:t>:</w:t>
            </w:r>
            <w:r w:rsidRPr="00796CB9">
              <w:rPr>
                <w:szCs w:val="18"/>
              </w:rPr>
              <w:t xml:space="preserve"> </w:t>
            </w:r>
          </w:p>
          <w:p w14:paraId="6B509611" w14:textId="77777777" w:rsidR="00870D64" w:rsidRPr="00796CB9" w:rsidRDefault="0051218B" w:rsidP="00C97B82">
            <w:pPr>
              <w:pStyle w:val="ListParagraph"/>
              <w:numPr>
                <w:ilvl w:val="0"/>
                <w:numId w:val="98"/>
              </w:numPr>
              <w:spacing w:after="0" w:line="240" w:lineRule="auto"/>
              <w:ind w:left="506"/>
              <w:rPr>
                <w:szCs w:val="18"/>
              </w:rPr>
            </w:pPr>
            <w:r w:rsidRPr="00796CB9">
              <w:rPr>
                <w:szCs w:val="18"/>
              </w:rPr>
              <w:t>A</w:t>
            </w:r>
            <w:r w:rsidR="003E03B1" w:rsidRPr="00796CB9">
              <w:rPr>
                <w:szCs w:val="18"/>
              </w:rPr>
              <w:t xml:space="preserve">ttribution CCIV sub-fund trust “CSF” and </w:t>
            </w:r>
          </w:p>
          <w:p w14:paraId="3EC9EED7" w14:textId="63F28E79" w:rsidR="00563BC1" w:rsidRPr="00796CB9" w:rsidRDefault="0051218B" w:rsidP="00C97B82">
            <w:pPr>
              <w:pStyle w:val="ListParagraph"/>
              <w:numPr>
                <w:ilvl w:val="0"/>
                <w:numId w:val="98"/>
              </w:numPr>
              <w:spacing w:after="0" w:line="240" w:lineRule="auto"/>
              <w:ind w:left="506"/>
              <w:rPr>
                <w:szCs w:val="18"/>
              </w:rPr>
            </w:pPr>
            <w:r w:rsidRPr="00796CB9">
              <w:rPr>
                <w:szCs w:val="18"/>
              </w:rPr>
              <w:t>CCIV sub-fund trust that is not an Attribution CCIV sub-fund trust “NCF”</w:t>
            </w:r>
          </w:p>
        </w:tc>
      </w:tr>
      <w:tr w:rsidR="00B23D28" w:rsidRPr="00F23ED5" w14:paraId="3423B6DE" w14:textId="77777777" w:rsidTr="00796CB9">
        <w:trPr>
          <w:gridAfter w:val="1"/>
          <w:wAfter w:w="259" w:type="dxa"/>
          <w:tblHeader/>
        </w:trPr>
        <w:tc>
          <w:tcPr>
            <w:tcW w:w="1107" w:type="dxa"/>
          </w:tcPr>
          <w:p w14:paraId="59AE3DC7" w14:textId="4805F886" w:rsidR="00570DD9" w:rsidRPr="00796CB9" w:rsidRDefault="00570DD9" w:rsidP="00570DD9">
            <w:pPr>
              <w:spacing w:after="0" w:line="240" w:lineRule="auto"/>
              <w:rPr>
                <w:szCs w:val="18"/>
              </w:rPr>
            </w:pPr>
            <w:r w:rsidRPr="00796CB9">
              <w:rPr>
                <w:szCs w:val="18"/>
              </w:rPr>
              <w:t>Add</w:t>
            </w:r>
          </w:p>
        </w:tc>
        <w:tc>
          <w:tcPr>
            <w:tcW w:w="2299" w:type="dxa"/>
          </w:tcPr>
          <w:p w14:paraId="0C84CFD1" w14:textId="3FD06E93" w:rsidR="00570DD9" w:rsidRPr="00796CB9" w:rsidRDefault="001807F8" w:rsidP="00570DD9">
            <w:pPr>
              <w:spacing w:after="0" w:line="240" w:lineRule="auto"/>
              <w:rPr>
                <w:szCs w:val="18"/>
              </w:rPr>
            </w:pPr>
            <w:r w:rsidRPr="00796CB9">
              <w:rPr>
                <w:szCs w:val="18"/>
              </w:rPr>
              <w:t>BTR entity or payment recipient</w:t>
            </w:r>
          </w:p>
        </w:tc>
        <w:tc>
          <w:tcPr>
            <w:tcW w:w="1265" w:type="dxa"/>
          </w:tcPr>
          <w:p w14:paraId="5E253434" w14:textId="206F19D2" w:rsidR="00570DD9" w:rsidRPr="00796CB9" w:rsidRDefault="001807F8" w:rsidP="00570DD9">
            <w:pPr>
              <w:spacing w:after="0" w:line="240" w:lineRule="auto"/>
              <w:jc w:val="center"/>
              <w:rPr>
                <w:szCs w:val="18"/>
              </w:rPr>
            </w:pPr>
            <w:r w:rsidRPr="00796CB9">
              <w:rPr>
                <w:szCs w:val="18"/>
              </w:rPr>
              <w:t>9.142</w:t>
            </w:r>
          </w:p>
        </w:tc>
        <w:tc>
          <w:tcPr>
            <w:tcW w:w="4368" w:type="dxa"/>
          </w:tcPr>
          <w:p w14:paraId="675AB3FB" w14:textId="301B98F2" w:rsidR="001B603B" w:rsidRPr="00796CB9" w:rsidRDefault="00740FCC" w:rsidP="00570DD9">
            <w:pPr>
              <w:spacing w:after="0" w:line="240" w:lineRule="auto"/>
              <w:rPr>
                <w:szCs w:val="18"/>
              </w:rPr>
            </w:pPr>
            <w:r w:rsidRPr="00796CB9">
              <w:rPr>
                <w:szCs w:val="18"/>
              </w:rPr>
              <w:t>If the entity is a</w:t>
            </w:r>
            <w:r w:rsidR="001B603B" w:rsidRPr="00796CB9">
              <w:rPr>
                <w:szCs w:val="18"/>
              </w:rPr>
              <w:t>:</w:t>
            </w:r>
          </w:p>
          <w:p w14:paraId="661F22BC" w14:textId="56E8C774" w:rsidR="001B603B" w:rsidRPr="00796CB9" w:rsidRDefault="00740FCC" w:rsidP="00C97B82">
            <w:pPr>
              <w:pStyle w:val="ListParagraph"/>
              <w:numPr>
                <w:ilvl w:val="0"/>
                <w:numId w:val="98"/>
              </w:numPr>
              <w:spacing w:after="0" w:line="240" w:lineRule="auto"/>
              <w:ind w:left="506"/>
              <w:rPr>
                <w:szCs w:val="18"/>
              </w:rPr>
            </w:pPr>
            <w:r w:rsidRPr="00796CB9">
              <w:rPr>
                <w:szCs w:val="18"/>
              </w:rPr>
              <w:t>BTR entity</w:t>
            </w:r>
            <w:r w:rsidR="25AB4AEA" w:rsidRPr="00796CB9">
              <w:rPr>
                <w:szCs w:val="18"/>
              </w:rPr>
              <w:t>,</w:t>
            </w:r>
            <w:r w:rsidRPr="00796CB9">
              <w:rPr>
                <w:szCs w:val="18"/>
              </w:rPr>
              <w:t xml:space="preserve"> enter “E”</w:t>
            </w:r>
            <w:r w:rsidR="00DF570D" w:rsidRPr="00796CB9">
              <w:rPr>
                <w:szCs w:val="18"/>
              </w:rPr>
              <w:t xml:space="preserve"> </w:t>
            </w:r>
            <w:r w:rsidR="00995567" w:rsidRPr="00796CB9">
              <w:rPr>
                <w:szCs w:val="18"/>
              </w:rPr>
              <w:t>(</w:t>
            </w:r>
            <w:r w:rsidR="001E754D" w:rsidRPr="00796CB9">
              <w:rPr>
                <w:szCs w:val="18"/>
              </w:rPr>
              <w:t xml:space="preserve">an </w:t>
            </w:r>
            <w:r w:rsidR="00995567" w:rsidRPr="00796CB9">
              <w:rPr>
                <w:szCs w:val="18"/>
              </w:rPr>
              <w:t xml:space="preserve">entity that </w:t>
            </w:r>
            <w:r w:rsidR="001E754D" w:rsidRPr="00796CB9">
              <w:rPr>
                <w:szCs w:val="18"/>
              </w:rPr>
              <w:t xml:space="preserve">directly </w:t>
            </w:r>
            <w:r w:rsidR="002A6631" w:rsidRPr="00796CB9">
              <w:rPr>
                <w:szCs w:val="18"/>
              </w:rPr>
              <w:t xml:space="preserve">owns one or more </w:t>
            </w:r>
            <w:r w:rsidR="00995567" w:rsidRPr="00796CB9">
              <w:rPr>
                <w:szCs w:val="18"/>
              </w:rPr>
              <w:t>BTR development</w:t>
            </w:r>
            <w:r w:rsidR="002A6631" w:rsidRPr="00796CB9">
              <w:rPr>
                <w:szCs w:val="18"/>
              </w:rPr>
              <w:t>s</w:t>
            </w:r>
            <w:r w:rsidR="00995567" w:rsidRPr="00796CB9">
              <w:rPr>
                <w:szCs w:val="18"/>
              </w:rPr>
              <w:t>)</w:t>
            </w:r>
            <w:r w:rsidRPr="00796CB9">
              <w:rPr>
                <w:szCs w:val="18"/>
              </w:rPr>
              <w:t xml:space="preserve">, or </w:t>
            </w:r>
          </w:p>
          <w:p w14:paraId="5FB7A430" w14:textId="0E8A1685" w:rsidR="00241BB6" w:rsidRPr="00796CB9" w:rsidRDefault="00740FCC" w:rsidP="00C97B82">
            <w:pPr>
              <w:pStyle w:val="ListParagraph"/>
              <w:numPr>
                <w:ilvl w:val="0"/>
                <w:numId w:val="98"/>
              </w:numPr>
              <w:spacing w:after="0" w:line="240" w:lineRule="auto"/>
              <w:ind w:left="506"/>
              <w:rPr>
                <w:szCs w:val="18"/>
              </w:rPr>
            </w:pPr>
            <w:r w:rsidRPr="00796CB9">
              <w:rPr>
                <w:szCs w:val="18"/>
              </w:rPr>
              <w:t>BTR payment recipient</w:t>
            </w:r>
            <w:r w:rsidR="64200424" w:rsidRPr="00796CB9">
              <w:rPr>
                <w:szCs w:val="18"/>
              </w:rPr>
              <w:t>,</w:t>
            </w:r>
            <w:r w:rsidRPr="00796CB9">
              <w:rPr>
                <w:szCs w:val="18"/>
              </w:rPr>
              <w:t xml:space="preserve"> enter “P”</w:t>
            </w:r>
            <w:r w:rsidR="00995567" w:rsidRPr="00796CB9">
              <w:rPr>
                <w:szCs w:val="18"/>
              </w:rPr>
              <w:t xml:space="preserve"> (entity that </w:t>
            </w:r>
            <w:r w:rsidR="002A6631" w:rsidRPr="00796CB9">
              <w:rPr>
                <w:szCs w:val="18"/>
              </w:rPr>
              <w:t xml:space="preserve">has received or being attributed income or gains referrable to one or more developments accessing the </w:t>
            </w:r>
            <w:r w:rsidR="00D841DC" w:rsidRPr="00796CB9">
              <w:rPr>
                <w:szCs w:val="18"/>
              </w:rPr>
              <w:t xml:space="preserve">BTR development </w:t>
            </w:r>
            <w:r w:rsidR="00C16D3E" w:rsidRPr="00796CB9">
              <w:rPr>
                <w:szCs w:val="18"/>
              </w:rPr>
              <w:t>tax incentives</w:t>
            </w:r>
            <w:r w:rsidR="00D841DC" w:rsidRPr="00796CB9">
              <w:rPr>
                <w:szCs w:val="18"/>
              </w:rPr>
              <w:t>)</w:t>
            </w:r>
            <w:r w:rsidRPr="00796CB9">
              <w:rPr>
                <w:szCs w:val="18"/>
              </w:rPr>
              <w:t xml:space="preserve">. </w:t>
            </w:r>
          </w:p>
          <w:p w14:paraId="5450A055" w14:textId="4945DB54" w:rsidR="00570DD9" w:rsidRPr="00796CB9" w:rsidRDefault="00740FCC" w:rsidP="00C97B82">
            <w:pPr>
              <w:pStyle w:val="ListParagraph"/>
              <w:numPr>
                <w:ilvl w:val="0"/>
                <w:numId w:val="98"/>
              </w:numPr>
              <w:spacing w:after="0" w:line="240" w:lineRule="auto"/>
              <w:ind w:left="506"/>
              <w:rPr>
                <w:szCs w:val="18"/>
              </w:rPr>
            </w:pPr>
            <w:r w:rsidRPr="00796CB9">
              <w:rPr>
                <w:szCs w:val="18"/>
              </w:rPr>
              <w:t>Leave blank if neither a BTR entity or BTR payment recipient</w:t>
            </w:r>
          </w:p>
        </w:tc>
      </w:tr>
      <w:tr w:rsidR="00B23D28" w:rsidRPr="00F23ED5" w14:paraId="205FFAC1" w14:textId="77777777" w:rsidTr="00796CB9">
        <w:trPr>
          <w:gridAfter w:val="1"/>
          <w:wAfter w:w="259" w:type="dxa"/>
          <w:tblHeader/>
        </w:trPr>
        <w:tc>
          <w:tcPr>
            <w:tcW w:w="1107" w:type="dxa"/>
          </w:tcPr>
          <w:p w14:paraId="7AC4BB5B" w14:textId="1515922F" w:rsidR="00A715F3" w:rsidRPr="00796CB9" w:rsidRDefault="00A715F3" w:rsidP="00A715F3">
            <w:pPr>
              <w:spacing w:after="0" w:line="240" w:lineRule="auto"/>
              <w:rPr>
                <w:szCs w:val="18"/>
              </w:rPr>
            </w:pPr>
            <w:r w:rsidRPr="00796CB9">
              <w:rPr>
                <w:szCs w:val="18"/>
              </w:rPr>
              <w:t>Add</w:t>
            </w:r>
          </w:p>
        </w:tc>
        <w:tc>
          <w:tcPr>
            <w:tcW w:w="2299" w:type="dxa"/>
          </w:tcPr>
          <w:p w14:paraId="68547B55" w14:textId="10249EF5" w:rsidR="00A715F3" w:rsidRPr="00796CB9" w:rsidRDefault="003562C8" w:rsidP="00A715F3">
            <w:pPr>
              <w:spacing w:after="0" w:line="240" w:lineRule="auto"/>
              <w:rPr>
                <w:szCs w:val="18"/>
              </w:rPr>
            </w:pPr>
            <w:r w:rsidRPr="00796CB9">
              <w:rPr>
                <w:szCs w:val="18"/>
              </w:rPr>
              <w:t>ATO BTR development ID</w:t>
            </w:r>
          </w:p>
        </w:tc>
        <w:tc>
          <w:tcPr>
            <w:tcW w:w="1265" w:type="dxa"/>
          </w:tcPr>
          <w:p w14:paraId="0C0C4DAA" w14:textId="0118C17A" w:rsidR="00A715F3" w:rsidRPr="00796CB9" w:rsidRDefault="00A715F3" w:rsidP="00A715F3">
            <w:pPr>
              <w:spacing w:after="0" w:line="240" w:lineRule="auto"/>
              <w:jc w:val="center"/>
              <w:rPr>
                <w:szCs w:val="18"/>
              </w:rPr>
            </w:pPr>
            <w:r w:rsidRPr="00796CB9">
              <w:rPr>
                <w:szCs w:val="18"/>
              </w:rPr>
              <w:t>9.14</w:t>
            </w:r>
            <w:r w:rsidR="003562C8" w:rsidRPr="00796CB9">
              <w:rPr>
                <w:szCs w:val="18"/>
              </w:rPr>
              <w:t>3</w:t>
            </w:r>
          </w:p>
        </w:tc>
        <w:tc>
          <w:tcPr>
            <w:tcW w:w="4368" w:type="dxa"/>
          </w:tcPr>
          <w:p w14:paraId="4F0C27CE" w14:textId="257DD27B" w:rsidR="00A715F3" w:rsidRPr="00796CB9" w:rsidRDefault="00C16D3E" w:rsidP="00A715F3">
            <w:pPr>
              <w:spacing w:after="0" w:line="240" w:lineRule="auto"/>
              <w:rPr>
                <w:szCs w:val="18"/>
              </w:rPr>
            </w:pPr>
            <w:r w:rsidRPr="00796CB9">
              <w:rPr>
                <w:szCs w:val="18"/>
              </w:rPr>
              <w:t xml:space="preserve">13-digit numeric </w:t>
            </w:r>
            <w:r w:rsidR="00736D15" w:rsidRPr="00796CB9">
              <w:rPr>
                <w:szCs w:val="18"/>
              </w:rPr>
              <w:t xml:space="preserve">ATO </w:t>
            </w:r>
            <w:r w:rsidRPr="00796CB9">
              <w:rPr>
                <w:szCs w:val="18"/>
              </w:rPr>
              <w:t xml:space="preserve">ID </w:t>
            </w:r>
            <w:r w:rsidR="00736D15" w:rsidRPr="00796CB9">
              <w:rPr>
                <w:szCs w:val="18"/>
              </w:rPr>
              <w:t xml:space="preserve">allocated </w:t>
            </w:r>
            <w:r w:rsidR="004C0549" w:rsidRPr="00796CB9">
              <w:rPr>
                <w:szCs w:val="18"/>
              </w:rPr>
              <w:t xml:space="preserve">by the ATO </w:t>
            </w:r>
            <w:r w:rsidR="00736D15" w:rsidRPr="00796CB9">
              <w:rPr>
                <w:szCs w:val="18"/>
              </w:rPr>
              <w:t xml:space="preserve">to an eligible BTR development or an expansion of </w:t>
            </w:r>
            <w:r w:rsidR="00CB2D4B" w:rsidRPr="00796CB9">
              <w:rPr>
                <w:szCs w:val="18"/>
              </w:rPr>
              <w:t xml:space="preserve">an active BTR </w:t>
            </w:r>
            <w:r w:rsidR="001B7295" w:rsidRPr="00796CB9">
              <w:rPr>
                <w:szCs w:val="18"/>
              </w:rPr>
              <w:t>development when the owner opts the development or expansion into the BTR development tax incentives</w:t>
            </w:r>
          </w:p>
        </w:tc>
      </w:tr>
      <w:tr w:rsidR="00B23D28" w:rsidRPr="00F23ED5" w14:paraId="3B6ACEF5" w14:textId="77777777" w:rsidTr="00796CB9">
        <w:trPr>
          <w:gridAfter w:val="1"/>
          <w:wAfter w:w="259" w:type="dxa"/>
          <w:tblHeader/>
        </w:trPr>
        <w:tc>
          <w:tcPr>
            <w:tcW w:w="1107" w:type="dxa"/>
          </w:tcPr>
          <w:p w14:paraId="2F2BF6ED" w14:textId="5D01E869" w:rsidR="003562C8" w:rsidRPr="00796CB9" w:rsidRDefault="003562C8" w:rsidP="003562C8">
            <w:pPr>
              <w:spacing w:after="0" w:line="240" w:lineRule="auto"/>
              <w:rPr>
                <w:szCs w:val="18"/>
              </w:rPr>
            </w:pPr>
            <w:r w:rsidRPr="00796CB9">
              <w:rPr>
                <w:szCs w:val="18"/>
              </w:rPr>
              <w:t>Add</w:t>
            </w:r>
          </w:p>
        </w:tc>
        <w:tc>
          <w:tcPr>
            <w:tcW w:w="2299" w:type="dxa"/>
          </w:tcPr>
          <w:p w14:paraId="44ACB2F2" w14:textId="02BF073F" w:rsidR="003562C8" w:rsidRPr="00796CB9" w:rsidRDefault="003562C8" w:rsidP="003562C8">
            <w:pPr>
              <w:spacing w:after="0" w:line="240" w:lineRule="auto"/>
              <w:rPr>
                <w:szCs w:val="18"/>
              </w:rPr>
            </w:pPr>
            <w:r w:rsidRPr="00796CB9">
              <w:rPr>
                <w:szCs w:val="18"/>
              </w:rPr>
              <w:t xml:space="preserve">BTR excluded from NCMI – non primary production </w:t>
            </w:r>
          </w:p>
        </w:tc>
        <w:tc>
          <w:tcPr>
            <w:tcW w:w="1265" w:type="dxa"/>
          </w:tcPr>
          <w:p w14:paraId="3059C761" w14:textId="595DE9B7" w:rsidR="003562C8" w:rsidRPr="00796CB9" w:rsidRDefault="003562C8" w:rsidP="003562C8">
            <w:pPr>
              <w:spacing w:after="0" w:line="240" w:lineRule="auto"/>
              <w:jc w:val="center"/>
              <w:rPr>
                <w:szCs w:val="18"/>
              </w:rPr>
            </w:pPr>
            <w:r w:rsidRPr="00796CB9">
              <w:rPr>
                <w:szCs w:val="18"/>
              </w:rPr>
              <w:t>9.144</w:t>
            </w:r>
          </w:p>
        </w:tc>
        <w:tc>
          <w:tcPr>
            <w:tcW w:w="4368" w:type="dxa"/>
          </w:tcPr>
          <w:p w14:paraId="7F42A96E" w14:textId="3207C9D7" w:rsidR="003562C8" w:rsidRPr="00796CB9" w:rsidRDefault="001B7295" w:rsidP="001B7295">
            <w:pPr>
              <w:spacing w:after="0" w:line="240" w:lineRule="auto"/>
              <w:rPr>
                <w:szCs w:val="18"/>
              </w:rPr>
            </w:pPr>
            <w:r w:rsidRPr="00796CB9">
              <w:rPr>
                <w:szCs w:val="18"/>
              </w:rPr>
              <w:t xml:space="preserve">A share of any income from an amount that is </w:t>
            </w:r>
            <w:r w:rsidRPr="00796CB9" w:rsidDel="00BE48BE">
              <w:rPr>
                <w:szCs w:val="18"/>
              </w:rPr>
              <w:t>referrable</w:t>
            </w:r>
            <w:r w:rsidRPr="00796CB9">
              <w:rPr>
                <w:szCs w:val="18"/>
              </w:rPr>
              <w:t xml:space="preserve"> to </w:t>
            </w:r>
            <w:r w:rsidR="005B527A" w:rsidRPr="00796CB9">
              <w:rPr>
                <w:szCs w:val="18"/>
              </w:rPr>
              <w:t xml:space="preserve">the </w:t>
            </w:r>
            <w:r w:rsidRPr="00796CB9">
              <w:rPr>
                <w:szCs w:val="18"/>
              </w:rPr>
              <w:t>payment of rental income</w:t>
            </w:r>
            <w:r w:rsidR="00B93D46" w:rsidRPr="00796CB9">
              <w:rPr>
                <w:szCs w:val="18"/>
              </w:rPr>
              <w:t xml:space="preserve"> under a lease of the dwelling </w:t>
            </w:r>
            <w:r w:rsidR="00476368" w:rsidRPr="00796CB9">
              <w:rPr>
                <w:szCs w:val="18"/>
              </w:rPr>
              <w:t xml:space="preserve">/ dwellings </w:t>
            </w:r>
            <w:r w:rsidR="00B93D46" w:rsidRPr="00796CB9">
              <w:rPr>
                <w:szCs w:val="18"/>
              </w:rPr>
              <w:t>within a BTR development accessing the BTR development tax incentives</w:t>
            </w:r>
            <w:r w:rsidR="00CA5DA2" w:rsidRPr="00796CB9">
              <w:rPr>
                <w:szCs w:val="18"/>
              </w:rPr>
              <w:t>.</w:t>
            </w:r>
          </w:p>
        </w:tc>
      </w:tr>
      <w:tr w:rsidR="00B23D28" w:rsidRPr="00F23ED5" w14:paraId="6444F72A" w14:textId="77777777" w:rsidTr="00796CB9">
        <w:trPr>
          <w:gridAfter w:val="1"/>
          <w:wAfter w:w="259" w:type="dxa"/>
          <w:tblHeader/>
        </w:trPr>
        <w:tc>
          <w:tcPr>
            <w:tcW w:w="1107" w:type="dxa"/>
          </w:tcPr>
          <w:p w14:paraId="3EF8B935" w14:textId="21FB56B0" w:rsidR="003562C8" w:rsidRPr="00796CB9" w:rsidRDefault="003562C8" w:rsidP="003562C8">
            <w:pPr>
              <w:spacing w:after="0" w:line="240" w:lineRule="auto"/>
              <w:rPr>
                <w:szCs w:val="18"/>
              </w:rPr>
            </w:pPr>
            <w:r w:rsidRPr="00796CB9">
              <w:rPr>
                <w:szCs w:val="18"/>
              </w:rPr>
              <w:t>Add</w:t>
            </w:r>
          </w:p>
        </w:tc>
        <w:tc>
          <w:tcPr>
            <w:tcW w:w="2299" w:type="dxa"/>
          </w:tcPr>
          <w:p w14:paraId="66E5F274" w14:textId="4915C735" w:rsidR="003562C8" w:rsidRPr="00796CB9" w:rsidRDefault="00653909" w:rsidP="003562C8">
            <w:pPr>
              <w:spacing w:after="0" w:line="240" w:lineRule="auto"/>
              <w:rPr>
                <w:szCs w:val="18"/>
              </w:rPr>
            </w:pPr>
            <w:r w:rsidRPr="00796CB9">
              <w:rPr>
                <w:szCs w:val="18"/>
              </w:rPr>
              <w:t>BTR excluded from NCMI capital gains</w:t>
            </w:r>
          </w:p>
        </w:tc>
        <w:tc>
          <w:tcPr>
            <w:tcW w:w="1265" w:type="dxa"/>
          </w:tcPr>
          <w:p w14:paraId="1E9341EE" w14:textId="1FAE1959" w:rsidR="003562C8" w:rsidRPr="00796CB9" w:rsidRDefault="00653909" w:rsidP="003562C8">
            <w:pPr>
              <w:spacing w:after="0" w:line="240" w:lineRule="auto"/>
              <w:jc w:val="center"/>
              <w:rPr>
                <w:szCs w:val="18"/>
              </w:rPr>
            </w:pPr>
            <w:r w:rsidRPr="00796CB9">
              <w:rPr>
                <w:szCs w:val="18"/>
              </w:rPr>
              <w:t>9.145</w:t>
            </w:r>
          </w:p>
        </w:tc>
        <w:tc>
          <w:tcPr>
            <w:tcW w:w="4368" w:type="dxa"/>
          </w:tcPr>
          <w:p w14:paraId="12550F9F" w14:textId="7904AB8F" w:rsidR="003562C8" w:rsidRPr="00796CB9" w:rsidRDefault="00203B68" w:rsidP="003562C8">
            <w:pPr>
              <w:spacing w:after="0" w:line="240" w:lineRule="auto"/>
              <w:rPr>
                <w:szCs w:val="18"/>
              </w:rPr>
            </w:pPr>
            <w:r w:rsidRPr="00796CB9">
              <w:rPr>
                <w:szCs w:val="18"/>
              </w:rPr>
              <w:t xml:space="preserve">Capital gain amounts that are referrable to a </w:t>
            </w:r>
            <w:r w:rsidR="005867F8" w:rsidRPr="00796CB9">
              <w:rPr>
                <w:szCs w:val="18"/>
              </w:rPr>
              <w:t>dwelling / dwellings in a</w:t>
            </w:r>
            <w:r w:rsidRPr="00796CB9">
              <w:rPr>
                <w:szCs w:val="18"/>
              </w:rPr>
              <w:t xml:space="preserve"> BTR development</w:t>
            </w:r>
            <w:r w:rsidR="00B52FF9" w:rsidRPr="00796CB9">
              <w:rPr>
                <w:szCs w:val="18"/>
              </w:rPr>
              <w:t>,</w:t>
            </w:r>
            <w:r w:rsidRPr="00796CB9">
              <w:rPr>
                <w:szCs w:val="18"/>
              </w:rPr>
              <w:t xml:space="preserve"> accessing the BTR development tax incentives and is an amount that is attributable to a capital gain from a CGT event in relation to</w:t>
            </w:r>
            <w:r w:rsidR="00A0755F" w:rsidRPr="00796CB9">
              <w:rPr>
                <w:szCs w:val="18"/>
              </w:rPr>
              <w:t xml:space="preserve"> the dwelling </w:t>
            </w:r>
            <w:r w:rsidR="002B2C8F" w:rsidRPr="00796CB9">
              <w:rPr>
                <w:szCs w:val="18"/>
              </w:rPr>
              <w:t xml:space="preserve">/ dwellings </w:t>
            </w:r>
            <w:r w:rsidR="00A0755F" w:rsidRPr="00796CB9">
              <w:rPr>
                <w:szCs w:val="18"/>
              </w:rPr>
              <w:t>or a membership interest in the owner of the BTR development</w:t>
            </w:r>
            <w:r w:rsidR="002B2C8F" w:rsidRPr="00796CB9">
              <w:rPr>
                <w:szCs w:val="18"/>
              </w:rPr>
              <w:t>.</w:t>
            </w:r>
          </w:p>
        </w:tc>
      </w:tr>
      <w:tr w:rsidR="00B23D28" w:rsidRPr="00F23ED5" w14:paraId="66C528C1" w14:textId="77777777" w:rsidTr="00796CB9">
        <w:trPr>
          <w:gridAfter w:val="1"/>
          <w:wAfter w:w="259" w:type="dxa"/>
          <w:tblHeader/>
        </w:trPr>
        <w:tc>
          <w:tcPr>
            <w:tcW w:w="1107" w:type="dxa"/>
          </w:tcPr>
          <w:p w14:paraId="201B7236" w14:textId="57A26AFD" w:rsidR="00653909" w:rsidRPr="00C97B82" w:rsidRDefault="00653909" w:rsidP="003562C8">
            <w:pPr>
              <w:spacing w:after="0" w:line="240" w:lineRule="auto"/>
              <w:rPr>
                <w:sz w:val="20"/>
              </w:rPr>
            </w:pPr>
            <w:r>
              <w:rPr>
                <w:sz w:val="20"/>
              </w:rPr>
              <w:t>Add</w:t>
            </w:r>
          </w:p>
        </w:tc>
        <w:tc>
          <w:tcPr>
            <w:tcW w:w="2299" w:type="dxa"/>
          </w:tcPr>
          <w:p w14:paraId="57F94247" w14:textId="3F5E9180" w:rsidR="00653909" w:rsidRPr="00C97B82" w:rsidRDefault="00653909" w:rsidP="003562C8">
            <w:pPr>
              <w:spacing w:after="0" w:line="240" w:lineRule="auto"/>
              <w:rPr>
                <w:sz w:val="20"/>
              </w:rPr>
            </w:pPr>
            <w:r>
              <w:rPr>
                <w:sz w:val="20"/>
              </w:rPr>
              <w:t>Active BTR withholding</w:t>
            </w:r>
          </w:p>
        </w:tc>
        <w:tc>
          <w:tcPr>
            <w:tcW w:w="1265" w:type="dxa"/>
          </w:tcPr>
          <w:p w14:paraId="107094A2" w14:textId="2B732C3A" w:rsidR="00653909" w:rsidRPr="00C97B82" w:rsidRDefault="00653909" w:rsidP="003562C8">
            <w:pPr>
              <w:spacing w:after="0" w:line="240" w:lineRule="auto"/>
              <w:jc w:val="center"/>
              <w:rPr>
                <w:sz w:val="20"/>
              </w:rPr>
            </w:pPr>
            <w:r>
              <w:rPr>
                <w:sz w:val="20"/>
              </w:rPr>
              <w:t>9.146</w:t>
            </w:r>
          </w:p>
        </w:tc>
        <w:tc>
          <w:tcPr>
            <w:tcW w:w="4368" w:type="dxa"/>
          </w:tcPr>
          <w:p w14:paraId="5DF84722" w14:textId="3313BBB2" w:rsidR="00347ADB" w:rsidRDefault="001D7F33" w:rsidP="003562C8">
            <w:pPr>
              <w:spacing w:after="0" w:line="240" w:lineRule="auto"/>
              <w:rPr>
                <w:sz w:val="20"/>
              </w:rPr>
            </w:pPr>
            <w:r w:rsidRPr="001D7F33">
              <w:rPr>
                <w:sz w:val="20"/>
              </w:rPr>
              <w:t xml:space="preserve">The amounts withheld from eligible </w:t>
            </w:r>
            <w:r w:rsidR="00541405">
              <w:rPr>
                <w:sz w:val="20"/>
              </w:rPr>
              <w:t xml:space="preserve">BTR </w:t>
            </w:r>
            <w:r w:rsidRPr="001D7F33">
              <w:rPr>
                <w:sz w:val="20"/>
              </w:rPr>
              <w:t xml:space="preserve">fund payments made by </w:t>
            </w:r>
            <w:r w:rsidR="002B2C8F">
              <w:rPr>
                <w:sz w:val="20"/>
              </w:rPr>
              <w:t xml:space="preserve">a </w:t>
            </w:r>
            <w:r w:rsidRPr="001D7F33">
              <w:rPr>
                <w:sz w:val="20"/>
              </w:rPr>
              <w:t xml:space="preserve">MIT to a foreign resident of an information exchange country, that are </w:t>
            </w:r>
            <w:r w:rsidR="00347ADB">
              <w:rPr>
                <w:sz w:val="20"/>
              </w:rPr>
              <w:t>referrable to</w:t>
            </w:r>
            <w:r w:rsidR="00A41506">
              <w:rPr>
                <w:sz w:val="20"/>
              </w:rPr>
              <w:t xml:space="preserve"> any of the following amounts</w:t>
            </w:r>
            <w:r w:rsidR="00347ADB">
              <w:rPr>
                <w:sz w:val="20"/>
              </w:rPr>
              <w:t xml:space="preserve">: </w:t>
            </w:r>
          </w:p>
          <w:p w14:paraId="7CFD1B66" w14:textId="77777777" w:rsidR="00347ADB" w:rsidRDefault="00347ADB" w:rsidP="00347ADB">
            <w:pPr>
              <w:pStyle w:val="ListParagraph"/>
              <w:numPr>
                <w:ilvl w:val="0"/>
                <w:numId w:val="100"/>
              </w:numPr>
              <w:spacing w:after="0" w:line="240" w:lineRule="auto"/>
            </w:pPr>
            <w:r>
              <w:t xml:space="preserve">BTR Excluded from NCMI, and </w:t>
            </w:r>
          </w:p>
          <w:p w14:paraId="4A02C179" w14:textId="3453E953" w:rsidR="00653909" w:rsidRPr="00347ADB" w:rsidRDefault="00347ADB" w:rsidP="006C7E3F">
            <w:pPr>
              <w:pStyle w:val="ListParagraph"/>
              <w:numPr>
                <w:ilvl w:val="0"/>
                <w:numId w:val="100"/>
              </w:numPr>
              <w:spacing w:after="0" w:line="240" w:lineRule="auto"/>
            </w:pPr>
            <w:r>
              <w:t>BTR excluded from NCMI capital gains.</w:t>
            </w:r>
            <w:r w:rsidR="00F12999" w:rsidRPr="00347ADB">
              <w:t xml:space="preserve"> </w:t>
            </w:r>
          </w:p>
        </w:tc>
      </w:tr>
      <w:tr w:rsidR="00CA5DA2" w:rsidRPr="00F23ED5" w14:paraId="5D7768AF" w14:textId="77777777" w:rsidTr="00796CB9">
        <w:tc>
          <w:tcPr>
            <w:tcW w:w="1107" w:type="dxa"/>
          </w:tcPr>
          <w:p w14:paraId="6E7526A7" w14:textId="79620D32" w:rsidR="004A6F71" w:rsidRPr="00F94DFB" w:rsidDel="008B3225" w:rsidRDefault="004A6F71" w:rsidP="00F94DFB">
            <w:pPr>
              <w:spacing w:after="0" w:line="240" w:lineRule="auto"/>
              <w:rPr>
                <w:sz w:val="20"/>
              </w:rPr>
            </w:pPr>
          </w:p>
        </w:tc>
        <w:tc>
          <w:tcPr>
            <w:tcW w:w="2299" w:type="dxa"/>
          </w:tcPr>
          <w:p w14:paraId="1F58D5EC" w14:textId="74E82947" w:rsidR="004A6F71" w:rsidRPr="00F94DFB" w:rsidDel="008B3225" w:rsidRDefault="004A6F71" w:rsidP="00F94DFB">
            <w:pPr>
              <w:spacing w:after="0" w:line="240" w:lineRule="auto"/>
              <w:rPr>
                <w:sz w:val="20"/>
              </w:rPr>
            </w:pPr>
          </w:p>
        </w:tc>
        <w:tc>
          <w:tcPr>
            <w:tcW w:w="1265" w:type="dxa"/>
          </w:tcPr>
          <w:p w14:paraId="2E137EF3" w14:textId="47C500BD" w:rsidR="004A6F71" w:rsidRPr="00F94DFB" w:rsidDel="008B3225" w:rsidRDefault="004A6F71" w:rsidP="00F94DFB">
            <w:pPr>
              <w:spacing w:after="0" w:line="240" w:lineRule="auto"/>
              <w:jc w:val="center"/>
              <w:rPr>
                <w:sz w:val="20"/>
              </w:rPr>
            </w:pPr>
          </w:p>
        </w:tc>
        <w:tc>
          <w:tcPr>
            <w:tcW w:w="4627" w:type="dxa"/>
            <w:gridSpan w:val="2"/>
          </w:tcPr>
          <w:p w14:paraId="3CF9FD4E" w14:textId="798060E7" w:rsidR="004A6F71" w:rsidRPr="00F94DFB" w:rsidDel="008B3225" w:rsidRDefault="004A6F71" w:rsidP="00F94DFB">
            <w:pPr>
              <w:spacing w:after="0" w:line="240" w:lineRule="auto"/>
              <w:rPr>
                <w:sz w:val="20"/>
              </w:rPr>
            </w:pPr>
          </w:p>
        </w:tc>
      </w:tr>
      <w:tr w:rsidR="00CA5DA2" w:rsidRPr="00F23ED5" w14:paraId="3298926F" w14:textId="77777777" w:rsidTr="00796CB9">
        <w:tc>
          <w:tcPr>
            <w:tcW w:w="1107" w:type="dxa"/>
          </w:tcPr>
          <w:p w14:paraId="3D19C204" w14:textId="77B03C86" w:rsidR="004A6F71" w:rsidRPr="00F94DFB" w:rsidDel="008B3225" w:rsidRDefault="004A6F71" w:rsidP="00F94DFB">
            <w:pPr>
              <w:spacing w:after="0" w:line="240" w:lineRule="auto"/>
              <w:rPr>
                <w:sz w:val="20"/>
              </w:rPr>
            </w:pPr>
          </w:p>
        </w:tc>
        <w:tc>
          <w:tcPr>
            <w:tcW w:w="2299" w:type="dxa"/>
          </w:tcPr>
          <w:p w14:paraId="2034F1DD" w14:textId="2D9E3257" w:rsidR="004A6F71" w:rsidRPr="00F94DFB" w:rsidDel="008B3225" w:rsidRDefault="004A6F71" w:rsidP="00F94DFB">
            <w:pPr>
              <w:spacing w:after="0" w:line="240" w:lineRule="auto"/>
              <w:rPr>
                <w:sz w:val="20"/>
              </w:rPr>
            </w:pPr>
          </w:p>
        </w:tc>
        <w:tc>
          <w:tcPr>
            <w:tcW w:w="1265" w:type="dxa"/>
          </w:tcPr>
          <w:p w14:paraId="2A2F8008" w14:textId="33D36DC4" w:rsidR="004A6F71" w:rsidRPr="00F94DFB" w:rsidDel="008B3225" w:rsidRDefault="004A6F71" w:rsidP="00F94DFB">
            <w:pPr>
              <w:spacing w:after="0" w:line="240" w:lineRule="auto"/>
              <w:jc w:val="center"/>
              <w:rPr>
                <w:sz w:val="20"/>
              </w:rPr>
            </w:pPr>
          </w:p>
        </w:tc>
        <w:tc>
          <w:tcPr>
            <w:tcW w:w="4627" w:type="dxa"/>
            <w:gridSpan w:val="2"/>
          </w:tcPr>
          <w:p w14:paraId="7B4F7716" w14:textId="23A0E375" w:rsidR="004A6F71" w:rsidRPr="00F94DFB" w:rsidDel="008B3225" w:rsidRDefault="004A6F71" w:rsidP="00F94DFB">
            <w:pPr>
              <w:spacing w:after="0" w:line="240" w:lineRule="auto"/>
              <w:rPr>
                <w:sz w:val="20"/>
              </w:rPr>
            </w:pPr>
          </w:p>
        </w:tc>
      </w:tr>
    </w:tbl>
    <w:p w14:paraId="22368784" w14:textId="77777777" w:rsidR="004A6F71" w:rsidRPr="00697C26" w:rsidRDefault="004A6F71" w:rsidP="004A6F71">
      <w:pPr>
        <w:pStyle w:val="Maintext"/>
        <w:rPr>
          <w:rFonts w:cs="Arial"/>
          <w:b/>
          <w:sz w:val="18"/>
          <w:szCs w:val="18"/>
        </w:rPr>
      </w:pPr>
    </w:p>
    <w:p w14:paraId="20F9889B" w14:textId="77777777" w:rsidR="004A6F71" w:rsidRPr="00B35C0A" w:rsidRDefault="004A6F71" w:rsidP="004A6F71">
      <w:pPr>
        <w:pStyle w:val="Heading2"/>
      </w:pPr>
      <w:bookmarkStart w:id="17" w:name="_Toc350434589"/>
      <w:bookmarkStart w:id="18" w:name="_Toc351374883"/>
      <w:bookmarkStart w:id="19" w:name="_Toc358373193"/>
      <w:bookmarkStart w:id="20" w:name="_Toc5192645"/>
      <w:bookmarkStart w:id="21" w:name="_Toc232191283"/>
      <w:r w:rsidRPr="00B35C0A">
        <w:t>Regular updates</w:t>
      </w:r>
      <w:bookmarkEnd w:id="17"/>
      <w:bookmarkEnd w:id="18"/>
      <w:bookmarkEnd w:id="19"/>
      <w:bookmarkEnd w:id="20"/>
      <w:bookmarkEnd w:id="21"/>
    </w:p>
    <w:p w14:paraId="620A4E12" w14:textId="391A77DD" w:rsidR="004A6F71" w:rsidRPr="003E2672" w:rsidRDefault="004A6F71" w:rsidP="004A6F71">
      <w:pPr>
        <w:pStyle w:val="Maintext"/>
        <w:rPr>
          <w:rFonts w:asciiTheme="minorHAnsi" w:hAnsiTheme="minorHAnsi" w:cs="Arial"/>
          <w:sz w:val="20"/>
          <w:szCs w:val="20"/>
        </w:rPr>
      </w:pPr>
      <w:r w:rsidRPr="003E2672">
        <w:rPr>
          <w:rFonts w:asciiTheme="minorHAnsi" w:hAnsiTheme="minorHAnsi" w:cs="Arial"/>
          <w:sz w:val="20"/>
          <w:szCs w:val="20"/>
        </w:rPr>
        <w:t>Tax legislation continues to be a significant part of the government's legislation program. If law changes occur affecting the information collected in the AIIR, then this guide and the reporting specifications will be updated accordingly.</w:t>
      </w:r>
    </w:p>
    <w:p w14:paraId="4061E1A1" w14:textId="77777777" w:rsidR="004A6F71" w:rsidRPr="003E2672" w:rsidRDefault="004A6F71" w:rsidP="004A6F71">
      <w:pPr>
        <w:pStyle w:val="maintext0"/>
        <w:rPr>
          <w:rFonts w:asciiTheme="minorHAnsi" w:hAnsiTheme="minorHAnsi"/>
          <w:sz w:val="20"/>
          <w:szCs w:val="20"/>
        </w:rPr>
      </w:pPr>
      <w:r w:rsidRPr="003E2672">
        <w:rPr>
          <w:rFonts w:asciiTheme="minorHAnsi" w:hAnsiTheme="minorHAnsi" w:cs="Arial"/>
          <w:sz w:val="20"/>
          <w:szCs w:val="20"/>
        </w:rPr>
        <w:t>To keep up to date with any changes to this guide or the AIIR specifications, subscribe to the AIIR news and updates bulletin by emailing</w:t>
      </w:r>
      <w:r w:rsidRPr="003E2672">
        <w:rPr>
          <w:rFonts w:asciiTheme="minorHAnsi" w:hAnsiTheme="minorHAnsi"/>
          <w:noProof/>
          <w:sz w:val="20"/>
          <w:szCs w:val="20"/>
        </w:rPr>
        <w:t xml:space="preserve"> </w:t>
      </w:r>
      <w:hyperlink r:id="rId16" w:history="1">
        <w:r w:rsidRPr="00F4606C">
          <w:rPr>
            <w:rStyle w:val="Hyperlink"/>
            <w:rFonts w:asciiTheme="minorHAnsi" w:hAnsiTheme="minorHAnsi" w:cs="Arial"/>
            <w:szCs w:val="20"/>
          </w:rPr>
          <w:t>ato-dmi@ato.gov.au</w:t>
        </w:r>
      </w:hyperlink>
      <w:r w:rsidRPr="003E2672">
        <w:rPr>
          <w:rFonts w:asciiTheme="minorHAnsi" w:hAnsiTheme="minorHAnsi" w:cs="Arial"/>
          <w:sz w:val="20"/>
          <w:szCs w:val="20"/>
        </w:rPr>
        <w:t xml:space="preserve"> </w:t>
      </w:r>
    </w:p>
    <w:p w14:paraId="236FC521" w14:textId="66C8F109" w:rsidR="00796CB9" w:rsidRDefault="004A6F71" w:rsidP="004A6F71">
      <w:pPr>
        <w:pStyle w:val="maintext0"/>
      </w:pPr>
      <w:r w:rsidRPr="003E2672">
        <w:rPr>
          <w:rFonts w:asciiTheme="minorHAnsi" w:hAnsiTheme="minorHAnsi" w:cs="Arial"/>
          <w:sz w:val="20"/>
          <w:szCs w:val="20"/>
        </w:rPr>
        <w:t>You can also subscribe for news and updates from the Software developers website</w:t>
      </w:r>
      <w:r w:rsidRPr="003E2672">
        <w:rPr>
          <w:rFonts w:asciiTheme="minorHAnsi" w:hAnsiTheme="minorHAnsi"/>
          <w:sz w:val="20"/>
          <w:szCs w:val="20"/>
          <w:lang w:val="en"/>
        </w:rPr>
        <w:t xml:space="preserve"> </w:t>
      </w:r>
      <w:hyperlink r:id="rId17" w:history="1">
        <w:r w:rsidRPr="003E2672">
          <w:rPr>
            <w:rFonts w:asciiTheme="minorHAnsi" w:hAnsiTheme="minorHAnsi"/>
            <w:noProof/>
            <w:color w:val="0000FF"/>
            <w:sz w:val="20"/>
            <w:szCs w:val="20"/>
            <w:u w:val="single"/>
          </w:rPr>
          <w:t>http://softwaredevelopers.ato.gov.au</w:t>
        </w:r>
      </w:hyperlink>
    </w:p>
    <w:p w14:paraId="45D3D430" w14:textId="77777777" w:rsidR="00796CB9" w:rsidRDefault="00796CB9">
      <w:pPr>
        <w:rPr>
          <w:rFonts w:ascii="Times New Roman" w:eastAsia="Times New Roman" w:hAnsi="Times New Roman"/>
          <w:color w:val="auto"/>
          <w:sz w:val="24"/>
          <w:szCs w:val="24"/>
          <w:lang w:eastAsia="en-AU"/>
        </w:rPr>
      </w:pPr>
      <w:r>
        <w:br w:type="page"/>
      </w:r>
    </w:p>
    <w:p w14:paraId="16E6722D" w14:textId="6FA57D27" w:rsidR="004A6F71" w:rsidRPr="00B35C0A" w:rsidRDefault="00AB6CA7" w:rsidP="00AB6CA7">
      <w:pPr>
        <w:pStyle w:val="Heading1"/>
      </w:pPr>
      <w:bookmarkStart w:id="22" w:name="_Toc358373196"/>
      <w:bookmarkStart w:id="23" w:name="_Toc5192647"/>
      <w:bookmarkStart w:id="24" w:name="_Toc232191284"/>
      <w:r>
        <w:t xml:space="preserve">2 </w:t>
      </w:r>
      <w:r w:rsidR="004A6F71" w:rsidRPr="00B35C0A">
        <w:t>Legal requirements</w:t>
      </w:r>
      <w:bookmarkEnd w:id="22"/>
      <w:bookmarkEnd w:id="23"/>
      <w:bookmarkEnd w:id="24"/>
    </w:p>
    <w:p w14:paraId="01B40174" w14:textId="1483DABE" w:rsidR="004A6F71" w:rsidRDefault="004A6F71" w:rsidP="005C495B">
      <w:pPr>
        <w:spacing w:after="0" w:line="240" w:lineRule="auto"/>
        <w:rPr>
          <w:rFonts w:cs="Arial"/>
          <w:i/>
        </w:rPr>
      </w:pPr>
      <w:r w:rsidRPr="00B35C0A">
        <w:rPr>
          <w:rFonts w:cs="Arial"/>
        </w:rPr>
        <w:t xml:space="preserve">On 1 July 2015, Division 393 of Schedule 1 </w:t>
      </w:r>
      <w:r>
        <w:rPr>
          <w:rFonts w:cs="Arial"/>
        </w:rPr>
        <w:t>to</w:t>
      </w:r>
      <w:r w:rsidRPr="00B35C0A">
        <w:rPr>
          <w:rFonts w:cs="Arial"/>
        </w:rPr>
        <w:t xml:space="preserve"> the </w:t>
      </w:r>
      <w:r w:rsidRPr="00B35C0A">
        <w:rPr>
          <w:rFonts w:cs="Arial"/>
          <w:i/>
        </w:rPr>
        <w:t>Taxation Administration Act 1953</w:t>
      </w:r>
      <w:r w:rsidRPr="00B35C0A">
        <w:rPr>
          <w:rFonts w:cs="Arial"/>
        </w:rPr>
        <w:t xml:space="preserve"> (TAA 1953) replaced regulation 56 of the </w:t>
      </w:r>
      <w:r w:rsidRPr="00CF294C">
        <w:rPr>
          <w:rFonts w:cs="Arial"/>
          <w:i/>
        </w:rPr>
        <w:t>Income Tax Regulations 1936</w:t>
      </w:r>
      <w:r w:rsidRPr="00B35C0A">
        <w:rPr>
          <w:rFonts w:cs="Arial"/>
          <w:i/>
        </w:rPr>
        <w:t>.</w:t>
      </w:r>
    </w:p>
    <w:p w14:paraId="14B47F97" w14:textId="77777777" w:rsidR="005C495B" w:rsidRPr="00B35C0A" w:rsidRDefault="005C495B" w:rsidP="00F4606C">
      <w:pPr>
        <w:spacing w:after="0" w:line="240" w:lineRule="auto"/>
        <w:rPr>
          <w:rFonts w:cs="Arial"/>
          <w:i/>
        </w:rPr>
      </w:pPr>
    </w:p>
    <w:p w14:paraId="71A87948" w14:textId="0F6B59D2" w:rsidR="004A6F71" w:rsidRPr="00B35C0A" w:rsidRDefault="004A6F71" w:rsidP="00F94DFB">
      <w:pPr>
        <w:spacing w:after="0" w:line="240" w:lineRule="auto"/>
        <w:rPr>
          <w:rFonts w:cs="Arial"/>
        </w:rPr>
      </w:pPr>
      <w:r w:rsidRPr="060F6C01">
        <w:rPr>
          <w:rFonts w:cs="Arial"/>
        </w:rPr>
        <w:t xml:space="preserve">Under Division 393 of Schedule 1 to the TAA 1953, an entity defined as an investment body under section 202D of Part VA of the </w:t>
      </w:r>
      <w:r w:rsidRPr="060F6C01">
        <w:rPr>
          <w:rFonts w:cs="Arial"/>
          <w:i/>
          <w:iCs/>
        </w:rPr>
        <w:t>Income Tax Assessment Act 1936</w:t>
      </w:r>
      <w:r w:rsidRPr="060F6C01">
        <w:rPr>
          <w:rFonts w:cs="Arial"/>
        </w:rPr>
        <w:t xml:space="preserve"> (ITAA 1936), is required to report to the Commissioner of Taxation details of investments falling within the provisions of the tax file number (TFN) legislation and the Farm management deposit (FMD) legislation in the approved form. From the 2016-17 financial year</w:t>
      </w:r>
      <w:r>
        <w:rPr>
          <w:rFonts w:cs="Arial"/>
        </w:rPr>
        <w:t xml:space="preserve"> </w:t>
      </w:r>
      <w:r w:rsidRPr="060F6C01">
        <w:rPr>
          <w:rFonts w:cs="Arial"/>
        </w:rPr>
        <w:t xml:space="preserve">all </w:t>
      </w:r>
      <w:r w:rsidR="003E2672" w:rsidRPr="006E3058">
        <w:rPr>
          <w:rFonts w:cs="Arial"/>
        </w:rPr>
        <w:t>Managed investment trusts (MITs), and from the 2022-23 financial year attribution CCIV sub-fund trusts, are required to lodge an AIIR if they make distributions or attributions to members during the year.</w:t>
      </w:r>
    </w:p>
    <w:p w14:paraId="6741BD8F" w14:textId="77777777" w:rsidR="004A6F71" w:rsidRPr="00B35C0A" w:rsidRDefault="004A6F71" w:rsidP="004A6F71">
      <w:pPr>
        <w:pStyle w:val="Maintext"/>
        <w:rPr>
          <w:rFonts w:cs="Arial"/>
        </w:rPr>
      </w:pPr>
    </w:p>
    <w:p w14:paraId="60121833" w14:textId="4F371C7B" w:rsidR="004A6F71" w:rsidRPr="00F4606C" w:rsidRDefault="004A6F71" w:rsidP="005C495B">
      <w:pPr>
        <w:pStyle w:val="Maintext"/>
        <w:rPr>
          <w:rFonts w:asciiTheme="minorHAnsi" w:hAnsiTheme="minorHAnsi" w:cs="Arial"/>
          <w:sz w:val="20"/>
          <w:szCs w:val="20"/>
        </w:rPr>
      </w:pPr>
      <w:r w:rsidRPr="00F4606C">
        <w:rPr>
          <w:rFonts w:asciiTheme="minorHAnsi" w:hAnsiTheme="minorHAnsi" w:cs="Arial"/>
          <w:sz w:val="20"/>
          <w:szCs w:val="20"/>
        </w:rPr>
        <w:t>The AIIR is an approved form under section 388-50 of Schedule 1 to the TAA 1953.</w:t>
      </w:r>
      <w:r w:rsidR="00472210">
        <w:rPr>
          <w:rFonts w:asciiTheme="minorHAnsi" w:hAnsiTheme="minorHAnsi" w:cs="Arial"/>
          <w:sz w:val="20"/>
          <w:szCs w:val="20"/>
        </w:rPr>
        <w:t xml:space="preserve"> </w:t>
      </w:r>
      <w:r w:rsidR="00472210" w:rsidRPr="00071DAA" w:rsidDel="00472210">
        <w:rPr>
          <w:rFonts w:asciiTheme="minorHAnsi" w:hAnsiTheme="minorHAnsi" w:cs="Arial"/>
          <w:sz w:val="20"/>
          <w:szCs w:val="20"/>
        </w:rPr>
        <w:t>To be in the approved form, entities with reporting obligations must report the information to the Commissioner electronically. Entities with reporting obligations need only report information to the extent they have an obligation to report.</w:t>
      </w:r>
      <w:r w:rsidRPr="00F4606C">
        <w:rPr>
          <w:rFonts w:asciiTheme="minorHAnsi" w:hAnsiTheme="minorHAnsi" w:cs="Arial"/>
          <w:sz w:val="20"/>
          <w:szCs w:val="20"/>
        </w:rPr>
        <w:t xml:space="preserve"> </w:t>
      </w:r>
    </w:p>
    <w:p w14:paraId="31374308" w14:textId="77777777" w:rsidR="004A6F71" w:rsidRPr="00F4606C" w:rsidRDefault="004A6F71" w:rsidP="004A6F71">
      <w:pPr>
        <w:pStyle w:val="Maintext"/>
        <w:rPr>
          <w:rFonts w:asciiTheme="minorHAnsi" w:hAnsiTheme="minorHAnsi" w:cs="Arial"/>
          <w:sz w:val="20"/>
          <w:szCs w:val="20"/>
        </w:rPr>
      </w:pPr>
    </w:p>
    <w:p w14:paraId="30134FF7" w14:textId="77777777" w:rsidR="004A6F71" w:rsidRPr="00F4606C" w:rsidRDefault="004A6F71" w:rsidP="004A6F71">
      <w:pPr>
        <w:pStyle w:val="Maintext"/>
        <w:rPr>
          <w:rFonts w:asciiTheme="minorHAnsi" w:hAnsiTheme="minorHAnsi" w:cs="Arial"/>
          <w:sz w:val="20"/>
          <w:szCs w:val="20"/>
        </w:rPr>
      </w:pPr>
      <w:bookmarkStart w:id="25" w:name="_Hlk71550346"/>
      <w:r w:rsidRPr="00F4606C">
        <w:rPr>
          <w:rFonts w:asciiTheme="minorHAnsi" w:hAnsiTheme="minorHAnsi" w:cs="Arial"/>
          <w:sz w:val="20"/>
          <w:szCs w:val="20"/>
        </w:rPr>
        <w:t>Under the legislation investment bodies are required to give to the Commissioner an AIIR containing information including:</w:t>
      </w:r>
    </w:p>
    <w:bookmarkEnd w:id="25"/>
    <w:p w14:paraId="6FEF8A33" w14:textId="77777777" w:rsidR="004A6F71" w:rsidRPr="00F4606C" w:rsidRDefault="004A6F71" w:rsidP="004A6F71">
      <w:pPr>
        <w:pStyle w:val="Maintext"/>
        <w:rPr>
          <w:rFonts w:asciiTheme="minorHAnsi" w:hAnsiTheme="minorHAnsi" w:cs="Arial"/>
          <w:sz w:val="20"/>
          <w:szCs w:val="20"/>
        </w:rPr>
      </w:pPr>
    </w:p>
    <w:p w14:paraId="5395ADB4" w14:textId="77777777" w:rsidR="004A6F71" w:rsidRPr="00F4606C" w:rsidRDefault="004A6F71" w:rsidP="001601AF">
      <w:pPr>
        <w:pStyle w:val="Bullet1"/>
        <w:numPr>
          <w:ilvl w:val="0"/>
          <w:numId w:val="30"/>
        </w:numPr>
        <w:rPr>
          <w:rFonts w:asciiTheme="minorHAnsi" w:hAnsiTheme="minorHAnsi" w:cs="Arial"/>
          <w:sz w:val="20"/>
          <w:szCs w:val="20"/>
        </w:rPr>
      </w:pPr>
      <w:r w:rsidRPr="00F4606C">
        <w:rPr>
          <w:rFonts w:asciiTheme="minorHAnsi" w:hAnsiTheme="minorHAnsi" w:cs="Arial"/>
          <w:sz w:val="20"/>
          <w:szCs w:val="20"/>
        </w:rPr>
        <w:t>investor identity details (including names, date of births, addresses and TFNs or ABNs quoted by investors)</w:t>
      </w:r>
    </w:p>
    <w:p w14:paraId="3035B0E0" w14:textId="77777777" w:rsidR="004A6F71" w:rsidRPr="00F4606C" w:rsidRDefault="004A6F71" w:rsidP="001601AF">
      <w:pPr>
        <w:pStyle w:val="Bullet1"/>
        <w:numPr>
          <w:ilvl w:val="0"/>
          <w:numId w:val="30"/>
        </w:numPr>
        <w:rPr>
          <w:rFonts w:asciiTheme="minorHAnsi" w:hAnsiTheme="minorHAnsi" w:cs="Arial"/>
          <w:sz w:val="20"/>
          <w:szCs w:val="20"/>
        </w:rPr>
      </w:pPr>
      <w:r w:rsidRPr="00F4606C">
        <w:rPr>
          <w:rFonts w:asciiTheme="minorHAnsi" w:hAnsiTheme="minorHAnsi" w:cs="Arial"/>
          <w:sz w:val="20"/>
          <w:szCs w:val="20"/>
        </w:rPr>
        <w:t>details of investment income paid to investors during the financial year</w:t>
      </w:r>
    </w:p>
    <w:p w14:paraId="16CF5D17" w14:textId="77777777" w:rsidR="004A6F71" w:rsidRPr="00F4606C" w:rsidRDefault="004A6F71" w:rsidP="001601AF">
      <w:pPr>
        <w:pStyle w:val="Bullet1"/>
        <w:numPr>
          <w:ilvl w:val="0"/>
          <w:numId w:val="30"/>
        </w:numPr>
        <w:rPr>
          <w:rFonts w:asciiTheme="minorHAnsi" w:hAnsiTheme="minorHAnsi" w:cs="Arial"/>
          <w:sz w:val="20"/>
          <w:szCs w:val="20"/>
        </w:rPr>
      </w:pPr>
      <w:r w:rsidRPr="00F4606C">
        <w:rPr>
          <w:rFonts w:asciiTheme="minorHAnsi" w:hAnsiTheme="minorHAnsi" w:cs="Arial"/>
          <w:sz w:val="20"/>
          <w:szCs w:val="20"/>
        </w:rPr>
        <w:t>movements of principal of FMDs</w:t>
      </w:r>
    </w:p>
    <w:p w14:paraId="2C32FB6C" w14:textId="77777777" w:rsidR="004A6F71" w:rsidRPr="00F4606C" w:rsidRDefault="004A6F71" w:rsidP="001601AF">
      <w:pPr>
        <w:pStyle w:val="Bullet1"/>
        <w:numPr>
          <w:ilvl w:val="0"/>
          <w:numId w:val="30"/>
        </w:numPr>
        <w:rPr>
          <w:rFonts w:asciiTheme="minorHAnsi" w:hAnsiTheme="minorHAnsi" w:cs="Arial"/>
          <w:sz w:val="20"/>
          <w:szCs w:val="20"/>
        </w:rPr>
      </w:pPr>
      <w:r w:rsidRPr="00F4606C">
        <w:rPr>
          <w:rFonts w:asciiTheme="minorHAnsi" w:hAnsiTheme="minorHAnsi" w:cs="Arial"/>
          <w:sz w:val="20"/>
          <w:szCs w:val="20"/>
        </w:rPr>
        <w:t>amounts withheld (including nil amounts) from any income that the investor is entitled to receive during the financial year and from repayments of FMDs.</w:t>
      </w:r>
    </w:p>
    <w:p w14:paraId="7FFFA024" w14:textId="2E6B8DCE" w:rsidR="003E2672" w:rsidRPr="003E2672" w:rsidRDefault="003E2672" w:rsidP="004A6F71">
      <w:pPr>
        <w:pStyle w:val="Maintext"/>
        <w:rPr>
          <w:rFonts w:asciiTheme="minorHAnsi" w:hAnsiTheme="minorHAnsi" w:cs="Arial"/>
          <w:sz w:val="20"/>
          <w:szCs w:val="20"/>
        </w:rPr>
      </w:pPr>
    </w:p>
    <w:p w14:paraId="7D65EFD2" w14:textId="77777777" w:rsidR="004A6F71" w:rsidRPr="003E2672" w:rsidRDefault="004A6F71" w:rsidP="004A6F71">
      <w:pPr>
        <w:pStyle w:val="Maintext"/>
        <w:rPr>
          <w:rFonts w:asciiTheme="minorHAnsi" w:hAnsiTheme="minorHAnsi" w:cs="Arial"/>
          <w:sz w:val="20"/>
          <w:szCs w:val="20"/>
        </w:rPr>
      </w:pPr>
      <w:r w:rsidRPr="003E2672">
        <w:rPr>
          <w:rFonts w:asciiTheme="minorHAnsi" w:hAnsiTheme="minorHAnsi" w:cs="Arial"/>
          <w:sz w:val="20"/>
          <w:szCs w:val="20"/>
        </w:rPr>
        <w:t>Investment bodies must lodge an AIIR within four months of the end of the financial year that it relates to – that is by 31 October – or within such further time as the Commissioner, by written notice given to the investment body, allows. Investment bodies that fail to lodge their AIIR by the due date may be subjected to either administrative penalties or prosecution. An administrative penalty for the late lodgment of an approved form is imposed by subsection 286-75(1) of Schedule 1 to the TAA 1953. The amount of the penalty is set out in section 286-80 of Schedule 1 to the TAA 1953.</w:t>
      </w:r>
    </w:p>
    <w:p w14:paraId="4AAE5395" w14:textId="77777777" w:rsidR="004A6F71" w:rsidRPr="003E2672" w:rsidRDefault="004A6F71" w:rsidP="004A6F71">
      <w:pPr>
        <w:pStyle w:val="Maintext"/>
        <w:rPr>
          <w:rFonts w:asciiTheme="minorHAnsi" w:hAnsiTheme="minorHAnsi" w:cs="Arial"/>
          <w:sz w:val="20"/>
          <w:szCs w:val="20"/>
        </w:rPr>
      </w:pPr>
    </w:p>
    <w:p w14:paraId="1CC9648E" w14:textId="77777777" w:rsidR="004A6F71" w:rsidRPr="003E2672" w:rsidRDefault="004A6F71" w:rsidP="008D2CDD">
      <w:pPr>
        <w:pStyle w:val="Maintext"/>
        <w:rPr>
          <w:rFonts w:asciiTheme="minorHAnsi" w:hAnsiTheme="minorHAnsi"/>
          <w:sz w:val="20"/>
          <w:szCs w:val="20"/>
        </w:rPr>
      </w:pPr>
      <w:r w:rsidRPr="003E2672">
        <w:rPr>
          <w:rFonts w:asciiTheme="minorHAnsi" w:eastAsia="Arial" w:hAnsiTheme="minorHAnsi" w:cs="Arial"/>
          <w:sz w:val="20"/>
          <w:szCs w:val="20"/>
        </w:rPr>
        <w:t>In accordance with section 393-15(3) of the TAA</w:t>
      </w:r>
      <w:r w:rsidRPr="003E2672">
        <w:rPr>
          <w:rFonts w:asciiTheme="minorHAnsi" w:eastAsia="Arial" w:hAnsiTheme="minorHAnsi" w:cs="Arial"/>
          <w:i/>
          <w:iCs/>
          <w:sz w:val="20"/>
          <w:szCs w:val="20"/>
        </w:rPr>
        <w:t xml:space="preserve"> </w:t>
      </w:r>
      <w:r w:rsidRPr="003E2672">
        <w:rPr>
          <w:rFonts w:asciiTheme="minorHAnsi" w:eastAsia="Arial" w:hAnsiTheme="minorHAnsi" w:cs="Arial"/>
          <w:sz w:val="20"/>
          <w:szCs w:val="20"/>
        </w:rPr>
        <w:t xml:space="preserve">1953 if a material error has been identified in an AIIR file after lodgment a corrected report must be lodged no later than 28 days after error identification. </w:t>
      </w:r>
    </w:p>
    <w:p w14:paraId="752364DD" w14:textId="77777777" w:rsidR="004A6F71" w:rsidRPr="00B35C0A" w:rsidRDefault="004A6F71" w:rsidP="004A6F71">
      <w:pPr>
        <w:pStyle w:val="Maintext"/>
        <w:rPr>
          <w:rFonts w:cs="Arial"/>
        </w:rPr>
      </w:pPr>
    </w:p>
    <w:p w14:paraId="69E164D9" w14:textId="77777777" w:rsidR="004A6F71" w:rsidRDefault="004A6F71" w:rsidP="004A6F71">
      <w:r>
        <w:t xml:space="preserve">For more information, see </w:t>
      </w:r>
      <w:hyperlink w:anchor="_Do_I_need" w:history="1">
        <w:r w:rsidRPr="00E57001">
          <w:rPr>
            <w:rStyle w:val="Hyperlink"/>
            <w:color w:val="auto"/>
          </w:rPr>
          <w:t>Section 3</w:t>
        </w:r>
        <w:r>
          <w:rPr>
            <w:rStyle w:val="Hyperlink"/>
            <w:color w:val="auto"/>
          </w:rPr>
          <w:t xml:space="preserve"> – Lodgment information</w:t>
        </w:r>
        <w:r w:rsidRPr="00E57001">
          <w:rPr>
            <w:rStyle w:val="Hyperlink"/>
            <w:color w:val="auto"/>
          </w:rPr>
          <w:t>.</w:t>
        </w:r>
      </w:hyperlink>
      <w:r w:rsidRPr="00E57001">
        <w:t xml:space="preserve"> </w:t>
      </w:r>
    </w:p>
    <w:p w14:paraId="5F9451C9" w14:textId="77777777" w:rsidR="004A6F71" w:rsidRPr="00A82FB2" w:rsidRDefault="004A6F71" w:rsidP="004A6F71">
      <w:pPr>
        <w:pStyle w:val="Heading2"/>
      </w:pPr>
      <w:bookmarkStart w:id="26" w:name="_Toc5192648"/>
      <w:bookmarkStart w:id="27" w:name="_Toc232191285"/>
      <w:r w:rsidRPr="00A82FB2">
        <w:t>Retention of information</w:t>
      </w:r>
      <w:bookmarkEnd w:id="26"/>
      <w:bookmarkEnd w:id="27"/>
    </w:p>
    <w:p w14:paraId="58128507" w14:textId="77777777" w:rsidR="004A6F71" w:rsidRPr="008E3F77" w:rsidRDefault="004A6F71" w:rsidP="00F4606C">
      <w:pPr>
        <w:pStyle w:val="Maintext"/>
        <w:rPr>
          <w:rFonts w:cs="Arial"/>
        </w:rPr>
      </w:pPr>
      <w:r w:rsidRPr="00F4606C" w:rsidDel="00041DC1">
        <w:rPr>
          <w:rFonts w:asciiTheme="minorHAnsi" w:hAnsiTheme="minorHAnsi" w:cs="Arial"/>
          <w:sz w:val="20"/>
          <w:szCs w:val="20"/>
        </w:rPr>
        <w:t xml:space="preserve">Under subsection 262A(4) </w:t>
      </w:r>
      <w:r w:rsidRPr="00F4606C">
        <w:rPr>
          <w:rFonts w:asciiTheme="minorHAnsi" w:hAnsiTheme="minorHAnsi" w:cs="Arial"/>
          <w:sz w:val="20"/>
          <w:szCs w:val="20"/>
        </w:rPr>
        <w:t xml:space="preserve">to </w:t>
      </w:r>
      <w:r w:rsidRPr="00F4606C" w:rsidDel="00041DC1">
        <w:rPr>
          <w:rFonts w:asciiTheme="minorHAnsi" w:hAnsiTheme="minorHAnsi" w:cs="Arial"/>
          <w:sz w:val="20"/>
          <w:szCs w:val="20"/>
        </w:rPr>
        <w:t>the ITAA 1936, investment bodies must retain investment income information for a statutory period of five years. The information can be retained electronically or on electronic storage media to meet this statutory requirement. A copy of the data file supplied to us must be able to be regenerated on request from us (for example, if a problem has been encountered in processing of the data).</w:t>
      </w:r>
    </w:p>
    <w:p w14:paraId="598644CB" w14:textId="77777777" w:rsidR="004A6F71" w:rsidRDefault="004A6F71" w:rsidP="004A6F71">
      <w:pPr>
        <w:pStyle w:val="Heading2"/>
      </w:pPr>
      <w:bookmarkStart w:id="28" w:name="_Toc5192649"/>
      <w:bookmarkStart w:id="29" w:name="_Toc232191286"/>
      <w:r>
        <w:t>Supplier lodging on behalf of an Investment body</w:t>
      </w:r>
      <w:bookmarkEnd w:id="28"/>
      <w:bookmarkEnd w:id="29"/>
    </w:p>
    <w:p w14:paraId="0F0A0521" w14:textId="77777777" w:rsidR="004A6F71" w:rsidRPr="003E2672" w:rsidRDefault="004A6F71" w:rsidP="004A6F71">
      <w:pPr>
        <w:pStyle w:val="Maintext"/>
        <w:rPr>
          <w:rFonts w:asciiTheme="minorHAnsi" w:hAnsiTheme="minorHAnsi"/>
          <w:sz w:val="20"/>
          <w:szCs w:val="20"/>
        </w:rPr>
      </w:pPr>
      <w:r w:rsidRPr="003E2672">
        <w:rPr>
          <w:rFonts w:asciiTheme="minorHAnsi" w:hAnsiTheme="minorHAnsi"/>
          <w:sz w:val="20"/>
          <w:szCs w:val="20"/>
        </w:rPr>
        <w:t xml:space="preserve">To meet the requirements in the TAA 1953, investment bodies must give or retain a signed declaration between the investment body and their supplier each year to enable a supplier to lodge their AIIR. </w:t>
      </w:r>
    </w:p>
    <w:p w14:paraId="0E736D40" w14:textId="77777777" w:rsidR="004A6F71" w:rsidRPr="003E2672" w:rsidRDefault="004A6F71" w:rsidP="004A6F71">
      <w:pPr>
        <w:pStyle w:val="Maintext"/>
        <w:rPr>
          <w:rFonts w:asciiTheme="minorHAnsi" w:hAnsiTheme="minorHAnsi"/>
          <w:sz w:val="20"/>
          <w:szCs w:val="20"/>
        </w:rPr>
      </w:pPr>
    </w:p>
    <w:p w14:paraId="7D32F4CE" w14:textId="77777777" w:rsidR="004A6F71" w:rsidRPr="003E2672" w:rsidRDefault="004A6F71" w:rsidP="004A6F71">
      <w:pPr>
        <w:pStyle w:val="Maintext"/>
        <w:rPr>
          <w:rFonts w:asciiTheme="minorHAnsi" w:hAnsiTheme="minorHAnsi"/>
          <w:sz w:val="20"/>
          <w:szCs w:val="20"/>
        </w:rPr>
      </w:pPr>
      <w:r w:rsidRPr="003E2672">
        <w:rPr>
          <w:rFonts w:asciiTheme="minorHAnsi" w:hAnsiTheme="minorHAnsi"/>
          <w:sz w:val="20"/>
          <w:szCs w:val="20"/>
        </w:rPr>
        <w:t xml:space="preserve">The </w:t>
      </w:r>
      <w:hyperlink r:id="rId18" w:history="1">
        <w:r w:rsidRPr="00F4606C">
          <w:rPr>
            <w:rStyle w:val="Hyperlink"/>
            <w:rFonts w:asciiTheme="minorHAnsi" w:hAnsiTheme="minorHAnsi"/>
            <w:i/>
            <w:color w:val="0033CC"/>
            <w:szCs w:val="20"/>
          </w:rPr>
          <w:t>Annual investment income report - Supplier lodgment declaration</w:t>
        </w:r>
        <w:r w:rsidRPr="00F4606C">
          <w:rPr>
            <w:rStyle w:val="Hyperlink"/>
            <w:rFonts w:asciiTheme="minorHAnsi" w:hAnsiTheme="minorHAnsi"/>
            <w:color w:val="0033CC"/>
            <w:szCs w:val="20"/>
          </w:rPr>
          <w:t xml:space="preserve"> form</w:t>
        </w:r>
      </w:hyperlink>
      <w:r w:rsidRPr="003E2672">
        <w:rPr>
          <w:rFonts w:asciiTheme="minorHAnsi" w:hAnsiTheme="minorHAnsi"/>
          <w:sz w:val="20"/>
          <w:szCs w:val="20"/>
        </w:rPr>
        <w:t> is available on our website.</w:t>
      </w:r>
    </w:p>
    <w:p w14:paraId="26E68AC2" w14:textId="77777777" w:rsidR="004A6F71" w:rsidRPr="003E2672" w:rsidRDefault="004A6F71" w:rsidP="004A6F71">
      <w:pPr>
        <w:pStyle w:val="Maintext"/>
        <w:rPr>
          <w:rFonts w:asciiTheme="minorHAnsi" w:hAnsiTheme="minorHAnsi"/>
          <w:sz w:val="20"/>
          <w:szCs w:val="20"/>
        </w:rPr>
      </w:pPr>
    </w:p>
    <w:p w14:paraId="7565FB22" w14:textId="77777777" w:rsidR="004A6F71" w:rsidRPr="003E2672" w:rsidRDefault="004A6F71" w:rsidP="008D2CDD">
      <w:pPr>
        <w:pStyle w:val="Maintext"/>
        <w:rPr>
          <w:rFonts w:asciiTheme="minorHAnsi" w:hAnsiTheme="minorHAnsi"/>
          <w:sz w:val="20"/>
          <w:szCs w:val="20"/>
        </w:rPr>
      </w:pPr>
      <w:r w:rsidRPr="003E2672">
        <w:rPr>
          <w:rFonts w:asciiTheme="minorHAnsi" w:hAnsiTheme="minorHAnsi"/>
          <w:sz w:val="20"/>
          <w:szCs w:val="20"/>
        </w:rPr>
        <w:t>When we need to discuss information regarding a lodged report the Supplier will be the first point of contact.</w:t>
      </w:r>
    </w:p>
    <w:p w14:paraId="64602C34" w14:textId="77777777" w:rsidR="004A6F71" w:rsidRPr="003E2672" w:rsidRDefault="004A6F71" w:rsidP="004A6F71">
      <w:pPr>
        <w:pStyle w:val="Maintext"/>
        <w:rPr>
          <w:rFonts w:asciiTheme="minorHAnsi" w:hAnsiTheme="minorHAnsi"/>
          <w:sz w:val="20"/>
          <w:szCs w:val="20"/>
        </w:rPr>
      </w:pPr>
    </w:p>
    <w:p w14:paraId="588CB39C" w14:textId="77777777" w:rsidR="004A6F71" w:rsidRPr="003E2672" w:rsidRDefault="004A6F71" w:rsidP="004A6F71">
      <w:pPr>
        <w:pStyle w:val="Maintext"/>
        <w:rPr>
          <w:rFonts w:asciiTheme="minorHAnsi" w:hAnsiTheme="minorHAnsi"/>
          <w:sz w:val="20"/>
          <w:szCs w:val="20"/>
        </w:rPr>
      </w:pPr>
      <w:r w:rsidRPr="003E2672">
        <w:rPr>
          <w:rFonts w:asciiTheme="minorHAnsi" w:hAnsiTheme="minorHAnsi"/>
          <w:sz w:val="20"/>
          <w:szCs w:val="20"/>
        </w:rPr>
        <w:t>Situations may arise where we will provide information directly to the investment body about their AIIR lodgments.  In these instances, we will contact the supplier to advise that information is being supplied to the investment body about the lodgment.</w:t>
      </w:r>
    </w:p>
    <w:p w14:paraId="28D35704" w14:textId="77777777" w:rsidR="004A6F71" w:rsidRDefault="004A6F71" w:rsidP="004A6F71">
      <w:pPr>
        <w:pStyle w:val="Heading2"/>
      </w:pPr>
      <w:bookmarkStart w:id="30" w:name="_Toc5192650"/>
      <w:bookmarkStart w:id="31" w:name="_Toc358373197"/>
      <w:bookmarkStart w:id="32" w:name="_Toc232191287"/>
      <w:r>
        <w:t>Other obligations</w:t>
      </w:r>
      <w:bookmarkEnd w:id="30"/>
      <w:bookmarkEnd w:id="32"/>
    </w:p>
    <w:p w14:paraId="4EBE0B25" w14:textId="77777777" w:rsidR="004A6F71" w:rsidRPr="00B35C0A" w:rsidRDefault="004A6F71" w:rsidP="004A6F71">
      <w:pPr>
        <w:pStyle w:val="Heading3"/>
      </w:pPr>
      <w:bookmarkStart w:id="33" w:name="_Toc232191288"/>
      <w:bookmarkEnd w:id="31"/>
      <w:r w:rsidRPr="00B35C0A">
        <w:t>Requirement to deduct TFN withholding tax</w:t>
      </w:r>
      <w:bookmarkEnd w:id="33"/>
    </w:p>
    <w:p w14:paraId="6BBE6A59" w14:textId="77777777" w:rsidR="004A6F71" w:rsidRDefault="004A6F71" w:rsidP="00F4606C">
      <w:pPr>
        <w:spacing w:after="0" w:line="240" w:lineRule="auto"/>
        <w:rPr>
          <w:rFonts w:cs="Arial"/>
        </w:rPr>
      </w:pPr>
      <w:r w:rsidRPr="00B35C0A">
        <w:rPr>
          <w:rFonts w:cs="Arial"/>
        </w:rPr>
        <w:t xml:space="preserve">Investment bodies are required to withhold amounts from investment income payments made to investors who have chosen not to quote their TFN or ABN, have not claimed an exemption from quoting or have been deemed </w:t>
      </w:r>
      <w:r>
        <w:rPr>
          <w:rFonts w:cs="Arial"/>
        </w:rPr>
        <w:t xml:space="preserve">by us </w:t>
      </w:r>
      <w:r w:rsidRPr="00B35C0A">
        <w:rPr>
          <w:rFonts w:cs="Arial"/>
        </w:rPr>
        <w:t xml:space="preserve">not to have quoted. The amount of tax to be withheld and remitted to us is calculated at the highest marginal rate plus the Medicare levy. Where TFN withholding amounts are withheld, they are reported at the </w:t>
      </w:r>
      <w:r w:rsidRPr="00B35C0A">
        <w:rPr>
          <w:rFonts w:cs="Arial"/>
          <w:i/>
        </w:rPr>
        <w:t xml:space="preserve">TFN withholding tax deducted </w:t>
      </w:r>
      <w:r w:rsidRPr="00B35C0A">
        <w:rPr>
          <w:rFonts w:cs="Arial"/>
        </w:rPr>
        <w:t>(</w:t>
      </w:r>
      <w:r>
        <w:rPr>
          <w:rFonts w:cs="Arial"/>
        </w:rPr>
        <w:t xml:space="preserve">9.74) </w:t>
      </w:r>
      <w:r w:rsidRPr="00B35C0A">
        <w:rPr>
          <w:rFonts w:cs="Arial"/>
        </w:rPr>
        <w:t>field.</w:t>
      </w:r>
    </w:p>
    <w:p w14:paraId="0302C55B" w14:textId="77777777" w:rsidR="004A6F71" w:rsidRPr="00B35C0A" w:rsidRDefault="004A6F71" w:rsidP="004A6F71">
      <w:pPr>
        <w:pStyle w:val="Heading3"/>
      </w:pPr>
      <w:bookmarkStart w:id="34" w:name="_Toc5192651"/>
      <w:bookmarkStart w:id="35" w:name="_Toc232191289"/>
      <w:r w:rsidRPr="00B35C0A">
        <w:t>Requirement to deduct non-resident withholding amounts</w:t>
      </w:r>
      <w:bookmarkEnd w:id="34"/>
      <w:bookmarkEnd w:id="35"/>
    </w:p>
    <w:p w14:paraId="1C59F2A0" w14:textId="77777777" w:rsidR="004A6F71" w:rsidRDefault="004A6F71" w:rsidP="00F4606C">
      <w:pPr>
        <w:spacing w:after="0" w:line="240" w:lineRule="auto"/>
        <w:rPr>
          <w:rFonts w:cs="Arial"/>
        </w:rPr>
      </w:pPr>
      <w:r w:rsidRPr="00B35C0A">
        <w:rPr>
          <w:rFonts w:cs="Arial"/>
        </w:rPr>
        <w:t>If an investment body makes a royalty, interest or dividend payment to a non-resident, it may be required to withhold an amount from the:</w:t>
      </w:r>
    </w:p>
    <w:p w14:paraId="23BEE4EE" w14:textId="77777777" w:rsidR="008D2CDD" w:rsidRDefault="008D2CDD" w:rsidP="00F4606C">
      <w:pPr>
        <w:pStyle w:val="Bullet1"/>
        <w:spacing w:before="0" w:after="0"/>
        <w:ind w:left="714"/>
        <w:rPr>
          <w:rFonts w:asciiTheme="minorHAnsi" w:hAnsiTheme="minorHAnsi" w:cs="Arial"/>
          <w:sz w:val="20"/>
          <w:szCs w:val="20"/>
        </w:rPr>
      </w:pPr>
    </w:p>
    <w:p w14:paraId="2547CB43" w14:textId="74094C3E" w:rsidR="004A6F71" w:rsidRPr="00F4606C" w:rsidRDefault="004A6F71" w:rsidP="001601AF">
      <w:pPr>
        <w:pStyle w:val="Bullet1"/>
        <w:numPr>
          <w:ilvl w:val="0"/>
          <w:numId w:val="31"/>
        </w:numPr>
        <w:spacing w:before="0" w:after="0"/>
        <w:ind w:left="714" w:hanging="357"/>
        <w:rPr>
          <w:rFonts w:asciiTheme="minorHAnsi" w:hAnsiTheme="minorHAnsi" w:cs="Arial"/>
          <w:sz w:val="20"/>
          <w:szCs w:val="20"/>
        </w:rPr>
      </w:pPr>
      <w:r w:rsidRPr="00F4606C">
        <w:rPr>
          <w:rFonts w:asciiTheme="minorHAnsi" w:hAnsiTheme="minorHAnsi" w:cs="Arial"/>
          <w:sz w:val="20"/>
          <w:szCs w:val="20"/>
        </w:rPr>
        <w:t>dividend payment under sections 12-210 or 12-215 of Schedule 1 to the TAA 1953</w:t>
      </w:r>
    </w:p>
    <w:p w14:paraId="4E4D9F95" w14:textId="77777777" w:rsidR="004A6F71" w:rsidRPr="00F4606C" w:rsidRDefault="004A6F71" w:rsidP="001601AF">
      <w:pPr>
        <w:pStyle w:val="Bullet1"/>
        <w:numPr>
          <w:ilvl w:val="0"/>
          <w:numId w:val="31"/>
        </w:numPr>
        <w:rPr>
          <w:rFonts w:asciiTheme="minorHAnsi" w:hAnsiTheme="minorHAnsi" w:cs="Arial"/>
          <w:sz w:val="20"/>
          <w:szCs w:val="20"/>
        </w:rPr>
      </w:pPr>
      <w:r w:rsidRPr="00F4606C">
        <w:rPr>
          <w:rFonts w:asciiTheme="minorHAnsi" w:hAnsiTheme="minorHAnsi" w:cs="Arial"/>
          <w:sz w:val="20"/>
          <w:szCs w:val="20"/>
        </w:rPr>
        <w:t>interest payment under sections 12-245 or 12-250 of Schedule 1 to the TAA 1953</w:t>
      </w:r>
    </w:p>
    <w:p w14:paraId="12EFF398" w14:textId="77777777" w:rsidR="004A6F71" w:rsidRPr="00F4606C" w:rsidRDefault="004A6F71" w:rsidP="001601AF">
      <w:pPr>
        <w:pStyle w:val="Bullet1"/>
        <w:numPr>
          <w:ilvl w:val="0"/>
          <w:numId w:val="31"/>
        </w:numPr>
        <w:rPr>
          <w:rFonts w:asciiTheme="minorHAnsi" w:hAnsiTheme="minorHAnsi" w:cs="Arial"/>
          <w:sz w:val="20"/>
          <w:szCs w:val="20"/>
        </w:rPr>
      </w:pPr>
      <w:r w:rsidRPr="00F4606C">
        <w:rPr>
          <w:rFonts w:asciiTheme="minorHAnsi" w:hAnsiTheme="minorHAnsi" w:cs="Arial"/>
          <w:sz w:val="20"/>
          <w:szCs w:val="20"/>
        </w:rPr>
        <w:t>royalty payment under sections 12-280 or 12-285 of Schedule 1 to the TAA 1953</w:t>
      </w:r>
    </w:p>
    <w:p w14:paraId="1A60C73E" w14:textId="77777777" w:rsidR="004A6F71" w:rsidRPr="00F4606C" w:rsidRDefault="004A6F71" w:rsidP="001601AF">
      <w:pPr>
        <w:pStyle w:val="Bullet1"/>
        <w:numPr>
          <w:ilvl w:val="0"/>
          <w:numId w:val="31"/>
        </w:numPr>
        <w:spacing w:before="0" w:after="0"/>
        <w:ind w:left="714" w:hanging="357"/>
        <w:rPr>
          <w:rFonts w:asciiTheme="minorHAnsi" w:hAnsiTheme="minorHAnsi" w:cs="Arial"/>
          <w:sz w:val="20"/>
          <w:szCs w:val="20"/>
        </w:rPr>
      </w:pPr>
      <w:r w:rsidRPr="00F4606C">
        <w:rPr>
          <w:rFonts w:asciiTheme="minorHAnsi" w:hAnsiTheme="minorHAnsi" w:cs="Arial"/>
          <w:sz w:val="20"/>
          <w:szCs w:val="20"/>
        </w:rPr>
        <w:t>deemed dividend, interest and royalty payments (for Attribution managed investment trusts (AMITs)) under section 12A-215(2) of Schedule 1 to the TAA 1953.</w:t>
      </w:r>
    </w:p>
    <w:p w14:paraId="0DC851C5" w14:textId="77777777" w:rsidR="004A6F71" w:rsidRDefault="004A6F71" w:rsidP="004A6F71">
      <w:pPr>
        <w:pStyle w:val="Maintext"/>
        <w:rPr>
          <w:rFonts w:cs="Arial"/>
        </w:rPr>
      </w:pPr>
    </w:p>
    <w:p w14:paraId="58F5A78A" w14:textId="77777777" w:rsidR="004A6F71" w:rsidRPr="00F4606C" w:rsidRDefault="004A6F71" w:rsidP="004A6F71">
      <w:pPr>
        <w:pStyle w:val="Maintext"/>
        <w:rPr>
          <w:rFonts w:asciiTheme="minorHAnsi" w:hAnsiTheme="minorHAnsi" w:cs="Arial"/>
          <w:i/>
          <w:noProof/>
          <w:color w:val="000000"/>
          <w:sz w:val="20"/>
          <w:szCs w:val="20"/>
          <w:lang w:val="en"/>
        </w:rPr>
      </w:pPr>
      <w:r w:rsidRPr="00F4606C">
        <w:rPr>
          <w:rFonts w:asciiTheme="minorHAnsi" w:hAnsiTheme="minorHAnsi" w:cs="Arial"/>
          <w:sz w:val="20"/>
          <w:szCs w:val="20"/>
        </w:rPr>
        <w:t xml:space="preserve">Do not report non-resident withholding amounts from interest, dividends and royalties in both the AIIR and the </w:t>
      </w:r>
      <w:r w:rsidRPr="00F4606C">
        <w:rPr>
          <w:rFonts w:asciiTheme="minorHAnsi" w:hAnsiTheme="minorHAnsi" w:cs="Arial"/>
          <w:i/>
          <w:noProof/>
          <w:color w:val="000000"/>
          <w:sz w:val="20"/>
          <w:szCs w:val="20"/>
          <w:lang w:val="en"/>
        </w:rPr>
        <w:t>PAYG withholding from interest, dividend and royalty payments paid to non-residents - annual report.</w:t>
      </w:r>
    </w:p>
    <w:p w14:paraId="63294314" w14:textId="77777777" w:rsidR="004A6F71" w:rsidRDefault="004A6F71" w:rsidP="004A6F71">
      <w:pPr>
        <w:pStyle w:val="Heading3"/>
      </w:pPr>
      <w:bookmarkStart w:id="36" w:name="_Toc232191290"/>
      <w:r w:rsidRPr="007511EB">
        <w:t>Managed investment trust fund payments and withheld amounts</w:t>
      </w:r>
      <w:bookmarkEnd w:id="36"/>
      <w:r w:rsidRPr="007511EB">
        <w:t xml:space="preserve"> </w:t>
      </w:r>
    </w:p>
    <w:p w14:paraId="5422D69E" w14:textId="55157159" w:rsidR="008D2CDD" w:rsidRPr="00137A83" w:rsidRDefault="004A6F71" w:rsidP="00F4606C">
      <w:pPr>
        <w:spacing w:after="0" w:line="240" w:lineRule="auto"/>
        <w:rPr>
          <w:rFonts w:cs="Arial"/>
        </w:rPr>
      </w:pPr>
      <w:r w:rsidRPr="00137A83">
        <w:rPr>
          <w:rFonts w:cs="Arial"/>
        </w:rPr>
        <w:t xml:space="preserve">Under </w:t>
      </w:r>
      <w:r w:rsidRPr="00137A83">
        <w:rPr>
          <w:rFonts w:cs="Arial"/>
          <w:noProof/>
        </w:rPr>
        <w:t xml:space="preserve">subsection 16-153(4) </w:t>
      </w:r>
      <w:r w:rsidRPr="00137A83">
        <w:rPr>
          <w:rFonts w:cs="Arial"/>
        </w:rPr>
        <w:t xml:space="preserve">of Schedule 1 to the TAA 1953 an entity is required to withhold and must provide, on an annual basis, a report to the Commissioner on the amounts withheld pursuant to </w:t>
      </w:r>
      <w:r w:rsidRPr="00137A83">
        <w:rPr>
          <w:rFonts w:cs="Arial"/>
          <w:noProof/>
        </w:rPr>
        <w:t xml:space="preserve">Subdivision 12-H </w:t>
      </w:r>
      <w:r w:rsidRPr="00137A83">
        <w:rPr>
          <w:rFonts w:cs="Arial"/>
        </w:rPr>
        <w:t xml:space="preserve">of Schedule 1 to the TAA 1953. </w:t>
      </w:r>
    </w:p>
    <w:p w14:paraId="1DB955DF" w14:textId="77777777" w:rsidR="004A6F71" w:rsidRPr="00137A83" w:rsidRDefault="004A6F71" w:rsidP="00F4606C">
      <w:pPr>
        <w:spacing w:after="0" w:line="240" w:lineRule="auto"/>
        <w:rPr>
          <w:rFonts w:cs="Arial"/>
        </w:rPr>
      </w:pPr>
    </w:p>
    <w:p w14:paraId="5D7644B5" w14:textId="32AA3BC9" w:rsidR="008D2CDD" w:rsidRDefault="004A6F71" w:rsidP="00F4606C">
      <w:pPr>
        <w:spacing w:after="0" w:line="240" w:lineRule="auto"/>
        <w:rPr>
          <w:rFonts w:cs="Arial"/>
          <w:i/>
        </w:rPr>
      </w:pPr>
      <w:r w:rsidRPr="00137A83">
        <w:rPr>
          <w:rFonts w:cs="Arial"/>
        </w:rPr>
        <w:t xml:space="preserve">The imposition of tax and the establishment of the applicable rate of tax are provided for by the </w:t>
      </w:r>
      <w:r w:rsidRPr="00137A83">
        <w:rPr>
          <w:rFonts w:cs="Arial"/>
          <w:i/>
        </w:rPr>
        <w:t>Income Tax (Managed Investment Trust Withholding Tax) Act 2008</w:t>
      </w:r>
      <w:r w:rsidRPr="00137A83">
        <w:rPr>
          <w:rFonts w:cs="Arial"/>
        </w:rPr>
        <w:t xml:space="preserve"> and the </w:t>
      </w:r>
      <w:r w:rsidRPr="00137A83">
        <w:rPr>
          <w:rFonts w:cs="Arial"/>
          <w:i/>
        </w:rPr>
        <w:t>Income Tax (Managed Investment Trust Transitional) Act 2008.</w:t>
      </w:r>
    </w:p>
    <w:p w14:paraId="6D2DFB51" w14:textId="77777777" w:rsidR="004A6F71" w:rsidRPr="00F4606C" w:rsidRDefault="004A6F71" w:rsidP="00F4606C">
      <w:pPr>
        <w:spacing w:after="0" w:line="240" w:lineRule="auto"/>
        <w:rPr>
          <w:rFonts w:cs="Arial"/>
          <w:iCs/>
        </w:rPr>
      </w:pPr>
    </w:p>
    <w:p w14:paraId="463D9377" w14:textId="47C46516" w:rsidR="008D2CDD" w:rsidRDefault="004A6F71" w:rsidP="00F4606C">
      <w:pPr>
        <w:spacing w:after="0" w:line="240" w:lineRule="auto"/>
      </w:pPr>
      <w:r w:rsidRPr="00137A83">
        <w:t xml:space="preserve">The annual report to the Commissioner for MIT fund payments and withheld amounts must be in the approved form. The AIIR is the approved form for the annual report. </w:t>
      </w:r>
    </w:p>
    <w:p w14:paraId="1A0DB3D9" w14:textId="77777777" w:rsidR="004A6F71" w:rsidRPr="0076372B" w:rsidRDefault="004A6F71" w:rsidP="00F4606C">
      <w:pPr>
        <w:spacing w:after="0" w:line="240" w:lineRule="auto"/>
      </w:pPr>
    </w:p>
    <w:p w14:paraId="1AB94D2C" w14:textId="77777777" w:rsidR="004A6F71" w:rsidRPr="004C60D7" w:rsidRDefault="004A6F71" w:rsidP="00F4606C">
      <w:pPr>
        <w:spacing w:after="0" w:line="240" w:lineRule="auto"/>
        <w:rPr>
          <w:rFonts w:cs="Arial"/>
          <w:szCs w:val="22"/>
        </w:rPr>
      </w:pPr>
      <w:r w:rsidRPr="004C60D7">
        <w:rPr>
          <w:rFonts w:cs="Arial"/>
          <w:szCs w:val="22"/>
        </w:rPr>
        <w:t>Withholding MITs (whether a MIT or an AMIT) and custodians may be required to withhold an amount from a fund payment, or an amount reasonably attributable to such payment, where they make payment to a place outside Australia or the recipient has an address outside Australia.</w:t>
      </w:r>
    </w:p>
    <w:p w14:paraId="63D09125" w14:textId="77777777" w:rsidR="0023051C" w:rsidRDefault="0023051C" w:rsidP="00F4606C">
      <w:pPr>
        <w:spacing w:after="0" w:line="240" w:lineRule="auto"/>
        <w:rPr>
          <w:rFonts w:cs="Arial"/>
          <w:szCs w:val="22"/>
        </w:rPr>
      </w:pPr>
    </w:p>
    <w:p w14:paraId="598425A7" w14:textId="7E9FA5B6" w:rsidR="004A6F71" w:rsidRDefault="004A6F71" w:rsidP="00857AA9">
      <w:pPr>
        <w:spacing w:after="0" w:line="240" w:lineRule="auto"/>
        <w:rPr>
          <w:rFonts w:cs="Arial"/>
          <w:szCs w:val="22"/>
        </w:rPr>
      </w:pPr>
      <w:r w:rsidRPr="004C60D7">
        <w:rPr>
          <w:rFonts w:cs="Arial"/>
          <w:szCs w:val="22"/>
        </w:rPr>
        <w:t>Under the MIT withholding regime, fund payments to foreign members are subject to a final withholding tax of:</w:t>
      </w:r>
    </w:p>
    <w:p w14:paraId="2DFC0699" w14:textId="77777777" w:rsidR="00857AA9" w:rsidRPr="004C60D7" w:rsidRDefault="00857AA9" w:rsidP="00857AA9">
      <w:pPr>
        <w:spacing w:after="0" w:line="240" w:lineRule="auto"/>
        <w:rPr>
          <w:rFonts w:cs="Arial"/>
          <w:szCs w:val="22"/>
        </w:rPr>
      </w:pPr>
    </w:p>
    <w:p w14:paraId="3DA56A75" w14:textId="77777777" w:rsidR="004A6F71" w:rsidRPr="00F4606C" w:rsidRDefault="004A6F71">
      <w:pPr>
        <w:pStyle w:val="ListParagraph"/>
        <w:numPr>
          <w:ilvl w:val="0"/>
          <w:numId w:val="26"/>
        </w:numPr>
        <w:spacing w:after="200" w:line="276" w:lineRule="auto"/>
        <w:rPr>
          <w:rFonts w:cs="Arial"/>
        </w:rPr>
      </w:pPr>
      <w:r w:rsidRPr="00F4606C">
        <w:rPr>
          <w:rFonts w:cs="Arial"/>
        </w:rPr>
        <w:t>15% where the payment is made to a resident of a country that has an exchange of information agreement with Australia</w:t>
      </w:r>
    </w:p>
    <w:p w14:paraId="0DF1EED6" w14:textId="77777777" w:rsidR="004A6F71" w:rsidRPr="00F4606C" w:rsidRDefault="004A6F71">
      <w:pPr>
        <w:pStyle w:val="ListParagraph"/>
        <w:numPr>
          <w:ilvl w:val="0"/>
          <w:numId w:val="27"/>
        </w:numPr>
        <w:spacing w:after="200" w:line="276" w:lineRule="auto"/>
        <w:rPr>
          <w:rFonts w:cs="Arial"/>
        </w:rPr>
      </w:pPr>
      <w:r w:rsidRPr="00F4606C">
        <w:rPr>
          <w:rFonts w:cs="Arial"/>
        </w:rPr>
        <w:t>30% where the payment is made to a resident of a country that does not have an exchange of information agreement with Australia</w:t>
      </w:r>
    </w:p>
    <w:p w14:paraId="1564438A" w14:textId="77777777" w:rsidR="004A6F71" w:rsidRPr="00F4606C" w:rsidRDefault="004A6F71">
      <w:pPr>
        <w:pStyle w:val="ListParagraph"/>
        <w:numPr>
          <w:ilvl w:val="0"/>
          <w:numId w:val="27"/>
        </w:numPr>
        <w:spacing w:after="200" w:line="276" w:lineRule="auto"/>
        <w:rPr>
          <w:rFonts w:cs="Arial"/>
        </w:rPr>
      </w:pPr>
      <w:r w:rsidRPr="00F4606C">
        <w:rPr>
          <w:rFonts w:cs="Arial"/>
        </w:rPr>
        <w:t>30% where the payments are attributable to Non-concessional Management Investment Trust (MIT) income (NCMI).</w:t>
      </w:r>
    </w:p>
    <w:p w14:paraId="0449C68E" w14:textId="07565E49" w:rsidR="00472210" w:rsidRDefault="004A6F71" w:rsidP="008B22C9">
      <w:pPr>
        <w:spacing w:after="0" w:line="240" w:lineRule="auto"/>
      </w:pPr>
      <w:r w:rsidRPr="008B22C9">
        <w:t xml:space="preserve">The </w:t>
      </w:r>
      <w:r w:rsidRPr="00F4606C">
        <w:t>Taxation Administration Regulations 2017</w:t>
      </w:r>
      <w:r w:rsidRPr="008B22C9">
        <w:t xml:space="preserve"> </w:t>
      </w:r>
      <w:r w:rsidR="00472210">
        <w:t xml:space="preserve">was </w:t>
      </w:r>
      <w:r w:rsidRPr="008B22C9">
        <w:t xml:space="preserve">amended </w:t>
      </w:r>
      <w:r w:rsidR="00472210">
        <w:t xml:space="preserve">in 2021 </w:t>
      </w:r>
      <w:r w:rsidRPr="008B22C9">
        <w:t xml:space="preserve">and </w:t>
      </w:r>
      <w:r w:rsidR="00472210">
        <w:t>6</w:t>
      </w:r>
      <w:r w:rsidRPr="008B22C9">
        <w:t xml:space="preserve"> countries added to the ‘information exchange countries’, with the date of effect 1 January 2022. The 6 countries added were</w:t>
      </w:r>
      <w:r w:rsidR="00472210">
        <w:t xml:space="preserve"> </w:t>
      </w:r>
      <w:r w:rsidR="00472210" w:rsidRPr="008B22C9">
        <w:t>Armenia, Cabo Verde, Kenya, Mongolia, Montenegro and Oman</w:t>
      </w:r>
      <w:r w:rsidRPr="008B22C9">
        <w:t xml:space="preserve">. </w:t>
      </w:r>
    </w:p>
    <w:p w14:paraId="04FE5FD1" w14:textId="77777777" w:rsidR="00472210" w:rsidRDefault="00472210" w:rsidP="008B22C9">
      <w:pPr>
        <w:spacing w:after="0" w:line="240" w:lineRule="auto"/>
      </w:pPr>
    </w:p>
    <w:p w14:paraId="388F4DB5" w14:textId="6E3AD2A4" w:rsidR="004A6F71" w:rsidRDefault="004A6F71" w:rsidP="00857AA9">
      <w:pPr>
        <w:spacing w:after="0" w:line="240" w:lineRule="auto"/>
      </w:pPr>
      <w:r w:rsidRPr="008B22C9">
        <w:t xml:space="preserve">A fund payment made on or after 1 July 2021 to a recipient with an address or place of payment in one of these </w:t>
      </w:r>
      <w:r w:rsidR="00472210">
        <w:t>6</w:t>
      </w:r>
      <w:r w:rsidRPr="008B22C9">
        <w:t xml:space="preserve"> countries will be subject to a withholding tax of 15% instead of 30%. For a full list of information exchange countries refer to section 34 of the </w:t>
      </w:r>
      <w:r w:rsidRPr="008B22C9">
        <w:rPr>
          <w:i/>
          <w:iCs/>
        </w:rPr>
        <w:t>Taxation Administration Regulations 2017</w:t>
      </w:r>
      <w:r w:rsidRPr="008B22C9">
        <w:t>.</w:t>
      </w:r>
    </w:p>
    <w:p w14:paraId="56B7C317" w14:textId="77777777" w:rsidR="0023051C" w:rsidRPr="00002E62" w:rsidRDefault="0023051C" w:rsidP="00B94A3A">
      <w:pPr>
        <w:spacing w:after="0" w:line="240" w:lineRule="auto"/>
      </w:pPr>
    </w:p>
    <w:p w14:paraId="6CA4EA33" w14:textId="77777777" w:rsidR="004A6F71" w:rsidRDefault="004A6F71" w:rsidP="00857AA9">
      <w:pPr>
        <w:spacing w:after="0" w:line="240" w:lineRule="auto"/>
        <w:rPr>
          <w:color w:val="000000"/>
        </w:rPr>
      </w:pPr>
      <w:r w:rsidRPr="0003159D">
        <w:rPr>
          <w:color w:val="000000"/>
        </w:rPr>
        <w:t>Payments (including deemed payments) received by a foreign resident that are subject to withholding tax are non-assessable non-exempt income for income tax purposes.</w:t>
      </w:r>
      <w:r>
        <w:rPr>
          <w:color w:val="000000"/>
        </w:rPr>
        <w:t xml:space="preserve"> For further information go to </w:t>
      </w:r>
      <w:hyperlink r:id="rId19" w:history="1">
        <w:r w:rsidRPr="006B5C69">
          <w:rPr>
            <w:rStyle w:val="Hyperlink"/>
          </w:rPr>
          <w:t>Withholding on fund payments for MITs | Australian Taxation Office</w:t>
        </w:r>
      </w:hyperlink>
      <w:r>
        <w:rPr>
          <w:rStyle w:val="Hyperlink"/>
        </w:rPr>
        <w:t xml:space="preserve"> </w:t>
      </w:r>
      <w:r w:rsidRPr="000A61E4">
        <w:rPr>
          <w:rStyle w:val="Hyperlink"/>
        </w:rPr>
        <w:t>(ato.gov.au)</w:t>
      </w:r>
      <w:r>
        <w:rPr>
          <w:rStyle w:val="Hyperlink"/>
        </w:rPr>
        <w:t>.</w:t>
      </w:r>
    </w:p>
    <w:p w14:paraId="163FE2EF" w14:textId="46B4B1B5" w:rsidR="008A5968" w:rsidRDefault="008A5968" w:rsidP="004A6F71">
      <w:pPr>
        <w:pStyle w:val="Heading3"/>
      </w:pPr>
      <w:bookmarkStart w:id="37" w:name="_Toc232191291"/>
      <w:r>
        <w:t>Build To Rent</w:t>
      </w:r>
      <w:bookmarkEnd w:id="37"/>
    </w:p>
    <w:p w14:paraId="55CEC18C" w14:textId="2FFA554A" w:rsidR="008A5968" w:rsidRPr="0023051C" w:rsidRDefault="008A5968" w:rsidP="008A5968">
      <w:pPr>
        <w:spacing w:after="0" w:line="240" w:lineRule="auto"/>
        <w:rPr>
          <w:rFonts w:cs="Arial"/>
        </w:rPr>
      </w:pPr>
      <w:r w:rsidRPr="0023051C">
        <w:rPr>
          <w:rFonts w:cs="Arial"/>
        </w:rPr>
        <w:t xml:space="preserve">A Build to Rent (BTR) entity is a single entity that owns, a large-scale, purpose-built residential development specifically for long-term rental, as defined under Section 43-152 of the </w:t>
      </w:r>
      <w:r w:rsidR="00920183" w:rsidRPr="0023051C">
        <w:rPr>
          <w:rFonts w:cs="Arial"/>
        </w:rPr>
        <w:t>ITAA 1997</w:t>
      </w:r>
      <w:r w:rsidRPr="0023051C">
        <w:rPr>
          <w:rFonts w:cs="Arial"/>
        </w:rPr>
        <w:t>.</w:t>
      </w:r>
    </w:p>
    <w:p w14:paraId="56A21571" w14:textId="77777777" w:rsidR="008A5968" w:rsidRPr="0023051C" w:rsidRDefault="008A5968" w:rsidP="008A5968">
      <w:pPr>
        <w:spacing w:after="0" w:line="240" w:lineRule="auto"/>
        <w:rPr>
          <w:rFonts w:cs="Arial"/>
        </w:rPr>
      </w:pPr>
    </w:p>
    <w:p w14:paraId="76031B4D" w14:textId="12EAEA24" w:rsidR="008A5968" w:rsidRPr="0023051C" w:rsidRDefault="008A5968" w:rsidP="00857AA9">
      <w:pPr>
        <w:spacing w:after="0" w:line="240" w:lineRule="auto"/>
        <w:rPr>
          <w:rFonts w:cs="Arial"/>
        </w:rPr>
      </w:pPr>
      <w:r w:rsidRPr="0023051C">
        <w:rPr>
          <w:rFonts w:cs="Arial"/>
        </w:rPr>
        <w:t xml:space="preserve">The BTR development tax incentives give owners </w:t>
      </w:r>
      <w:r w:rsidR="00877D1A" w:rsidRPr="0023051C">
        <w:rPr>
          <w:rFonts w:cs="Arial"/>
        </w:rPr>
        <w:t xml:space="preserve">or </w:t>
      </w:r>
      <w:r w:rsidRPr="0023051C">
        <w:rPr>
          <w:rFonts w:cs="Arial"/>
        </w:rPr>
        <w:t>investors in eligible BTR developments access to:</w:t>
      </w:r>
    </w:p>
    <w:p w14:paraId="703B3E20" w14:textId="77777777" w:rsidR="008A5968" w:rsidRPr="0023051C" w:rsidRDefault="008A5968" w:rsidP="0023051C">
      <w:pPr>
        <w:pStyle w:val="Bullet1"/>
        <w:numPr>
          <w:ilvl w:val="0"/>
          <w:numId w:val="32"/>
        </w:numPr>
        <w:rPr>
          <w:rFonts w:asciiTheme="minorHAnsi" w:hAnsiTheme="minorHAnsi" w:cs="Arial"/>
          <w:sz w:val="20"/>
          <w:szCs w:val="20"/>
        </w:rPr>
      </w:pPr>
      <w:r w:rsidRPr="0023051C">
        <w:rPr>
          <w:rFonts w:asciiTheme="minorHAnsi" w:hAnsiTheme="minorHAnsi" w:cs="Arial"/>
          <w:sz w:val="20"/>
          <w:szCs w:val="20"/>
        </w:rPr>
        <w:t>an accelerated deduction of 4% for capital works relating to BTR developments</w:t>
      </w:r>
    </w:p>
    <w:p w14:paraId="3A697911" w14:textId="395555C1" w:rsidR="00857AA9" w:rsidRDefault="008A5968" w:rsidP="00857AA9">
      <w:pPr>
        <w:pStyle w:val="Bullet1"/>
        <w:numPr>
          <w:ilvl w:val="0"/>
          <w:numId w:val="32"/>
        </w:numPr>
        <w:spacing w:before="0" w:after="0"/>
        <w:ind w:left="714" w:hanging="357"/>
        <w:rPr>
          <w:rFonts w:asciiTheme="minorHAnsi" w:hAnsiTheme="minorHAnsi" w:cs="Arial"/>
          <w:sz w:val="20"/>
          <w:szCs w:val="20"/>
        </w:rPr>
      </w:pPr>
      <w:r w:rsidRPr="0023051C">
        <w:rPr>
          <w:rFonts w:asciiTheme="minorHAnsi" w:hAnsiTheme="minorHAnsi" w:cs="Arial"/>
          <w:sz w:val="20"/>
          <w:szCs w:val="20"/>
        </w:rPr>
        <w:t>a concessional final withholding tax rate of 15% on eligible fund payments (amounts referrable to rental income and capital gains from the BTR development).</w:t>
      </w:r>
    </w:p>
    <w:p w14:paraId="001DD5F5" w14:textId="77777777" w:rsidR="00857AA9" w:rsidRPr="00857AA9" w:rsidRDefault="00857AA9" w:rsidP="00857AA9">
      <w:pPr>
        <w:pStyle w:val="Bullet1"/>
        <w:spacing w:before="0" w:after="0"/>
        <w:ind w:left="714"/>
        <w:rPr>
          <w:rFonts w:asciiTheme="minorHAnsi" w:hAnsiTheme="minorHAnsi" w:cs="Arial"/>
          <w:sz w:val="20"/>
          <w:szCs w:val="20"/>
        </w:rPr>
      </w:pPr>
    </w:p>
    <w:p w14:paraId="2D91377F" w14:textId="47A72071" w:rsidR="008A5968" w:rsidRPr="0023051C" w:rsidRDefault="008A5968" w:rsidP="008A5968">
      <w:pPr>
        <w:spacing w:after="0" w:line="240" w:lineRule="auto"/>
        <w:rPr>
          <w:rFonts w:cs="Arial"/>
        </w:rPr>
      </w:pPr>
      <w:r w:rsidRPr="0023051C">
        <w:rPr>
          <w:rFonts w:cs="Arial"/>
        </w:rPr>
        <w:t xml:space="preserve">For a development to access the incentives, the owner must first notify </w:t>
      </w:r>
      <w:r w:rsidR="00A8322E" w:rsidRPr="0023051C">
        <w:rPr>
          <w:rFonts w:cs="Arial"/>
        </w:rPr>
        <w:t>the ATO</w:t>
      </w:r>
      <w:r w:rsidR="00920183" w:rsidRPr="0023051C">
        <w:rPr>
          <w:rFonts w:cs="Arial"/>
        </w:rPr>
        <w:t xml:space="preserve"> of </w:t>
      </w:r>
      <w:r w:rsidRPr="0023051C">
        <w:rPr>
          <w:rFonts w:cs="Arial"/>
        </w:rPr>
        <w:t xml:space="preserve">their choice to opt in to the incentives by lodging the required approved form. </w:t>
      </w:r>
    </w:p>
    <w:p w14:paraId="2B70438F" w14:textId="77777777" w:rsidR="00857AA9" w:rsidRDefault="00857AA9" w:rsidP="008A5968">
      <w:pPr>
        <w:spacing w:after="0" w:line="240" w:lineRule="auto"/>
        <w:rPr>
          <w:rFonts w:cs="Arial"/>
        </w:rPr>
      </w:pPr>
    </w:p>
    <w:p w14:paraId="370ABBEF" w14:textId="4E123461" w:rsidR="008A5968" w:rsidRPr="0023051C" w:rsidRDefault="008A5968" w:rsidP="008A5968">
      <w:pPr>
        <w:spacing w:after="0" w:line="240" w:lineRule="auto"/>
        <w:rPr>
          <w:rFonts w:cs="Arial"/>
        </w:rPr>
      </w:pPr>
      <w:r w:rsidRPr="0023051C">
        <w:rPr>
          <w:rFonts w:cs="Arial"/>
        </w:rPr>
        <w:t xml:space="preserve">To maintain access to the incentives, the </w:t>
      </w:r>
      <w:r w:rsidR="00524998" w:rsidRPr="0023051C">
        <w:rPr>
          <w:rFonts w:cs="Arial"/>
        </w:rPr>
        <w:t xml:space="preserve">BTR </w:t>
      </w:r>
      <w:r w:rsidRPr="0023051C">
        <w:rPr>
          <w:rFonts w:cs="Arial"/>
        </w:rPr>
        <w:t xml:space="preserve">development must continue to meet ongoing eligibility criteria, or if failing the criteria, have the Commissioner exercise their discretion </w:t>
      </w:r>
      <w:r w:rsidRPr="0023051C" w:rsidDel="00524998">
        <w:rPr>
          <w:rFonts w:cs="Arial"/>
        </w:rPr>
        <w:t xml:space="preserve">to </w:t>
      </w:r>
      <w:r w:rsidRPr="0023051C">
        <w:rPr>
          <w:rFonts w:cs="Arial"/>
        </w:rPr>
        <w:t>reinstate</w:t>
      </w:r>
      <w:r w:rsidRPr="0023051C" w:rsidDel="00920183">
        <w:rPr>
          <w:rFonts w:cs="Arial"/>
        </w:rPr>
        <w:t xml:space="preserve"> </w:t>
      </w:r>
      <w:r w:rsidRPr="0023051C">
        <w:rPr>
          <w:rFonts w:cs="Arial"/>
        </w:rPr>
        <w:t>access</w:t>
      </w:r>
      <w:r w:rsidR="00920183" w:rsidRPr="0023051C">
        <w:rPr>
          <w:rFonts w:cs="Arial"/>
        </w:rPr>
        <w:t xml:space="preserve"> to the BTR development tax incentives</w:t>
      </w:r>
      <w:r w:rsidRPr="0023051C">
        <w:rPr>
          <w:rFonts w:cs="Arial"/>
        </w:rPr>
        <w:t>.</w:t>
      </w:r>
    </w:p>
    <w:p w14:paraId="0DB99161" w14:textId="75609BA4" w:rsidR="004A6F71" w:rsidRPr="00B35C0A" w:rsidRDefault="004A6F71" w:rsidP="004A6F71">
      <w:pPr>
        <w:pStyle w:val="Heading3"/>
      </w:pPr>
      <w:bookmarkStart w:id="38" w:name="_Toc232191292"/>
      <w:r>
        <w:t>Australian business numbers</w:t>
      </w:r>
      <w:bookmarkEnd w:id="38"/>
    </w:p>
    <w:p w14:paraId="230AEA9E" w14:textId="597B3A4B" w:rsidR="004A6F71" w:rsidRDefault="004A6F71" w:rsidP="008B22C9">
      <w:pPr>
        <w:spacing w:after="0" w:line="240" w:lineRule="auto"/>
        <w:rPr>
          <w:rFonts w:cs="Arial"/>
        </w:rPr>
      </w:pPr>
      <w:r w:rsidRPr="00B35C0A">
        <w:rPr>
          <w:rFonts w:cs="Arial"/>
        </w:rPr>
        <w:t xml:space="preserve">Under </w:t>
      </w:r>
      <w:r w:rsidRPr="00B35C0A">
        <w:rPr>
          <w:rFonts w:cs="Arial"/>
          <w:noProof/>
        </w:rPr>
        <w:t>section 23 of Division 9</w:t>
      </w:r>
      <w:r w:rsidRPr="00B35C0A">
        <w:rPr>
          <w:rFonts w:cs="Arial"/>
        </w:rPr>
        <w:t xml:space="preserve"> of </w:t>
      </w:r>
      <w:r w:rsidRPr="00B35C0A">
        <w:rPr>
          <w:rStyle w:val="Italic"/>
          <w:rFonts w:cs="Arial"/>
        </w:rPr>
        <w:t>A New Tax System (Australian Business Number) Act 1999</w:t>
      </w:r>
      <w:r w:rsidRPr="00B35C0A">
        <w:rPr>
          <w:rFonts w:cs="Arial"/>
        </w:rPr>
        <w:t>, it is an offence to:</w:t>
      </w:r>
    </w:p>
    <w:p w14:paraId="677839B8" w14:textId="77777777" w:rsidR="008B22C9" w:rsidRPr="00B35C0A" w:rsidRDefault="008B22C9" w:rsidP="00F4606C">
      <w:pPr>
        <w:spacing w:after="0" w:line="240" w:lineRule="auto"/>
        <w:rPr>
          <w:rFonts w:cs="Arial"/>
        </w:rPr>
      </w:pPr>
    </w:p>
    <w:p w14:paraId="74D76199" w14:textId="77777777" w:rsidR="004A6F71" w:rsidRPr="00F4606C" w:rsidRDefault="004A6F71" w:rsidP="001601AF">
      <w:pPr>
        <w:pStyle w:val="Bullet1"/>
        <w:numPr>
          <w:ilvl w:val="0"/>
          <w:numId w:val="32"/>
        </w:numPr>
        <w:rPr>
          <w:rFonts w:asciiTheme="minorHAnsi" w:hAnsiTheme="minorHAnsi" w:cs="Arial"/>
          <w:sz w:val="20"/>
          <w:szCs w:val="20"/>
        </w:rPr>
      </w:pPr>
      <w:r w:rsidRPr="00F4606C">
        <w:rPr>
          <w:rFonts w:asciiTheme="minorHAnsi" w:hAnsiTheme="minorHAnsi" w:cs="Arial"/>
          <w:sz w:val="20"/>
          <w:szCs w:val="20"/>
        </w:rPr>
        <w:t>identify yourself or an associated entity using a number that is not an ABN as if it were an ABN</w:t>
      </w:r>
    </w:p>
    <w:p w14:paraId="05C81F40" w14:textId="77777777" w:rsidR="004A6F71" w:rsidRPr="00F4606C" w:rsidRDefault="004A6F71" w:rsidP="001601AF">
      <w:pPr>
        <w:pStyle w:val="Bullet1"/>
        <w:numPr>
          <w:ilvl w:val="0"/>
          <w:numId w:val="32"/>
        </w:numPr>
        <w:rPr>
          <w:rFonts w:asciiTheme="minorHAnsi" w:hAnsiTheme="minorHAnsi" w:cs="Arial"/>
          <w:sz w:val="20"/>
          <w:szCs w:val="20"/>
        </w:rPr>
      </w:pPr>
      <w:r w:rsidRPr="00F4606C">
        <w:rPr>
          <w:rFonts w:asciiTheme="minorHAnsi" w:hAnsiTheme="minorHAnsi" w:cs="Arial"/>
          <w:sz w:val="20"/>
          <w:szCs w:val="20"/>
        </w:rPr>
        <w:t>use an ABN that is not your own or an associated entity's own ABN.</w:t>
      </w:r>
    </w:p>
    <w:p w14:paraId="696386AE" w14:textId="77777777" w:rsidR="004A6F71" w:rsidRPr="00B35C0A" w:rsidRDefault="004A6F71" w:rsidP="004A6F71">
      <w:pPr>
        <w:pStyle w:val="Bullet1"/>
        <w:ind w:left="720"/>
        <w:rPr>
          <w:rFonts w:cs="Arial"/>
        </w:rPr>
      </w:pPr>
    </w:p>
    <w:p w14:paraId="2A32B667" w14:textId="77777777" w:rsidR="004A6F71" w:rsidRPr="00F4606C" w:rsidRDefault="004A6F71" w:rsidP="004A6F71">
      <w:pPr>
        <w:pStyle w:val="Bullet1"/>
        <w:rPr>
          <w:rFonts w:asciiTheme="minorHAnsi" w:hAnsiTheme="minorHAnsi" w:cs="Arial"/>
          <w:sz w:val="20"/>
          <w:szCs w:val="20"/>
        </w:rPr>
      </w:pPr>
      <w:r w:rsidRPr="00F4606C">
        <w:rPr>
          <w:rFonts w:asciiTheme="minorHAnsi" w:hAnsiTheme="minorHAnsi" w:cs="Arial"/>
          <w:sz w:val="20"/>
          <w:szCs w:val="20"/>
        </w:rPr>
        <w:t xml:space="preserve">ABNs are reported at the </w:t>
      </w:r>
      <w:r w:rsidRPr="00F4606C">
        <w:rPr>
          <w:rFonts w:asciiTheme="minorHAnsi" w:hAnsiTheme="minorHAnsi" w:cs="Arial"/>
          <w:i/>
          <w:sz w:val="20"/>
          <w:szCs w:val="20"/>
        </w:rPr>
        <w:t>Supplier Australian business number</w:t>
      </w:r>
      <w:r w:rsidRPr="00F4606C">
        <w:rPr>
          <w:rFonts w:asciiTheme="minorHAnsi" w:hAnsiTheme="minorHAnsi" w:cs="Arial"/>
          <w:sz w:val="20"/>
          <w:szCs w:val="20"/>
        </w:rPr>
        <w:t xml:space="preserve"> (9.3), </w:t>
      </w:r>
      <w:r w:rsidRPr="00F4606C">
        <w:rPr>
          <w:rFonts w:asciiTheme="minorHAnsi" w:hAnsiTheme="minorHAnsi" w:cs="Arial"/>
          <w:i/>
          <w:sz w:val="20"/>
          <w:szCs w:val="20"/>
        </w:rPr>
        <w:t>Investment body Australian business number (ABN) or withholding payer number (WPN)</w:t>
      </w:r>
      <w:r w:rsidRPr="00F4606C">
        <w:rPr>
          <w:rFonts w:asciiTheme="minorHAnsi" w:hAnsiTheme="minorHAnsi" w:cs="Arial"/>
          <w:sz w:val="20"/>
          <w:szCs w:val="20"/>
        </w:rPr>
        <w:t xml:space="preserve"> (9.31) and </w:t>
      </w:r>
      <w:r w:rsidRPr="00F4606C">
        <w:rPr>
          <w:rFonts w:asciiTheme="minorHAnsi" w:hAnsiTheme="minorHAnsi" w:cs="Arial"/>
          <w:i/>
          <w:sz w:val="20"/>
          <w:szCs w:val="20"/>
        </w:rPr>
        <w:t>Investor Australian business number</w:t>
      </w:r>
      <w:r w:rsidRPr="00F4606C">
        <w:rPr>
          <w:rFonts w:asciiTheme="minorHAnsi" w:hAnsiTheme="minorHAnsi" w:cs="Arial"/>
          <w:sz w:val="20"/>
          <w:szCs w:val="20"/>
        </w:rPr>
        <w:t xml:space="preserve"> (9.194) fields.</w:t>
      </w:r>
    </w:p>
    <w:p w14:paraId="768C4430" w14:textId="77777777" w:rsidR="004A6F71" w:rsidRPr="00B35C0A" w:rsidRDefault="004A6F71" w:rsidP="004A6F71">
      <w:pPr>
        <w:pStyle w:val="Heading3"/>
      </w:pPr>
      <w:bookmarkStart w:id="39" w:name="_Toc5192652"/>
      <w:bookmarkStart w:id="40" w:name="_Toc232191293"/>
      <w:r>
        <w:t>Withholding payer numbers</w:t>
      </w:r>
      <w:bookmarkEnd w:id="39"/>
      <w:bookmarkEnd w:id="40"/>
      <w:r>
        <w:t xml:space="preserve"> </w:t>
      </w:r>
    </w:p>
    <w:p w14:paraId="7E20DD2B"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 xml:space="preserve">If an investment body does not have an ABN, they must provide a WPN instead as their identifier at the </w:t>
      </w:r>
      <w:r w:rsidRPr="00F4606C">
        <w:rPr>
          <w:rFonts w:asciiTheme="minorHAnsi" w:hAnsiTheme="minorHAnsi" w:cs="Arial"/>
          <w:i/>
          <w:sz w:val="20"/>
          <w:szCs w:val="20"/>
        </w:rPr>
        <w:t>Investment body Australian business number</w:t>
      </w:r>
      <w:r w:rsidRPr="00F4606C">
        <w:rPr>
          <w:rFonts w:asciiTheme="minorHAnsi" w:hAnsiTheme="minorHAnsi" w:cs="Arial"/>
          <w:sz w:val="20"/>
          <w:szCs w:val="20"/>
        </w:rPr>
        <w:t xml:space="preserve"> </w:t>
      </w:r>
      <w:r w:rsidRPr="00F4606C">
        <w:rPr>
          <w:rFonts w:asciiTheme="minorHAnsi" w:hAnsiTheme="minorHAnsi" w:cs="Arial"/>
          <w:i/>
          <w:sz w:val="20"/>
          <w:szCs w:val="20"/>
        </w:rPr>
        <w:t>or withholding payer number</w:t>
      </w:r>
      <w:r w:rsidRPr="00F4606C">
        <w:rPr>
          <w:rFonts w:asciiTheme="minorHAnsi" w:hAnsiTheme="minorHAnsi" w:cs="Arial"/>
          <w:sz w:val="20"/>
          <w:szCs w:val="20"/>
        </w:rPr>
        <w:t xml:space="preserve"> (9.31) field. Suppliers require an ABN to lodge the AIIR.  </w:t>
      </w:r>
    </w:p>
    <w:p w14:paraId="4DD1C503" w14:textId="77777777" w:rsidR="004A6F71" w:rsidRPr="00B35C0A" w:rsidRDefault="004A6F71" w:rsidP="004A6F71">
      <w:pPr>
        <w:pStyle w:val="Heading3"/>
      </w:pPr>
      <w:bookmarkStart w:id="41" w:name="_Toc350434601"/>
      <w:bookmarkStart w:id="42" w:name="_Toc351374895"/>
      <w:bookmarkStart w:id="43" w:name="_Toc5192653"/>
      <w:bookmarkStart w:id="44" w:name="_Toc232191294"/>
      <w:r w:rsidRPr="00B35C0A">
        <w:t>Consolidated reporting</w:t>
      </w:r>
      <w:bookmarkEnd w:id="41"/>
      <w:bookmarkEnd w:id="42"/>
      <w:bookmarkEnd w:id="43"/>
      <w:bookmarkEnd w:id="44"/>
    </w:p>
    <w:p w14:paraId="037FF0D1" w14:textId="77777777" w:rsidR="004A6F71" w:rsidRPr="00D75A7E" w:rsidRDefault="004A6F71" w:rsidP="00857AA9">
      <w:pPr>
        <w:spacing w:after="0" w:line="240" w:lineRule="auto"/>
        <w:rPr>
          <w:rFonts w:cs="Arial"/>
        </w:rPr>
      </w:pPr>
      <w:r w:rsidRPr="00D75A7E">
        <w:rPr>
          <w:rFonts w:cs="Arial"/>
        </w:rPr>
        <w:t>Investment bodies that offer units in a range of trusts are required to report income from these trusts in their AIIR in exactly the same format as they report this information to their investors. The information reported in the AIIR must be in the same format as the tax statements to facilitate the pre-filling of income tax returns.</w:t>
      </w:r>
    </w:p>
    <w:p w14:paraId="5E46248B" w14:textId="77777777" w:rsidR="004A6F71" w:rsidRPr="00D75A7E" w:rsidRDefault="004A6F71" w:rsidP="004A6F71">
      <w:pPr>
        <w:rPr>
          <w:rFonts w:cs="Arial"/>
        </w:rPr>
      </w:pPr>
    </w:p>
    <w:p w14:paraId="43F4BF30" w14:textId="77777777" w:rsidR="004A6F71" w:rsidRPr="00D75A7E" w:rsidRDefault="004A6F71" w:rsidP="004A6F71">
      <w:pPr>
        <w:rPr>
          <w:rFonts w:cs="Arial"/>
        </w:rPr>
      </w:pPr>
      <w:r w:rsidRPr="00D75A7E">
        <w:rPr>
          <w:rFonts w:cs="Arial"/>
        </w:rPr>
        <w:t xml:space="preserve">If the trusts have separate identifiers, they are regarded as separate reporting entities and should lodge a separate AIIR and matching tax statements to their investors. However, one consolidated AIIR may be lodged if </w:t>
      </w:r>
      <w:r w:rsidRPr="00D75A7E">
        <w:rPr>
          <w:rFonts w:cs="Arial"/>
          <w:b/>
        </w:rPr>
        <w:t>all</w:t>
      </w:r>
      <w:r w:rsidRPr="00D75A7E">
        <w:rPr>
          <w:rFonts w:cs="Arial"/>
        </w:rPr>
        <w:t xml:space="preserve"> of the conditions below are met and approval is granted by us</w:t>
      </w:r>
      <w:r>
        <w:rPr>
          <w:rFonts w:cs="Arial"/>
        </w:rPr>
        <w:t>:</w:t>
      </w:r>
    </w:p>
    <w:p w14:paraId="1F577459" w14:textId="77777777" w:rsidR="004A6F71" w:rsidRPr="00F4606C" w:rsidRDefault="004A6F71" w:rsidP="001601AF">
      <w:pPr>
        <w:pStyle w:val="Bullet1"/>
        <w:numPr>
          <w:ilvl w:val="0"/>
          <w:numId w:val="33"/>
        </w:numPr>
        <w:rPr>
          <w:rFonts w:asciiTheme="minorHAnsi" w:hAnsiTheme="minorHAnsi" w:cs="Arial"/>
          <w:sz w:val="20"/>
          <w:szCs w:val="20"/>
        </w:rPr>
      </w:pPr>
      <w:r w:rsidRPr="00F4606C">
        <w:rPr>
          <w:rFonts w:asciiTheme="minorHAnsi" w:hAnsiTheme="minorHAnsi" w:cs="Arial"/>
          <w:sz w:val="20"/>
          <w:szCs w:val="20"/>
        </w:rPr>
        <w:t xml:space="preserve">a responsible entity is the manager of the trust or trusts </w:t>
      </w:r>
    </w:p>
    <w:p w14:paraId="791740FC" w14:textId="77777777" w:rsidR="004A6F71" w:rsidRPr="00F4606C" w:rsidRDefault="004A6F71" w:rsidP="001601AF">
      <w:pPr>
        <w:pStyle w:val="Bullet1"/>
        <w:numPr>
          <w:ilvl w:val="0"/>
          <w:numId w:val="33"/>
        </w:numPr>
        <w:rPr>
          <w:rFonts w:asciiTheme="minorHAnsi" w:hAnsiTheme="minorHAnsi" w:cs="Arial"/>
          <w:sz w:val="20"/>
          <w:szCs w:val="20"/>
        </w:rPr>
      </w:pPr>
      <w:r w:rsidRPr="00F4606C">
        <w:rPr>
          <w:rFonts w:asciiTheme="minorHAnsi" w:hAnsiTheme="minorHAnsi" w:cs="Arial"/>
          <w:sz w:val="20"/>
          <w:szCs w:val="20"/>
        </w:rPr>
        <w:t xml:space="preserve">the trusts do not have their own identifiers (ABN) </w:t>
      </w:r>
    </w:p>
    <w:p w14:paraId="0C250EC4" w14:textId="77777777" w:rsidR="004A6F71" w:rsidRPr="00F4606C" w:rsidRDefault="004A6F71" w:rsidP="001601AF">
      <w:pPr>
        <w:pStyle w:val="Bullet1"/>
        <w:numPr>
          <w:ilvl w:val="0"/>
          <w:numId w:val="33"/>
        </w:numPr>
        <w:rPr>
          <w:rFonts w:asciiTheme="minorHAnsi" w:hAnsiTheme="minorHAnsi" w:cs="Arial"/>
          <w:sz w:val="20"/>
          <w:szCs w:val="20"/>
        </w:rPr>
      </w:pPr>
      <w:r w:rsidRPr="00F4606C">
        <w:rPr>
          <w:rFonts w:asciiTheme="minorHAnsi" w:hAnsiTheme="minorHAnsi" w:cs="Arial"/>
          <w:sz w:val="20"/>
          <w:szCs w:val="20"/>
        </w:rPr>
        <w:t xml:space="preserve">the trusts do not have to lodge income tax returns </w:t>
      </w:r>
    </w:p>
    <w:p w14:paraId="115DCC4C" w14:textId="5466D961" w:rsidR="004A6F71" w:rsidRPr="0078754A" w:rsidRDefault="004A6F71" w:rsidP="00F94DFB">
      <w:pPr>
        <w:pStyle w:val="Bullet1"/>
        <w:numPr>
          <w:ilvl w:val="0"/>
          <w:numId w:val="33"/>
        </w:numPr>
        <w:rPr>
          <w:rFonts w:asciiTheme="minorHAnsi" w:hAnsiTheme="minorHAnsi" w:cs="Arial"/>
          <w:sz w:val="20"/>
          <w:szCs w:val="20"/>
        </w:rPr>
      </w:pPr>
      <w:r w:rsidRPr="0078754A">
        <w:rPr>
          <w:rFonts w:asciiTheme="minorHAnsi" w:hAnsiTheme="minorHAnsi" w:cs="Arial"/>
          <w:sz w:val="20"/>
          <w:szCs w:val="20"/>
        </w:rPr>
        <w:t>income from the trusts will be reported in the consolidated AIIR in the same format as it is reported to the investors in their tax statement.</w:t>
      </w:r>
    </w:p>
    <w:p w14:paraId="56732FF0" w14:textId="77777777" w:rsidR="004A6F71" w:rsidRPr="00F4606C" w:rsidRDefault="004A6F71" w:rsidP="004A6F71">
      <w:pPr>
        <w:pStyle w:val="Maintext"/>
        <w:spacing w:before="120"/>
        <w:rPr>
          <w:rFonts w:asciiTheme="minorHAnsi" w:hAnsiTheme="minorHAnsi" w:cs="Arial"/>
          <w:noProof/>
          <w:sz w:val="20"/>
          <w:szCs w:val="20"/>
        </w:rPr>
      </w:pPr>
      <w:r w:rsidRPr="00F4606C">
        <w:rPr>
          <w:rFonts w:asciiTheme="minorHAnsi" w:hAnsiTheme="minorHAnsi" w:cs="Arial"/>
          <w:sz w:val="20"/>
          <w:szCs w:val="20"/>
        </w:rPr>
        <w:t xml:space="preserve">Some intermediaries satisfy these requirements. Requests to lodge a consolidated AIIR should be emailed to </w:t>
      </w:r>
      <w:hyperlink r:id="rId20" w:history="1">
        <w:r w:rsidRPr="00EB0A63">
          <w:rPr>
            <w:rStyle w:val="Hyperlink"/>
            <w:rFonts w:asciiTheme="minorHAnsi" w:hAnsiTheme="minorHAnsi" w:cs="Arial"/>
            <w:szCs w:val="20"/>
          </w:rPr>
          <w:t>ato-dmi@ato.gov.au</w:t>
        </w:r>
      </w:hyperlink>
    </w:p>
    <w:p w14:paraId="1C02EA19" w14:textId="77777777" w:rsidR="004A6F71" w:rsidRPr="00B35C0A" w:rsidRDefault="004A6F71" w:rsidP="004A6F71">
      <w:pPr>
        <w:pStyle w:val="Heading3"/>
      </w:pPr>
      <w:bookmarkStart w:id="45" w:name="_Toc5192654"/>
      <w:bookmarkStart w:id="46" w:name="_Toc232191295"/>
      <w:r w:rsidRPr="00B35C0A">
        <w:t>Mergers</w:t>
      </w:r>
      <w:bookmarkEnd w:id="45"/>
      <w:bookmarkEnd w:id="46"/>
    </w:p>
    <w:p w14:paraId="36DB87BE"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When two investment bodies merge during the course of a financial year, but not on 1 July of that year, the two entities must each report an AIIR for the year in which the merger occurred.</w:t>
      </w:r>
    </w:p>
    <w:p w14:paraId="1EF34284" w14:textId="77777777" w:rsidR="004A6F71" w:rsidRPr="00F4606C" w:rsidRDefault="004A6F71" w:rsidP="004A6F71">
      <w:pPr>
        <w:pStyle w:val="Maintext"/>
        <w:rPr>
          <w:rFonts w:asciiTheme="minorHAnsi" w:hAnsiTheme="minorHAnsi" w:cs="Arial"/>
          <w:sz w:val="20"/>
          <w:szCs w:val="20"/>
        </w:rPr>
      </w:pPr>
    </w:p>
    <w:p w14:paraId="754B8828"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If the merge occurs on 1 July both entities report for the year before the merge. One entity will advise they have no future obligations and the other will continue to report annually.</w:t>
      </w:r>
    </w:p>
    <w:p w14:paraId="6DB36E4D" w14:textId="77777777" w:rsidR="004A6F71" w:rsidRPr="00B35C0A" w:rsidRDefault="004A6F71" w:rsidP="004A6F71">
      <w:pPr>
        <w:pStyle w:val="Head4"/>
      </w:pPr>
      <w:bookmarkStart w:id="47" w:name="_Toc5192655"/>
      <w:bookmarkStart w:id="48" w:name="_Hlk71289814"/>
      <w:r w:rsidRPr="00B35C0A">
        <w:t>Example 2.1 – Merged before or after 1 July</w:t>
      </w:r>
      <w:bookmarkEnd w:id="47"/>
    </w:p>
    <w:bookmarkEnd w:id="48"/>
    <w:p w14:paraId="179B5EE9" w14:textId="5137D933" w:rsidR="004A6F71" w:rsidRPr="00F4606C" w:rsidRDefault="004A6F71" w:rsidP="00F4606C">
      <w:pPr>
        <w:pStyle w:val="Head4"/>
        <w:spacing w:before="0" w:after="0"/>
        <w:rPr>
          <w:rFonts w:asciiTheme="minorHAnsi" w:hAnsiTheme="minorHAnsi"/>
          <w:b w:val="0"/>
          <w:sz w:val="20"/>
          <w:szCs w:val="20"/>
        </w:rPr>
      </w:pPr>
      <w:r w:rsidRPr="00F4606C">
        <w:rPr>
          <w:rFonts w:asciiTheme="minorHAnsi" w:hAnsiTheme="minorHAnsi"/>
          <w:b w:val="0"/>
          <w:sz w:val="20"/>
          <w:szCs w:val="20"/>
        </w:rPr>
        <w:t>The Murbah Credit Union is taken over by the Montego Shire Credit Union on 10 October 202</w:t>
      </w:r>
      <w:r w:rsidR="001B687F">
        <w:rPr>
          <w:rFonts w:asciiTheme="minorHAnsi" w:hAnsiTheme="minorHAnsi"/>
          <w:b w:val="0"/>
          <w:sz w:val="20"/>
          <w:szCs w:val="20"/>
        </w:rPr>
        <w:t>5</w:t>
      </w:r>
      <w:r w:rsidRPr="00F4606C">
        <w:rPr>
          <w:rFonts w:asciiTheme="minorHAnsi" w:hAnsiTheme="minorHAnsi"/>
          <w:b w:val="0"/>
          <w:sz w:val="20"/>
          <w:szCs w:val="20"/>
        </w:rPr>
        <w:t xml:space="preserve">. </w:t>
      </w:r>
    </w:p>
    <w:p w14:paraId="3E94C984" w14:textId="77777777" w:rsidR="004A6F71" w:rsidRPr="00F4606C" w:rsidRDefault="004A6F71" w:rsidP="004A6F71">
      <w:pPr>
        <w:pStyle w:val="Maintext"/>
        <w:rPr>
          <w:rFonts w:asciiTheme="minorHAnsi" w:hAnsiTheme="minorHAnsi"/>
          <w:sz w:val="20"/>
          <w:szCs w:val="20"/>
        </w:rPr>
      </w:pPr>
      <w:bookmarkStart w:id="49" w:name="_Hlk72925632"/>
      <w:r w:rsidRPr="00F4606C">
        <w:rPr>
          <w:rFonts w:asciiTheme="minorHAnsi" w:hAnsiTheme="minorHAnsi" w:cs="Arial"/>
          <w:sz w:val="20"/>
          <w:szCs w:val="20"/>
        </w:rPr>
        <w:t>The obligation operates as follows:</w:t>
      </w:r>
    </w:p>
    <w:p w14:paraId="6D03A19F" w14:textId="77777777" w:rsidR="004A6F71" w:rsidRPr="00F4606C" w:rsidRDefault="004A6F71" w:rsidP="004A6F71">
      <w:pPr>
        <w:pStyle w:val="Maintext"/>
        <w:rPr>
          <w:rFonts w:asciiTheme="minorHAnsi" w:hAnsiTheme="minorHAnsi" w:cs="Arial"/>
          <w:sz w:val="20"/>
          <w:szCs w:val="20"/>
        </w:rPr>
      </w:pPr>
    </w:p>
    <w:tbl>
      <w:tblPr>
        <w:tblStyle w:val="TableGrid"/>
        <w:tblW w:w="10343" w:type="dxa"/>
        <w:tblLook w:val="04A0" w:firstRow="1" w:lastRow="0" w:firstColumn="1" w:lastColumn="0" w:noHBand="0" w:noVBand="1"/>
      </w:tblPr>
      <w:tblGrid>
        <w:gridCol w:w="1838"/>
        <w:gridCol w:w="3827"/>
        <w:gridCol w:w="2835"/>
        <w:gridCol w:w="1843"/>
      </w:tblGrid>
      <w:tr w:rsidR="004A6F71" w:rsidRPr="008B22C9" w14:paraId="60F0BAAB" w14:textId="77777777" w:rsidTr="00F94DFB">
        <w:trPr>
          <w:trHeight w:val="549"/>
          <w:tblHeader/>
        </w:trPr>
        <w:tc>
          <w:tcPr>
            <w:tcW w:w="1838" w:type="dxa"/>
            <w:shd w:val="clear" w:color="auto" w:fill="D9D9D9" w:themeFill="background1" w:themeFillShade="D9"/>
          </w:tcPr>
          <w:p w14:paraId="3F5C3457" w14:textId="77777777" w:rsidR="004A6F71" w:rsidRPr="008B22C9" w:rsidRDefault="004A6F71" w:rsidP="000C1365">
            <w:pPr>
              <w:jc w:val="both"/>
              <w:rPr>
                <w:rFonts w:cs="Arial"/>
                <w:b/>
                <w:bCs/>
                <w:sz w:val="20"/>
              </w:rPr>
            </w:pPr>
            <w:bookmarkStart w:id="50" w:name="_Hlk72926359"/>
            <w:r w:rsidRPr="008B22C9">
              <w:rPr>
                <w:rFonts w:cs="Arial"/>
                <w:b/>
                <w:bCs/>
                <w:sz w:val="20"/>
              </w:rPr>
              <w:t xml:space="preserve">Period </w:t>
            </w:r>
          </w:p>
        </w:tc>
        <w:tc>
          <w:tcPr>
            <w:tcW w:w="3827" w:type="dxa"/>
            <w:shd w:val="clear" w:color="auto" w:fill="D9D9D9" w:themeFill="background1" w:themeFillShade="D9"/>
          </w:tcPr>
          <w:p w14:paraId="4F50D6E1" w14:textId="77777777" w:rsidR="004A6F71" w:rsidRPr="008B22C9" w:rsidRDefault="004A6F71" w:rsidP="000C1365">
            <w:pPr>
              <w:jc w:val="both"/>
              <w:rPr>
                <w:rFonts w:cs="Arial"/>
                <w:sz w:val="20"/>
              </w:rPr>
            </w:pPr>
            <w:r w:rsidRPr="008B22C9">
              <w:rPr>
                <w:rFonts w:cs="Arial"/>
                <w:b/>
                <w:bCs/>
                <w:sz w:val="20"/>
              </w:rPr>
              <w:t>Murbah Credit Union</w:t>
            </w:r>
          </w:p>
        </w:tc>
        <w:tc>
          <w:tcPr>
            <w:tcW w:w="2835" w:type="dxa"/>
            <w:shd w:val="clear" w:color="auto" w:fill="D9D9D9" w:themeFill="background1" w:themeFillShade="D9"/>
          </w:tcPr>
          <w:p w14:paraId="6B505771" w14:textId="77777777" w:rsidR="004A6F71" w:rsidRPr="008B22C9" w:rsidRDefault="004A6F71" w:rsidP="00F4606C">
            <w:pPr>
              <w:rPr>
                <w:rFonts w:cs="Arial"/>
                <w:sz w:val="20"/>
              </w:rPr>
            </w:pPr>
            <w:r w:rsidRPr="008B22C9">
              <w:rPr>
                <w:rFonts w:cs="Arial"/>
                <w:b/>
                <w:bCs/>
                <w:sz w:val="20"/>
              </w:rPr>
              <w:t>Montego Shire Credit Union</w:t>
            </w:r>
          </w:p>
        </w:tc>
        <w:tc>
          <w:tcPr>
            <w:tcW w:w="1843" w:type="dxa"/>
            <w:shd w:val="clear" w:color="auto" w:fill="D9D9D9" w:themeFill="background1" w:themeFillShade="D9"/>
          </w:tcPr>
          <w:p w14:paraId="043784DD" w14:textId="77777777" w:rsidR="004A6F71" w:rsidRPr="008B22C9" w:rsidRDefault="004A6F71" w:rsidP="000C1365">
            <w:pPr>
              <w:jc w:val="both"/>
              <w:rPr>
                <w:rFonts w:cs="Arial"/>
                <w:b/>
                <w:bCs/>
                <w:sz w:val="20"/>
              </w:rPr>
            </w:pPr>
            <w:r w:rsidRPr="008B22C9">
              <w:rPr>
                <w:rFonts w:cs="Arial"/>
                <w:b/>
                <w:bCs/>
                <w:sz w:val="20"/>
              </w:rPr>
              <w:t xml:space="preserve">Due date </w:t>
            </w:r>
          </w:p>
        </w:tc>
      </w:tr>
      <w:tr w:rsidR="004A6F71" w:rsidRPr="008B22C9" w14:paraId="7FE99060" w14:textId="77777777" w:rsidTr="000C1365">
        <w:trPr>
          <w:trHeight w:val="1035"/>
        </w:trPr>
        <w:tc>
          <w:tcPr>
            <w:tcW w:w="1838" w:type="dxa"/>
          </w:tcPr>
          <w:p w14:paraId="432427E0" w14:textId="153A7957" w:rsidR="0078754A" w:rsidRDefault="004A6F71" w:rsidP="00F94DFB">
            <w:pPr>
              <w:spacing w:after="0" w:line="240" w:lineRule="auto"/>
              <w:rPr>
                <w:rFonts w:cs="Arial"/>
                <w:b/>
                <w:bCs/>
                <w:sz w:val="20"/>
              </w:rPr>
            </w:pPr>
            <w:r w:rsidRPr="008B22C9">
              <w:rPr>
                <w:rFonts w:cs="Arial"/>
                <w:b/>
                <w:bCs/>
                <w:sz w:val="20"/>
              </w:rPr>
              <w:t>1 July 202</w:t>
            </w:r>
            <w:r w:rsidR="0009731B">
              <w:rPr>
                <w:rFonts w:cs="Arial"/>
                <w:b/>
                <w:bCs/>
                <w:sz w:val="20"/>
              </w:rPr>
              <w:t>5</w:t>
            </w:r>
            <w:r w:rsidRPr="008B22C9">
              <w:rPr>
                <w:rFonts w:cs="Arial"/>
                <w:b/>
                <w:bCs/>
                <w:sz w:val="20"/>
              </w:rPr>
              <w:t xml:space="preserve"> </w:t>
            </w:r>
            <w:r w:rsidR="0078754A">
              <w:rPr>
                <w:rFonts w:cs="Arial"/>
                <w:b/>
                <w:bCs/>
                <w:sz w:val="20"/>
              </w:rPr>
              <w:t>–</w:t>
            </w:r>
            <w:r w:rsidRPr="008B22C9">
              <w:rPr>
                <w:rFonts w:cs="Arial"/>
                <w:b/>
                <w:bCs/>
                <w:sz w:val="20"/>
              </w:rPr>
              <w:t xml:space="preserve"> </w:t>
            </w:r>
          </w:p>
          <w:p w14:paraId="0E362EA8" w14:textId="7418994C" w:rsidR="004A6F71" w:rsidRPr="008B22C9" w:rsidRDefault="004A6F71" w:rsidP="00F94DFB">
            <w:pPr>
              <w:spacing w:after="0" w:line="240" w:lineRule="auto"/>
              <w:rPr>
                <w:rFonts w:cs="Arial"/>
                <w:sz w:val="20"/>
              </w:rPr>
            </w:pPr>
            <w:r w:rsidRPr="008B22C9">
              <w:rPr>
                <w:rFonts w:cs="Arial"/>
                <w:b/>
                <w:bCs/>
                <w:sz w:val="20"/>
              </w:rPr>
              <w:t>9 October 202</w:t>
            </w:r>
            <w:r w:rsidR="0009731B">
              <w:rPr>
                <w:rFonts w:cs="Arial"/>
                <w:b/>
                <w:bCs/>
                <w:sz w:val="20"/>
              </w:rPr>
              <w:t>5</w:t>
            </w:r>
          </w:p>
        </w:tc>
        <w:tc>
          <w:tcPr>
            <w:tcW w:w="3827" w:type="dxa"/>
          </w:tcPr>
          <w:p w14:paraId="4FA89229" w14:textId="77777777" w:rsidR="004A6F71" w:rsidRPr="008B22C9" w:rsidRDefault="004A6F71" w:rsidP="0078754A">
            <w:pPr>
              <w:spacing w:after="0" w:line="240" w:lineRule="auto"/>
              <w:rPr>
                <w:rFonts w:cs="Arial"/>
                <w:sz w:val="20"/>
              </w:rPr>
            </w:pPr>
            <w:r w:rsidRPr="008B22C9">
              <w:rPr>
                <w:rFonts w:cs="Arial"/>
                <w:sz w:val="20"/>
              </w:rPr>
              <w:t>Must supply AIIR and notify us they no longer have an obligation to lodge a future AIIR by reporting</w:t>
            </w:r>
            <w:r w:rsidRPr="008B22C9">
              <w:rPr>
                <w:rFonts w:cs="Arial"/>
                <w:b/>
                <w:sz w:val="20"/>
              </w:rPr>
              <w:t xml:space="preserve"> N </w:t>
            </w:r>
            <w:r w:rsidRPr="008B22C9">
              <w:rPr>
                <w:rFonts w:cs="Arial"/>
                <w:sz w:val="20"/>
              </w:rPr>
              <w:t xml:space="preserve">at the </w:t>
            </w:r>
            <w:r w:rsidRPr="008B22C9">
              <w:rPr>
                <w:rFonts w:cs="Arial"/>
                <w:i/>
                <w:sz w:val="20"/>
              </w:rPr>
              <w:t xml:space="preserve">Future reporting obligation </w:t>
            </w:r>
            <w:r w:rsidRPr="008B22C9">
              <w:rPr>
                <w:rFonts w:cs="Arial"/>
                <w:sz w:val="20"/>
              </w:rPr>
              <w:t>(9.46) field</w:t>
            </w:r>
          </w:p>
        </w:tc>
        <w:tc>
          <w:tcPr>
            <w:tcW w:w="2835" w:type="dxa"/>
          </w:tcPr>
          <w:p w14:paraId="10FC1267" w14:textId="7D3BC538" w:rsidR="004A6F71" w:rsidRPr="008B22C9" w:rsidRDefault="004A6F71" w:rsidP="0078754A">
            <w:pPr>
              <w:spacing w:after="0" w:line="240" w:lineRule="auto"/>
              <w:rPr>
                <w:rFonts w:cs="Arial"/>
                <w:sz w:val="20"/>
              </w:rPr>
            </w:pPr>
            <w:r w:rsidRPr="008B22C9">
              <w:rPr>
                <w:rFonts w:cs="Arial"/>
                <w:sz w:val="20"/>
              </w:rPr>
              <w:t xml:space="preserve">Must supply AIIR for original investors </w:t>
            </w:r>
            <w:r w:rsidRPr="00EB0A63">
              <w:rPr>
                <w:rFonts w:cs="Arial"/>
                <w:sz w:val="20"/>
              </w:rPr>
              <w:t xml:space="preserve">from </w:t>
            </w:r>
            <w:r w:rsidRPr="00F4606C">
              <w:rPr>
                <w:rFonts w:cs="Arial"/>
              </w:rPr>
              <w:t>1 July 202</w:t>
            </w:r>
            <w:r w:rsidR="0009731B">
              <w:rPr>
                <w:rFonts w:cs="Arial"/>
              </w:rPr>
              <w:t>5</w:t>
            </w:r>
            <w:r w:rsidRPr="00F4606C">
              <w:rPr>
                <w:rFonts w:cs="Arial"/>
              </w:rPr>
              <w:t xml:space="preserve"> to 30 June 202</w:t>
            </w:r>
            <w:r w:rsidR="0009731B">
              <w:rPr>
                <w:rFonts w:cs="Arial"/>
              </w:rPr>
              <w:t>6</w:t>
            </w:r>
          </w:p>
        </w:tc>
        <w:tc>
          <w:tcPr>
            <w:tcW w:w="1843" w:type="dxa"/>
          </w:tcPr>
          <w:p w14:paraId="315AB549" w14:textId="09A49FDA" w:rsidR="004A6F71" w:rsidRPr="008B22C9" w:rsidRDefault="004A6F71" w:rsidP="00F94DFB">
            <w:pPr>
              <w:spacing w:after="0" w:line="240" w:lineRule="auto"/>
              <w:jc w:val="both"/>
              <w:rPr>
                <w:rFonts w:cs="Arial"/>
                <w:sz w:val="20"/>
              </w:rPr>
            </w:pPr>
            <w:r w:rsidRPr="008B22C9">
              <w:rPr>
                <w:rFonts w:cs="Arial"/>
                <w:sz w:val="20"/>
              </w:rPr>
              <w:t>31 October 202</w:t>
            </w:r>
            <w:r w:rsidR="00D2210B">
              <w:rPr>
                <w:rFonts w:cs="Arial"/>
                <w:sz w:val="20"/>
              </w:rPr>
              <w:t>6</w:t>
            </w:r>
          </w:p>
        </w:tc>
      </w:tr>
      <w:tr w:rsidR="004A6F71" w:rsidRPr="008B22C9" w14:paraId="55815C1C" w14:textId="77777777" w:rsidTr="000C1365">
        <w:trPr>
          <w:trHeight w:val="769"/>
        </w:trPr>
        <w:tc>
          <w:tcPr>
            <w:tcW w:w="1838" w:type="dxa"/>
          </w:tcPr>
          <w:p w14:paraId="3E54B16E" w14:textId="4E81AF6E" w:rsidR="004A6F71" w:rsidRPr="008B22C9" w:rsidRDefault="004A6F71" w:rsidP="00F94DFB">
            <w:pPr>
              <w:spacing w:after="0" w:line="240" w:lineRule="auto"/>
              <w:rPr>
                <w:rFonts w:cs="Arial"/>
                <w:b/>
                <w:bCs/>
                <w:sz w:val="20"/>
              </w:rPr>
            </w:pPr>
            <w:r w:rsidRPr="008B22C9">
              <w:rPr>
                <w:rFonts w:cs="Arial"/>
                <w:b/>
                <w:bCs/>
                <w:sz w:val="20"/>
              </w:rPr>
              <w:t>10 October 202</w:t>
            </w:r>
            <w:r w:rsidR="0009731B">
              <w:rPr>
                <w:rFonts w:cs="Arial"/>
                <w:b/>
                <w:bCs/>
                <w:sz w:val="20"/>
              </w:rPr>
              <w:t>5</w:t>
            </w:r>
            <w:r w:rsidRPr="008B22C9">
              <w:rPr>
                <w:rFonts w:cs="Arial"/>
                <w:b/>
                <w:bCs/>
                <w:sz w:val="20"/>
              </w:rPr>
              <w:t xml:space="preserve"> onwards</w:t>
            </w:r>
          </w:p>
        </w:tc>
        <w:tc>
          <w:tcPr>
            <w:tcW w:w="3827" w:type="dxa"/>
          </w:tcPr>
          <w:p w14:paraId="52279ADB" w14:textId="77777777" w:rsidR="004A6F71" w:rsidRPr="008B22C9" w:rsidRDefault="004A6F71" w:rsidP="00F94DFB">
            <w:pPr>
              <w:spacing w:after="0" w:line="240" w:lineRule="auto"/>
              <w:rPr>
                <w:rFonts w:cs="Arial"/>
                <w:sz w:val="20"/>
              </w:rPr>
            </w:pPr>
            <w:r w:rsidRPr="008B22C9">
              <w:rPr>
                <w:rFonts w:cs="Arial"/>
                <w:sz w:val="20"/>
              </w:rPr>
              <w:t xml:space="preserve">No action </w:t>
            </w:r>
          </w:p>
        </w:tc>
        <w:tc>
          <w:tcPr>
            <w:tcW w:w="2835" w:type="dxa"/>
          </w:tcPr>
          <w:p w14:paraId="546CB1DA" w14:textId="567541E7" w:rsidR="004A6F71" w:rsidRPr="00F4606C" w:rsidRDefault="004A6F71" w:rsidP="0078754A">
            <w:pPr>
              <w:pStyle w:val="Maintext"/>
              <w:rPr>
                <w:rFonts w:asciiTheme="minorHAnsi" w:hAnsiTheme="minorHAnsi" w:cs="Arial"/>
                <w:sz w:val="20"/>
                <w:szCs w:val="20"/>
              </w:rPr>
            </w:pPr>
            <w:r w:rsidRPr="00F4606C">
              <w:rPr>
                <w:rFonts w:asciiTheme="minorHAnsi" w:hAnsiTheme="minorHAnsi" w:cs="Arial"/>
                <w:sz w:val="20"/>
                <w:szCs w:val="20"/>
              </w:rPr>
              <w:t>Report from 10 October 202</w:t>
            </w:r>
            <w:r w:rsidR="0009731B">
              <w:rPr>
                <w:rFonts w:asciiTheme="minorHAnsi" w:hAnsiTheme="minorHAnsi" w:cs="Arial"/>
                <w:sz w:val="20"/>
                <w:szCs w:val="20"/>
              </w:rPr>
              <w:t>5</w:t>
            </w:r>
            <w:r w:rsidRPr="00F4606C">
              <w:rPr>
                <w:rFonts w:asciiTheme="minorHAnsi" w:hAnsiTheme="minorHAnsi" w:cs="Arial"/>
                <w:sz w:val="20"/>
                <w:szCs w:val="20"/>
              </w:rPr>
              <w:t xml:space="preserve"> until 30 June 202</w:t>
            </w:r>
            <w:r w:rsidR="0009731B">
              <w:rPr>
                <w:rFonts w:asciiTheme="minorHAnsi" w:hAnsiTheme="minorHAnsi" w:cs="Arial"/>
                <w:sz w:val="20"/>
                <w:szCs w:val="20"/>
              </w:rPr>
              <w:t>6</w:t>
            </w:r>
          </w:p>
        </w:tc>
        <w:tc>
          <w:tcPr>
            <w:tcW w:w="1843" w:type="dxa"/>
          </w:tcPr>
          <w:p w14:paraId="68EFE06B" w14:textId="19BEEAE1" w:rsidR="004A6F71" w:rsidRPr="008B22C9" w:rsidRDefault="004A6F71" w:rsidP="00F94DFB">
            <w:pPr>
              <w:spacing w:after="0" w:line="240" w:lineRule="auto"/>
              <w:jc w:val="both"/>
              <w:rPr>
                <w:rFonts w:cs="Arial"/>
                <w:sz w:val="20"/>
              </w:rPr>
            </w:pPr>
            <w:r w:rsidRPr="008B22C9">
              <w:rPr>
                <w:rFonts w:cs="Arial"/>
                <w:sz w:val="20"/>
              </w:rPr>
              <w:t>31 October 202</w:t>
            </w:r>
            <w:r w:rsidR="00D2210B">
              <w:rPr>
                <w:rFonts w:cs="Arial"/>
                <w:sz w:val="20"/>
              </w:rPr>
              <w:t>6</w:t>
            </w:r>
          </w:p>
        </w:tc>
      </w:tr>
      <w:bookmarkEnd w:id="49"/>
      <w:bookmarkEnd w:id="50"/>
    </w:tbl>
    <w:p w14:paraId="5EB785F2" w14:textId="77777777" w:rsidR="004A6F71" w:rsidRDefault="004A6F71" w:rsidP="004A6F71">
      <w:pPr>
        <w:pStyle w:val="Maintext"/>
        <w:rPr>
          <w:rFonts w:cs="Arial"/>
        </w:rPr>
      </w:pPr>
    </w:p>
    <w:p w14:paraId="419A84B5" w14:textId="77777777" w:rsidR="004A6F71" w:rsidRPr="00F94DFB" w:rsidRDefault="004A6F71" w:rsidP="004A6F71">
      <w:pPr>
        <w:pStyle w:val="Head4"/>
        <w:rPr>
          <w:rFonts w:asciiTheme="minorHAnsi" w:hAnsiTheme="minorHAnsi"/>
          <w:sz w:val="20"/>
          <w:szCs w:val="20"/>
        </w:rPr>
      </w:pPr>
      <w:bookmarkStart w:id="51" w:name="_Toc5192656"/>
      <w:r w:rsidRPr="00F94DFB">
        <w:rPr>
          <w:rFonts w:asciiTheme="minorHAnsi" w:hAnsiTheme="minorHAnsi"/>
          <w:sz w:val="20"/>
          <w:szCs w:val="20"/>
        </w:rPr>
        <w:t>Example 2.2 – Merged on 1 July</w:t>
      </w:r>
      <w:bookmarkEnd w:id="51"/>
      <w:r w:rsidRPr="00F94DFB">
        <w:rPr>
          <w:rFonts w:asciiTheme="minorHAnsi" w:hAnsiTheme="minorHAnsi"/>
          <w:sz w:val="20"/>
          <w:szCs w:val="20"/>
        </w:rPr>
        <w:t xml:space="preserve"> </w:t>
      </w:r>
    </w:p>
    <w:p w14:paraId="7970315F" w14:textId="2636C89B" w:rsidR="004A6F71" w:rsidRPr="00F4606C" w:rsidRDefault="004A6F71" w:rsidP="00F4606C">
      <w:pPr>
        <w:pStyle w:val="Maintext"/>
        <w:rPr>
          <w:rFonts w:asciiTheme="minorHAnsi" w:hAnsiTheme="minorHAnsi" w:cs="Arial"/>
          <w:sz w:val="20"/>
          <w:szCs w:val="20"/>
        </w:rPr>
      </w:pPr>
      <w:bookmarkStart w:id="52" w:name="_Hlk72925623"/>
      <w:r w:rsidRPr="00F4606C">
        <w:rPr>
          <w:rFonts w:asciiTheme="minorHAnsi" w:hAnsiTheme="minorHAnsi" w:cs="Arial"/>
          <w:sz w:val="20"/>
          <w:szCs w:val="20"/>
        </w:rPr>
        <w:t>Tembi Bank Ltd was merged into Areba Bank Corporation on 1 July 202</w:t>
      </w:r>
      <w:r w:rsidR="00D2210B">
        <w:rPr>
          <w:rFonts w:asciiTheme="minorHAnsi" w:hAnsiTheme="minorHAnsi" w:cs="Arial"/>
          <w:sz w:val="20"/>
          <w:szCs w:val="20"/>
        </w:rPr>
        <w:t>5</w:t>
      </w:r>
      <w:r w:rsidR="00EB0A63">
        <w:rPr>
          <w:rFonts w:asciiTheme="minorHAnsi" w:hAnsiTheme="minorHAnsi" w:cs="Arial"/>
          <w:sz w:val="20"/>
          <w:szCs w:val="20"/>
        </w:rPr>
        <w:t xml:space="preserve">. </w:t>
      </w:r>
      <w:r w:rsidRPr="00F4606C">
        <w:rPr>
          <w:rFonts w:asciiTheme="minorHAnsi" w:hAnsiTheme="minorHAnsi" w:cs="Arial"/>
          <w:sz w:val="20"/>
          <w:szCs w:val="20"/>
        </w:rPr>
        <w:t>The obligation operates as follows:</w:t>
      </w:r>
    </w:p>
    <w:p w14:paraId="6022F8C7" w14:textId="77777777" w:rsidR="004A6F71" w:rsidRDefault="004A6F71" w:rsidP="004A6F71">
      <w:pPr>
        <w:pStyle w:val="Maintext"/>
        <w:spacing w:before="120"/>
        <w:rPr>
          <w:rFonts w:cs="Arial"/>
        </w:rPr>
      </w:pPr>
    </w:p>
    <w:tbl>
      <w:tblPr>
        <w:tblStyle w:val="TableGrid"/>
        <w:tblW w:w="10343" w:type="dxa"/>
        <w:tblLook w:val="04A0" w:firstRow="1" w:lastRow="0" w:firstColumn="1" w:lastColumn="0" w:noHBand="0" w:noVBand="1"/>
      </w:tblPr>
      <w:tblGrid>
        <w:gridCol w:w="2263"/>
        <w:gridCol w:w="3261"/>
        <w:gridCol w:w="2976"/>
        <w:gridCol w:w="1843"/>
      </w:tblGrid>
      <w:tr w:rsidR="004A6F71" w:rsidRPr="00B76AE5" w14:paraId="46AA1DF0" w14:textId="77777777" w:rsidTr="000C1365">
        <w:trPr>
          <w:trHeight w:val="651"/>
        </w:trPr>
        <w:tc>
          <w:tcPr>
            <w:tcW w:w="2263" w:type="dxa"/>
            <w:shd w:val="clear" w:color="auto" w:fill="D9D9D9" w:themeFill="background1" w:themeFillShade="D9"/>
          </w:tcPr>
          <w:p w14:paraId="38AEE075" w14:textId="77777777" w:rsidR="004A6F71" w:rsidRPr="00E57001" w:rsidRDefault="004A6F71" w:rsidP="000C1365">
            <w:pPr>
              <w:jc w:val="both"/>
              <w:rPr>
                <w:rFonts w:cs="Arial"/>
                <w:b/>
                <w:bCs/>
                <w:sz w:val="20"/>
              </w:rPr>
            </w:pPr>
            <w:r w:rsidRPr="00E57001">
              <w:rPr>
                <w:rFonts w:cs="Arial"/>
                <w:b/>
                <w:bCs/>
                <w:sz w:val="20"/>
              </w:rPr>
              <w:t xml:space="preserve">Period </w:t>
            </w:r>
          </w:p>
        </w:tc>
        <w:tc>
          <w:tcPr>
            <w:tcW w:w="3261" w:type="dxa"/>
            <w:shd w:val="clear" w:color="auto" w:fill="D9D9D9" w:themeFill="background1" w:themeFillShade="D9"/>
          </w:tcPr>
          <w:p w14:paraId="27E5AD24" w14:textId="77777777" w:rsidR="004A6F71" w:rsidRPr="00E57001" w:rsidRDefault="004A6F71" w:rsidP="000C1365">
            <w:pPr>
              <w:jc w:val="both"/>
              <w:rPr>
                <w:rFonts w:cs="Arial"/>
                <w:b/>
                <w:bCs/>
                <w:sz w:val="20"/>
              </w:rPr>
            </w:pPr>
            <w:r w:rsidRPr="00E57001">
              <w:rPr>
                <w:rFonts w:cs="Arial"/>
                <w:b/>
                <w:bCs/>
                <w:sz w:val="20"/>
              </w:rPr>
              <w:t>Tembi Bank Ltd</w:t>
            </w:r>
          </w:p>
        </w:tc>
        <w:tc>
          <w:tcPr>
            <w:tcW w:w="2976" w:type="dxa"/>
            <w:shd w:val="clear" w:color="auto" w:fill="D9D9D9" w:themeFill="background1" w:themeFillShade="D9"/>
          </w:tcPr>
          <w:p w14:paraId="3130003E" w14:textId="77777777" w:rsidR="004A6F71" w:rsidRPr="00E57001" w:rsidRDefault="004A6F71" w:rsidP="000C1365">
            <w:pPr>
              <w:jc w:val="both"/>
              <w:rPr>
                <w:rFonts w:cs="Arial"/>
                <w:b/>
                <w:bCs/>
                <w:sz w:val="20"/>
              </w:rPr>
            </w:pPr>
            <w:r w:rsidRPr="00E57001">
              <w:rPr>
                <w:rFonts w:cs="Arial"/>
                <w:b/>
                <w:bCs/>
                <w:sz w:val="20"/>
              </w:rPr>
              <w:t>Areba Bank Corporation</w:t>
            </w:r>
          </w:p>
        </w:tc>
        <w:tc>
          <w:tcPr>
            <w:tcW w:w="1843" w:type="dxa"/>
            <w:shd w:val="clear" w:color="auto" w:fill="D9D9D9" w:themeFill="background1" w:themeFillShade="D9"/>
          </w:tcPr>
          <w:p w14:paraId="19860CEA" w14:textId="77777777" w:rsidR="004A6F71" w:rsidRPr="00E57001" w:rsidRDefault="004A6F71" w:rsidP="000C1365">
            <w:pPr>
              <w:jc w:val="both"/>
              <w:rPr>
                <w:rFonts w:cs="Arial"/>
                <w:b/>
                <w:bCs/>
                <w:sz w:val="20"/>
              </w:rPr>
            </w:pPr>
            <w:r w:rsidRPr="00E57001">
              <w:rPr>
                <w:rFonts w:cs="Arial"/>
                <w:b/>
                <w:bCs/>
                <w:sz w:val="20"/>
              </w:rPr>
              <w:t xml:space="preserve">Due date </w:t>
            </w:r>
          </w:p>
        </w:tc>
      </w:tr>
      <w:tr w:rsidR="004A6F71" w:rsidRPr="00023F8D" w14:paraId="2B6FF4BA" w14:textId="77777777" w:rsidTr="000C1365">
        <w:trPr>
          <w:trHeight w:val="1035"/>
        </w:trPr>
        <w:tc>
          <w:tcPr>
            <w:tcW w:w="2263" w:type="dxa"/>
          </w:tcPr>
          <w:p w14:paraId="074B4B1F" w14:textId="7FA7D51F" w:rsidR="004A6F71" w:rsidRPr="00E57001" w:rsidRDefault="004A6F71" w:rsidP="000C1365">
            <w:pPr>
              <w:rPr>
                <w:rFonts w:cs="Arial"/>
                <w:sz w:val="20"/>
              </w:rPr>
            </w:pPr>
            <w:r w:rsidRPr="09243AA8">
              <w:rPr>
                <w:rFonts w:cs="Arial"/>
                <w:b/>
                <w:bCs/>
                <w:sz w:val="20"/>
              </w:rPr>
              <w:t>1 July 202</w:t>
            </w:r>
            <w:r w:rsidR="00D2210B">
              <w:rPr>
                <w:rFonts w:cs="Arial"/>
                <w:b/>
                <w:bCs/>
                <w:sz w:val="20"/>
              </w:rPr>
              <w:t>5</w:t>
            </w:r>
            <w:r w:rsidRPr="09243AA8">
              <w:rPr>
                <w:rFonts w:cs="Arial"/>
                <w:b/>
                <w:bCs/>
                <w:sz w:val="20"/>
              </w:rPr>
              <w:t xml:space="preserve"> - 30 June 202</w:t>
            </w:r>
            <w:r w:rsidR="00D2210B">
              <w:rPr>
                <w:rFonts w:cs="Arial"/>
                <w:b/>
                <w:bCs/>
                <w:sz w:val="20"/>
              </w:rPr>
              <w:t>6</w:t>
            </w:r>
            <w:r w:rsidRPr="09243AA8">
              <w:rPr>
                <w:rFonts w:cs="Arial"/>
                <w:b/>
                <w:bCs/>
                <w:sz w:val="20"/>
              </w:rPr>
              <w:t xml:space="preserve"> </w:t>
            </w:r>
          </w:p>
        </w:tc>
        <w:tc>
          <w:tcPr>
            <w:tcW w:w="3261" w:type="dxa"/>
          </w:tcPr>
          <w:p w14:paraId="6E8D89F3" w14:textId="186F74D8" w:rsidR="004A6F71" w:rsidRPr="00E57001" w:rsidRDefault="004A6F71" w:rsidP="00F4606C">
            <w:pPr>
              <w:spacing w:after="0" w:line="240" w:lineRule="auto"/>
              <w:rPr>
                <w:rFonts w:cs="Arial"/>
                <w:sz w:val="20"/>
              </w:rPr>
            </w:pPr>
            <w:r w:rsidRPr="09243AA8">
              <w:rPr>
                <w:rFonts w:cs="Arial"/>
                <w:sz w:val="20"/>
              </w:rPr>
              <w:t>Must supply AIIR for 202</w:t>
            </w:r>
            <w:r w:rsidR="00D2210B">
              <w:rPr>
                <w:rFonts w:cs="Arial"/>
                <w:sz w:val="20"/>
              </w:rPr>
              <w:t>5</w:t>
            </w:r>
            <w:r w:rsidRPr="09243AA8">
              <w:rPr>
                <w:rFonts w:cs="Arial"/>
                <w:sz w:val="20"/>
              </w:rPr>
              <w:t xml:space="preserve"> year and notify us they no longer have an obligation to lodge future AIIR by reporting</w:t>
            </w:r>
            <w:r w:rsidRPr="09243AA8">
              <w:rPr>
                <w:rFonts w:cs="Arial"/>
                <w:b/>
                <w:bCs/>
                <w:sz w:val="20"/>
              </w:rPr>
              <w:t xml:space="preserve"> N </w:t>
            </w:r>
            <w:r w:rsidRPr="09243AA8">
              <w:rPr>
                <w:rFonts w:cs="Arial"/>
                <w:sz w:val="20"/>
              </w:rPr>
              <w:t xml:space="preserve">at the </w:t>
            </w:r>
            <w:r w:rsidRPr="09243AA8">
              <w:rPr>
                <w:rFonts w:cs="Arial"/>
                <w:i/>
                <w:iCs/>
                <w:sz w:val="20"/>
              </w:rPr>
              <w:t xml:space="preserve">Future reporting obligation </w:t>
            </w:r>
            <w:r w:rsidRPr="09243AA8">
              <w:rPr>
                <w:rFonts w:cs="Arial"/>
                <w:sz w:val="20"/>
              </w:rPr>
              <w:t>(9.46) field</w:t>
            </w:r>
          </w:p>
        </w:tc>
        <w:tc>
          <w:tcPr>
            <w:tcW w:w="2976" w:type="dxa"/>
          </w:tcPr>
          <w:p w14:paraId="46F21721" w14:textId="13026808" w:rsidR="004A6F71" w:rsidRPr="00E57001" w:rsidRDefault="004A6F71" w:rsidP="00F4606C">
            <w:pPr>
              <w:spacing w:after="0" w:line="240" w:lineRule="auto"/>
              <w:rPr>
                <w:rFonts w:cs="Arial"/>
                <w:sz w:val="20"/>
              </w:rPr>
            </w:pPr>
            <w:r w:rsidRPr="09243AA8">
              <w:rPr>
                <w:rFonts w:cs="Arial"/>
                <w:sz w:val="20"/>
              </w:rPr>
              <w:t>Must supply AIIR for their existing investors in 202</w:t>
            </w:r>
            <w:r w:rsidR="0074685E">
              <w:rPr>
                <w:rFonts w:cs="Arial"/>
                <w:sz w:val="20"/>
              </w:rPr>
              <w:t>5</w:t>
            </w:r>
            <w:r w:rsidRPr="09243AA8">
              <w:rPr>
                <w:rFonts w:cs="Arial"/>
                <w:sz w:val="20"/>
              </w:rPr>
              <w:t xml:space="preserve"> and supply AIIR for new investors for future financial years </w:t>
            </w:r>
          </w:p>
        </w:tc>
        <w:tc>
          <w:tcPr>
            <w:tcW w:w="1843" w:type="dxa"/>
          </w:tcPr>
          <w:p w14:paraId="506E1D89" w14:textId="741FCD74" w:rsidR="004A6F71" w:rsidRPr="00E57001" w:rsidRDefault="004A6F71" w:rsidP="000C1365">
            <w:pPr>
              <w:jc w:val="both"/>
              <w:rPr>
                <w:rFonts w:cs="Arial"/>
                <w:sz w:val="20"/>
              </w:rPr>
            </w:pPr>
            <w:r w:rsidRPr="09243AA8">
              <w:rPr>
                <w:rFonts w:cs="Arial"/>
                <w:sz w:val="20"/>
              </w:rPr>
              <w:t>31 October 202</w:t>
            </w:r>
            <w:r w:rsidR="0074685E">
              <w:rPr>
                <w:rFonts w:cs="Arial"/>
                <w:sz w:val="20"/>
              </w:rPr>
              <w:t>6</w:t>
            </w:r>
          </w:p>
        </w:tc>
      </w:tr>
    </w:tbl>
    <w:p w14:paraId="4E6EC499" w14:textId="77777777" w:rsidR="004A6F71" w:rsidRDefault="004A6F71" w:rsidP="004A6F71">
      <w:pPr>
        <w:pStyle w:val="Heading3"/>
      </w:pPr>
      <w:bookmarkStart w:id="53" w:name="_Toc232191296"/>
      <w:bookmarkEnd w:id="52"/>
      <w:r w:rsidRPr="0076372B">
        <w:t xml:space="preserve">Supplier </w:t>
      </w:r>
      <w:r>
        <w:t>c</w:t>
      </w:r>
      <w:r w:rsidRPr="0076372B">
        <w:t>hange</w:t>
      </w:r>
      <w:bookmarkEnd w:id="53"/>
    </w:p>
    <w:p w14:paraId="0A78FC06" w14:textId="77777777" w:rsidR="004A6F71" w:rsidRPr="00F4606C" w:rsidRDefault="004A6F71" w:rsidP="00EB0A63">
      <w:pPr>
        <w:pStyle w:val="Maintext"/>
        <w:rPr>
          <w:rFonts w:asciiTheme="minorHAnsi" w:hAnsiTheme="minorHAnsi" w:cs="Arial"/>
          <w:color w:val="FF0000"/>
          <w:sz w:val="20"/>
          <w:szCs w:val="20"/>
        </w:rPr>
      </w:pPr>
      <w:r w:rsidRPr="00F4606C">
        <w:rPr>
          <w:rFonts w:asciiTheme="minorHAnsi" w:hAnsiTheme="minorHAnsi" w:cs="Arial"/>
          <w:sz w:val="20"/>
          <w:szCs w:val="20"/>
        </w:rPr>
        <w:t>If a change of supplier occurs during the reporting period and two suppliers have an obligation to report, the period of reporting should not overlap as incorrect or duplicate data may be pre-filled for individual clients</w:t>
      </w:r>
      <w:r w:rsidRPr="00F4606C">
        <w:rPr>
          <w:rFonts w:asciiTheme="minorHAnsi" w:hAnsiTheme="minorHAnsi" w:cs="Arial"/>
          <w:color w:val="FF0000"/>
          <w:sz w:val="20"/>
          <w:szCs w:val="20"/>
        </w:rPr>
        <w:t>.</w:t>
      </w:r>
    </w:p>
    <w:p w14:paraId="5E693A56" w14:textId="77777777" w:rsidR="004A6F71" w:rsidRPr="00B35C0A" w:rsidRDefault="004A6F71" w:rsidP="004A6F71">
      <w:pPr>
        <w:pStyle w:val="Heading3"/>
      </w:pPr>
      <w:bookmarkStart w:id="54" w:name="_Toc5192657"/>
      <w:bookmarkStart w:id="55" w:name="_Toc232191297"/>
      <w:r w:rsidRPr="00B35C0A">
        <w:t xml:space="preserve">Financial </w:t>
      </w:r>
      <w:r>
        <w:t>c</w:t>
      </w:r>
      <w:r w:rsidRPr="00B35C0A">
        <w:t xml:space="preserve">laims </w:t>
      </w:r>
      <w:r>
        <w:t>s</w:t>
      </w:r>
      <w:r w:rsidRPr="00B35C0A">
        <w:t>cheme</w:t>
      </w:r>
      <w:bookmarkEnd w:id="54"/>
      <w:bookmarkEnd w:id="55"/>
    </w:p>
    <w:p w14:paraId="05EFCC03" w14:textId="77777777" w:rsidR="004A6F71" w:rsidRPr="008E3F77" w:rsidRDefault="004A6F71" w:rsidP="00F4606C">
      <w:pPr>
        <w:pStyle w:val="Maintext"/>
        <w:rPr>
          <w:rFonts w:cs="Arial"/>
        </w:rPr>
      </w:pPr>
      <w:r w:rsidRPr="00F4606C">
        <w:rPr>
          <w:rFonts w:asciiTheme="minorHAnsi" w:hAnsiTheme="minorHAnsi" w:cs="Arial"/>
          <w:sz w:val="20"/>
          <w:szCs w:val="20"/>
        </w:rPr>
        <w:t>The purpose of the Financial Claims Scheme (FCS) is to protect depositors of authorised deposit-taking institutions (banks, building societies and credit unions) and policy holders of general insurance companies from potential loss due to the failure of these institutions. The Australian Prudential Regulation Authority is responsible for the administration of the FCS.</w:t>
      </w:r>
    </w:p>
    <w:p w14:paraId="5B724F9A" w14:textId="77777777" w:rsidR="004A6F71" w:rsidRPr="00F4606C" w:rsidRDefault="004A6F71" w:rsidP="004A6F71">
      <w:pPr>
        <w:pStyle w:val="Maintext"/>
        <w:rPr>
          <w:rFonts w:asciiTheme="minorHAnsi" w:hAnsiTheme="minorHAnsi" w:cs="Arial"/>
          <w:sz w:val="20"/>
          <w:szCs w:val="20"/>
        </w:rPr>
      </w:pPr>
    </w:p>
    <w:p w14:paraId="4B64AFD8" w14:textId="77777777" w:rsidR="004A6F71" w:rsidRPr="00F4606C" w:rsidRDefault="004A6F71" w:rsidP="004A6F71">
      <w:pPr>
        <w:pStyle w:val="Maintext"/>
        <w:rPr>
          <w:rFonts w:asciiTheme="minorHAnsi" w:hAnsiTheme="minorHAnsi" w:cs="Arial"/>
          <w:sz w:val="20"/>
          <w:szCs w:val="20"/>
        </w:rPr>
      </w:pPr>
      <w:r w:rsidRPr="00F4606C">
        <w:rPr>
          <w:rFonts w:asciiTheme="minorHAnsi" w:hAnsiTheme="minorHAnsi" w:cs="Arial"/>
          <w:sz w:val="20"/>
          <w:szCs w:val="20"/>
        </w:rPr>
        <w:t xml:space="preserve">The information required for the FCS ATO report is to be included in the AIIR.  To minimise reporting costs a single AIIR can be lodged that straddles the FCS event. However, if you prefer, you can lodge an AIIR for the time up to the FCS event and another report for the time subsequent to the FCS event. </w:t>
      </w:r>
    </w:p>
    <w:p w14:paraId="70BAD6B2" w14:textId="77777777" w:rsidR="004A6F71" w:rsidRPr="00B35C0A" w:rsidRDefault="004A6F71" w:rsidP="004A6F71">
      <w:pPr>
        <w:pStyle w:val="Maintext"/>
        <w:rPr>
          <w:rFonts w:cs="Arial"/>
        </w:rPr>
      </w:pPr>
    </w:p>
    <w:p w14:paraId="4ACB53B7" w14:textId="77777777" w:rsidR="004A6F71" w:rsidRDefault="004A6F71" w:rsidP="004A6F71">
      <w:pPr>
        <w:pStyle w:val="Maintext"/>
        <w:rPr>
          <w:rFonts w:cs="Arial"/>
        </w:rPr>
      </w:pPr>
    </w:p>
    <w:p w14:paraId="7557606E" w14:textId="77777777" w:rsidR="004A6F71" w:rsidRDefault="004A6F71" w:rsidP="004A6F71">
      <w:pPr>
        <w:rPr>
          <w:rFonts w:cs="Arial"/>
        </w:rPr>
      </w:pPr>
      <w:r>
        <w:rPr>
          <w:rFonts w:cs="Arial"/>
        </w:rPr>
        <w:br w:type="page"/>
      </w:r>
    </w:p>
    <w:p w14:paraId="341B4AB5" w14:textId="774C137C" w:rsidR="004A6F71" w:rsidRPr="00B35C0A" w:rsidRDefault="00167E45" w:rsidP="00167E45">
      <w:pPr>
        <w:pStyle w:val="Heading1"/>
      </w:pPr>
      <w:bookmarkStart w:id="56" w:name="_Toc5011480"/>
      <w:bookmarkStart w:id="57" w:name="_Toc5021409"/>
      <w:bookmarkStart w:id="58" w:name="_Toc5022832"/>
      <w:bookmarkStart w:id="59" w:name="_Toc5024256"/>
      <w:bookmarkStart w:id="60" w:name="_Toc5025679"/>
      <w:bookmarkStart w:id="61" w:name="_Toc5011481"/>
      <w:bookmarkStart w:id="62" w:name="_Toc5021410"/>
      <w:bookmarkStart w:id="63" w:name="_Toc5022833"/>
      <w:bookmarkStart w:id="64" w:name="_Toc5024257"/>
      <w:bookmarkStart w:id="65" w:name="_Toc5025680"/>
      <w:bookmarkStart w:id="66" w:name="_Toc5011482"/>
      <w:bookmarkStart w:id="67" w:name="_Toc5021411"/>
      <w:bookmarkStart w:id="68" w:name="_Toc5022834"/>
      <w:bookmarkStart w:id="69" w:name="_Toc5024258"/>
      <w:bookmarkStart w:id="70" w:name="_Toc5025681"/>
      <w:bookmarkStart w:id="71" w:name="_Toc5011483"/>
      <w:bookmarkStart w:id="72" w:name="_Toc5021412"/>
      <w:bookmarkStart w:id="73" w:name="_Toc5022835"/>
      <w:bookmarkStart w:id="74" w:name="_Toc5024259"/>
      <w:bookmarkStart w:id="75" w:name="_Toc5025682"/>
      <w:bookmarkStart w:id="76" w:name="_Toc5011485"/>
      <w:bookmarkStart w:id="77" w:name="_Toc5021414"/>
      <w:bookmarkStart w:id="78" w:name="_Toc5022837"/>
      <w:bookmarkStart w:id="79" w:name="_Toc5024261"/>
      <w:bookmarkStart w:id="80" w:name="_Toc5025684"/>
      <w:bookmarkStart w:id="81" w:name="_Toc5011486"/>
      <w:bookmarkStart w:id="82" w:name="_Toc5021415"/>
      <w:bookmarkStart w:id="83" w:name="_Toc5022838"/>
      <w:bookmarkStart w:id="84" w:name="_Toc5024262"/>
      <w:bookmarkStart w:id="85" w:name="_Toc5025685"/>
      <w:bookmarkStart w:id="86" w:name="_Toc5011487"/>
      <w:bookmarkStart w:id="87" w:name="_Toc5021416"/>
      <w:bookmarkStart w:id="88" w:name="_Toc5022839"/>
      <w:bookmarkStart w:id="89" w:name="_Toc5024263"/>
      <w:bookmarkStart w:id="90" w:name="_Toc5025686"/>
      <w:bookmarkStart w:id="91" w:name="_Toc5011488"/>
      <w:bookmarkStart w:id="92" w:name="_Toc5021417"/>
      <w:bookmarkStart w:id="93" w:name="_Toc5022840"/>
      <w:bookmarkStart w:id="94" w:name="_Toc5024264"/>
      <w:bookmarkStart w:id="95" w:name="_Toc5025687"/>
      <w:bookmarkStart w:id="96" w:name="_Toc5011489"/>
      <w:bookmarkStart w:id="97" w:name="_Toc5021418"/>
      <w:bookmarkStart w:id="98" w:name="_Toc5022841"/>
      <w:bookmarkStart w:id="99" w:name="_Toc5024265"/>
      <w:bookmarkStart w:id="100" w:name="_Toc5025688"/>
      <w:bookmarkStart w:id="101" w:name="_Toc5011490"/>
      <w:bookmarkStart w:id="102" w:name="_Toc5021419"/>
      <w:bookmarkStart w:id="103" w:name="_Toc5022842"/>
      <w:bookmarkStart w:id="104" w:name="_Toc5024266"/>
      <w:bookmarkStart w:id="105" w:name="_Toc5025689"/>
      <w:bookmarkStart w:id="106" w:name="_Toc5011491"/>
      <w:bookmarkStart w:id="107" w:name="_Toc5021420"/>
      <w:bookmarkStart w:id="108" w:name="_Toc5022843"/>
      <w:bookmarkStart w:id="109" w:name="_Toc5024267"/>
      <w:bookmarkStart w:id="110" w:name="_Toc5025690"/>
      <w:bookmarkStart w:id="111" w:name="_Toc5011492"/>
      <w:bookmarkStart w:id="112" w:name="_Toc5021421"/>
      <w:bookmarkStart w:id="113" w:name="_Toc5022844"/>
      <w:bookmarkStart w:id="114" w:name="_Toc5024268"/>
      <w:bookmarkStart w:id="115" w:name="_Toc5025691"/>
      <w:bookmarkStart w:id="116" w:name="_Toc5011493"/>
      <w:bookmarkStart w:id="117" w:name="_Toc5021422"/>
      <w:bookmarkStart w:id="118" w:name="_Toc5022845"/>
      <w:bookmarkStart w:id="119" w:name="_Toc5024269"/>
      <w:bookmarkStart w:id="120" w:name="_Toc5025692"/>
      <w:bookmarkStart w:id="121" w:name="_Toc5011494"/>
      <w:bookmarkStart w:id="122" w:name="_Toc5021423"/>
      <w:bookmarkStart w:id="123" w:name="_Toc5022846"/>
      <w:bookmarkStart w:id="124" w:name="_Toc5024270"/>
      <w:bookmarkStart w:id="125" w:name="_Toc5025693"/>
      <w:bookmarkStart w:id="126" w:name="_Toc5011495"/>
      <w:bookmarkStart w:id="127" w:name="_Toc5021424"/>
      <w:bookmarkStart w:id="128" w:name="_Toc5022847"/>
      <w:bookmarkStart w:id="129" w:name="_Toc5024271"/>
      <w:bookmarkStart w:id="130" w:name="_Toc5025694"/>
      <w:bookmarkStart w:id="131" w:name="_Toc5011496"/>
      <w:bookmarkStart w:id="132" w:name="_Toc5021425"/>
      <w:bookmarkStart w:id="133" w:name="_Toc5022848"/>
      <w:bookmarkStart w:id="134" w:name="_Toc5024272"/>
      <w:bookmarkStart w:id="135" w:name="_Toc5025695"/>
      <w:bookmarkStart w:id="136" w:name="_Toc5011497"/>
      <w:bookmarkStart w:id="137" w:name="_Toc5021426"/>
      <w:bookmarkStart w:id="138" w:name="_Toc5022849"/>
      <w:bookmarkStart w:id="139" w:name="_Toc5024273"/>
      <w:bookmarkStart w:id="140" w:name="_Toc5025696"/>
      <w:bookmarkStart w:id="141" w:name="_Toc5011498"/>
      <w:bookmarkStart w:id="142" w:name="_Toc5021427"/>
      <w:bookmarkStart w:id="143" w:name="_Toc5022850"/>
      <w:bookmarkStart w:id="144" w:name="_Toc5024274"/>
      <w:bookmarkStart w:id="145" w:name="_Toc5025697"/>
      <w:bookmarkStart w:id="146" w:name="_Toc5011499"/>
      <w:bookmarkStart w:id="147" w:name="_Toc5021428"/>
      <w:bookmarkStart w:id="148" w:name="_Toc5022851"/>
      <w:bookmarkStart w:id="149" w:name="_Toc5024275"/>
      <w:bookmarkStart w:id="150" w:name="_Toc5025698"/>
      <w:bookmarkStart w:id="151" w:name="_Toc5011500"/>
      <w:bookmarkStart w:id="152" w:name="_Toc5021429"/>
      <w:bookmarkStart w:id="153" w:name="_Toc5022852"/>
      <w:bookmarkStart w:id="154" w:name="_Toc5024276"/>
      <w:bookmarkStart w:id="155" w:name="_Toc5025699"/>
      <w:bookmarkStart w:id="156" w:name="_Toc5011501"/>
      <w:bookmarkStart w:id="157" w:name="_Toc5021430"/>
      <w:bookmarkStart w:id="158" w:name="_Toc5022853"/>
      <w:bookmarkStart w:id="159" w:name="_Toc5024277"/>
      <w:bookmarkStart w:id="160" w:name="_Toc5025700"/>
      <w:bookmarkStart w:id="161" w:name="_Toc5011502"/>
      <w:bookmarkStart w:id="162" w:name="_Toc5021431"/>
      <w:bookmarkStart w:id="163" w:name="_Toc5022854"/>
      <w:bookmarkStart w:id="164" w:name="_Toc5024278"/>
      <w:bookmarkStart w:id="165" w:name="_Toc5025701"/>
      <w:bookmarkStart w:id="166" w:name="_Toc5011503"/>
      <w:bookmarkStart w:id="167" w:name="_Toc5021432"/>
      <w:bookmarkStart w:id="168" w:name="_Toc5022855"/>
      <w:bookmarkStart w:id="169" w:name="_Toc5024279"/>
      <w:bookmarkStart w:id="170" w:name="_Toc5025702"/>
      <w:bookmarkStart w:id="171" w:name="_Toc5011504"/>
      <w:bookmarkStart w:id="172" w:name="_Toc5021433"/>
      <w:bookmarkStart w:id="173" w:name="_Toc5022856"/>
      <w:bookmarkStart w:id="174" w:name="_Toc5024280"/>
      <w:bookmarkStart w:id="175" w:name="_Toc5025703"/>
      <w:bookmarkStart w:id="176" w:name="_Toc5011505"/>
      <w:bookmarkStart w:id="177" w:name="_Toc5021434"/>
      <w:bookmarkStart w:id="178" w:name="_Toc5022857"/>
      <w:bookmarkStart w:id="179" w:name="_Toc5024281"/>
      <w:bookmarkStart w:id="180" w:name="_Toc5025704"/>
      <w:bookmarkStart w:id="181" w:name="_Toc5011506"/>
      <w:bookmarkStart w:id="182" w:name="_Toc5021435"/>
      <w:bookmarkStart w:id="183" w:name="_Toc5022858"/>
      <w:bookmarkStart w:id="184" w:name="_Toc5024282"/>
      <w:bookmarkStart w:id="185" w:name="_Toc5025705"/>
      <w:bookmarkStart w:id="186" w:name="_Toc5011507"/>
      <w:bookmarkStart w:id="187" w:name="_Toc5021436"/>
      <w:bookmarkStart w:id="188" w:name="_Toc5022859"/>
      <w:bookmarkStart w:id="189" w:name="_Toc5024283"/>
      <w:bookmarkStart w:id="190" w:name="_Toc5025706"/>
      <w:bookmarkStart w:id="191" w:name="_Toc5011508"/>
      <w:bookmarkStart w:id="192" w:name="_Toc5021437"/>
      <w:bookmarkStart w:id="193" w:name="_Toc5022860"/>
      <w:bookmarkStart w:id="194" w:name="_Toc5024284"/>
      <w:bookmarkStart w:id="195" w:name="_Toc5025707"/>
      <w:bookmarkStart w:id="196" w:name="_Toc5011510"/>
      <w:bookmarkStart w:id="197" w:name="_Toc5021439"/>
      <w:bookmarkStart w:id="198" w:name="_Toc5022862"/>
      <w:bookmarkStart w:id="199" w:name="_Toc5024286"/>
      <w:bookmarkStart w:id="200" w:name="_Toc5025709"/>
      <w:bookmarkStart w:id="201" w:name="_Toc5011512"/>
      <w:bookmarkStart w:id="202" w:name="_Toc5021441"/>
      <w:bookmarkStart w:id="203" w:name="_Toc5022864"/>
      <w:bookmarkStart w:id="204" w:name="_Toc5024288"/>
      <w:bookmarkStart w:id="205" w:name="_Toc5025711"/>
      <w:bookmarkStart w:id="206" w:name="_Toc5011513"/>
      <w:bookmarkStart w:id="207" w:name="_Toc5021442"/>
      <w:bookmarkStart w:id="208" w:name="_Toc5022865"/>
      <w:bookmarkStart w:id="209" w:name="_Toc5024289"/>
      <w:bookmarkStart w:id="210" w:name="_Toc5025712"/>
      <w:bookmarkStart w:id="211" w:name="_Toc5011515"/>
      <w:bookmarkStart w:id="212" w:name="_Toc5021444"/>
      <w:bookmarkStart w:id="213" w:name="_Toc5022867"/>
      <w:bookmarkStart w:id="214" w:name="_Toc5024291"/>
      <w:bookmarkStart w:id="215" w:name="_Toc5025714"/>
      <w:bookmarkStart w:id="216" w:name="_Toc5011516"/>
      <w:bookmarkStart w:id="217" w:name="_Toc5021445"/>
      <w:bookmarkStart w:id="218" w:name="_Toc5022868"/>
      <w:bookmarkStart w:id="219" w:name="_Toc5024292"/>
      <w:bookmarkStart w:id="220" w:name="_Toc5025715"/>
      <w:bookmarkStart w:id="221" w:name="_Toc5011518"/>
      <w:bookmarkStart w:id="222" w:name="_Toc5021447"/>
      <w:bookmarkStart w:id="223" w:name="_Toc5022870"/>
      <w:bookmarkStart w:id="224" w:name="_Toc5024294"/>
      <w:bookmarkStart w:id="225" w:name="_Toc5025717"/>
      <w:bookmarkStart w:id="226" w:name="_Toc5011519"/>
      <w:bookmarkStart w:id="227" w:name="_Toc5021448"/>
      <w:bookmarkStart w:id="228" w:name="_Toc5022871"/>
      <w:bookmarkStart w:id="229" w:name="_Toc5024295"/>
      <w:bookmarkStart w:id="230" w:name="_Toc5025718"/>
      <w:bookmarkStart w:id="231" w:name="_Toc5011521"/>
      <w:bookmarkStart w:id="232" w:name="_Toc5021450"/>
      <w:bookmarkStart w:id="233" w:name="_Toc5022873"/>
      <w:bookmarkStart w:id="234" w:name="_Toc5024297"/>
      <w:bookmarkStart w:id="235" w:name="_Toc5025720"/>
      <w:bookmarkStart w:id="236" w:name="_Toc5011522"/>
      <w:bookmarkStart w:id="237" w:name="_Toc5021451"/>
      <w:bookmarkStart w:id="238" w:name="_Toc5022874"/>
      <w:bookmarkStart w:id="239" w:name="_Toc5024298"/>
      <w:bookmarkStart w:id="240" w:name="_Toc5025721"/>
      <w:bookmarkStart w:id="241" w:name="_Toc5011524"/>
      <w:bookmarkStart w:id="242" w:name="_Toc5021453"/>
      <w:bookmarkStart w:id="243" w:name="_Toc5022876"/>
      <w:bookmarkStart w:id="244" w:name="_Toc5024300"/>
      <w:bookmarkStart w:id="245" w:name="_Toc5025723"/>
      <w:bookmarkStart w:id="246" w:name="_Toc5011525"/>
      <w:bookmarkStart w:id="247" w:name="_Toc5021454"/>
      <w:bookmarkStart w:id="248" w:name="_Toc5022877"/>
      <w:bookmarkStart w:id="249" w:name="_Toc5024301"/>
      <w:bookmarkStart w:id="250" w:name="_Toc5025724"/>
      <w:bookmarkStart w:id="251" w:name="_Toc5011526"/>
      <w:bookmarkStart w:id="252" w:name="_Toc5021455"/>
      <w:bookmarkStart w:id="253" w:name="_Toc5022878"/>
      <w:bookmarkStart w:id="254" w:name="_Toc5024302"/>
      <w:bookmarkStart w:id="255" w:name="_Toc5025725"/>
      <w:bookmarkStart w:id="256" w:name="_Toc5011528"/>
      <w:bookmarkStart w:id="257" w:name="_Toc5021457"/>
      <w:bookmarkStart w:id="258" w:name="_Toc5022880"/>
      <w:bookmarkStart w:id="259" w:name="_Toc5024304"/>
      <w:bookmarkStart w:id="260" w:name="_Toc5025727"/>
      <w:bookmarkStart w:id="261" w:name="_Toc5011529"/>
      <w:bookmarkStart w:id="262" w:name="_Toc5021458"/>
      <w:bookmarkStart w:id="263" w:name="_Toc5022881"/>
      <w:bookmarkStart w:id="264" w:name="_Toc5024305"/>
      <w:bookmarkStart w:id="265" w:name="_Toc5025728"/>
      <w:bookmarkStart w:id="266" w:name="_Toc5011531"/>
      <w:bookmarkStart w:id="267" w:name="_Toc5021460"/>
      <w:bookmarkStart w:id="268" w:name="_Toc5022883"/>
      <w:bookmarkStart w:id="269" w:name="_Toc5024307"/>
      <w:bookmarkStart w:id="270" w:name="_Toc5025730"/>
      <w:bookmarkStart w:id="271" w:name="_Toc5011532"/>
      <w:bookmarkStart w:id="272" w:name="_Toc5021461"/>
      <w:bookmarkStart w:id="273" w:name="_Toc5022884"/>
      <w:bookmarkStart w:id="274" w:name="_Toc5024308"/>
      <w:bookmarkStart w:id="275" w:name="_Toc5025731"/>
      <w:bookmarkStart w:id="276" w:name="_Toc5011533"/>
      <w:bookmarkStart w:id="277" w:name="_Toc5021462"/>
      <w:bookmarkStart w:id="278" w:name="_Toc5022885"/>
      <w:bookmarkStart w:id="279" w:name="_Toc5024309"/>
      <w:bookmarkStart w:id="280" w:name="_Toc5025732"/>
      <w:bookmarkStart w:id="281" w:name="_Toc5011535"/>
      <w:bookmarkStart w:id="282" w:name="_Toc5021464"/>
      <w:bookmarkStart w:id="283" w:name="_Toc5022887"/>
      <w:bookmarkStart w:id="284" w:name="_Toc5024311"/>
      <w:bookmarkStart w:id="285" w:name="_Toc5025734"/>
      <w:bookmarkStart w:id="286" w:name="_Toc5011536"/>
      <w:bookmarkStart w:id="287" w:name="_Toc5021465"/>
      <w:bookmarkStart w:id="288" w:name="_Toc5022888"/>
      <w:bookmarkStart w:id="289" w:name="_Toc5024312"/>
      <w:bookmarkStart w:id="290" w:name="_Toc5025735"/>
      <w:bookmarkStart w:id="291" w:name="_Toc5011537"/>
      <w:bookmarkStart w:id="292" w:name="_Toc5021466"/>
      <w:bookmarkStart w:id="293" w:name="_Toc5022889"/>
      <w:bookmarkStart w:id="294" w:name="_Toc5024313"/>
      <w:bookmarkStart w:id="295" w:name="_Toc5025736"/>
      <w:bookmarkStart w:id="296" w:name="_Toc5011538"/>
      <w:bookmarkStart w:id="297" w:name="_Toc5021467"/>
      <w:bookmarkStart w:id="298" w:name="_Toc5022890"/>
      <w:bookmarkStart w:id="299" w:name="_Toc5024314"/>
      <w:bookmarkStart w:id="300" w:name="_Toc5025737"/>
      <w:bookmarkStart w:id="301" w:name="_Toc5011539"/>
      <w:bookmarkStart w:id="302" w:name="_Toc5021468"/>
      <w:bookmarkStart w:id="303" w:name="_Toc5022891"/>
      <w:bookmarkStart w:id="304" w:name="_Toc5024315"/>
      <w:bookmarkStart w:id="305" w:name="_Toc5025738"/>
      <w:bookmarkStart w:id="306" w:name="_Toc5011540"/>
      <w:bookmarkStart w:id="307" w:name="_Toc5021469"/>
      <w:bookmarkStart w:id="308" w:name="_Toc5022892"/>
      <w:bookmarkStart w:id="309" w:name="_Toc5024316"/>
      <w:bookmarkStart w:id="310" w:name="_Toc5025739"/>
      <w:bookmarkStart w:id="311" w:name="_Toc5011541"/>
      <w:bookmarkStart w:id="312" w:name="_Toc5021470"/>
      <w:bookmarkStart w:id="313" w:name="_Toc5022893"/>
      <w:bookmarkStart w:id="314" w:name="_Toc5024317"/>
      <w:bookmarkStart w:id="315" w:name="_Toc5025740"/>
      <w:bookmarkStart w:id="316" w:name="_Toc5011542"/>
      <w:bookmarkStart w:id="317" w:name="_Toc5021471"/>
      <w:bookmarkStart w:id="318" w:name="_Toc5022894"/>
      <w:bookmarkStart w:id="319" w:name="_Toc5024318"/>
      <w:bookmarkStart w:id="320" w:name="_Toc5025741"/>
      <w:bookmarkStart w:id="321" w:name="_Toc5011543"/>
      <w:bookmarkStart w:id="322" w:name="_Toc5021472"/>
      <w:bookmarkStart w:id="323" w:name="_Toc5022895"/>
      <w:bookmarkStart w:id="324" w:name="_Toc5024319"/>
      <w:bookmarkStart w:id="325" w:name="_Toc5025742"/>
      <w:bookmarkStart w:id="326" w:name="_Toc5011544"/>
      <w:bookmarkStart w:id="327" w:name="_Toc5021473"/>
      <w:bookmarkStart w:id="328" w:name="_Toc5022896"/>
      <w:bookmarkStart w:id="329" w:name="_Toc5024320"/>
      <w:bookmarkStart w:id="330" w:name="_Toc5025743"/>
      <w:bookmarkStart w:id="331" w:name="_Toc5011545"/>
      <w:bookmarkStart w:id="332" w:name="_Toc5021474"/>
      <w:bookmarkStart w:id="333" w:name="_Toc5022897"/>
      <w:bookmarkStart w:id="334" w:name="_Toc5024321"/>
      <w:bookmarkStart w:id="335" w:name="_Toc5025744"/>
      <w:bookmarkStart w:id="336" w:name="_Toc5011546"/>
      <w:bookmarkStart w:id="337" w:name="_Toc5021475"/>
      <w:bookmarkStart w:id="338" w:name="_Toc5022898"/>
      <w:bookmarkStart w:id="339" w:name="_Toc5024322"/>
      <w:bookmarkStart w:id="340" w:name="_Toc5025745"/>
      <w:bookmarkStart w:id="341" w:name="_Toc5011547"/>
      <w:bookmarkStart w:id="342" w:name="_Toc5021476"/>
      <w:bookmarkStart w:id="343" w:name="_Toc5022899"/>
      <w:bookmarkStart w:id="344" w:name="_Toc5024323"/>
      <w:bookmarkStart w:id="345" w:name="_Toc5025746"/>
      <w:bookmarkStart w:id="346" w:name="_Toc5011548"/>
      <w:bookmarkStart w:id="347" w:name="_Toc5021477"/>
      <w:bookmarkStart w:id="348" w:name="_Toc5022900"/>
      <w:bookmarkStart w:id="349" w:name="_Toc5024324"/>
      <w:bookmarkStart w:id="350" w:name="_Toc5025747"/>
      <w:bookmarkStart w:id="351" w:name="_Toc5011549"/>
      <w:bookmarkStart w:id="352" w:name="_Toc5021478"/>
      <w:bookmarkStart w:id="353" w:name="_Toc5022901"/>
      <w:bookmarkStart w:id="354" w:name="_Toc5024325"/>
      <w:bookmarkStart w:id="355" w:name="_Toc5025748"/>
      <w:bookmarkStart w:id="356" w:name="_Toc5011550"/>
      <w:bookmarkStart w:id="357" w:name="_Toc5021479"/>
      <w:bookmarkStart w:id="358" w:name="_Toc5022902"/>
      <w:bookmarkStart w:id="359" w:name="_Toc5024326"/>
      <w:bookmarkStart w:id="360" w:name="_Toc5025749"/>
      <w:bookmarkStart w:id="361" w:name="_Toc5011551"/>
      <w:bookmarkStart w:id="362" w:name="_Toc5021480"/>
      <w:bookmarkStart w:id="363" w:name="_Toc5022903"/>
      <w:bookmarkStart w:id="364" w:name="_Toc5024327"/>
      <w:bookmarkStart w:id="365" w:name="_Toc5025750"/>
      <w:bookmarkStart w:id="366" w:name="_Toc5011552"/>
      <w:bookmarkStart w:id="367" w:name="_Toc5021481"/>
      <w:bookmarkStart w:id="368" w:name="_Toc5022904"/>
      <w:bookmarkStart w:id="369" w:name="_Toc5024328"/>
      <w:bookmarkStart w:id="370" w:name="_Toc5025751"/>
      <w:bookmarkStart w:id="371" w:name="_Toc5011553"/>
      <w:bookmarkStart w:id="372" w:name="_Toc5021482"/>
      <w:bookmarkStart w:id="373" w:name="_Toc5022905"/>
      <w:bookmarkStart w:id="374" w:name="_Toc5024329"/>
      <w:bookmarkStart w:id="375" w:name="_Toc5025752"/>
      <w:bookmarkStart w:id="376" w:name="_Toc5011554"/>
      <w:bookmarkStart w:id="377" w:name="_Toc5021483"/>
      <w:bookmarkStart w:id="378" w:name="_Toc5022906"/>
      <w:bookmarkStart w:id="379" w:name="_Toc5024330"/>
      <w:bookmarkStart w:id="380" w:name="_Toc5025753"/>
      <w:bookmarkStart w:id="381" w:name="_Toc5011555"/>
      <w:bookmarkStart w:id="382" w:name="_Toc5021484"/>
      <w:bookmarkStart w:id="383" w:name="_Toc5022907"/>
      <w:bookmarkStart w:id="384" w:name="_Toc5024331"/>
      <w:bookmarkStart w:id="385" w:name="_Toc5025754"/>
      <w:bookmarkStart w:id="386" w:name="_Toc5011556"/>
      <w:bookmarkStart w:id="387" w:name="_Toc5021485"/>
      <w:bookmarkStart w:id="388" w:name="_Toc5022908"/>
      <w:bookmarkStart w:id="389" w:name="_Toc5024332"/>
      <w:bookmarkStart w:id="390" w:name="_Toc5025755"/>
      <w:bookmarkStart w:id="391" w:name="_Toc5011557"/>
      <w:bookmarkStart w:id="392" w:name="_Toc5021486"/>
      <w:bookmarkStart w:id="393" w:name="_Toc5022909"/>
      <w:bookmarkStart w:id="394" w:name="_Toc5024333"/>
      <w:bookmarkStart w:id="395" w:name="_Toc5025756"/>
      <w:bookmarkStart w:id="396" w:name="_Toc5011558"/>
      <w:bookmarkStart w:id="397" w:name="_Toc5021487"/>
      <w:bookmarkStart w:id="398" w:name="_Toc5022910"/>
      <w:bookmarkStart w:id="399" w:name="_Toc5024334"/>
      <w:bookmarkStart w:id="400" w:name="_Toc5025757"/>
      <w:bookmarkStart w:id="401" w:name="_Toc5011560"/>
      <w:bookmarkStart w:id="402" w:name="_Toc5021489"/>
      <w:bookmarkStart w:id="403" w:name="_Toc5022912"/>
      <w:bookmarkStart w:id="404" w:name="_Toc5024336"/>
      <w:bookmarkStart w:id="405" w:name="_Toc5025759"/>
      <w:bookmarkStart w:id="406" w:name="_Toc5011561"/>
      <w:bookmarkStart w:id="407" w:name="_Toc5021490"/>
      <w:bookmarkStart w:id="408" w:name="_Toc5022913"/>
      <w:bookmarkStart w:id="409" w:name="_Toc5024337"/>
      <w:bookmarkStart w:id="410" w:name="_Toc5025760"/>
      <w:bookmarkStart w:id="411" w:name="_Toc5011562"/>
      <w:bookmarkStart w:id="412" w:name="_Toc5021491"/>
      <w:bookmarkStart w:id="413" w:name="_Toc5022914"/>
      <w:bookmarkStart w:id="414" w:name="_Toc5024338"/>
      <w:bookmarkStart w:id="415" w:name="_Toc5025761"/>
      <w:bookmarkStart w:id="416" w:name="_Toc5011563"/>
      <w:bookmarkStart w:id="417" w:name="_Toc5021492"/>
      <w:bookmarkStart w:id="418" w:name="_Toc5022915"/>
      <w:bookmarkStart w:id="419" w:name="_Toc5024339"/>
      <w:bookmarkStart w:id="420" w:name="_Toc5025762"/>
      <w:bookmarkStart w:id="421" w:name="_Toc5011564"/>
      <w:bookmarkStart w:id="422" w:name="_Toc5021493"/>
      <w:bookmarkStart w:id="423" w:name="_Toc5022916"/>
      <w:bookmarkStart w:id="424" w:name="_Toc5024340"/>
      <w:bookmarkStart w:id="425" w:name="_Toc5025763"/>
      <w:bookmarkStart w:id="426" w:name="_Toc5011565"/>
      <w:bookmarkStart w:id="427" w:name="_Toc5021494"/>
      <w:bookmarkStart w:id="428" w:name="_Toc5022917"/>
      <w:bookmarkStart w:id="429" w:name="_Toc5024341"/>
      <w:bookmarkStart w:id="430" w:name="_Toc5025764"/>
      <w:bookmarkStart w:id="431" w:name="_Toc5011566"/>
      <w:bookmarkStart w:id="432" w:name="_Toc5021495"/>
      <w:bookmarkStart w:id="433" w:name="_Toc5022918"/>
      <w:bookmarkStart w:id="434" w:name="_Toc5024342"/>
      <w:bookmarkStart w:id="435" w:name="_Toc5025765"/>
      <w:bookmarkStart w:id="436" w:name="_Toc5011567"/>
      <w:bookmarkStart w:id="437" w:name="_Toc5021496"/>
      <w:bookmarkStart w:id="438" w:name="_Toc5022919"/>
      <w:bookmarkStart w:id="439" w:name="_Toc5024343"/>
      <w:bookmarkStart w:id="440" w:name="_Toc5025766"/>
      <w:bookmarkStart w:id="441" w:name="_Toc5011568"/>
      <w:bookmarkStart w:id="442" w:name="_Toc5021497"/>
      <w:bookmarkStart w:id="443" w:name="_Toc5022920"/>
      <w:bookmarkStart w:id="444" w:name="_Toc5024344"/>
      <w:bookmarkStart w:id="445" w:name="_Toc5025767"/>
      <w:bookmarkStart w:id="446" w:name="_Toc5011569"/>
      <w:bookmarkStart w:id="447" w:name="_Toc5021498"/>
      <w:bookmarkStart w:id="448" w:name="_Toc5022921"/>
      <w:bookmarkStart w:id="449" w:name="_Toc5024345"/>
      <w:bookmarkStart w:id="450" w:name="_Toc5025768"/>
      <w:bookmarkStart w:id="451" w:name="_Toc5011570"/>
      <w:bookmarkStart w:id="452" w:name="_Toc5021499"/>
      <w:bookmarkStart w:id="453" w:name="_Toc5022922"/>
      <w:bookmarkStart w:id="454" w:name="_Toc5024346"/>
      <w:bookmarkStart w:id="455" w:name="_Toc5025769"/>
      <w:bookmarkStart w:id="456" w:name="_Toc5011571"/>
      <w:bookmarkStart w:id="457" w:name="_Toc5021500"/>
      <w:bookmarkStart w:id="458" w:name="_Toc5022923"/>
      <w:bookmarkStart w:id="459" w:name="_Toc5024347"/>
      <w:bookmarkStart w:id="460" w:name="_Toc5025770"/>
      <w:bookmarkStart w:id="461" w:name="_Toc5011572"/>
      <w:bookmarkStart w:id="462" w:name="_Toc5021501"/>
      <w:bookmarkStart w:id="463" w:name="_Toc5022924"/>
      <w:bookmarkStart w:id="464" w:name="_Toc5024348"/>
      <w:bookmarkStart w:id="465" w:name="_Toc5025771"/>
      <w:bookmarkStart w:id="466" w:name="_Toc5011573"/>
      <w:bookmarkStart w:id="467" w:name="_Toc5021502"/>
      <w:bookmarkStart w:id="468" w:name="_Toc5022925"/>
      <w:bookmarkStart w:id="469" w:name="_Toc5024349"/>
      <w:bookmarkStart w:id="470" w:name="_Toc5025772"/>
      <w:bookmarkStart w:id="471" w:name="_Toc5011575"/>
      <w:bookmarkStart w:id="472" w:name="_Toc5021504"/>
      <w:bookmarkStart w:id="473" w:name="_Toc5022927"/>
      <w:bookmarkStart w:id="474" w:name="_Toc5024351"/>
      <w:bookmarkStart w:id="475" w:name="_Toc5025774"/>
      <w:bookmarkStart w:id="476" w:name="_Toc5011576"/>
      <w:bookmarkStart w:id="477" w:name="_Toc5021505"/>
      <w:bookmarkStart w:id="478" w:name="_Toc5022928"/>
      <w:bookmarkStart w:id="479" w:name="_Toc5024352"/>
      <w:bookmarkStart w:id="480" w:name="_Toc5025775"/>
      <w:bookmarkStart w:id="481" w:name="_Toc5011577"/>
      <w:bookmarkStart w:id="482" w:name="_Toc5021506"/>
      <w:bookmarkStart w:id="483" w:name="_Toc5022929"/>
      <w:bookmarkStart w:id="484" w:name="_Toc5024353"/>
      <w:bookmarkStart w:id="485" w:name="_Toc5025776"/>
      <w:bookmarkStart w:id="486" w:name="_Toc5011578"/>
      <w:bookmarkStart w:id="487" w:name="_Toc5021507"/>
      <w:bookmarkStart w:id="488" w:name="_Toc5022930"/>
      <w:bookmarkStart w:id="489" w:name="_Toc5024354"/>
      <w:bookmarkStart w:id="490" w:name="_Toc5025777"/>
      <w:bookmarkStart w:id="491" w:name="_Toc5011579"/>
      <w:bookmarkStart w:id="492" w:name="_Toc5021508"/>
      <w:bookmarkStart w:id="493" w:name="_Toc5022931"/>
      <w:bookmarkStart w:id="494" w:name="_Toc5024355"/>
      <w:bookmarkStart w:id="495" w:name="_Toc5025778"/>
      <w:bookmarkStart w:id="496" w:name="_Toc5011580"/>
      <w:bookmarkStart w:id="497" w:name="_Toc5021509"/>
      <w:bookmarkStart w:id="498" w:name="_Toc5022932"/>
      <w:bookmarkStart w:id="499" w:name="_Toc5024356"/>
      <w:bookmarkStart w:id="500" w:name="_Toc5025779"/>
      <w:bookmarkStart w:id="501" w:name="_Toc5011581"/>
      <w:bookmarkStart w:id="502" w:name="_Toc5021510"/>
      <w:bookmarkStart w:id="503" w:name="_Toc5022933"/>
      <w:bookmarkStart w:id="504" w:name="_Toc5024357"/>
      <w:bookmarkStart w:id="505" w:name="_Toc5025780"/>
      <w:bookmarkStart w:id="506" w:name="_Toc5011582"/>
      <w:bookmarkStart w:id="507" w:name="_Toc5021511"/>
      <w:bookmarkStart w:id="508" w:name="_Toc5022934"/>
      <w:bookmarkStart w:id="509" w:name="_Toc5024358"/>
      <w:bookmarkStart w:id="510" w:name="_Toc5025781"/>
      <w:bookmarkStart w:id="511" w:name="_Toc5011583"/>
      <w:bookmarkStart w:id="512" w:name="_Toc5021512"/>
      <w:bookmarkStart w:id="513" w:name="_Toc5022935"/>
      <w:bookmarkStart w:id="514" w:name="_Toc5024359"/>
      <w:bookmarkStart w:id="515" w:name="_Toc5025782"/>
      <w:bookmarkStart w:id="516" w:name="_Toc5011584"/>
      <w:bookmarkStart w:id="517" w:name="_Toc5021513"/>
      <w:bookmarkStart w:id="518" w:name="_Toc5022936"/>
      <w:bookmarkStart w:id="519" w:name="_Toc5024360"/>
      <w:bookmarkStart w:id="520" w:name="_Toc5025783"/>
      <w:bookmarkStart w:id="521" w:name="_Toc5011585"/>
      <w:bookmarkStart w:id="522" w:name="_Toc5021514"/>
      <w:bookmarkStart w:id="523" w:name="_Toc5022937"/>
      <w:bookmarkStart w:id="524" w:name="_Toc5024361"/>
      <w:bookmarkStart w:id="525" w:name="_Toc5025784"/>
      <w:bookmarkStart w:id="526" w:name="_Toc5011586"/>
      <w:bookmarkStart w:id="527" w:name="_Toc5021515"/>
      <w:bookmarkStart w:id="528" w:name="_Toc5022938"/>
      <w:bookmarkStart w:id="529" w:name="_Toc5024362"/>
      <w:bookmarkStart w:id="530" w:name="_Toc5025785"/>
      <w:bookmarkStart w:id="531" w:name="_Toc5011587"/>
      <w:bookmarkStart w:id="532" w:name="_Toc5021516"/>
      <w:bookmarkStart w:id="533" w:name="_Toc5022939"/>
      <w:bookmarkStart w:id="534" w:name="_Toc5024363"/>
      <w:bookmarkStart w:id="535" w:name="_Toc5025786"/>
      <w:bookmarkStart w:id="536" w:name="_Toc5011588"/>
      <w:bookmarkStart w:id="537" w:name="_Toc5021517"/>
      <w:bookmarkStart w:id="538" w:name="_Toc5022940"/>
      <w:bookmarkStart w:id="539" w:name="_Toc5024364"/>
      <w:bookmarkStart w:id="540" w:name="_Toc5025787"/>
      <w:bookmarkStart w:id="541" w:name="_Toc5011589"/>
      <w:bookmarkStart w:id="542" w:name="_Toc5021518"/>
      <w:bookmarkStart w:id="543" w:name="_Toc5022941"/>
      <w:bookmarkStart w:id="544" w:name="_Toc5024365"/>
      <w:bookmarkStart w:id="545" w:name="_Toc5025788"/>
      <w:bookmarkStart w:id="546" w:name="_Toc5011590"/>
      <w:bookmarkStart w:id="547" w:name="_Toc5021519"/>
      <w:bookmarkStart w:id="548" w:name="_Toc5022942"/>
      <w:bookmarkStart w:id="549" w:name="_Toc5024366"/>
      <w:bookmarkStart w:id="550" w:name="_Toc5025789"/>
      <w:bookmarkStart w:id="551" w:name="_Toc5011591"/>
      <w:bookmarkStart w:id="552" w:name="_Toc5021520"/>
      <w:bookmarkStart w:id="553" w:name="_Toc5022943"/>
      <w:bookmarkStart w:id="554" w:name="_Toc5024367"/>
      <w:bookmarkStart w:id="555" w:name="_Toc5025790"/>
      <w:bookmarkStart w:id="556" w:name="_Toc5011592"/>
      <w:bookmarkStart w:id="557" w:name="_Toc5021521"/>
      <w:bookmarkStart w:id="558" w:name="_Toc5022944"/>
      <w:bookmarkStart w:id="559" w:name="_Toc5024368"/>
      <w:bookmarkStart w:id="560" w:name="_Toc5025791"/>
      <w:bookmarkStart w:id="561" w:name="_Toc5011593"/>
      <w:bookmarkStart w:id="562" w:name="_Toc5021522"/>
      <w:bookmarkStart w:id="563" w:name="_Toc5022945"/>
      <w:bookmarkStart w:id="564" w:name="_Toc5024369"/>
      <w:bookmarkStart w:id="565" w:name="_Toc5025792"/>
      <w:bookmarkStart w:id="566" w:name="_Toc5011596"/>
      <w:bookmarkStart w:id="567" w:name="_Toc5021525"/>
      <w:bookmarkStart w:id="568" w:name="_Toc5022948"/>
      <w:bookmarkStart w:id="569" w:name="_Toc5024372"/>
      <w:bookmarkStart w:id="570" w:name="_Toc5025795"/>
      <w:bookmarkStart w:id="571" w:name="_Toc372885356"/>
      <w:bookmarkStart w:id="572" w:name="_Toc5192660"/>
      <w:bookmarkStart w:id="573" w:name="_Toc23219129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t xml:space="preserve">3 </w:t>
      </w:r>
      <w:r w:rsidR="004A6F71" w:rsidRPr="00B35C0A">
        <w:t>Lodgment</w:t>
      </w:r>
      <w:bookmarkEnd w:id="571"/>
      <w:bookmarkEnd w:id="572"/>
      <w:r w:rsidR="004A6F71">
        <w:t xml:space="preserve"> Information</w:t>
      </w:r>
      <w:bookmarkEnd w:id="573"/>
    </w:p>
    <w:p w14:paraId="160DC737" w14:textId="68C17632" w:rsidR="004A6F71" w:rsidRPr="002C1C82" w:rsidRDefault="004A6F71" w:rsidP="004A6F71">
      <w:pPr>
        <w:pStyle w:val="Heading2"/>
      </w:pPr>
      <w:bookmarkStart w:id="574" w:name="_Do_I_need"/>
      <w:bookmarkStart w:id="575" w:name="_Toc232191299"/>
      <w:bookmarkEnd w:id="574"/>
      <w:r w:rsidRPr="002C1C82">
        <w:t xml:space="preserve">Do I need to </w:t>
      </w:r>
      <w:r w:rsidR="009F2D4F">
        <w:t>lodge</w:t>
      </w:r>
      <w:r w:rsidRPr="002C1C82">
        <w:t>?</w:t>
      </w:r>
      <w:bookmarkEnd w:id="575"/>
    </w:p>
    <w:p w14:paraId="29A04B12" w14:textId="77777777" w:rsidR="004A6F71" w:rsidRPr="00B35C0A" w:rsidRDefault="004A6F71" w:rsidP="00F4606C">
      <w:pPr>
        <w:spacing w:after="0" w:line="240" w:lineRule="auto"/>
        <w:rPr>
          <w:rFonts w:cs="Arial"/>
          <w:szCs w:val="22"/>
        </w:rPr>
      </w:pPr>
      <w:r w:rsidRPr="00B35C0A">
        <w:rPr>
          <w:rFonts w:cs="Arial"/>
          <w:szCs w:val="22"/>
        </w:rPr>
        <w:t>An AIIR is required if any of the following apply:</w:t>
      </w:r>
    </w:p>
    <w:p w14:paraId="056CACF6" w14:textId="77777777" w:rsidR="004A6F71" w:rsidRPr="00B35C0A" w:rsidRDefault="004A6F71" w:rsidP="00F4606C">
      <w:pPr>
        <w:spacing w:after="0" w:line="240" w:lineRule="auto"/>
        <w:rPr>
          <w:rFonts w:cs="Arial"/>
          <w:szCs w:val="22"/>
        </w:rPr>
      </w:pPr>
    </w:p>
    <w:p w14:paraId="35340E6B" w14:textId="77777777" w:rsidR="004A6F71" w:rsidRPr="00F4606C" w:rsidRDefault="004A6F71" w:rsidP="001601AF">
      <w:pPr>
        <w:pStyle w:val="Bullet1"/>
        <w:numPr>
          <w:ilvl w:val="0"/>
          <w:numId w:val="34"/>
        </w:numPr>
        <w:rPr>
          <w:rFonts w:asciiTheme="minorHAnsi" w:hAnsiTheme="minorHAnsi" w:cs="Arial"/>
          <w:sz w:val="20"/>
          <w:szCs w:val="20"/>
        </w:rPr>
      </w:pPr>
      <w:r w:rsidRPr="00F4606C">
        <w:rPr>
          <w:rFonts w:asciiTheme="minorHAnsi" w:hAnsiTheme="minorHAnsi" w:cs="Arial"/>
          <w:sz w:val="20"/>
          <w:szCs w:val="20"/>
        </w:rPr>
        <w:t xml:space="preserve">the total amount of income paid or credited to the investment is $1.00 or more and the total number of investments accepted by the investment body during the year is 10 or more </w:t>
      </w:r>
    </w:p>
    <w:p w14:paraId="2919E96D" w14:textId="77777777" w:rsidR="004A6F71" w:rsidRPr="00F4606C" w:rsidRDefault="004A6F71" w:rsidP="001601AF">
      <w:pPr>
        <w:pStyle w:val="Bullet1"/>
        <w:numPr>
          <w:ilvl w:val="0"/>
          <w:numId w:val="34"/>
        </w:numPr>
        <w:rPr>
          <w:rFonts w:asciiTheme="minorHAnsi" w:hAnsiTheme="minorHAnsi" w:cs="Arial"/>
          <w:sz w:val="20"/>
          <w:szCs w:val="20"/>
        </w:rPr>
      </w:pPr>
      <w:r w:rsidRPr="00F4606C">
        <w:rPr>
          <w:rFonts w:asciiTheme="minorHAnsi" w:hAnsiTheme="minorHAnsi" w:cs="Arial"/>
          <w:sz w:val="20"/>
          <w:szCs w:val="20"/>
        </w:rPr>
        <w:t>any investment has had an amount withheld because a TFN, ABN or exemption was not quoted</w:t>
      </w:r>
    </w:p>
    <w:p w14:paraId="621CCA2B" w14:textId="77777777" w:rsidR="004A6F71" w:rsidRPr="00F4606C" w:rsidRDefault="004A6F71" w:rsidP="001601AF">
      <w:pPr>
        <w:pStyle w:val="Bullet1"/>
        <w:numPr>
          <w:ilvl w:val="0"/>
          <w:numId w:val="34"/>
        </w:numPr>
        <w:rPr>
          <w:rFonts w:asciiTheme="minorHAnsi" w:hAnsiTheme="minorHAnsi" w:cs="Arial"/>
          <w:sz w:val="20"/>
          <w:szCs w:val="20"/>
        </w:rPr>
      </w:pPr>
      <w:r w:rsidRPr="00F4606C">
        <w:rPr>
          <w:rFonts w:asciiTheme="minorHAnsi" w:hAnsiTheme="minorHAnsi" w:cs="Arial"/>
          <w:sz w:val="20"/>
          <w:szCs w:val="20"/>
        </w:rPr>
        <w:t>non-resident withholding has occurred</w:t>
      </w:r>
    </w:p>
    <w:p w14:paraId="0584D015" w14:textId="77777777" w:rsidR="004A6F71" w:rsidRPr="00F4606C" w:rsidRDefault="004A6F71" w:rsidP="001601AF">
      <w:pPr>
        <w:pStyle w:val="Bullet1"/>
        <w:numPr>
          <w:ilvl w:val="0"/>
          <w:numId w:val="34"/>
        </w:numPr>
        <w:rPr>
          <w:rFonts w:asciiTheme="minorHAnsi" w:hAnsiTheme="minorHAnsi" w:cs="Arial"/>
          <w:sz w:val="20"/>
          <w:szCs w:val="20"/>
        </w:rPr>
      </w:pPr>
      <w:r w:rsidRPr="00F4606C">
        <w:rPr>
          <w:rFonts w:asciiTheme="minorHAnsi" w:hAnsiTheme="minorHAnsi" w:cs="Arial"/>
          <w:sz w:val="20"/>
          <w:szCs w:val="20"/>
        </w:rPr>
        <w:t>the investment is a FMD.</w:t>
      </w:r>
    </w:p>
    <w:p w14:paraId="532F5DCA" w14:textId="77777777" w:rsidR="004A6F71" w:rsidRDefault="004A6F71" w:rsidP="004A6F71">
      <w:pPr>
        <w:pStyle w:val="Bullet1"/>
      </w:pPr>
    </w:p>
    <w:p w14:paraId="5B2DF602" w14:textId="7853874D" w:rsidR="004A6F71" w:rsidRDefault="004A6F71" w:rsidP="00EB0A63">
      <w:pPr>
        <w:pStyle w:val="Maintext"/>
        <w:rPr>
          <w:rFonts w:asciiTheme="minorHAnsi" w:hAnsiTheme="minorHAnsi" w:cs="Arial"/>
          <w:sz w:val="20"/>
          <w:szCs w:val="20"/>
        </w:rPr>
      </w:pPr>
      <w:r w:rsidRPr="00F4606C">
        <w:rPr>
          <w:rFonts w:asciiTheme="minorHAnsi" w:hAnsiTheme="minorHAnsi" w:cs="Arial"/>
          <w:sz w:val="20"/>
          <w:szCs w:val="20"/>
        </w:rPr>
        <w:t xml:space="preserve">From the 2016-17 financial year, all MITs including AMITs are required to lodge an AIIR even when the entity has less than 10 investments. </w:t>
      </w:r>
    </w:p>
    <w:p w14:paraId="377A8956" w14:textId="77777777" w:rsidR="00EB0A63" w:rsidRPr="00F4606C" w:rsidRDefault="00EB0A63" w:rsidP="00F4606C">
      <w:pPr>
        <w:pStyle w:val="Maintext"/>
        <w:rPr>
          <w:rFonts w:cs="Arial"/>
          <w:szCs w:val="20"/>
        </w:rPr>
      </w:pPr>
    </w:p>
    <w:p w14:paraId="26B40F85" w14:textId="77777777" w:rsidR="00472210" w:rsidRPr="002E0AF8" w:rsidRDefault="00472210" w:rsidP="00472210">
      <w:pPr>
        <w:tabs>
          <w:tab w:val="left" w:pos="0"/>
        </w:tabs>
        <w:autoSpaceDE w:val="0"/>
        <w:autoSpaceDN w:val="0"/>
        <w:adjustRightInd w:val="0"/>
        <w:spacing w:after="200"/>
        <w:rPr>
          <w:rFonts w:cs="Arial"/>
          <w:color w:val="000000"/>
          <w:szCs w:val="22"/>
        </w:rPr>
      </w:pPr>
      <w:r>
        <w:rPr>
          <w:rFonts w:cs="Arial"/>
          <w:color w:val="000000"/>
          <w:szCs w:val="22"/>
        </w:rPr>
        <w:t xml:space="preserve">The CCIV regime commenced 1 July 2022. </w:t>
      </w:r>
      <w:r w:rsidRPr="007B03F8">
        <w:rPr>
          <w:rFonts w:cs="Arial"/>
          <w:color w:val="000000"/>
          <w:szCs w:val="22"/>
        </w:rPr>
        <w:t xml:space="preserve"> </w:t>
      </w:r>
      <w:r>
        <w:rPr>
          <w:rFonts w:cs="Arial"/>
          <w:color w:val="000000"/>
          <w:szCs w:val="22"/>
        </w:rPr>
        <w:t xml:space="preserve">From the 2022-23 financial year an attribution </w:t>
      </w:r>
      <w:r w:rsidRPr="004C5909">
        <w:rPr>
          <w:rFonts w:cs="Arial"/>
          <w:color w:val="000000"/>
          <w:szCs w:val="22"/>
        </w:rPr>
        <w:t>CCIV sub-fund trust is required to complete an AIIR</w:t>
      </w:r>
      <w:r>
        <w:rPr>
          <w:rFonts w:cs="Arial"/>
          <w:color w:val="000000"/>
          <w:szCs w:val="22"/>
        </w:rPr>
        <w:t xml:space="preserve"> and a non-attribution CCIV sub-fund trust may be required to lodge an AIIR in accordance with the above conditions</w:t>
      </w:r>
      <w:r w:rsidRPr="004C5909">
        <w:rPr>
          <w:rFonts w:cs="Arial"/>
          <w:color w:val="000000"/>
          <w:szCs w:val="22"/>
        </w:rPr>
        <w:t>.</w:t>
      </w:r>
      <w:r>
        <w:rPr>
          <w:rFonts w:cs="Arial"/>
          <w:color w:val="000000"/>
          <w:szCs w:val="22"/>
        </w:rPr>
        <w:t xml:space="preserve"> </w:t>
      </w:r>
    </w:p>
    <w:p w14:paraId="73751282" w14:textId="77777777" w:rsidR="004A6F71" w:rsidRPr="00DD61B5" w:rsidRDefault="004A6F71" w:rsidP="00F4606C">
      <w:pPr>
        <w:tabs>
          <w:tab w:val="left" w:pos="0"/>
        </w:tabs>
        <w:autoSpaceDE w:val="0"/>
        <w:autoSpaceDN w:val="0"/>
        <w:adjustRightInd w:val="0"/>
        <w:spacing w:after="0" w:line="240" w:lineRule="auto"/>
        <w:rPr>
          <w:rFonts w:cs="Arial"/>
          <w:color w:val="000000"/>
          <w:szCs w:val="22"/>
        </w:rPr>
      </w:pPr>
      <w:r w:rsidRPr="00DD61B5">
        <w:rPr>
          <w:rFonts w:cs="Arial"/>
          <w:color w:val="000000"/>
          <w:szCs w:val="22"/>
        </w:rPr>
        <w:t xml:space="preserve">If you do not have an obligation to lodge an AIIR as described above you may still be required to lodge a </w:t>
      </w:r>
      <w:hyperlink r:id="rId21" w:history="1">
        <w:r w:rsidRPr="00C75170">
          <w:rPr>
            <w:rStyle w:val="Hyperlink"/>
            <w:rFonts w:cs="Arial"/>
            <w:i/>
            <w:szCs w:val="22"/>
          </w:rPr>
          <w:t>Dividend and interest schedule</w:t>
        </w:r>
        <w:r w:rsidRPr="00C75170">
          <w:rPr>
            <w:rStyle w:val="Hyperlink"/>
            <w:rFonts w:cs="Arial"/>
            <w:szCs w:val="22"/>
          </w:rPr>
          <w:t xml:space="preserve"> (NAT 8030)</w:t>
        </w:r>
      </w:hyperlink>
      <w:r w:rsidRPr="00DD61B5">
        <w:rPr>
          <w:rFonts w:cs="Arial"/>
          <w:color w:val="000000"/>
          <w:szCs w:val="22"/>
        </w:rPr>
        <w:t xml:space="preserve"> that forms part of the company tax return</w:t>
      </w:r>
      <w:r>
        <w:rPr>
          <w:rFonts w:cs="Arial"/>
          <w:color w:val="000000"/>
          <w:szCs w:val="22"/>
        </w:rPr>
        <w:t>.  For further information, please refer to the latest company tax return instructions on ato.gov.au</w:t>
      </w:r>
    </w:p>
    <w:p w14:paraId="6D53F205" w14:textId="77777777" w:rsidR="004A6F71" w:rsidRPr="005B4BE8" w:rsidRDefault="004A6F71" w:rsidP="004A6F71">
      <w:pPr>
        <w:pStyle w:val="Heading2"/>
      </w:pPr>
      <w:bookmarkStart w:id="576" w:name="_Specifications_and_lodgment"/>
      <w:bookmarkStart w:id="577" w:name="_Toc232191300"/>
      <w:bookmarkEnd w:id="576"/>
      <w:r>
        <w:t>Specifications</w:t>
      </w:r>
      <w:bookmarkEnd w:id="577"/>
      <w:r>
        <w:t xml:space="preserve"> </w:t>
      </w:r>
    </w:p>
    <w:tbl>
      <w:tblPr>
        <w:tblStyle w:val="ATOTable"/>
        <w:tblW w:w="5000" w:type="pct"/>
        <w:tblLook w:val="0000" w:firstRow="0" w:lastRow="0" w:firstColumn="0" w:lastColumn="0" w:noHBand="0" w:noVBand="0"/>
      </w:tblPr>
      <w:tblGrid>
        <w:gridCol w:w="3011"/>
        <w:gridCol w:w="6287"/>
      </w:tblGrid>
      <w:tr w:rsidR="004A6F71" w:rsidRPr="005B4BE8" w14:paraId="6887021A" w14:textId="77777777" w:rsidTr="000C1365">
        <w:trPr>
          <w:trHeight w:val="301"/>
          <w:tblHeader/>
        </w:trPr>
        <w:tc>
          <w:tcPr>
            <w:tcW w:w="1619" w:type="pct"/>
            <w:shd w:val="clear" w:color="auto" w:fill="D9D9D9" w:themeFill="background1" w:themeFillShade="D9"/>
          </w:tcPr>
          <w:p w14:paraId="4878A021" w14:textId="77777777" w:rsidR="004A6F71" w:rsidRPr="005573D0" w:rsidRDefault="004A6F71" w:rsidP="000C1365">
            <w:pPr>
              <w:pStyle w:val="Maintext"/>
              <w:rPr>
                <w:rStyle w:val="Bold0"/>
                <w:rFonts w:cs="Arial"/>
                <w:bCs/>
                <w:szCs w:val="22"/>
              </w:rPr>
            </w:pPr>
            <w:r w:rsidRPr="005573D0">
              <w:rPr>
                <w:rStyle w:val="Bold0"/>
                <w:rFonts w:cs="Arial"/>
                <w:bCs/>
                <w:szCs w:val="22"/>
              </w:rPr>
              <w:t>Specification</w:t>
            </w:r>
          </w:p>
        </w:tc>
        <w:tc>
          <w:tcPr>
            <w:tcW w:w="3381" w:type="pct"/>
            <w:shd w:val="clear" w:color="auto" w:fill="D9D9D9" w:themeFill="background1" w:themeFillShade="D9"/>
          </w:tcPr>
          <w:p w14:paraId="56A3E4A2" w14:textId="77777777" w:rsidR="004A6F71" w:rsidRPr="005573D0" w:rsidRDefault="004A6F71" w:rsidP="000C1365">
            <w:pPr>
              <w:pStyle w:val="Maintext"/>
              <w:rPr>
                <w:rStyle w:val="Bold0"/>
                <w:rFonts w:cs="Arial"/>
                <w:bCs/>
                <w:szCs w:val="22"/>
              </w:rPr>
            </w:pPr>
            <w:r w:rsidRPr="005573D0">
              <w:rPr>
                <w:rStyle w:val="Bold0"/>
                <w:rFonts w:cs="Arial"/>
                <w:bCs/>
                <w:szCs w:val="22"/>
              </w:rPr>
              <w:t>Reporter types</w:t>
            </w:r>
          </w:p>
        </w:tc>
      </w:tr>
      <w:tr w:rsidR="004A6F71" w:rsidRPr="005B4BE8" w14:paraId="43481941" w14:textId="77777777" w:rsidTr="000C1365">
        <w:trPr>
          <w:trHeight w:val="301"/>
        </w:trPr>
        <w:tc>
          <w:tcPr>
            <w:tcW w:w="1619" w:type="pct"/>
          </w:tcPr>
          <w:p w14:paraId="1E6884D3" w14:textId="2731D7BE" w:rsidR="004A6F71" w:rsidRPr="00F4606C" w:rsidRDefault="004A6F71" w:rsidP="000C1365">
            <w:pPr>
              <w:pStyle w:val="Maintext"/>
              <w:rPr>
                <w:rFonts w:asciiTheme="minorHAnsi" w:hAnsiTheme="minorHAnsi"/>
                <w:sz w:val="20"/>
                <w:szCs w:val="20"/>
              </w:rPr>
            </w:pPr>
            <w:r w:rsidRPr="00F4606C">
              <w:rPr>
                <w:rFonts w:asciiTheme="minorHAnsi" w:hAnsiTheme="minorHAnsi"/>
                <w:sz w:val="20"/>
                <w:szCs w:val="20"/>
              </w:rPr>
              <w:t>ERS – v1</w:t>
            </w:r>
            <w:r w:rsidR="00A241F0">
              <w:rPr>
                <w:rFonts w:asciiTheme="minorHAnsi" w:hAnsiTheme="minorHAnsi"/>
                <w:sz w:val="20"/>
                <w:szCs w:val="20"/>
              </w:rPr>
              <w:t>4</w:t>
            </w:r>
          </w:p>
        </w:tc>
        <w:tc>
          <w:tcPr>
            <w:tcW w:w="3381" w:type="pct"/>
          </w:tcPr>
          <w:p w14:paraId="5BB0AF8A" w14:textId="77777777" w:rsidR="004A6F71" w:rsidRDefault="004A6F71" w:rsidP="00857AA9">
            <w:pPr>
              <w:pStyle w:val="Maintext"/>
              <w:numPr>
                <w:ilvl w:val="0"/>
                <w:numId w:val="25"/>
              </w:numPr>
              <w:spacing w:before="0"/>
              <w:ind w:left="357" w:hanging="357"/>
              <w:rPr>
                <w:rFonts w:asciiTheme="minorHAnsi" w:hAnsiTheme="minorHAnsi"/>
                <w:sz w:val="20"/>
                <w:szCs w:val="20"/>
              </w:rPr>
            </w:pPr>
            <w:r w:rsidRPr="00F4606C">
              <w:rPr>
                <w:rFonts w:asciiTheme="minorHAnsi" w:hAnsiTheme="minorHAnsi"/>
                <w:sz w:val="20"/>
                <w:szCs w:val="20"/>
              </w:rPr>
              <w:t xml:space="preserve">All new reporters </w:t>
            </w:r>
          </w:p>
          <w:p w14:paraId="6C978E13" w14:textId="77777777" w:rsidR="00B05991" w:rsidRDefault="00B05991" w:rsidP="00857AA9">
            <w:pPr>
              <w:pStyle w:val="Maintext"/>
              <w:numPr>
                <w:ilvl w:val="0"/>
                <w:numId w:val="25"/>
              </w:numPr>
              <w:spacing w:before="0"/>
              <w:ind w:left="357" w:hanging="357"/>
              <w:rPr>
                <w:rFonts w:asciiTheme="minorHAnsi" w:hAnsiTheme="minorHAnsi"/>
                <w:sz w:val="20"/>
                <w:szCs w:val="20"/>
              </w:rPr>
            </w:pPr>
            <w:r>
              <w:rPr>
                <w:rFonts w:asciiTheme="minorHAnsi" w:hAnsiTheme="minorHAnsi"/>
                <w:sz w:val="20"/>
                <w:szCs w:val="20"/>
              </w:rPr>
              <w:t>Entities that own eligible BTR developments</w:t>
            </w:r>
          </w:p>
          <w:p w14:paraId="1ECD4120" w14:textId="1719D4E9" w:rsidR="00B05991" w:rsidRPr="00F4606C" w:rsidRDefault="00B05991" w:rsidP="00857AA9">
            <w:pPr>
              <w:pStyle w:val="Maintext"/>
              <w:numPr>
                <w:ilvl w:val="0"/>
                <w:numId w:val="25"/>
              </w:numPr>
              <w:spacing w:before="0"/>
              <w:ind w:left="357" w:hanging="357"/>
              <w:rPr>
                <w:rFonts w:asciiTheme="minorHAnsi" w:hAnsiTheme="minorHAnsi"/>
                <w:sz w:val="20"/>
                <w:szCs w:val="20"/>
              </w:rPr>
            </w:pPr>
            <w:r>
              <w:rPr>
                <w:rFonts w:asciiTheme="minorHAnsi" w:hAnsiTheme="minorHAnsi"/>
                <w:sz w:val="20"/>
                <w:szCs w:val="20"/>
              </w:rPr>
              <w:t>Entities that have received or are attributed income or gains referrable to one or more BTR developments accessing the BTR development tax incentives</w:t>
            </w:r>
          </w:p>
        </w:tc>
      </w:tr>
      <w:tr w:rsidR="00A241F0" w:rsidRPr="005B4BE8" w14:paraId="3BBEFC27" w14:textId="77777777" w:rsidTr="000C1365">
        <w:trPr>
          <w:trHeight w:val="301"/>
        </w:trPr>
        <w:tc>
          <w:tcPr>
            <w:tcW w:w="1619" w:type="pct"/>
          </w:tcPr>
          <w:p w14:paraId="106FDF5B" w14:textId="2CD10AE5" w:rsidR="00A241F0" w:rsidRPr="00F4606C" w:rsidRDefault="00A241F0" w:rsidP="00A241F0">
            <w:pPr>
              <w:pStyle w:val="Maintext"/>
              <w:rPr>
                <w:rFonts w:asciiTheme="minorHAnsi" w:hAnsiTheme="minorHAnsi"/>
                <w:sz w:val="20"/>
                <w:szCs w:val="20"/>
              </w:rPr>
            </w:pPr>
            <w:r w:rsidRPr="00F4606C">
              <w:rPr>
                <w:rFonts w:asciiTheme="minorHAnsi" w:hAnsiTheme="minorHAnsi"/>
                <w:sz w:val="20"/>
                <w:szCs w:val="20"/>
              </w:rPr>
              <w:t>ERS – v13</w:t>
            </w:r>
          </w:p>
        </w:tc>
        <w:tc>
          <w:tcPr>
            <w:tcW w:w="3381" w:type="pct"/>
          </w:tcPr>
          <w:p w14:paraId="74C80C94" w14:textId="77777777" w:rsidR="00A241F0" w:rsidRPr="00F4606C" w:rsidRDefault="00A241F0" w:rsidP="00A241F0">
            <w:pPr>
              <w:pStyle w:val="Maintext"/>
              <w:numPr>
                <w:ilvl w:val="0"/>
                <w:numId w:val="25"/>
              </w:numPr>
              <w:spacing w:before="0"/>
              <w:ind w:left="357" w:hanging="357"/>
              <w:rPr>
                <w:rFonts w:asciiTheme="minorHAnsi" w:hAnsiTheme="minorHAnsi"/>
                <w:sz w:val="20"/>
                <w:szCs w:val="20"/>
              </w:rPr>
            </w:pPr>
            <w:r w:rsidRPr="00F4606C">
              <w:rPr>
                <w:rFonts w:asciiTheme="minorHAnsi" w:hAnsiTheme="minorHAnsi"/>
                <w:sz w:val="20"/>
                <w:szCs w:val="20"/>
              </w:rPr>
              <w:t xml:space="preserve">Investment bodies impacted by the </w:t>
            </w:r>
            <w:r w:rsidRPr="00F4606C">
              <w:rPr>
                <w:rFonts w:asciiTheme="minorHAnsi" w:hAnsiTheme="minorHAnsi"/>
                <w:i/>
                <w:sz w:val="20"/>
                <w:szCs w:val="20"/>
              </w:rPr>
              <w:t xml:space="preserve">Treasury Laws Amendment (Making Sure Foreign Investors Pay Their Fair Share of Tax in Australia and Other Measures) Act 2019 </w:t>
            </w:r>
            <w:r w:rsidRPr="00F4606C">
              <w:rPr>
                <w:rFonts w:asciiTheme="minorHAnsi" w:hAnsiTheme="minorHAnsi"/>
                <w:sz w:val="20"/>
                <w:szCs w:val="20"/>
              </w:rPr>
              <w:t>(Stapled Structures legislation)</w:t>
            </w:r>
          </w:p>
          <w:p w14:paraId="399774D7" w14:textId="77777777" w:rsidR="00A241F0" w:rsidRPr="00F4606C" w:rsidRDefault="00A241F0" w:rsidP="00A241F0">
            <w:pPr>
              <w:pStyle w:val="Maintext"/>
              <w:numPr>
                <w:ilvl w:val="0"/>
                <w:numId w:val="25"/>
              </w:numPr>
              <w:spacing w:before="0"/>
              <w:ind w:left="357" w:hanging="357"/>
              <w:rPr>
                <w:rFonts w:asciiTheme="minorHAnsi" w:hAnsiTheme="minorHAnsi"/>
                <w:sz w:val="20"/>
                <w:szCs w:val="20"/>
              </w:rPr>
            </w:pPr>
            <w:r w:rsidRPr="00F4606C">
              <w:rPr>
                <w:rFonts w:asciiTheme="minorHAnsi" w:hAnsiTheme="minorHAnsi"/>
                <w:sz w:val="20"/>
                <w:szCs w:val="20"/>
              </w:rPr>
              <w:t>Entities making payments to foreign superannuation/pension funds and sovereign wealth funds</w:t>
            </w:r>
          </w:p>
          <w:p w14:paraId="2ED85198" w14:textId="026A2551" w:rsidR="00A241F0" w:rsidRPr="00F4606C" w:rsidRDefault="00A241F0" w:rsidP="00A241F0">
            <w:pPr>
              <w:pStyle w:val="Maintext"/>
              <w:numPr>
                <w:ilvl w:val="0"/>
                <w:numId w:val="25"/>
              </w:numPr>
              <w:ind w:left="357" w:hanging="357"/>
              <w:rPr>
                <w:rFonts w:asciiTheme="minorHAnsi" w:hAnsiTheme="minorHAnsi"/>
                <w:sz w:val="20"/>
                <w:szCs w:val="20"/>
              </w:rPr>
            </w:pPr>
            <w:r w:rsidRPr="00F4606C">
              <w:rPr>
                <w:rFonts w:asciiTheme="minorHAnsi" w:hAnsiTheme="minorHAnsi"/>
                <w:sz w:val="20"/>
                <w:szCs w:val="20"/>
              </w:rPr>
              <w:t>Attribution CCIV sub-fund trusts and non-attribution CCIV sub-trusts</w:t>
            </w:r>
            <w:r w:rsidRPr="00F4606C" w:rsidDel="00472210">
              <w:rPr>
                <w:rFonts w:asciiTheme="minorHAnsi" w:hAnsiTheme="minorHAnsi"/>
                <w:sz w:val="20"/>
                <w:szCs w:val="20"/>
              </w:rPr>
              <w:t xml:space="preserve"> </w:t>
            </w:r>
          </w:p>
        </w:tc>
      </w:tr>
      <w:tr w:rsidR="004A6F71" w:rsidRPr="005B4BE8" w14:paraId="60A43067" w14:textId="77777777" w:rsidTr="000C1365">
        <w:trPr>
          <w:trHeight w:val="301"/>
        </w:trPr>
        <w:tc>
          <w:tcPr>
            <w:tcW w:w="1619" w:type="pct"/>
          </w:tcPr>
          <w:p w14:paraId="3FFDA808" w14:textId="77777777" w:rsidR="004A6F71" w:rsidRPr="00F4606C" w:rsidRDefault="004A6F71" w:rsidP="000C1365">
            <w:pPr>
              <w:pStyle w:val="Maintext"/>
              <w:rPr>
                <w:rFonts w:asciiTheme="minorHAnsi" w:hAnsiTheme="minorHAnsi" w:cs="Arial"/>
                <w:sz w:val="20"/>
                <w:szCs w:val="20"/>
              </w:rPr>
            </w:pPr>
            <w:r w:rsidRPr="00F4606C">
              <w:rPr>
                <w:rFonts w:asciiTheme="minorHAnsi" w:hAnsiTheme="minorHAnsi"/>
                <w:sz w:val="20"/>
                <w:szCs w:val="20"/>
              </w:rPr>
              <w:t>ERS – v12</w:t>
            </w:r>
          </w:p>
        </w:tc>
        <w:tc>
          <w:tcPr>
            <w:tcW w:w="3381" w:type="pct"/>
          </w:tcPr>
          <w:p w14:paraId="01241772" w14:textId="2B1C8D04" w:rsidR="004A6F71" w:rsidRPr="00F4606C" w:rsidRDefault="004A6F71" w:rsidP="000C1365">
            <w:pPr>
              <w:pStyle w:val="Maintext"/>
              <w:rPr>
                <w:rFonts w:asciiTheme="minorHAnsi" w:hAnsiTheme="minorHAnsi" w:cs="Arial"/>
                <w:sz w:val="20"/>
                <w:szCs w:val="20"/>
              </w:rPr>
            </w:pPr>
            <w:r w:rsidRPr="00F4606C">
              <w:rPr>
                <w:rFonts w:asciiTheme="minorHAnsi" w:hAnsiTheme="minorHAnsi"/>
                <w:sz w:val="20"/>
                <w:szCs w:val="20"/>
              </w:rPr>
              <w:t>IDPS and IDPS-like reporters unless required to report using ERS v13</w:t>
            </w:r>
            <w:r w:rsidR="002766BC">
              <w:rPr>
                <w:rFonts w:asciiTheme="minorHAnsi" w:hAnsiTheme="minorHAnsi"/>
                <w:sz w:val="20"/>
                <w:szCs w:val="20"/>
              </w:rPr>
              <w:t xml:space="preserve"> or v14</w:t>
            </w:r>
          </w:p>
        </w:tc>
      </w:tr>
      <w:tr w:rsidR="004A6F71" w:rsidRPr="005B4BE8" w14:paraId="20D245F4" w14:textId="77777777" w:rsidTr="000C1365">
        <w:trPr>
          <w:trHeight w:val="301"/>
        </w:trPr>
        <w:tc>
          <w:tcPr>
            <w:tcW w:w="1619" w:type="pct"/>
          </w:tcPr>
          <w:p w14:paraId="15E1BDE8" w14:textId="77777777" w:rsidR="004A6F71" w:rsidRPr="00F4606C" w:rsidRDefault="004A6F71" w:rsidP="000C1365">
            <w:pPr>
              <w:pStyle w:val="Maintext"/>
              <w:rPr>
                <w:rFonts w:asciiTheme="minorHAnsi" w:hAnsiTheme="minorHAnsi" w:cs="Arial"/>
                <w:sz w:val="20"/>
                <w:szCs w:val="20"/>
              </w:rPr>
            </w:pPr>
            <w:r w:rsidRPr="00F4606C">
              <w:rPr>
                <w:rFonts w:asciiTheme="minorHAnsi" w:hAnsiTheme="minorHAnsi"/>
                <w:sz w:val="20"/>
                <w:szCs w:val="20"/>
              </w:rPr>
              <w:t>ERS – v11</w:t>
            </w:r>
          </w:p>
        </w:tc>
        <w:tc>
          <w:tcPr>
            <w:tcW w:w="3381" w:type="pct"/>
          </w:tcPr>
          <w:p w14:paraId="103F2E19" w14:textId="65A7EBF1" w:rsidR="004A6F71" w:rsidRPr="006A5A29" w:rsidRDefault="004A6F71" w:rsidP="000C1365">
            <w:pPr>
              <w:pStyle w:val="Maintext"/>
              <w:rPr>
                <w:rFonts w:asciiTheme="minorHAnsi" w:hAnsiTheme="minorHAnsi"/>
                <w:sz w:val="20"/>
                <w:szCs w:val="20"/>
              </w:rPr>
            </w:pPr>
            <w:r w:rsidRPr="006A5A29">
              <w:rPr>
                <w:rFonts w:asciiTheme="minorHAnsi" w:hAnsiTheme="minorHAnsi"/>
                <w:sz w:val="20"/>
                <w:szCs w:val="20"/>
              </w:rPr>
              <w:t xml:space="preserve">Investment bodies that are not required to report under </w:t>
            </w:r>
            <w:r w:rsidR="002766BC">
              <w:rPr>
                <w:rFonts w:asciiTheme="minorHAnsi" w:hAnsiTheme="minorHAnsi"/>
                <w:sz w:val="20"/>
                <w:szCs w:val="20"/>
              </w:rPr>
              <w:t>a later version</w:t>
            </w:r>
            <w:r w:rsidRPr="006A5A29">
              <w:rPr>
                <w:rFonts w:asciiTheme="minorHAnsi" w:hAnsiTheme="minorHAnsi"/>
                <w:sz w:val="20"/>
                <w:szCs w:val="20"/>
              </w:rPr>
              <w:t xml:space="preserve"> and are an Attribution Managed Investment Trust (AMIT) or</w:t>
            </w:r>
          </w:p>
          <w:p w14:paraId="62D82D20" w14:textId="77777777" w:rsidR="004A6F71" w:rsidRPr="006A5A29" w:rsidRDefault="004A6F71" w:rsidP="00F4606C">
            <w:pPr>
              <w:pStyle w:val="Maintext"/>
              <w:numPr>
                <w:ilvl w:val="0"/>
                <w:numId w:val="25"/>
              </w:numPr>
              <w:spacing w:before="0"/>
              <w:ind w:left="357" w:hanging="357"/>
              <w:rPr>
                <w:rFonts w:asciiTheme="minorHAnsi" w:hAnsiTheme="minorHAnsi"/>
                <w:sz w:val="20"/>
                <w:szCs w:val="20"/>
              </w:rPr>
            </w:pPr>
            <w:r w:rsidRPr="006A5A29">
              <w:rPr>
                <w:rFonts w:asciiTheme="minorHAnsi" w:hAnsiTheme="minorHAnsi"/>
                <w:sz w:val="20"/>
                <w:szCs w:val="20"/>
              </w:rPr>
              <w:t>reporting unit trust distributions</w:t>
            </w:r>
          </w:p>
          <w:p w14:paraId="1A481FBC" w14:textId="77777777" w:rsidR="004A6F71" w:rsidRPr="006A5A29" w:rsidRDefault="004A6F71" w:rsidP="00F4606C">
            <w:pPr>
              <w:numPr>
                <w:ilvl w:val="0"/>
                <w:numId w:val="1"/>
              </w:numPr>
              <w:spacing w:before="0" w:after="0"/>
              <w:ind w:left="357" w:hanging="357"/>
              <w:rPr>
                <w:rFonts w:asciiTheme="minorHAnsi" w:hAnsiTheme="minorHAnsi"/>
              </w:rPr>
            </w:pPr>
            <w:r w:rsidRPr="006A5A29">
              <w:rPr>
                <w:rFonts w:asciiTheme="minorHAnsi" w:hAnsiTheme="minorHAnsi"/>
              </w:rPr>
              <w:t>reporting exploration credits,</w:t>
            </w:r>
          </w:p>
          <w:p w14:paraId="5BF6337B" w14:textId="77777777" w:rsidR="004A6F71" w:rsidRPr="006A5A29" w:rsidRDefault="004A6F71" w:rsidP="00F4606C">
            <w:pPr>
              <w:numPr>
                <w:ilvl w:val="0"/>
                <w:numId w:val="1"/>
              </w:numPr>
              <w:spacing w:before="0" w:after="0"/>
              <w:ind w:left="357" w:hanging="357"/>
              <w:rPr>
                <w:rFonts w:asciiTheme="minorHAnsi" w:hAnsiTheme="minorHAnsi"/>
              </w:rPr>
            </w:pPr>
            <w:r w:rsidRPr="006A5A29">
              <w:rPr>
                <w:rFonts w:asciiTheme="minorHAnsi" w:hAnsiTheme="minorHAnsi"/>
              </w:rPr>
              <w:t>reporting distributions containing exploration credits, credit for amounts withheld from foreign resident capital gains withholding payments, early stage investor tax offsets or early stage venture capital limited partnership tax offsets, or</w:t>
            </w:r>
          </w:p>
          <w:p w14:paraId="0F21DAC4" w14:textId="77777777" w:rsidR="004A6F71" w:rsidRPr="006A5A29" w:rsidRDefault="004A6F71" w:rsidP="00F4606C">
            <w:pPr>
              <w:numPr>
                <w:ilvl w:val="0"/>
                <w:numId w:val="1"/>
              </w:numPr>
              <w:spacing w:before="0" w:after="0"/>
              <w:ind w:left="357" w:hanging="357"/>
              <w:rPr>
                <w:rFonts w:asciiTheme="minorHAnsi" w:hAnsiTheme="minorHAnsi"/>
              </w:rPr>
            </w:pPr>
            <w:r w:rsidRPr="006A5A29">
              <w:rPr>
                <w:rFonts w:asciiTheme="minorHAnsi" w:hAnsiTheme="minorHAnsi"/>
              </w:rPr>
              <w:t>FMD providers who offer a loan offset account facility to their FMD owners from 1 July 2016.</w:t>
            </w:r>
          </w:p>
        </w:tc>
      </w:tr>
      <w:tr w:rsidR="004A6F71" w:rsidRPr="005B4BE8" w14:paraId="3B6BD672" w14:textId="77777777" w:rsidTr="000C1365">
        <w:trPr>
          <w:trHeight w:val="301"/>
        </w:trPr>
        <w:tc>
          <w:tcPr>
            <w:tcW w:w="1619" w:type="pct"/>
          </w:tcPr>
          <w:p w14:paraId="3DD276AF" w14:textId="77777777" w:rsidR="004A6F71" w:rsidRPr="00F4606C" w:rsidRDefault="004A6F71" w:rsidP="000C1365">
            <w:pPr>
              <w:pStyle w:val="Maintext"/>
              <w:rPr>
                <w:rFonts w:asciiTheme="minorHAnsi" w:hAnsiTheme="minorHAnsi"/>
                <w:sz w:val="20"/>
                <w:szCs w:val="20"/>
              </w:rPr>
            </w:pPr>
            <w:r w:rsidRPr="00F4606C">
              <w:rPr>
                <w:rFonts w:asciiTheme="minorHAnsi" w:hAnsiTheme="minorHAnsi"/>
                <w:sz w:val="20"/>
                <w:szCs w:val="20"/>
              </w:rPr>
              <w:t>ERS – v10</w:t>
            </w:r>
          </w:p>
        </w:tc>
        <w:tc>
          <w:tcPr>
            <w:tcW w:w="3381" w:type="pct"/>
          </w:tcPr>
          <w:p w14:paraId="4E1FF7A2" w14:textId="77777777" w:rsidR="004A6F71" w:rsidRPr="006A5A29" w:rsidRDefault="004A6F71" w:rsidP="006A5A29">
            <w:pPr>
              <w:rPr>
                <w:rFonts w:asciiTheme="minorHAnsi" w:hAnsiTheme="minorHAnsi" w:cs="Arial"/>
              </w:rPr>
            </w:pPr>
            <w:r w:rsidRPr="006A5A29">
              <w:rPr>
                <w:rFonts w:asciiTheme="minorHAnsi" w:hAnsiTheme="minorHAnsi"/>
              </w:rPr>
              <w:t>All other reporters</w:t>
            </w:r>
          </w:p>
        </w:tc>
      </w:tr>
      <w:tr w:rsidR="004A6F71" w:rsidRPr="005B4BE8" w14:paraId="3AEFDFDD" w14:textId="77777777" w:rsidTr="000C1365">
        <w:tc>
          <w:tcPr>
            <w:tcW w:w="1619" w:type="pct"/>
          </w:tcPr>
          <w:p w14:paraId="330EB007" w14:textId="77777777" w:rsidR="004A6F71" w:rsidRPr="00F4606C" w:rsidRDefault="004A6F71" w:rsidP="000C1365">
            <w:pPr>
              <w:pStyle w:val="Maintext"/>
              <w:rPr>
                <w:rFonts w:asciiTheme="minorHAnsi" w:hAnsiTheme="minorHAnsi"/>
                <w:sz w:val="20"/>
                <w:szCs w:val="20"/>
              </w:rPr>
            </w:pPr>
            <w:r w:rsidRPr="00F4606C">
              <w:rPr>
                <w:rFonts w:asciiTheme="minorHAnsi" w:hAnsiTheme="minorHAnsi"/>
                <w:sz w:val="20"/>
                <w:szCs w:val="20"/>
              </w:rPr>
              <w:t xml:space="preserve">PC Spreadsheet format reporting specification </w:t>
            </w:r>
          </w:p>
        </w:tc>
        <w:tc>
          <w:tcPr>
            <w:tcW w:w="3381" w:type="pct"/>
          </w:tcPr>
          <w:p w14:paraId="5583C380" w14:textId="77777777" w:rsidR="004A6F71" w:rsidRPr="00F4606C" w:rsidRDefault="004A6F71" w:rsidP="000C1365">
            <w:pPr>
              <w:pStyle w:val="Maintext"/>
              <w:rPr>
                <w:rFonts w:asciiTheme="minorHAnsi" w:hAnsiTheme="minorHAnsi" w:cs="Arial"/>
                <w:sz w:val="20"/>
                <w:szCs w:val="20"/>
              </w:rPr>
            </w:pPr>
            <w:r w:rsidRPr="00F4606C">
              <w:rPr>
                <w:rFonts w:asciiTheme="minorHAnsi" w:hAnsiTheme="minorHAnsi"/>
                <w:sz w:val="20"/>
                <w:szCs w:val="20"/>
              </w:rPr>
              <w:t>This is provided by the ATO for use by investment bodies with less than 1,000 investments to report and no facility to report electronically</w:t>
            </w:r>
          </w:p>
        </w:tc>
      </w:tr>
    </w:tbl>
    <w:p w14:paraId="1F6BFD60" w14:textId="77777777" w:rsidR="004A6F71" w:rsidRDefault="004A6F71" w:rsidP="004A6F71">
      <w:pPr>
        <w:rPr>
          <w:b/>
        </w:rPr>
      </w:pPr>
    </w:p>
    <w:p w14:paraId="0CE4086C" w14:textId="77777777" w:rsidR="004A6F71" w:rsidRPr="000C2A18" w:rsidRDefault="004A6F71" w:rsidP="004A6F71">
      <w:pPr>
        <w:pStyle w:val="Heading2"/>
      </w:pPr>
      <w:bookmarkStart w:id="578" w:name="_Toc232191301"/>
      <w:r w:rsidRPr="000C2A18">
        <w:t>When to lodge</w:t>
      </w:r>
      <w:bookmarkEnd w:id="578"/>
    </w:p>
    <w:p w14:paraId="2323C1B9" w14:textId="77777777" w:rsidR="004A6F71" w:rsidRDefault="004A6F71" w:rsidP="00F4606C">
      <w:pPr>
        <w:spacing w:after="0" w:line="240" w:lineRule="auto"/>
        <w:rPr>
          <w:rFonts w:cs="Arial"/>
          <w:szCs w:val="22"/>
        </w:rPr>
      </w:pPr>
      <w:r w:rsidRPr="00B35C0A">
        <w:rPr>
          <w:rFonts w:cs="Arial"/>
          <w:szCs w:val="22"/>
        </w:rPr>
        <w:t>The AIIR must be lodged within four months of the end of the financial year that it relates to</w:t>
      </w:r>
      <w:r>
        <w:rPr>
          <w:rFonts w:cs="Arial"/>
          <w:szCs w:val="22"/>
        </w:rPr>
        <w:t xml:space="preserve"> </w:t>
      </w:r>
      <w:r w:rsidRPr="00B35C0A">
        <w:rPr>
          <w:rFonts w:cs="Arial"/>
          <w:szCs w:val="22"/>
        </w:rPr>
        <w:t>that is by 31 October. This due date also applies to reporters operating on a Substituted Accounting Period (SAP) regardless of the SAP financial year end date.</w:t>
      </w:r>
    </w:p>
    <w:p w14:paraId="2DCB894F" w14:textId="77777777" w:rsidR="004A6F71" w:rsidRPr="00B35C0A" w:rsidRDefault="004A6F71" w:rsidP="004A6F71">
      <w:pPr>
        <w:pStyle w:val="Heading3"/>
      </w:pPr>
      <w:bookmarkStart w:id="579" w:name="_Toc232191302"/>
      <w:r w:rsidRPr="00B35C0A">
        <w:t>Lodging your AIIR early to assist pre-filling</w:t>
      </w:r>
      <w:bookmarkEnd w:id="579"/>
    </w:p>
    <w:p w14:paraId="745F70E4" w14:textId="58C5CF11" w:rsidR="004A6F71" w:rsidRDefault="004A6F71" w:rsidP="00EB0A63">
      <w:pPr>
        <w:spacing w:after="0" w:line="240" w:lineRule="auto"/>
        <w:rPr>
          <w:rFonts w:cs="Arial"/>
          <w:szCs w:val="22"/>
        </w:rPr>
      </w:pPr>
      <w:r w:rsidRPr="00EB0A63">
        <w:rPr>
          <w:rFonts w:cs="Arial"/>
          <w:szCs w:val="22"/>
        </w:rPr>
        <w:t xml:space="preserve">We encourage early lodgment of the AIIR to assist your individual investors with the completion of their income tax return through providing timely information that is pre-filled into </w:t>
      </w:r>
      <w:r w:rsidRPr="00F4606C">
        <w:rPr>
          <w:rFonts w:cs="Arial"/>
          <w:szCs w:val="22"/>
        </w:rPr>
        <w:t>myTax</w:t>
      </w:r>
      <w:r w:rsidRPr="00EB0A63">
        <w:rPr>
          <w:rFonts w:cs="Arial"/>
          <w:szCs w:val="22"/>
        </w:rPr>
        <w:t xml:space="preserve"> and provided to Tax Agents via the Online service for agents (OSfA) and </w:t>
      </w:r>
      <w:r w:rsidR="00B05991">
        <w:rPr>
          <w:rFonts w:cs="Arial"/>
          <w:szCs w:val="22"/>
        </w:rPr>
        <w:t>Practitioner Lodgment Service (</w:t>
      </w:r>
      <w:r w:rsidRPr="00EB0A63">
        <w:rPr>
          <w:rFonts w:cs="Arial"/>
          <w:szCs w:val="22"/>
        </w:rPr>
        <w:t>Standard business requirements (SBR)</w:t>
      </w:r>
      <w:r w:rsidR="00B05991">
        <w:rPr>
          <w:rFonts w:cs="Arial"/>
          <w:szCs w:val="22"/>
        </w:rPr>
        <w:t>)</w:t>
      </w:r>
      <w:r w:rsidRPr="00EB0A63">
        <w:rPr>
          <w:rFonts w:cs="Arial"/>
          <w:szCs w:val="22"/>
        </w:rPr>
        <w:t>. You can make it easier for your investors to lodge their tax return by:</w:t>
      </w:r>
    </w:p>
    <w:p w14:paraId="13D05428" w14:textId="77777777" w:rsidR="00EB0A63" w:rsidRPr="00EB0A63" w:rsidRDefault="00EB0A63" w:rsidP="00F4606C">
      <w:pPr>
        <w:spacing w:after="0" w:line="240" w:lineRule="auto"/>
        <w:rPr>
          <w:rFonts w:cs="Arial"/>
          <w:szCs w:val="22"/>
        </w:rPr>
      </w:pPr>
    </w:p>
    <w:p w14:paraId="0C7AC8D4" w14:textId="77777777" w:rsidR="004A6F71" w:rsidRPr="00EB0A63" w:rsidRDefault="004A6F71" w:rsidP="00F4606C">
      <w:pPr>
        <w:pStyle w:val="ListParagraph"/>
        <w:numPr>
          <w:ilvl w:val="1"/>
          <w:numId w:val="25"/>
        </w:numPr>
        <w:spacing w:after="0" w:line="240" w:lineRule="auto"/>
        <w:rPr>
          <w:rFonts w:cs="Arial"/>
          <w:szCs w:val="22"/>
        </w:rPr>
      </w:pPr>
      <w:r w:rsidRPr="00EB0A63">
        <w:rPr>
          <w:rFonts w:cs="Arial"/>
          <w:szCs w:val="22"/>
        </w:rPr>
        <w:t>lodging in a timely manner</w:t>
      </w:r>
    </w:p>
    <w:p w14:paraId="5D771301" w14:textId="77777777" w:rsidR="004A6F71" w:rsidRPr="00EB0A63" w:rsidRDefault="004A6F71" w:rsidP="00F4606C">
      <w:pPr>
        <w:pStyle w:val="ListParagraph"/>
        <w:numPr>
          <w:ilvl w:val="1"/>
          <w:numId w:val="25"/>
        </w:numPr>
        <w:spacing w:after="0" w:line="240" w:lineRule="auto"/>
        <w:rPr>
          <w:rFonts w:cs="Arial"/>
          <w:szCs w:val="22"/>
        </w:rPr>
      </w:pPr>
      <w:r w:rsidRPr="00EB0A63">
        <w:rPr>
          <w:rFonts w:cs="Arial"/>
          <w:szCs w:val="22"/>
        </w:rPr>
        <w:t xml:space="preserve">providing data in the manner set out in the specifications available from the </w:t>
      </w:r>
      <w:hyperlink r:id="rId22" w:history="1">
        <w:r w:rsidRPr="00F4606C">
          <w:rPr>
            <w:szCs w:val="22"/>
          </w:rPr>
          <w:t>Software developers website.</w:t>
        </w:r>
      </w:hyperlink>
      <w:r w:rsidRPr="00EB0A63">
        <w:rPr>
          <w:rFonts w:cs="Arial"/>
          <w:szCs w:val="22"/>
        </w:rPr>
        <w:t xml:space="preserve"> </w:t>
      </w:r>
    </w:p>
    <w:p w14:paraId="3C20EAB9" w14:textId="77777777" w:rsidR="004A6F71" w:rsidRPr="00496A6D" w:rsidRDefault="004A6F71" w:rsidP="004A6F71">
      <w:pPr>
        <w:pStyle w:val="Heading3"/>
      </w:pPr>
      <w:bookmarkStart w:id="580" w:name="_Toc232191303"/>
      <w:r w:rsidRPr="00496A6D">
        <w:t xml:space="preserve">AIIR lodgments that contain MIT </w:t>
      </w:r>
      <w:r>
        <w:t>f</w:t>
      </w:r>
      <w:r w:rsidRPr="00496A6D">
        <w:t xml:space="preserve">und </w:t>
      </w:r>
      <w:r>
        <w:t>p</w:t>
      </w:r>
      <w:r w:rsidRPr="00496A6D">
        <w:t>ayments</w:t>
      </w:r>
      <w:bookmarkEnd w:id="580"/>
      <w:r w:rsidRPr="00496A6D">
        <w:t xml:space="preserve"> </w:t>
      </w:r>
    </w:p>
    <w:p w14:paraId="55D9A17C" w14:textId="27B452FD" w:rsidR="004A6F71" w:rsidRDefault="004A6F71" w:rsidP="00EB0A63">
      <w:pPr>
        <w:spacing w:after="0" w:line="240" w:lineRule="auto"/>
        <w:rPr>
          <w:rFonts w:cs="Arial"/>
          <w:szCs w:val="22"/>
        </w:rPr>
      </w:pPr>
      <w:r w:rsidRPr="00EB0A63">
        <w:rPr>
          <w:rFonts w:cs="Arial"/>
          <w:szCs w:val="22"/>
        </w:rPr>
        <w:t>Lodgment is due within 14 days after the end of six months following the end of the MIT’s income year. If, for example, the end of the income year is 30 June 202</w:t>
      </w:r>
      <w:r w:rsidR="00FA43F0">
        <w:rPr>
          <w:rFonts w:cs="Arial"/>
          <w:szCs w:val="22"/>
        </w:rPr>
        <w:t>5</w:t>
      </w:r>
      <w:r w:rsidRPr="00EB0A63">
        <w:rPr>
          <w:rFonts w:cs="Arial"/>
          <w:szCs w:val="22"/>
        </w:rPr>
        <w:t>, the annual report is due by 14 January 202</w:t>
      </w:r>
      <w:r w:rsidR="00FA43F0">
        <w:rPr>
          <w:rFonts w:cs="Arial"/>
          <w:szCs w:val="22"/>
        </w:rPr>
        <w:t>6</w:t>
      </w:r>
      <w:r w:rsidRPr="00EB0A63">
        <w:rPr>
          <w:rFonts w:cs="Arial"/>
          <w:szCs w:val="22"/>
        </w:rPr>
        <w:t>.  The AIIR is the approved form for the annual report.</w:t>
      </w:r>
    </w:p>
    <w:p w14:paraId="54E34BAD" w14:textId="77777777" w:rsidR="00EB0A63" w:rsidRPr="00EB0A63" w:rsidRDefault="00EB0A63" w:rsidP="00F4606C">
      <w:pPr>
        <w:spacing w:after="0" w:line="240" w:lineRule="auto"/>
        <w:rPr>
          <w:rFonts w:cs="Arial"/>
          <w:szCs w:val="22"/>
        </w:rPr>
      </w:pPr>
    </w:p>
    <w:p w14:paraId="1914E991" w14:textId="77777777" w:rsidR="004A6F71" w:rsidRPr="00EB0A63" w:rsidRDefault="004A6F71" w:rsidP="00F4606C">
      <w:pPr>
        <w:spacing w:after="0" w:line="240" w:lineRule="auto"/>
        <w:rPr>
          <w:rFonts w:cs="Arial"/>
          <w:szCs w:val="22"/>
        </w:rPr>
      </w:pPr>
      <w:r w:rsidRPr="00B35C0A">
        <w:rPr>
          <w:rFonts w:cs="Arial"/>
          <w:szCs w:val="22"/>
        </w:rPr>
        <w:t>If an entity is required to lodge an AIIR</w:t>
      </w:r>
      <w:r>
        <w:rPr>
          <w:rFonts w:cs="Arial"/>
          <w:szCs w:val="22"/>
        </w:rPr>
        <w:t xml:space="preserve"> containing investment income</w:t>
      </w:r>
      <w:r w:rsidRPr="00B35C0A">
        <w:rPr>
          <w:rFonts w:cs="Arial"/>
          <w:szCs w:val="22"/>
        </w:rPr>
        <w:t xml:space="preserve"> and it is also required to provide information about </w:t>
      </w:r>
      <w:r>
        <w:rPr>
          <w:rFonts w:cs="Arial"/>
          <w:szCs w:val="22"/>
        </w:rPr>
        <w:t xml:space="preserve">fund payments and </w:t>
      </w:r>
      <w:r w:rsidRPr="00B35C0A">
        <w:rPr>
          <w:rFonts w:cs="Arial"/>
          <w:szCs w:val="22"/>
        </w:rPr>
        <w:t>amounts withheld from fund payments, it can include the information</w:t>
      </w:r>
      <w:r>
        <w:rPr>
          <w:rFonts w:cs="Arial"/>
          <w:szCs w:val="22"/>
        </w:rPr>
        <w:t xml:space="preserve"> in one AIIR or report the investment income and fund payments in two separate AIIRs.  The acceptance of the AIIR as the form of reporting of subdivision 12-H payments does not alter the existing requirements to lodge the AIIR containing investment income by 31 October each year.  </w:t>
      </w:r>
    </w:p>
    <w:p w14:paraId="52511925" w14:textId="77777777" w:rsidR="004A6F71" w:rsidRPr="00223472" w:rsidRDefault="004A6F71" w:rsidP="004A6F71">
      <w:pPr>
        <w:pStyle w:val="Heading2"/>
      </w:pPr>
      <w:bookmarkStart w:id="581" w:name="_Toc232191304"/>
      <w:r w:rsidRPr="00223472">
        <w:t>Lodgment methods</w:t>
      </w:r>
      <w:bookmarkEnd w:id="581"/>
    </w:p>
    <w:p w14:paraId="0C3E867F" w14:textId="77777777" w:rsidR="004A6F71" w:rsidRPr="00EB5792" w:rsidRDefault="004A6F71" w:rsidP="00F4606C">
      <w:pPr>
        <w:tabs>
          <w:tab w:val="left" w:pos="0"/>
        </w:tabs>
        <w:autoSpaceDE w:val="0"/>
        <w:autoSpaceDN w:val="0"/>
        <w:adjustRightInd w:val="0"/>
        <w:spacing w:after="0" w:line="240" w:lineRule="auto"/>
        <w:rPr>
          <w:rFonts w:cs="Arial"/>
          <w:szCs w:val="22"/>
        </w:rPr>
      </w:pPr>
      <w:r>
        <w:rPr>
          <w:rFonts w:cs="Arial"/>
        </w:rPr>
        <w:t xml:space="preserve">AIIR files can be submitted via Online services for business (OSB) or </w:t>
      </w:r>
      <w:r w:rsidRPr="0094003F">
        <w:rPr>
          <w:rFonts w:cs="Arial"/>
        </w:rPr>
        <w:t>OSfA. AIIR files prepared using the ERS are submitted via the File Transfer function and AIIR files prepared in the PC spreadsheet format are submitted via the Communication fu</w:t>
      </w:r>
      <w:r>
        <w:rPr>
          <w:rFonts w:cs="Arial"/>
        </w:rPr>
        <w:t>nction.</w:t>
      </w:r>
    </w:p>
    <w:p w14:paraId="55BA78BF" w14:textId="77777777" w:rsidR="004A6F71" w:rsidRPr="00B35C0A" w:rsidRDefault="004A6F71" w:rsidP="004A6F71">
      <w:pPr>
        <w:pStyle w:val="Heading3"/>
      </w:pPr>
      <w:bookmarkStart w:id="582" w:name="_Toc232191305"/>
      <w:r>
        <w:t>OSB and OSfA</w:t>
      </w:r>
      <w:bookmarkEnd w:id="582"/>
    </w:p>
    <w:p w14:paraId="6DB72395" w14:textId="77777777" w:rsidR="004A6F71" w:rsidRDefault="004A6F71" w:rsidP="00F4606C">
      <w:pPr>
        <w:spacing w:after="0" w:line="240" w:lineRule="auto"/>
        <w:rPr>
          <w:rFonts w:cs="Arial"/>
          <w:szCs w:val="22"/>
        </w:rPr>
      </w:pPr>
      <w:r w:rsidRPr="00977C18">
        <w:rPr>
          <w:rFonts w:cs="Arial"/>
          <w:szCs w:val="22"/>
        </w:rPr>
        <w:t>In</w:t>
      </w:r>
      <w:r>
        <w:rPr>
          <w:rFonts w:cs="Arial"/>
          <w:szCs w:val="22"/>
        </w:rPr>
        <w:t xml:space="preserve"> March 2020 AUSkey was replaced by the myGOVID and Relationship Authorisation Manager (RAM). Before you can use your myGOVID, the principal authority needs to link it to an </w:t>
      </w:r>
      <w:r w:rsidRPr="00977C18">
        <w:rPr>
          <w:rFonts w:cs="Arial"/>
          <w:szCs w:val="22"/>
        </w:rPr>
        <w:t>ABN in RAM</w:t>
      </w:r>
      <w:r>
        <w:rPr>
          <w:rFonts w:cs="Arial"/>
          <w:szCs w:val="22"/>
        </w:rPr>
        <w:t xml:space="preserve">. Once linked, they can set up authorisations for employees and others to act on behalf of the business who will accept the authorisation in RAM. More information can be found on the </w:t>
      </w:r>
      <w:hyperlink r:id="rId23" w:history="1">
        <w:r w:rsidRPr="00DC505B">
          <w:rPr>
            <w:rStyle w:val="Hyperlink"/>
            <w:rFonts w:cs="Arial"/>
            <w:szCs w:val="22"/>
          </w:rPr>
          <w:t>myGOVID and RAM</w:t>
        </w:r>
      </w:hyperlink>
      <w:r>
        <w:rPr>
          <w:rStyle w:val="Hyperlink"/>
          <w:rFonts w:cs="Arial"/>
          <w:szCs w:val="22"/>
        </w:rPr>
        <w:t xml:space="preserve"> (</w:t>
      </w:r>
      <w:hyperlink r:id="rId24" w:history="1">
        <w:r w:rsidRPr="003A1F4B">
          <w:rPr>
            <w:rStyle w:val="Hyperlink"/>
            <w:rFonts w:cs="Arial"/>
            <w:szCs w:val="22"/>
          </w:rPr>
          <w:t>www.ato.gov.au</w:t>
        </w:r>
      </w:hyperlink>
      <w:r>
        <w:rPr>
          <w:rStyle w:val="Hyperlink"/>
          <w:rFonts w:cs="Arial"/>
          <w:szCs w:val="22"/>
        </w:rPr>
        <w:t xml:space="preserve">) </w:t>
      </w:r>
      <w:r>
        <w:rPr>
          <w:rFonts w:cs="Arial"/>
          <w:szCs w:val="22"/>
        </w:rPr>
        <w:t xml:space="preserve"> webpage. </w:t>
      </w:r>
    </w:p>
    <w:p w14:paraId="25DCF00F" w14:textId="77777777" w:rsidR="004A6F71" w:rsidRDefault="004A6F71" w:rsidP="004A6F71">
      <w:pPr>
        <w:rPr>
          <w:rFonts w:cs="Arial"/>
          <w:szCs w:val="22"/>
        </w:rPr>
      </w:pPr>
    </w:p>
    <w:p w14:paraId="27F23CB4" w14:textId="77777777" w:rsidR="004A6F71" w:rsidRDefault="004A6F71" w:rsidP="00F4606C">
      <w:pPr>
        <w:spacing w:after="0" w:line="240" w:lineRule="auto"/>
        <w:rPr>
          <w:rFonts w:cs="Arial"/>
          <w:szCs w:val="22"/>
        </w:rPr>
      </w:pPr>
      <w:r>
        <w:rPr>
          <w:rFonts w:cs="Arial"/>
          <w:szCs w:val="22"/>
        </w:rPr>
        <w:t>The portals can be accessed through the links below:</w:t>
      </w:r>
    </w:p>
    <w:p w14:paraId="130F8349" w14:textId="77777777" w:rsidR="004A6F71" w:rsidRDefault="004A6F71" w:rsidP="004A6F71">
      <w:pPr>
        <w:rPr>
          <w:rFonts w:cs="Arial"/>
          <w:szCs w:val="22"/>
        </w:rPr>
      </w:pPr>
    </w:p>
    <w:p w14:paraId="552C3C58" w14:textId="77777777" w:rsidR="004A6F71" w:rsidRPr="00DC505B" w:rsidRDefault="004A6F71">
      <w:pPr>
        <w:pStyle w:val="ListParagraph"/>
        <w:numPr>
          <w:ilvl w:val="0"/>
          <w:numId w:val="29"/>
        </w:numPr>
        <w:spacing w:after="200" w:line="276" w:lineRule="auto"/>
        <w:rPr>
          <w:rFonts w:cs="Arial"/>
        </w:rPr>
      </w:pPr>
      <w:hyperlink r:id="rId25" w:history="1">
        <w:r w:rsidRPr="00ED01C1">
          <w:rPr>
            <w:rStyle w:val="Hyperlink"/>
            <w:rFonts w:cs="Arial"/>
          </w:rPr>
          <w:t>Online services for business</w:t>
        </w:r>
      </w:hyperlink>
    </w:p>
    <w:p w14:paraId="1D13D7FC" w14:textId="77777777" w:rsidR="004A6F71" w:rsidRPr="00DC505B" w:rsidRDefault="004A6F71">
      <w:pPr>
        <w:pStyle w:val="ListParagraph"/>
        <w:numPr>
          <w:ilvl w:val="0"/>
          <w:numId w:val="29"/>
        </w:numPr>
        <w:spacing w:after="200" w:line="276" w:lineRule="auto"/>
        <w:rPr>
          <w:rFonts w:cs="Arial"/>
        </w:rPr>
      </w:pPr>
      <w:hyperlink r:id="rId26" w:history="1">
        <w:r w:rsidRPr="00ED01C1">
          <w:rPr>
            <w:rStyle w:val="Hyperlink"/>
            <w:rFonts w:cs="Arial"/>
          </w:rPr>
          <w:t>Online services for agents</w:t>
        </w:r>
      </w:hyperlink>
    </w:p>
    <w:p w14:paraId="1D519420" w14:textId="77777777" w:rsidR="004A6F71" w:rsidRPr="00B35C0A" w:rsidRDefault="004A6F71" w:rsidP="004A6F71">
      <w:pPr>
        <w:pStyle w:val="Heading3"/>
      </w:pPr>
      <w:bookmarkStart w:id="583" w:name="_Toc232191306"/>
      <w:r>
        <w:t>AIIR ERS lodgment via f</w:t>
      </w:r>
      <w:r w:rsidRPr="00B35C0A">
        <w:t xml:space="preserve">ile </w:t>
      </w:r>
      <w:r>
        <w:t>t</w:t>
      </w:r>
      <w:r w:rsidRPr="00B35C0A">
        <w:t>ransfer</w:t>
      </w:r>
      <w:bookmarkEnd w:id="583"/>
      <w:r w:rsidRPr="00B35C0A">
        <w:t xml:space="preserve"> </w:t>
      </w:r>
    </w:p>
    <w:p w14:paraId="5DAC3E3B" w14:textId="77777777" w:rsidR="004A6F71" w:rsidRDefault="004A6F71" w:rsidP="00F4606C">
      <w:pPr>
        <w:numPr>
          <w:ilvl w:val="2"/>
          <w:numId w:val="1"/>
        </w:numPr>
        <w:spacing w:after="0" w:line="240" w:lineRule="auto"/>
        <w:ind w:left="1077" w:hanging="357"/>
        <w:rPr>
          <w:rFonts w:cs="Arial"/>
          <w:szCs w:val="22"/>
        </w:rPr>
      </w:pPr>
      <w:r>
        <w:rPr>
          <w:rFonts w:cs="Arial"/>
          <w:szCs w:val="22"/>
        </w:rPr>
        <w:t xml:space="preserve">Online services for business – </w:t>
      </w:r>
      <w:r w:rsidRPr="005D3C26">
        <w:rPr>
          <w:rFonts w:cs="Arial"/>
          <w:b/>
          <w:bCs/>
          <w:szCs w:val="22"/>
        </w:rPr>
        <w:t>Lodgments</w:t>
      </w:r>
      <w:r>
        <w:rPr>
          <w:rFonts w:cs="Arial"/>
          <w:szCs w:val="22"/>
        </w:rPr>
        <w:t xml:space="preserve"> then </w:t>
      </w:r>
      <w:r w:rsidRPr="005D3C26">
        <w:rPr>
          <w:rFonts w:cs="Arial"/>
          <w:b/>
          <w:bCs/>
          <w:szCs w:val="22"/>
        </w:rPr>
        <w:t>File transfer</w:t>
      </w:r>
    </w:p>
    <w:p w14:paraId="33DC3686" w14:textId="77777777" w:rsidR="004A6F71" w:rsidRPr="00C1267D" w:rsidRDefault="004A6F71" w:rsidP="00F4606C">
      <w:pPr>
        <w:numPr>
          <w:ilvl w:val="2"/>
          <w:numId w:val="1"/>
        </w:numPr>
        <w:spacing w:after="0" w:line="240" w:lineRule="auto"/>
        <w:ind w:left="1077" w:hanging="357"/>
        <w:rPr>
          <w:rFonts w:cs="Arial"/>
          <w:szCs w:val="22"/>
        </w:rPr>
      </w:pPr>
      <w:r>
        <w:rPr>
          <w:rFonts w:cs="Arial"/>
          <w:szCs w:val="22"/>
        </w:rPr>
        <w:t xml:space="preserve">Online services for agents – Select </w:t>
      </w:r>
      <w:r w:rsidRPr="005D3C26">
        <w:rPr>
          <w:rFonts w:cs="Arial"/>
          <w:b/>
          <w:bCs/>
          <w:szCs w:val="22"/>
        </w:rPr>
        <w:t>Reports and forms</w:t>
      </w:r>
      <w:r>
        <w:rPr>
          <w:rFonts w:cs="Arial"/>
          <w:szCs w:val="22"/>
        </w:rPr>
        <w:t xml:space="preserve"> then </w:t>
      </w:r>
      <w:r w:rsidRPr="005D3C26">
        <w:rPr>
          <w:rFonts w:cs="Arial"/>
          <w:b/>
          <w:bCs/>
          <w:szCs w:val="22"/>
        </w:rPr>
        <w:t>File transfer</w:t>
      </w:r>
      <w:r>
        <w:rPr>
          <w:rFonts w:cs="Arial"/>
          <w:szCs w:val="22"/>
        </w:rPr>
        <w:t xml:space="preserve">.  Select </w:t>
      </w:r>
      <w:r w:rsidRPr="005D3C26">
        <w:rPr>
          <w:rFonts w:cs="Arial"/>
          <w:b/>
          <w:bCs/>
          <w:szCs w:val="22"/>
        </w:rPr>
        <w:t>Lodge</w:t>
      </w:r>
      <w:r>
        <w:rPr>
          <w:rFonts w:cs="Arial"/>
          <w:szCs w:val="22"/>
        </w:rPr>
        <w:t xml:space="preserve"> in the banner to be navigated to the </w:t>
      </w:r>
      <w:r w:rsidRPr="005D3C26">
        <w:rPr>
          <w:rFonts w:cs="Arial"/>
          <w:b/>
          <w:bCs/>
          <w:szCs w:val="22"/>
        </w:rPr>
        <w:t>Lodge</w:t>
      </w:r>
      <w:r>
        <w:rPr>
          <w:rFonts w:cs="Arial"/>
          <w:szCs w:val="22"/>
        </w:rPr>
        <w:t xml:space="preserve"> file screen</w:t>
      </w:r>
    </w:p>
    <w:p w14:paraId="22248B66" w14:textId="77777777" w:rsidR="004A6F71" w:rsidRPr="00C1267D" w:rsidRDefault="004A6F71" w:rsidP="00F4606C">
      <w:pPr>
        <w:numPr>
          <w:ilvl w:val="2"/>
          <w:numId w:val="1"/>
        </w:numPr>
        <w:spacing w:after="0" w:line="240" w:lineRule="auto"/>
        <w:ind w:left="1077" w:hanging="357"/>
        <w:rPr>
          <w:rFonts w:cs="Arial"/>
          <w:szCs w:val="22"/>
        </w:rPr>
      </w:pPr>
      <w:r>
        <w:rPr>
          <w:rFonts w:cs="Arial"/>
          <w:szCs w:val="22"/>
        </w:rPr>
        <w:t xml:space="preserve">At the </w:t>
      </w:r>
      <w:r>
        <w:rPr>
          <w:rFonts w:cs="Arial"/>
          <w:b/>
          <w:bCs/>
          <w:szCs w:val="22"/>
        </w:rPr>
        <w:t xml:space="preserve">Lodge </w:t>
      </w:r>
      <w:r>
        <w:rPr>
          <w:rFonts w:cs="Arial"/>
          <w:szCs w:val="22"/>
        </w:rPr>
        <w:t xml:space="preserve">file screen you have the option to </w:t>
      </w:r>
      <w:r>
        <w:rPr>
          <w:rFonts w:cs="Arial"/>
          <w:b/>
          <w:bCs/>
          <w:szCs w:val="22"/>
        </w:rPr>
        <w:t>Test</w:t>
      </w:r>
      <w:r>
        <w:rPr>
          <w:rFonts w:cs="Arial"/>
          <w:szCs w:val="22"/>
        </w:rPr>
        <w:t xml:space="preserve"> or </w:t>
      </w:r>
      <w:r>
        <w:rPr>
          <w:rFonts w:cs="Arial"/>
          <w:b/>
          <w:bCs/>
          <w:szCs w:val="22"/>
        </w:rPr>
        <w:t xml:space="preserve">Lodge.  </w:t>
      </w:r>
      <w:r>
        <w:rPr>
          <w:rFonts w:cs="Arial"/>
          <w:szCs w:val="22"/>
        </w:rPr>
        <w:t>F</w:t>
      </w:r>
      <w:r w:rsidRPr="00C1267D">
        <w:rPr>
          <w:rFonts w:cs="Arial"/>
          <w:szCs w:val="22"/>
        </w:rPr>
        <w:t xml:space="preserve">iles should be tested prior to lodgment to enable any errors to be corrected prior to lodging. The </w:t>
      </w:r>
      <w:r w:rsidRPr="004549B7">
        <w:rPr>
          <w:rFonts w:cs="Arial"/>
          <w:i/>
          <w:iCs/>
          <w:szCs w:val="22"/>
        </w:rPr>
        <w:t>Run type</w:t>
      </w:r>
      <w:r w:rsidRPr="00C1267D">
        <w:rPr>
          <w:rFonts w:cs="Arial"/>
          <w:szCs w:val="22"/>
        </w:rPr>
        <w:t xml:space="preserve"> (9.4) field in the </w:t>
      </w:r>
      <w:r w:rsidRPr="00EA4911">
        <w:rPr>
          <w:rFonts w:cs="Arial"/>
          <w:i/>
          <w:szCs w:val="22"/>
        </w:rPr>
        <w:t>Supplier Data Record 1</w:t>
      </w:r>
      <w:r w:rsidRPr="00C1267D">
        <w:rPr>
          <w:rFonts w:cs="Arial"/>
          <w:szCs w:val="22"/>
        </w:rPr>
        <w:t xml:space="preserve"> must be set to T for test data or P for production data</w:t>
      </w:r>
    </w:p>
    <w:p w14:paraId="6F047DED" w14:textId="77777777" w:rsidR="004A6F71" w:rsidRDefault="004A6F71" w:rsidP="00F4606C">
      <w:pPr>
        <w:spacing w:after="0" w:line="240" w:lineRule="auto"/>
      </w:pPr>
    </w:p>
    <w:p w14:paraId="1A5FDDF1" w14:textId="77777777" w:rsidR="004A6F71" w:rsidRDefault="004A6F71" w:rsidP="00F4606C">
      <w:pPr>
        <w:spacing w:after="0" w:line="240" w:lineRule="auto"/>
        <w:ind w:left="1080"/>
        <w:rPr>
          <w:rStyle w:val="Hyperlink"/>
        </w:rPr>
      </w:pPr>
      <w:r>
        <w:t xml:space="preserve">Further information is available at </w:t>
      </w:r>
    </w:p>
    <w:p w14:paraId="6AD22F4E" w14:textId="77777777" w:rsidR="004A6F71" w:rsidRDefault="004A6F71" w:rsidP="00F4606C">
      <w:pPr>
        <w:spacing w:after="0" w:line="240" w:lineRule="auto"/>
        <w:ind w:left="1077"/>
        <w:rPr>
          <w:rFonts w:cs="Arial"/>
          <w:szCs w:val="22"/>
        </w:rPr>
      </w:pPr>
      <w:hyperlink r:id="rId27" w:history="1">
        <w:r>
          <w:rPr>
            <w:rStyle w:val="Hyperlink"/>
          </w:rPr>
          <w:t>File transfer | Australian Taxation Office (ato.gov.au)</w:t>
        </w:r>
      </w:hyperlink>
    </w:p>
    <w:p w14:paraId="1C6DAB7D" w14:textId="77777777" w:rsidR="004A6F71" w:rsidRDefault="004A6F71" w:rsidP="004A6F71">
      <w:pPr>
        <w:rPr>
          <w:rFonts w:cs="Arial"/>
          <w:szCs w:val="22"/>
        </w:rPr>
      </w:pPr>
    </w:p>
    <w:p w14:paraId="3658A078" w14:textId="77777777" w:rsidR="004A6F71" w:rsidRPr="00B35C0A" w:rsidRDefault="004A6F71" w:rsidP="00F4606C">
      <w:pPr>
        <w:spacing w:after="0" w:line="240" w:lineRule="auto"/>
        <w:ind w:left="1077"/>
        <w:rPr>
          <w:rFonts w:cs="Arial"/>
          <w:szCs w:val="22"/>
        </w:rPr>
      </w:pPr>
      <w:r w:rsidRPr="00B35C0A">
        <w:rPr>
          <w:rFonts w:cs="Arial"/>
          <w:szCs w:val="22"/>
        </w:rPr>
        <w:t xml:space="preserve">Once the transfer is complete an ATO reference number is provided. </w:t>
      </w:r>
    </w:p>
    <w:p w14:paraId="0110EF11" w14:textId="77777777" w:rsidR="004A6F71" w:rsidRPr="0094003F" w:rsidRDefault="004A6F71" w:rsidP="004A6F71">
      <w:pPr>
        <w:pStyle w:val="Heading3"/>
      </w:pPr>
      <w:bookmarkStart w:id="584" w:name="_Toc232191307"/>
      <w:r>
        <w:t xml:space="preserve">AIIR PC Spreadsheet lodgment via </w:t>
      </w:r>
      <w:r w:rsidRPr="0094003F">
        <w:t>Communication</w:t>
      </w:r>
      <w:bookmarkEnd w:id="584"/>
      <w:r w:rsidRPr="0094003F">
        <w:t xml:space="preserve"> </w:t>
      </w:r>
    </w:p>
    <w:p w14:paraId="01B01FFE" w14:textId="77777777" w:rsidR="004A6F71" w:rsidRPr="001912D4" w:rsidRDefault="004A6F71" w:rsidP="00F4606C">
      <w:pPr>
        <w:spacing w:after="0" w:line="240" w:lineRule="auto"/>
        <w:rPr>
          <w:rFonts w:cs="Arial"/>
        </w:rPr>
      </w:pPr>
      <w:r w:rsidRPr="001912D4">
        <w:rPr>
          <w:rFonts w:cs="Arial"/>
        </w:rPr>
        <w:t xml:space="preserve">Login to OSB or OSfA  </w:t>
      </w:r>
    </w:p>
    <w:p w14:paraId="5CC80B52"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 xml:space="preserve">Select </w:t>
      </w:r>
      <w:r w:rsidRPr="009F2D4F">
        <w:rPr>
          <w:rFonts w:cs="Arial"/>
          <w:b/>
        </w:rPr>
        <w:t xml:space="preserve">Communication </w:t>
      </w:r>
      <w:r w:rsidRPr="009F2D4F">
        <w:rPr>
          <w:rFonts w:cs="Arial"/>
        </w:rPr>
        <w:t> </w:t>
      </w:r>
    </w:p>
    <w:p w14:paraId="01672909"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 xml:space="preserve">Select </w:t>
      </w:r>
      <w:r w:rsidRPr="009F2D4F">
        <w:rPr>
          <w:rFonts w:cs="Arial"/>
          <w:b/>
          <w:bCs/>
        </w:rPr>
        <w:t>Secure Mail</w:t>
      </w:r>
      <w:r w:rsidRPr="009F2D4F">
        <w:rPr>
          <w:rFonts w:cs="Arial"/>
        </w:rPr>
        <w:t xml:space="preserve"> </w:t>
      </w:r>
    </w:p>
    <w:p w14:paraId="6D9DFA23"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 xml:space="preserve">Select </w:t>
      </w:r>
      <w:r w:rsidRPr="009F2D4F">
        <w:rPr>
          <w:rFonts w:cs="Arial"/>
          <w:b/>
          <w:bCs/>
        </w:rPr>
        <w:t>New</w:t>
      </w:r>
      <w:r w:rsidRPr="009F2D4F">
        <w:rPr>
          <w:rFonts w:cs="Arial"/>
        </w:rPr>
        <w:t xml:space="preserve"> </w:t>
      </w:r>
    </w:p>
    <w:p w14:paraId="6091EF93"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Under Topic</w:t>
      </w:r>
      <w:r w:rsidRPr="009F2D4F">
        <w:rPr>
          <w:rFonts w:cs="Arial"/>
          <w:b/>
          <w:bCs/>
        </w:rPr>
        <w:t xml:space="preserve"> – </w:t>
      </w:r>
      <w:r w:rsidRPr="009F2D4F">
        <w:rPr>
          <w:rFonts w:cs="Arial"/>
        </w:rPr>
        <w:t xml:space="preserve">Select </w:t>
      </w:r>
      <w:r w:rsidRPr="009F2D4F">
        <w:rPr>
          <w:rFonts w:cs="Arial"/>
          <w:b/>
          <w:bCs/>
        </w:rPr>
        <w:t>View More Topics</w:t>
      </w:r>
      <w:r w:rsidRPr="009F2D4F">
        <w:rPr>
          <w:rFonts w:cs="Arial"/>
        </w:rPr>
        <w:t xml:space="preserve"> </w:t>
      </w:r>
    </w:p>
    <w:p w14:paraId="59A0BE21" w14:textId="77777777" w:rsidR="004A6F71" w:rsidRPr="009F2D4F" w:rsidRDefault="004A6F71" w:rsidP="001601AF">
      <w:pPr>
        <w:pStyle w:val="ListParagraph"/>
        <w:numPr>
          <w:ilvl w:val="0"/>
          <w:numId w:val="78"/>
        </w:numPr>
        <w:spacing w:after="0" w:line="240" w:lineRule="auto"/>
        <w:ind w:left="1077" w:hanging="357"/>
        <w:rPr>
          <w:rFonts w:cs="Arial"/>
          <w:b/>
          <w:bCs/>
        </w:rPr>
      </w:pPr>
      <w:r w:rsidRPr="009F2D4F">
        <w:rPr>
          <w:rFonts w:cs="Arial"/>
        </w:rPr>
        <w:t>Other Topics – Select</w:t>
      </w:r>
      <w:r w:rsidRPr="009F2D4F">
        <w:rPr>
          <w:rFonts w:cs="Arial"/>
          <w:b/>
          <w:bCs/>
        </w:rPr>
        <w:t xml:space="preserve"> Lodge Report</w:t>
      </w:r>
    </w:p>
    <w:p w14:paraId="06AAEF21" w14:textId="77777777" w:rsidR="004A6F71" w:rsidRPr="009F2D4F" w:rsidRDefault="004A6F71" w:rsidP="001601AF">
      <w:pPr>
        <w:pStyle w:val="Bullet2"/>
        <w:numPr>
          <w:ilvl w:val="0"/>
          <w:numId w:val="78"/>
        </w:numPr>
        <w:spacing w:before="0" w:after="0"/>
        <w:ind w:left="1077" w:hanging="357"/>
        <w:rPr>
          <w:rFonts w:asciiTheme="minorHAnsi" w:hAnsiTheme="minorHAnsi" w:cs="Arial"/>
          <w:sz w:val="20"/>
          <w:szCs w:val="20"/>
        </w:rPr>
      </w:pPr>
      <w:r w:rsidRPr="009F2D4F">
        <w:rPr>
          <w:rFonts w:asciiTheme="minorHAnsi" w:hAnsiTheme="minorHAnsi" w:cs="Arial"/>
          <w:sz w:val="20"/>
          <w:szCs w:val="20"/>
        </w:rPr>
        <w:t>Under Subject – Select</w:t>
      </w:r>
      <w:r w:rsidRPr="009F2D4F">
        <w:rPr>
          <w:rFonts w:asciiTheme="minorHAnsi" w:hAnsiTheme="minorHAnsi" w:cs="Arial"/>
          <w:b/>
          <w:bCs/>
          <w:sz w:val="20"/>
          <w:szCs w:val="20"/>
        </w:rPr>
        <w:t xml:space="preserve"> Annual investment income report lodgment – PC spreadsheet</w:t>
      </w:r>
    </w:p>
    <w:p w14:paraId="66A4711E" w14:textId="77777777" w:rsidR="004A6F71" w:rsidRPr="009F2D4F" w:rsidRDefault="004A6F71" w:rsidP="001601AF">
      <w:pPr>
        <w:pStyle w:val="Bullet2"/>
        <w:numPr>
          <w:ilvl w:val="0"/>
          <w:numId w:val="78"/>
        </w:numPr>
        <w:spacing w:before="0" w:after="0"/>
        <w:ind w:left="1077" w:hanging="357"/>
        <w:rPr>
          <w:rFonts w:asciiTheme="minorHAnsi" w:hAnsiTheme="minorHAnsi" w:cs="Arial"/>
          <w:sz w:val="20"/>
          <w:szCs w:val="20"/>
        </w:rPr>
      </w:pPr>
      <w:r w:rsidRPr="009F2D4F">
        <w:rPr>
          <w:rFonts w:asciiTheme="minorHAnsi" w:hAnsiTheme="minorHAnsi" w:cs="Arial"/>
          <w:sz w:val="20"/>
          <w:szCs w:val="20"/>
        </w:rPr>
        <w:t>Complete Message</w:t>
      </w:r>
    </w:p>
    <w:p w14:paraId="4D948B93"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b/>
          <w:bCs/>
        </w:rPr>
        <w:t>Attach File</w:t>
      </w:r>
      <w:r w:rsidRPr="009F2D4F">
        <w:rPr>
          <w:rFonts w:cs="Arial"/>
        </w:rPr>
        <w:t xml:space="preserve"> </w:t>
      </w:r>
    </w:p>
    <w:p w14:paraId="56BB7405" w14:textId="77777777" w:rsidR="004A6F71" w:rsidRPr="009F2D4F" w:rsidRDefault="004A6F71" w:rsidP="001601AF">
      <w:pPr>
        <w:pStyle w:val="ListParagraph"/>
        <w:numPr>
          <w:ilvl w:val="0"/>
          <w:numId w:val="78"/>
        </w:numPr>
        <w:spacing w:after="0" w:line="240" w:lineRule="auto"/>
        <w:ind w:left="1077" w:hanging="357"/>
        <w:rPr>
          <w:rFonts w:cs="Arial"/>
        </w:rPr>
      </w:pPr>
      <w:r w:rsidRPr="009F2D4F">
        <w:rPr>
          <w:rFonts w:cs="Arial"/>
        </w:rPr>
        <w:t xml:space="preserve">Complete </w:t>
      </w:r>
      <w:r w:rsidRPr="009F2D4F">
        <w:rPr>
          <w:rFonts w:cs="Arial"/>
          <w:b/>
          <w:bCs/>
        </w:rPr>
        <w:t>Contact details and Declaration</w:t>
      </w:r>
    </w:p>
    <w:p w14:paraId="705EDA0D" w14:textId="77777777" w:rsidR="004A6F71" w:rsidRPr="00F4606C" w:rsidRDefault="004A6F71" w:rsidP="001601AF">
      <w:pPr>
        <w:pStyle w:val="ListParagraph"/>
        <w:numPr>
          <w:ilvl w:val="0"/>
          <w:numId w:val="78"/>
        </w:numPr>
        <w:spacing w:after="0" w:line="240" w:lineRule="auto"/>
        <w:ind w:left="1077" w:hanging="357"/>
        <w:rPr>
          <w:rFonts w:cs="Arial"/>
        </w:rPr>
      </w:pPr>
      <w:r w:rsidRPr="00F4606C">
        <w:rPr>
          <w:rFonts w:cs="Arial"/>
        </w:rPr>
        <w:t xml:space="preserve">Select </w:t>
      </w:r>
      <w:r w:rsidRPr="00F4606C">
        <w:rPr>
          <w:rFonts w:cs="Arial"/>
          <w:b/>
        </w:rPr>
        <w:t>Send</w:t>
      </w:r>
    </w:p>
    <w:p w14:paraId="01E016B1" w14:textId="77777777" w:rsidR="004A6F71" w:rsidRDefault="004A6F71" w:rsidP="004A6F71">
      <w:pPr>
        <w:spacing w:before="60" w:after="60" w:line="276" w:lineRule="auto"/>
        <w:rPr>
          <w:rFonts w:cs="Arial"/>
          <w:szCs w:val="22"/>
        </w:rPr>
      </w:pPr>
    </w:p>
    <w:p w14:paraId="0CD3426B" w14:textId="77777777" w:rsidR="004A6F71" w:rsidRPr="001F51FE" w:rsidRDefault="004A6F71" w:rsidP="00F4606C">
      <w:pPr>
        <w:spacing w:after="0" w:line="240" w:lineRule="auto"/>
        <w:rPr>
          <w:rFonts w:cs="Arial"/>
          <w:szCs w:val="22"/>
        </w:rPr>
      </w:pPr>
      <w:r w:rsidRPr="001F51FE">
        <w:rPr>
          <w:rFonts w:cs="Arial"/>
          <w:szCs w:val="22"/>
        </w:rPr>
        <w:t>Once the transfer is complete an ATO reference number is provided.</w:t>
      </w:r>
      <w:r>
        <w:rPr>
          <w:rFonts w:cs="Arial"/>
          <w:szCs w:val="22"/>
        </w:rPr>
        <w:t xml:space="preserve">  It is not possible to test AIIR PC spreadsheet files before lodgment.</w:t>
      </w:r>
    </w:p>
    <w:p w14:paraId="1FA7CC9B" w14:textId="77777777" w:rsidR="004A6F71" w:rsidRPr="00B35C0A" w:rsidRDefault="004A6F71" w:rsidP="004A6F71">
      <w:pPr>
        <w:pStyle w:val="Heading3"/>
      </w:pPr>
      <w:bookmarkStart w:id="585" w:name="_Toc232191308"/>
      <w:r w:rsidRPr="00B35C0A">
        <w:t xml:space="preserve">Lodging </w:t>
      </w:r>
      <w:r>
        <w:t>n</w:t>
      </w:r>
      <w:r w:rsidRPr="00B35C0A">
        <w:t xml:space="preserve">il AIIR </w:t>
      </w:r>
      <w:r>
        <w:t>r</w:t>
      </w:r>
      <w:r w:rsidRPr="00B35C0A">
        <w:t>e</w:t>
      </w:r>
      <w:r>
        <w:t>ports</w:t>
      </w:r>
      <w:bookmarkEnd w:id="585"/>
    </w:p>
    <w:p w14:paraId="03611697" w14:textId="58D6392D" w:rsidR="004A6F71" w:rsidRDefault="004A6F71" w:rsidP="001912D4">
      <w:pPr>
        <w:autoSpaceDE w:val="0"/>
        <w:autoSpaceDN w:val="0"/>
        <w:adjustRightInd w:val="0"/>
        <w:spacing w:after="0" w:line="240" w:lineRule="auto"/>
        <w:rPr>
          <w:rFonts w:cs="Arial"/>
        </w:rPr>
      </w:pPr>
      <w:bookmarkStart w:id="586" w:name="_Hlk72828022"/>
      <w:r>
        <w:rPr>
          <w:rFonts w:cs="Arial"/>
        </w:rPr>
        <w:t xml:space="preserve">Nil returns are only required for investment income and not for shares and unit transaction lodgments.  </w:t>
      </w:r>
    </w:p>
    <w:p w14:paraId="2D5C5FB2" w14:textId="77777777" w:rsidR="001912D4" w:rsidRDefault="001912D4" w:rsidP="00F4606C">
      <w:pPr>
        <w:autoSpaceDE w:val="0"/>
        <w:autoSpaceDN w:val="0"/>
        <w:adjustRightInd w:val="0"/>
        <w:spacing w:after="0" w:line="240" w:lineRule="auto"/>
        <w:rPr>
          <w:rFonts w:cs="Arial"/>
        </w:rPr>
      </w:pPr>
    </w:p>
    <w:p w14:paraId="3EAC639A" w14:textId="1C3ABE3C" w:rsidR="004A6F71" w:rsidRDefault="004A6F71" w:rsidP="001912D4">
      <w:pPr>
        <w:autoSpaceDE w:val="0"/>
        <w:autoSpaceDN w:val="0"/>
        <w:adjustRightInd w:val="0"/>
        <w:spacing w:after="0" w:line="240" w:lineRule="auto"/>
        <w:rPr>
          <w:rFonts w:cs="Arial"/>
        </w:rPr>
      </w:pPr>
      <w:r w:rsidRPr="1FC5EEFE">
        <w:rPr>
          <w:rFonts w:cs="Arial"/>
        </w:rPr>
        <w:t>Nil AIIR files, that is, files that contain no investment income distributions or attributions, will be only accepted by the Portal</w:t>
      </w:r>
      <w:r>
        <w:rPr>
          <w:rFonts w:cs="Arial"/>
        </w:rPr>
        <w:t>s</w:t>
      </w:r>
      <w:r w:rsidRPr="1FC5EEFE">
        <w:rPr>
          <w:rFonts w:cs="Arial"/>
        </w:rPr>
        <w:t xml:space="preserve"> if the </w:t>
      </w:r>
      <w:r w:rsidRPr="1FC5EEFE">
        <w:rPr>
          <w:rFonts w:cs="Arial"/>
          <w:i/>
          <w:iCs/>
        </w:rPr>
        <w:t>Type of report</w:t>
      </w:r>
      <w:r w:rsidRPr="1FC5EEFE">
        <w:rPr>
          <w:rFonts w:cs="Arial"/>
        </w:rPr>
        <w:t xml:space="preserve"> (9.7) field in </w:t>
      </w:r>
      <w:r w:rsidRPr="1FC5EEFE">
        <w:rPr>
          <w:rFonts w:cs="Arial"/>
          <w:i/>
          <w:iCs/>
        </w:rPr>
        <w:t>Supplier data record 1</w:t>
      </w:r>
      <w:r w:rsidRPr="1FC5EEFE">
        <w:rPr>
          <w:rFonts w:cs="Arial"/>
        </w:rPr>
        <w:t xml:space="preserve"> is set to N. This will indicate that the file contains no </w:t>
      </w:r>
      <w:r w:rsidRPr="1FC5EEFE">
        <w:rPr>
          <w:rFonts w:cs="Arial"/>
          <w:i/>
          <w:iCs/>
        </w:rPr>
        <w:t>Investment account data records</w:t>
      </w:r>
      <w:r>
        <w:rPr>
          <w:rFonts w:cs="Arial"/>
        </w:rPr>
        <w:t>.</w:t>
      </w:r>
      <w:r w:rsidRPr="1FC5EEFE">
        <w:rPr>
          <w:rFonts w:cs="Arial"/>
        </w:rPr>
        <w:t xml:space="preserve"> </w:t>
      </w:r>
      <w:r w:rsidRPr="1FC5EEFE">
        <w:rPr>
          <w:rFonts w:cs="Arial"/>
          <w:i/>
          <w:iCs/>
        </w:rPr>
        <w:t xml:space="preserve">Supplementary income account data records, Farm Management Deposit account data records </w:t>
      </w:r>
      <w:r w:rsidRPr="1FC5EEFE">
        <w:rPr>
          <w:rFonts w:cs="Arial"/>
        </w:rPr>
        <w:t xml:space="preserve">or </w:t>
      </w:r>
      <w:r w:rsidRPr="1FC5EEFE">
        <w:rPr>
          <w:rFonts w:cs="Arial"/>
          <w:i/>
          <w:iCs/>
        </w:rPr>
        <w:t>Investor data records</w:t>
      </w:r>
      <w:r w:rsidRPr="1FC5EEFE">
        <w:rPr>
          <w:rFonts w:cs="Arial"/>
        </w:rPr>
        <w:t>. The file will be accepted and processed accordingly.</w:t>
      </w:r>
      <w:r>
        <w:rPr>
          <w:rFonts w:cs="Arial"/>
        </w:rPr>
        <w:t xml:space="preserve"> </w:t>
      </w:r>
      <w:r w:rsidRPr="1FC5EEFE">
        <w:rPr>
          <w:rFonts w:cs="Arial"/>
        </w:rPr>
        <w:t xml:space="preserve">In addition, the </w:t>
      </w:r>
      <w:r w:rsidRPr="1FC5EEFE">
        <w:rPr>
          <w:rFonts w:cs="Arial"/>
          <w:i/>
          <w:iCs/>
        </w:rPr>
        <w:t>Report format indicator</w:t>
      </w:r>
      <w:r w:rsidRPr="1FC5EEFE">
        <w:rPr>
          <w:rFonts w:cs="Arial"/>
        </w:rPr>
        <w:t xml:space="preserve"> </w:t>
      </w:r>
      <w:r>
        <w:rPr>
          <w:rFonts w:cs="Arial"/>
        </w:rPr>
        <w:t xml:space="preserve">(9.47) </w:t>
      </w:r>
      <w:r w:rsidRPr="1FC5EEFE">
        <w:rPr>
          <w:rFonts w:cs="Arial"/>
        </w:rPr>
        <w:t xml:space="preserve">field in each of the </w:t>
      </w:r>
      <w:r w:rsidRPr="1FC5EEFE">
        <w:rPr>
          <w:rFonts w:cs="Arial"/>
          <w:i/>
          <w:iCs/>
        </w:rPr>
        <w:t>Investment body identity data records</w:t>
      </w:r>
      <w:r w:rsidRPr="1FC5EEFE">
        <w:rPr>
          <w:rFonts w:cs="Arial"/>
        </w:rPr>
        <w:t xml:space="preserve"> in the file must be set to N to indicate that each report in the file is a NIL return. </w:t>
      </w:r>
      <w:r>
        <w:rPr>
          <w:rFonts w:cs="Arial"/>
        </w:rPr>
        <w:t xml:space="preserve"> </w:t>
      </w:r>
    </w:p>
    <w:p w14:paraId="14A0B627" w14:textId="77777777" w:rsidR="001912D4" w:rsidRDefault="001912D4" w:rsidP="00F4606C">
      <w:pPr>
        <w:autoSpaceDE w:val="0"/>
        <w:autoSpaceDN w:val="0"/>
        <w:adjustRightInd w:val="0"/>
        <w:spacing w:after="0" w:line="240" w:lineRule="auto"/>
        <w:rPr>
          <w:rFonts w:cs="Arial"/>
          <w:color w:val="000000"/>
        </w:rPr>
      </w:pPr>
    </w:p>
    <w:p w14:paraId="7675EABD" w14:textId="77777777" w:rsidR="004A6F71" w:rsidRPr="00F42AA4" w:rsidRDefault="004A6F71" w:rsidP="00F4606C">
      <w:pPr>
        <w:tabs>
          <w:tab w:val="left" w:pos="0"/>
        </w:tabs>
        <w:autoSpaceDE w:val="0"/>
        <w:autoSpaceDN w:val="0"/>
        <w:adjustRightInd w:val="0"/>
        <w:spacing w:after="0" w:line="240" w:lineRule="auto"/>
        <w:rPr>
          <w:rFonts w:cs="Arial"/>
        </w:rPr>
      </w:pPr>
      <w:r w:rsidRPr="00FF3646">
        <w:rPr>
          <w:rFonts w:cs="Arial"/>
          <w:color w:val="000000"/>
        </w:rPr>
        <w:t xml:space="preserve">It is </w:t>
      </w:r>
      <w:r>
        <w:rPr>
          <w:rFonts w:cs="Arial"/>
          <w:color w:val="000000"/>
        </w:rPr>
        <w:t xml:space="preserve">also </w:t>
      </w:r>
      <w:r w:rsidRPr="00FF3646">
        <w:rPr>
          <w:rFonts w:cs="Arial"/>
          <w:color w:val="000000"/>
        </w:rPr>
        <w:t xml:space="preserve">recommended, to avoid unnecessary contact, </w:t>
      </w:r>
      <w:bookmarkStart w:id="587" w:name="_Hlk47448369"/>
      <w:r w:rsidRPr="00FF3646">
        <w:rPr>
          <w:rFonts w:cs="Arial"/>
          <w:color w:val="000000"/>
        </w:rPr>
        <w:t xml:space="preserve">if there is also no further obligation to lodge, the </w:t>
      </w:r>
      <w:r w:rsidRPr="00496A6D">
        <w:rPr>
          <w:rFonts w:cs="Arial"/>
          <w:i/>
          <w:iCs/>
          <w:color w:val="000000"/>
        </w:rPr>
        <w:t>Future reporting obligation</w:t>
      </w:r>
      <w:r w:rsidRPr="00FF3646">
        <w:rPr>
          <w:rFonts w:cs="Arial"/>
          <w:color w:val="000000"/>
        </w:rPr>
        <w:t xml:space="preserve"> (9.46) field is set to </w:t>
      </w:r>
      <w:r w:rsidRPr="00F42AA4">
        <w:rPr>
          <w:rFonts w:cs="Arial"/>
        </w:rPr>
        <w:t>N.</w:t>
      </w:r>
    </w:p>
    <w:p w14:paraId="24BB4A73" w14:textId="77777777" w:rsidR="004A6F71" w:rsidRPr="00B35C0A" w:rsidRDefault="004A6F71" w:rsidP="004A6F71">
      <w:pPr>
        <w:pStyle w:val="Heading3"/>
      </w:pPr>
      <w:bookmarkStart w:id="588" w:name="_Toc232191309"/>
      <w:bookmarkEnd w:id="586"/>
      <w:bookmarkEnd w:id="587"/>
      <w:r w:rsidRPr="00B35C0A">
        <w:t xml:space="preserve">Portal </w:t>
      </w:r>
      <w:r>
        <w:t>c</w:t>
      </w:r>
      <w:r w:rsidRPr="00F42AA4">
        <w:t>ommunication</w:t>
      </w:r>
      <w:r>
        <w:t xml:space="preserve"> </w:t>
      </w:r>
      <w:r w:rsidRPr="00B35C0A">
        <w:t>notifications</w:t>
      </w:r>
      <w:bookmarkEnd w:id="588"/>
    </w:p>
    <w:p w14:paraId="4023E5EF" w14:textId="4F27E1F1" w:rsidR="004A6F71" w:rsidRDefault="004A6F71" w:rsidP="001912D4">
      <w:pPr>
        <w:spacing w:after="0" w:line="240" w:lineRule="auto"/>
        <w:rPr>
          <w:rFonts w:cs="Arial"/>
        </w:rPr>
      </w:pPr>
      <w:r w:rsidRPr="001912D4">
        <w:rPr>
          <w:rFonts w:cs="Arial"/>
        </w:rPr>
        <w:t>Email notification is a useful way of being alerted of new portal messages from us. Reporters who lodge through the file transfer facility will receive notification that the following data is available to download and also receive notification of AIIR extension of time outcomes</w:t>
      </w:r>
    </w:p>
    <w:p w14:paraId="4813BD4E" w14:textId="77777777" w:rsidR="001912D4" w:rsidRPr="001912D4" w:rsidRDefault="001912D4" w:rsidP="00F4606C">
      <w:pPr>
        <w:spacing w:after="0" w:line="240" w:lineRule="auto"/>
        <w:rPr>
          <w:rFonts w:cs="Arial"/>
        </w:rPr>
      </w:pPr>
    </w:p>
    <w:p w14:paraId="3C38D897" w14:textId="77777777" w:rsidR="004A6F71" w:rsidRPr="00B35C0A" w:rsidRDefault="004A6F71" w:rsidP="001601AF">
      <w:pPr>
        <w:pStyle w:val="ListParagraph"/>
        <w:numPr>
          <w:ilvl w:val="0"/>
          <w:numId w:val="78"/>
        </w:numPr>
        <w:spacing w:after="0" w:line="240" w:lineRule="auto"/>
        <w:ind w:left="1077" w:hanging="357"/>
        <w:rPr>
          <w:rFonts w:cs="Arial"/>
        </w:rPr>
      </w:pPr>
      <w:r>
        <w:rPr>
          <w:rFonts w:cs="Arial"/>
        </w:rPr>
        <w:t xml:space="preserve">AIIR channel lodgment </w:t>
      </w:r>
      <w:r w:rsidRPr="00B35C0A">
        <w:rPr>
          <w:rFonts w:cs="Arial"/>
        </w:rPr>
        <w:t>validation reports</w:t>
      </w:r>
    </w:p>
    <w:p w14:paraId="6BD9FFBB" w14:textId="77777777" w:rsidR="004A6F71" w:rsidRDefault="004A6F71" w:rsidP="001601AF">
      <w:pPr>
        <w:pStyle w:val="ListParagraph"/>
        <w:numPr>
          <w:ilvl w:val="0"/>
          <w:numId w:val="78"/>
        </w:numPr>
        <w:spacing w:after="0" w:line="240" w:lineRule="auto"/>
        <w:ind w:left="1077" w:hanging="357"/>
        <w:rPr>
          <w:rFonts w:cs="Arial"/>
        </w:rPr>
      </w:pPr>
      <w:r w:rsidRPr="00B35C0A">
        <w:rPr>
          <w:rFonts w:cs="Arial"/>
        </w:rPr>
        <w:t>return files such as Corrected ABN and TFN reports</w:t>
      </w:r>
    </w:p>
    <w:p w14:paraId="253491D6" w14:textId="77777777" w:rsidR="004A6F71" w:rsidRDefault="004A6F71" w:rsidP="004A6F71">
      <w:pPr>
        <w:rPr>
          <w:rFonts w:cs="Arial"/>
          <w:szCs w:val="22"/>
        </w:rPr>
      </w:pPr>
    </w:p>
    <w:p w14:paraId="6CCB7D9B" w14:textId="77777777" w:rsidR="004A6F71" w:rsidRPr="001912D4" w:rsidRDefault="004A6F71" w:rsidP="00F4606C">
      <w:pPr>
        <w:spacing w:after="0" w:line="240" w:lineRule="auto"/>
        <w:rPr>
          <w:rFonts w:cs="Arial"/>
        </w:rPr>
      </w:pPr>
      <w:r w:rsidRPr="001912D4">
        <w:rPr>
          <w:rFonts w:cs="Arial"/>
        </w:rPr>
        <w:t>It is recommended that you set up email notification to receive automatic emails when there is a download available in your Portal inbox.</w:t>
      </w:r>
    </w:p>
    <w:p w14:paraId="559E8C5B" w14:textId="77777777" w:rsidR="004A6F71" w:rsidRPr="001912D4" w:rsidRDefault="004A6F71" w:rsidP="00F4606C">
      <w:pPr>
        <w:spacing w:after="0" w:line="240" w:lineRule="auto"/>
        <w:rPr>
          <w:rFonts w:cs="Arial"/>
        </w:rPr>
      </w:pPr>
    </w:p>
    <w:p w14:paraId="3E7B7260" w14:textId="77777777" w:rsidR="004A6F71" w:rsidRPr="001912D4" w:rsidRDefault="004A6F71" w:rsidP="00F4606C">
      <w:pPr>
        <w:spacing w:after="0" w:line="240" w:lineRule="auto"/>
        <w:rPr>
          <w:rFonts w:cs="Arial"/>
        </w:rPr>
      </w:pPr>
      <w:r w:rsidRPr="001912D4">
        <w:rPr>
          <w:rFonts w:cs="Arial"/>
        </w:rPr>
        <w:t xml:space="preserve">We recommend you use a group email for your organisation rather than individual users email addresses. The email address provided is used to receive </w:t>
      </w:r>
      <w:r w:rsidRPr="00F4606C">
        <w:rPr>
          <w:rFonts w:cs="Arial"/>
        </w:rPr>
        <w:t>all</w:t>
      </w:r>
      <w:r w:rsidRPr="001912D4">
        <w:rPr>
          <w:rFonts w:cs="Arial"/>
        </w:rPr>
        <w:t xml:space="preserve"> portal emails for your organisation, not just those relating to AIIR.</w:t>
      </w:r>
    </w:p>
    <w:p w14:paraId="20DF9542" w14:textId="77777777" w:rsidR="004A6F71" w:rsidRPr="00B35C0A" w:rsidRDefault="004A6F71" w:rsidP="004A6F71">
      <w:pPr>
        <w:rPr>
          <w:rFonts w:cs="Arial"/>
          <w:szCs w:val="22"/>
        </w:rPr>
      </w:pPr>
    </w:p>
    <w:p w14:paraId="3C6DCA49" w14:textId="77777777" w:rsidR="004A6F71" w:rsidRPr="00B35C0A" w:rsidRDefault="004A6F71" w:rsidP="004A6F71">
      <w:pPr>
        <w:rPr>
          <w:rFonts w:cs="Arial"/>
          <w:szCs w:val="22"/>
        </w:rPr>
      </w:pPr>
      <w:r w:rsidRPr="00B35C0A">
        <w:rPr>
          <w:rFonts w:cs="Arial"/>
          <w:szCs w:val="22"/>
        </w:rPr>
        <w:t>To set up email notification:</w:t>
      </w:r>
    </w:p>
    <w:p w14:paraId="5AF62D08" w14:textId="77777777" w:rsidR="004A6F71" w:rsidRPr="001912D4" w:rsidRDefault="004A6F71" w:rsidP="00F4606C">
      <w:pPr>
        <w:spacing w:after="0" w:line="240" w:lineRule="auto"/>
        <w:rPr>
          <w:rFonts w:cs="Arial"/>
        </w:rPr>
      </w:pPr>
      <w:r w:rsidRPr="001912D4">
        <w:rPr>
          <w:rFonts w:cs="Arial"/>
        </w:rPr>
        <w:t xml:space="preserve">Login to OSB or OSFA  </w:t>
      </w:r>
    </w:p>
    <w:p w14:paraId="312A75EE"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1912D4">
        <w:rPr>
          <w:rFonts w:cs="Arial"/>
          <w:b/>
          <w:bCs/>
        </w:rPr>
        <w:t>Communication</w:t>
      </w:r>
      <w:r w:rsidRPr="00F4606C">
        <w:rPr>
          <w:rFonts w:cs="Arial"/>
          <w:b/>
          <w:bCs/>
        </w:rPr>
        <w:t xml:space="preserve"> </w:t>
      </w:r>
      <w:r w:rsidRPr="001912D4">
        <w:rPr>
          <w:rFonts w:cs="Arial"/>
        </w:rPr>
        <w:t> </w:t>
      </w:r>
    </w:p>
    <w:p w14:paraId="44FB0620"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1912D4">
        <w:rPr>
          <w:rFonts w:cs="Arial"/>
          <w:b/>
          <w:bCs/>
        </w:rPr>
        <w:t>Secure Mail</w:t>
      </w:r>
      <w:r w:rsidRPr="001912D4">
        <w:rPr>
          <w:rFonts w:cs="Arial"/>
        </w:rPr>
        <w:t xml:space="preserve"> </w:t>
      </w:r>
    </w:p>
    <w:p w14:paraId="6D26CB38" w14:textId="77777777" w:rsidR="004A6F71" w:rsidRPr="00F4606C" w:rsidRDefault="004A6F71" w:rsidP="001601AF">
      <w:pPr>
        <w:pStyle w:val="ListParagraph"/>
        <w:numPr>
          <w:ilvl w:val="0"/>
          <w:numId w:val="78"/>
        </w:numPr>
        <w:spacing w:after="0" w:line="240" w:lineRule="auto"/>
        <w:ind w:left="1077" w:hanging="357"/>
        <w:rPr>
          <w:rFonts w:cs="Arial"/>
          <w:b/>
          <w:bCs/>
        </w:rPr>
      </w:pPr>
      <w:r w:rsidRPr="001912D4">
        <w:rPr>
          <w:rFonts w:cs="Arial"/>
        </w:rPr>
        <w:t xml:space="preserve">Select </w:t>
      </w:r>
      <w:r w:rsidRPr="001912D4">
        <w:rPr>
          <w:rFonts w:cs="Arial"/>
          <w:b/>
          <w:bCs/>
        </w:rPr>
        <w:t xml:space="preserve">Notifications </w:t>
      </w:r>
    </w:p>
    <w:p w14:paraId="044F1C22" w14:textId="77777777" w:rsidR="004A6F71" w:rsidRPr="00F4606C" w:rsidRDefault="004A6F71" w:rsidP="001601AF">
      <w:pPr>
        <w:pStyle w:val="ListParagraph"/>
        <w:numPr>
          <w:ilvl w:val="0"/>
          <w:numId w:val="78"/>
        </w:numPr>
        <w:spacing w:after="0" w:line="240" w:lineRule="auto"/>
        <w:ind w:left="1077" w:hanging="357"/>
        <w:rPr>
          <w:rFonts w:cs="Arial"/>
        </w:rPr>
      </w:pPr>
      <w:r w:rsidRPr="001912D4">
        <w:rPr>
          <w:rFonts w:cs="Arial"/>
        </w:rPr>
        <w:t xml:space="preserve">Enter the email address in the field box and select </w:t>
      </w:r>
      <w:r w:rsidRPr="001912D4">
        <w:rPr>
          <w:rFonts w:cs="Arial"/>
          <w:b/>
          <w:bCs/>
        </w:rPr>
        <w:t>Save</w:t>
      </w:r>
      <w:r w:rsidRPr="00F4606C">
        <w:rPr>
          <w:rFonts w:cs="Arial"/>
        </w:rPr>
        <w:t xml:space="preserve"> </w:t>
      </w:r>
    </w:p>
    <w:p w14:paraId="69F6F055" w14:textId="77777777" w:rsidR="004A6F71" w:rsidRPr="005B6D0E" w:rsidRDefault="004A6F71" w:rsidP="004A6F71">
      <w:pPr>
        <w:pStyle w:val="Heading3"/>
      </w:pPr>
      <w:bookmarkStart w:id="589" w:name="_Toc232191310"/>
      <w:r w:rsidRPr="005B6D0E">
        <w:t>Lodgment validation</w:t>
      </w:r>
      <w:r>
        <w:t>s</w:t>
      </w:r>
      <w:bookmarkEnd w:id="589"/>
    </w:p>
    <w:p w14:paraId="416EDE9F" w14:textId="77777777" w:rsidR="004A6F71" w:rsidRPr="00B35C0A" w:rsidRDefault="004A6F71" w:rsidP="00F4606C">
      <w:pPr>
        <w:spacing w:after="0" w:line="240" w:lineRule="auto"/>
        <w:rPr>
          <w:rFonts w:eastAsia="Calibri" w:cs="Arial"/>
          <w:szCs w:val="22"/>
        </w:rPr>
      </w:pPr>
      <w:r w:rsidRPr="00B35C0A">
        <w:rPr>
          <w:rFonts w:eastAsia="Calibri" w:cs="Arial"/>
          <w:szCs w:val="22"/>
        </w:rPr>
        <w:t xml:space="preserve">After an AIIR file is submitted and transferred, through the portal’s file transfer to </w:t>
      </w:r>
      <w:r>
        <w:rPr>
          <w:rFonts w:eastAsia="Calibri" w:cs="Arial"/>
          <w:szCs w:val="22"/>
        </w:rPr>
        <w:t>us</w:t>
      </w:r>
      <w:r w:rsidRPr="00B35C0A">
        <w:rPr>
          <w:rFonts w:eastAsia="Calibri" w:cs="Arial"/>
          <w:szCs w:val="22"/>
        </w:rPr>
        <w:t>, the File status – in progress screen is displayed, providing a link to the validation result. Once downloaded the validation report confirms if the file has been lodged or if there are errors to correct.</w:t>
      </w:r>
      <w:r>
        <w:rPr>
          <w:rFonts w:eastAsia="Calibri" w:cs="Arial"/>
          <w:szCs w:val="22"/>
        </w:rPr>
        <w:t xml:space="preserve"> (</w:t>
      </w:r>
      <w:hyperlink w:anchor="_Appendix_D–_ATO" w:history="1">
        <w:r w:rsidRPr="00882756">
          <w:rPr>
            <w:rStyle w:val="Hyperlink"/>
            <w:rFonts w:eastAsia="Calibri" w:cs="Arial"/>
            <w:szCs w:val="22"/>
          </w:rPr>
          <w:t>Refer to Appendix D – ATO lodgment validations – corrective action)</w:t>
        </w:r>
      </w:hyperlink>
    </w:p>
    <w:p w14:paraId="555F4942" w14:textId="77777777" w:rsidR="004A6F71" w:rsidRPr="00B35C0A" w:rsidRDefault="004A6F71" w:rsidP="00F4606C">
      <w:pPr>
        <w:spacing w:after="0" w:line="240" w:lineRule="auto"/>
        <w:rPr>
          <w:rFonts w:eastAsia="Calibri" w:cs="Arial"/>
          <w:szCs w:val="22"/>
        </w:rPr>
      </w:pPr>
    </w:p>
    <w:p w14:paraId="438A5E77" w14:textId="77777777" w:rsidR="004A6F71" w:rsidRPr="00B35C0A" w:rsidRDefault="004A6F71" w:rsidP="00F4606C">
      <w:pPr>
        <w:spacing w:after="0" w:line="240" w:lineRule="auto"/>
        <w:rPr>
          <w:rFonts w:eastAsia="Calibri" w:cs="Arial"/>
          <w:szCs w:val="22"/>
        </w:rPr>
      </w:pPr>
      <w:r w:rsidRPr="00B35C0A">
        <w:rPr>
          <w:rFonts w:eastAsia="Calibri" w:cs="Arial"/>
          <w:szCs w:val="22"/>
        </w:rPr>
        <w:t xml:space="preserve">If </w:t>
      </w:r>
      <w:r w:rsidRPr="00EF6E85">
        <w:rPr>
          <w:rFonts w:eastAsia="Calibri" w:cs="Arial"/>
          <w:b/>
          <w:szCs w:val="22"/>
        </w:rPr>
        <w:t xml:space="preserve">Test </w:t>
      </w:r>
      <w:r w:rsidRPr="00B35C0A">
        <w:rPr>
          <w:rFonts w:eastAsia="Calibri" w:cs="Arial"/>
          <w:szCs w:val="22"/>
        </w:rPr>
        <w:t>has been selected, files will not be lodged to us, but a validation report is still produced.</w:t>
      </w:r>
    </w:p>
    <w:p w14:paraId="2E56CDE1" w14:textId="77777777" w:rsidR="004A6F71" w:rsidRPr="00B35C0A" w:rsidRDefault="004A6F71" w:rsidP="004A6F71">
      <w:pPr>
        <w:rPr>
          <w:rFonts w:eastAsia="Calibri" w:cs="Arial"/>
          <w:szCs w:val="22"/>
        </w:rPr>
      </w:pPr>
    </w:p>
    <w:p w14:paraId="5324F1A0" w14:textId="77777777" w:rsidR="004A6F71" w:rsidRDefault="004A6F71" w:rsidP="00F4606C">
      <w:pPr>
        <w:spacing w:after="0" w:line="240" w:lineRule="auto"/>
        <w:rPr>
          <w:rFonts w:eastAsia="Calibri" w:cs="Arial"/>
          <w:szCs w:val="22"/>
        </w:rPr>
      </w:pPr>
      <w:r w:rsidRPr="00B35C0A">
        <w:rPr>
          <w:rFonts w:eastAsia="Calibri" w:cs="Arial"/>
          <w:szCs w:val="22"/>
        </w:rPr>
        <w:t xml:space="preserve">Errors must be corrected before the report can be lodged.  A report may be lodged with warning errors but it is recommended that they are corrected, where possible, before lodgment to improve the data quality.  In some cases, warnings may prevent the information pre-filling.  </w:t>
      </w:r>
    </w:p>
    <w:p w14:paraId="4B566C81" w14:textId="77777777" w:rsidR="004A6F71" w:rsidRPr="00B35C0A" w:rsidRDefault="004A6F71" w:rsidP="004A6F71">
      <w:pPr>
        <w:pStyle w:val="Heading3"/>
      </w:pPr>
      <w:bookmarkStart w:id="590" w:name="_Toc232191311"/>
      <w:r w:rsidRPr="00B35C0A">
        <w:t>Extension of time to lodge</w:t>
      </w:r>
      <w:bookmarkEnd w:id="590"/>
    </w:p>
    <w:p w14:paraId="4D8D617C" w14:textId="2F70BE38" w:rsidR="004A6F71" w:rsidRPr="00F4606C" w:rsidRDefault="004A6F71" w:rsidP="001912D4">
      <w:pPr>
        <w:spacing w:after="0" w:line="240" w:lineRule="auto"/>
        <w:rPr>
          <w:rFonts w:eastAsia="Calibri" w:cs="Arial"/>
          <w:szCs w:val="22"/>
        </w:rPr>
      </w:pPr>
      <w:r w:rsidRPr="00F4606C">
        <w:rPr>
          <w:rFonts w:eastAsia="Calibri" w:cs="Arial"/>
          <w:szCs w:val="22"/>
        </w:rPr>
        <w:t xml:space="preserve">If investment bodies and other organisations are unable to lodge an AIIR report by the due date, they may apply for an extension of time to lodge before the report due date. An extension of time to lodge can be requested via the OSB or OSfA.  A separate request must be made for each entity </w:t>
      </w:r>
      <w:r w:rsidR="003B6F87">
        <w:rPr>
          <w:rFonts w:eastAsia="Calibri" w:cs="Arial"/>
          <w:szCs w:val="22"/>
        </w:rPr>
        <w:t xml:space="preserve">(one entity per request) </w:t>
      </w:r>
      <w:r w:rsidRPr="00F4606C">
        <w:rPr>
          <w:rFonts w:eastAsia="Calibri" w:cs="Arial"/>
          <w:szCs w:val="22"/>
        </w:rPr>
        <w:t xml:space="preserve">requiring an extension of time and made </w:t>
      </w:r>
      <w:r w:rsidRPr="00F4606C">
        <w:rPr>
          <w:rFonts w:eastAsia="Calibri" w:cs="Arial"/>
          <w:b/>
          <w:bCs/>
          <w:szCs w:val="22"/>
        </w:rPr>
        <w:t>via Portal Communication</w:t>
      </w:r>
      <w:r w:rsidRPr="00F4606C">
        <w:rPr>
          <w:rFonts w:eastAsia="Calibri" w:cs="Arial"/>
          <w:szCs w:val="22"/>
        </w:rPr>
        <w:t xml:space="preserve">. </w:t>
      </w:r>
    </w:p>
    <w:p w14:paraId="43E1BCF8" w14:textId="77777777" w:rsidR="004A6F71" w:rsidRPr="0094003F" w:rsidRDefault="004A6F71" w:rsidP="004A6F71">
      <w:pPr>
        <w:rPr>
          <w:rFonts w:cs="Arial"/>
        </w:rPr>
      </w:pPr>
    </w:p>
    <w:p w14:paraId="461B57A6" w14:textId="77777777" w:rsidR="004A6F71" w:rsidRPr="0094003F" w:rsidRDefault="004A6F71" w:rsidP="004A6F71">
      <w:pPr>
        <w:rPr>
          <w:rFonts w:cs="Arial"/>
        </w:rPr>
      </w:pPr>
      <w:r w:rsidRPr="0094003F">
        <w:rPr>
          <w:rFonts w:cs="Arial"/>
        </w:rPr>
        <w:t>To request an extension of time to lodge:</w:t>
      </w:r>
    </w:p>
    <w:p w14:paraId="21FE682D" w14:textId="77777777" w:rsidR="004A6F71" w:rsidRPr="0094003F" w:rsidRDefault="004A6F71" w:rsidP="004A6F71">
      <w:pPr>
        <w:spacing w:before="120" w:after="60" w:line="276" w:lineRule="auto"/>
        <w:rPr>
          <w:rFonts w:cs="Arial"/>
        </w:rPr>
      </w:pPr>
      <w:r w:rsidRPr="0094003F">
        <w:rPr>
          <w:rFonts w:cs="Arial"/>
        </w:rPr>
        <w:t xml:space="preserve">Login to </w:t>
      </w:r>
      <w:r>
        <w:rPr>
          <w:rFonts w:cs="Arial"/>
        </w:rPr>
        <w:t>OSB</w:t>
      </w:r>
      <w:r w:rsidRPr="0094003F">
        <w:rPr>
          <w:rFonts w:cs="Arial"/>
        </w:rPr>
        <w:t xml:space="preserve"> or OSfA  </w:t>
      </w:r>
    </w:p>
    <w:p w14:paraId="37EF5D44"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F4606C">
        <w:rPr>
          <w:rFonts w:cs="Arial"/>
          <w:b/>
          <w:bCs/>
        </w:rPr>
        <w:t xml:space="preserve">Communication </w:t>
      </w:r>
      <w:r w:rsidRPr="001912D4">
        <w:rPr>
          <w:rFonts w:cs="Arial"/>
        </w:rPr>
        <w:t> </w:t>
      </w:r>
    </w:p>
    <w:p w14:paraId="74D9C826"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F4606C">
        <w:rPr>
          <w:rFonts w:cs="Arial"/>
          <w:b/>
          <w:bCs/>
        </w:rPr>
        <w:t>Secure Mail</w:t>
      </w:r>
      <w:r w:rsidRPr="001912D4">
        <w:rPr>
          <w:rFonts w:cs="Arial"/>
        </w:rPr>
        <w:t xml:space="preserve"> </w:t>
      </w:r>
    </w:p>
    <w:p w14:paraId="61E060D3" w14:textId="77777777" w:rsidR="004A6F71" w:rsidRPr="00F4606C" w:rsidRDefault="004A6F71" w:rsidP="001601AF">
      <w:pPr>
        <w:pStyle w:val="ListParagraph"/>
        <w:numPr>
          <w:ilvl w:val="0"/>
          <w:numId w:val="78"/>
        </w:numPr>
        <w:spacing w:after="0" w:line="240" w:lineRule="auto"/>
        <w:ind w:left="1077" w:hanging="357"/>
        <w:rPr>
          <w:rFonts w:cs="Arial"/>
          <w:b/>
          <w:bCs/>
        </w:rPr>
      </w:pPr>
      <w:r w:rsidRPr="001912D4">
        <w:rPr>
          <w:rFonts w:cs="Arial"/>
        </w:rPr>
        <w:t xml:space="preserve">Select </w:t>
      </w:r>
      <w:r w:rsidRPr="00F4606C">
        <w:rPr>
          <w:rFonts w:cs="Arial"/>
          <w:b/>
          <w:bCs/>
        </w:rPr>
        <w:t xml:space="preserve">New </w:t>
      </w:r>
    </w:p>
    <w:p w14:paraId="77EF64C7"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Under Topic – Select </w:t>
      </w:r>
      <w:r w:rsidRPr="00F4606C">
        <w:rPr>
          <w:rFonts w:cs="Arial"/>
          <w:b/>
          <w:bCs/>
        </w:rPr>
        <w:t>View More Topics</w:t>
      </w:r>
      <w:r w:rsidRPr="001912D4">
        <w:rPr>
          <w:rFonts w:cs="Arial"/>
        </w:rPr>
        <w:t xml:space="preserve"> </w:t>
      </w:r>
    </w:p>
    <w:p w14:paraId="35FA163D"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Other Topics – Select </w:t>
      </w:r>
      <w:r w:rsidRPr="00F4606C">
        <w:rPr>
          <w:rFonts w:cs="Arial"/>
          <w:b/>
          <w:bCs/>
        </w:rPr>
        <w:t>Lodge Report</w:t>
      </w:r>
    </w:p>
    <w:p w14:paraId="5633E405" w14:textId="1DCFFE39" w:rsidR="004A6F71" w:rsidRPr="00F4606C" w:rsidRDefault="004A6F71" w:rsidP="001601AF">
      <w:pPr>
        <w:pStyle w:val="ListParagraph"/>
        <w:numPr>
          <w:ilvl w:val="0"/>
          <w:numId w:val="78"/>
        </w:numPr>
        <w:spacing w:after="0" w:line="240" w:lineRule="auto"/>
        <w:ind w:left="1077" w:hanging="357"/>
        <w:rPr>
          <w:rFonts w:cs="Arial"/>
          <w:b/>
          <w:bCs/>
        </w:rPr>
      </w:pPr>
      <w:r w:rsidRPr="001912D4">
        <w:rPr>
          <w:rFonts w:cs="Arial"/>
        </w:rPr>
        <w:t>Under Subject –</w:t>
      </w:r>
      <w:r w:rsidR="006F3CD1">
        <w:rPr>
          <w:rFonts w:cs="Arial"/>
        </w:rPr>
        <w:t xml:space="preserve"> Select</w:t>
      </w:r>
      <w:r w:rsidRPr="001912D4">
        <w:rPr>
          <w:rFonts w:cs="Arial"/>
        </w:rPr>
        <w:t xml:space="preserve"> </w:t>
      </w:r>
      <w:r w:rsidRPr="00F4606C">
        <w:rPr>
          <w:rFonts w:cs="Arial"/>
          <w:b/>
          <w:bCs/>
        </w:rPr>
        <w:t>Annual investment income report extension of time</w:t>
      </w:r>
    </w:p>
    <w:p w14:paraId="1FBF870F" w14:textId="5F706FD5" w:rsidR="004A6F71" w:rsidRPr="00CF1761" w:rsidRDefault="004A6F71" w:rsidP="001601AF">
      <w:pPr>
        <w:pStyle w:val="ListParagraph"/>
        <w:numPr>
          <w:ilvl w:val="0"/>
          <w:numId w:val="78"/>
        </w:numPr>
        <w:spacing w:after="0" w:line="240" w:lineRule="auto"/>
        <w:ind w:left="1077" w:hanging="357"/>
        <w:rPr>
          <w:rFonts w:cs="Arial"/>
          <w:b/>
        </w:rPr>
      </w:pPr>
      <w:r w:rsidRPr="0094003F">
        <w:rPr>
          <w:rFonts w:cs="Arial"/>
        </w:rPr>
        <w:t xml:space="preserve">Complete </w:t>
      </w:r>
      <w:r w:rsidRPr="00F4606C">
        <w:rPr>
          <w:rFonts w:cs="Arial"/>
          <w:b/>
          <w:bCs/>
        </w:rPr>
        <w:t>Message</w:t>
      </w:r>
      <w:r w:rsidR="003B6F87">
        <w:rPr>
          <w:rFonts w:cs="Arial"/>
        </w:rPr>
        <w:t xml:space="preserve"> and include:</w:t>
      </w:r>
    </w:p>
    <w:p w14:paraId="65CD140E" w14:textId="1A5B65BB" w:rsidR="00EC48DA" w:rsidRPr="00B94A3A" w:rsidRDefault="00EC48DA" w:rsidP="00CF1761">
      <w:pPr>
        <w:pStyle w:val="ListParagraph"/>
        <w:numPr>
          <w:ilvl w:val="1"/>
          <w:numId w:val="78"/>
        </w:numPr>
        <w:spacing w:after="0" w:line="240" w:lineRule="auto"/>
        <w:rPr>
          <w:rFonts w:cs="Arial"/>
          <w:b/>
        </w:rPr>
      </w:pPr>
      <w:r>
        <w:rPr>
          <w:rFonts w:cs="Arial"/>
        </w:rPr>
        <w:t>Name and ABN of the investment body requiring the extension</w:t>
      </w:r>
    </w:p>
    <w:p w14:paraId="3C9FFF17" w14:textId="7B1F9188" w:rsidR="00EC48DA" w:rsidRPr="00B94A3A" w:rsidRDefault="00B24222" w:rsidP="00CF1761">
      <w:pPr>
        <w:pStyle w:val="ListParagraph"/>
        <w:numPr>
          <w:ilvl w:val="1"/>
          <w:numId w:val="78"/>
        </w:numPr>
        <w:spacing w:after="0" w:line="240" w:lineRule="auto"/>
        <w:rPr>
          <w:rFonts w:cs="Arial"/>
          <w:b/>
        </w:rPr>
      </w:pPr>
      <w:r>
        <w:rPr>
          <w:rFonts w:cs="Arial"/>
        </w:rPr>
        <w:t>Financial year of the report requiring the extension</w:t>
      </w:r>
    </w:p>
    <w:p w14:paraId="2EDB4E96" w14:textId="3F2BAB2D" w:rsidR="00B24222" w:rsidRPr="00B94A3A" w:rsidRDefault="00B24222" w:rsidP="00CF1761">
      <w:pPr>
        <w:pStyle w:val="ListParagraph"/>
        <w:numPr>
          <w:ilvl w:val="1"/>
          <w:numId w:val="78"/>
        </w:numPr>
        <w:spacing w:after="0" w:line="240" w:lineRule="auto"/>
        <w:rPr>
          <w:rFonts w:cs="Arial"/>
          <w:b/>
        </w:rPr>
      </w:pPr>
      <w:r>
        <w:rPr>
          <w:rFonts w:cs="Arial"/>
        </w:rPr>
        <w:t>Reason the extension is required</w:t>
      </w:r>
    </w:p>
    <w:p w14:paraId="67E86646" w14:textId="3C945FCE" w:rsidR="00B24222" w:rsidRDefault="00B24222" w:rsidP="00B94A3A">
      <w:pPr>
        <w:pStyle w:val="ListParagraph"/>
        <w:numPr>
          <w:ilvl w:val="1"/>
          <w:numId w:val="78"/>
        </w:numPr>
        <w:spacing w:after="0" w:line="240" w:lineRule="auto"/>
        <w:rPr>
          <w:rFonts w:cs="Arial"/>
          <w:b/>
          <w:bCs/>
        </w:rPr>
      </w:pPr>
      <w:r>
        <w:rPr>
          <w:rFonts w:cs="Arial"/>
        </w:rPr>
        <w:t>Date by whic</w:t>
      </w:r>
      <w:r w:rsidR="00F74C8E">
        <w:rPr>
          <w:rFonts w:cs="Arial"/>
        </w:rPr>
        <w:t>h the report will be lodged to the ATO</w:t>
      </w:r>
    </w:p>
    <w:p w14:paraId="11AD0BDD"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Complete </w:t>
      </w:r>
      <w:r w:rsidRPr="00F4606C">
        <w:rPr>
          <w:rFonts w:cs="Arial"/>
          <w:b/>
          <w:bCs/>
        </w:rPr>
        <w:t>Contact details and Declaration</w:t>
      </w:r>
    </w:p>
    <w:p w14:paraId="36ACE6B7" w14:textId="77777777" w:rsidR="004A6F71" w:rsidRPr="001912D4" w:rsidRDefault="004A6F71" w:rsidP="001601AF">
      <w:pPr>
        <w:pStyle w:val="ListParagraph"/>
        <w:numPr>
          <w:ilvl w:val="0"/>
          <w:numId w:val="78"/>
        </w:numPr>
        <w:spacing w:after="0" w:line="240" w:lineRule="auto"/>
        <w:ind w:left="1077" w:hanging="357"/>
        <w:rPr>
          <w:rFonts w:cs="Arial"/>
        </w:rPr>
      </w:pPr>
      <w:r w:rsidRPr="001912D4">
        <w:rPr>
          <w:rFonts w:cs="Arial"/>
        </w:rPr>
        <w:t xml:space="preserve">Select </w:t>
      </w:r>
      <w:r w:rsidRPr="00F4606C">
        <w:rPr>
          <w:rFonts w:cs="Arial"/>
          <w:b/>
          <w:bCs/>
        </w:rPr>
        <w:t>Send</w:t>
      </w:r>
    </w:p>
    <w:p w14:paraId="221BD49F" w14:textId="77777777" w:rsidR="004A6F71" w:rsidRPr="001540D9" w:rsidRDefault="004A6F71" w:rsidP="004A6F71">
      <w:pPr>
        <w:rPr>
          <w:rFonts w:cs="Arial"/>
          <w:szCs w:val="22"/>
        </w:rPr>
      </w:pPr>
    </w:p>
    <w:p w14:paraId="20B89EF2" w14:textId="77777777" w:rsidR="004A6F71" w:rsidRDefault="004A6F71" w:rsidP="00F4606C">
      <w:pPr>
        <w:spacing w:after="0" w:line="240" w:lineRule="auto"/>
        <w:rPr>
          <w:rFonts w:cs="Arial"/>
          <w:szCs w:val="22"/>
        </w:rPr>
      </w:pPr>
      <w:r w:rsidRPr="001540D9">
        <w:rPr>
          <w:rFonts w:cs="Arial"/>
          <w:szCs w:val="22"/>
        </w:rPr>
        <w:t>Confirmation of extensions granted and the expected lodgment date which is set at the time will be provided by reply Portal message. Generally, further extensions after the set date will not be granted.</w:t>
      </w:r>
    </w:p>
    <w:p w14:paraId="65B672D1" w14:textId="77777777" w:rsidR="004A6F71" w:rsidRPr="00B35C0A" w:rsidRDefault="004A6F71" w:rsidP="004A6F71">
      <w:pPr>
        <w:rPr>
          <w:rFonts w:eastAsia="Calibri" w:cs="Arial"/>
          <w:szCs w:val="22"/>
        </w:rPr>
      </w:pPr>
    </w:p>
    <w:p w14:paraId="0986298D" w14:textId="77777777" w:rsidR="0078754A" w:rsidRDefault="0078754A">
      <w:pPr>
        <w:rPr>
          <w:rFonts w:asciiTheme="majorHAnsi" w:eastAsiaTheme="majorEastAsia" w:hAnsiTheme="majorHAnsi" w:cstheme="majorBidi"/>
          <w:b/>
          <w:color w:val="3844CA" w:themeColor="background2"/>
          <w:spacing w:val="-10"/>
          <w:sz w:val="44"/>
          <w:szCs w:val="32"/>
        </w:rPr>
      </w:pPr>
      <w:r>
        <w:br w:type="page"/>
      </w:r>
    </w:p>
    <w:p w14:paraId="0AF695F3" w14:textId="4CBCFEC2" w:rsidR="00115458" w:rsidRPr="00B35C0A" w:rsidRDefault="00115458" w:rsidP="00115458">
      <w:pPr>
        <w:pStyle w:val="Heading1"/>
      </w:pPr>
      <w:bookmarkStart w:id="591" w:name="_Toc232191312"/>
      <w:r>
        <w:t xml:space="preserve">4 </w:t>
      </w:r>
      <w:r w:rsidRPr="00B35C0A">
        <w:t>Investor and account reporting</w:t>
      </w:r>
      <w:bookmarkEnd w:id="591"/>
    </w:p>
    <w:p w14:paraId="30E345CC" w14:textId="77777777" w:rsidR="00115458" w:rsidRPr="006F3CD1" w:rsidRDefault="00115458" w:rsidP="00F4606C">
      <w:pPr>
        <w:spacing w:after="0" w:line="240" w:lineRule="auto"/>
        <w:rPr>
          <w:rFonts w:cs="Arial"/>
          <w:szCs w:val="22"/>
        </w:rPr>
      </w:pPr>
      <w:bookmarkStart w:id="592" w:name="_Toc350434622"/>
      <w:bookmarkStart w:id="593" w:name="_Toc351374919"/>
      <w:r w:rsidRPr="006F3CD1">
        <w:rPr>
          <w:rFonts w:cs="Arial"/>
          <w:szCs w:val="22"/>
        </w:rPr>
        <w:t>Investor identity information reported assists us to correctly identify the individual or entity for which the investment income is being reported. A key purpose of the AIIR is to correctly match the investment income reported with the income declared by taxpayers in their tax return.</w:t>
      </w:r>
    </w:p>
    <w:p w14:paraId="19F977A2" w14:textId="77777777" w:rsidR="00115458" w:rsidRPr="006F3CD1" w:rsidRDefault="00115458" w:rsidP="00F4606C">
      <w:pPr>
        <w:spacing w:after="0" w:line="240" w:lineRule="auto"/>
        <w:rPr>
          <w:rFonts w:cs="Arial"/>
          <w:szCs w:val="22"/>
        </w:rPr>
      </w:pPr>
    </w:p>
    <w:p w14:paraId="126F3122" w14:textId="77777777" w:rsidR="00115458" w:rsidRPr="006F3CD1" w:rsidRDefault="00115458" w:rsidP="00F4606C">
      <w:pPr>
        <w:spacing w:after="0" w:line="240" w:lineRule="auto"/>
        <w:rPr>
          <w:rFonts w:cs="Arial"/>
          <w:szCs w:val="22"/>
        </w:rPr>
      </w:pPr>
      <w:r w:rsidRPr="006F3CD1">
        <w:rPr>
          <w:rFonts w:cs="Arial"/>
          <w:szCs w:val="22"/>
        </w:rPr>
        <w:t>After processing the AIIR, the investment income is made available to individual investors through the ATO’s pre-filling service to myTax, OSfA or SBR. This assists individuals and tax agents to complete and lodge tax returns electronically. The information is also used for compliance activities such as data matching and some of the information may be passed on to other government bodies and foreign tax authorities.</w:t>
      </w:r>
    </w:p>
    <w:p w14:paraId="4EBCB06E" w14:textId="77777777" w:rsidR="00115458" w:rsidRPr="006F3CD1" w:rsidRDefault="00115458" w:rsidP="00F4606C">
      <w:pPr>
        <w:spacing w:after="0" w:line="240" w:lineRule="auto"/>
        <w:rPr>
          <w:rFonts w:cs="Arial"/>
          <w:szCs w:val="22"/>
        </w:rPr>
      </w:pPr>
    </w:p>
    <w:p w14:paraId="37C945F3" w14:textId="77777777" w:rsidR="00115458" w:rsidRPr="006F3CD1" w:rsidRDefault="00115458" w:rsidP="00F4606C">
      <w:pPr>
        <w:spacing w:after="0" w:line="240" w:lineRule="auto"/>
        <w:rPr>
          <w:rFonts w:cs="Arial"/>
          <w:szCs w:val="22"/>
        </w:rPr>
      </w:pPr>
      <w:r w:rsidRPr="006F3CD1">
        <w:rPr>
          <w:rFonts w:cs="Arial"/>
          <w:szCs w:val="22"/>
        </w:rPr>
        <w:t xml:space="preserve">Investment income is reported in the </w:t>
      </w:r>
      <w:r w:rsidRPr="00F4606C">
        <w:rPr>
          <w:rFonts w:cs="Arial"/>
          <w:szCs w:val="22"/>
        </w:rPr>
        <w:t xml:space="preserve">Investment account data record </w:t>
      </w:r>
      <w:r w:rsidRPr="006F3CD1">
        <w:rPr>
          <w:rFonts w:cs="Arial"/>
          <w:szCs w:val="22"/>
        </w:rPr>
        <w:t xml:space="preserve">and the </w:t>
      </w:r>
      <w:r w:rsidRPr="00F4606C">
        <w:rPr>
          <w:rFonts w:cs="Arial"/>
          <w:szCs w:val="22"/>
        </w:rPr>
        <w:t>Supplementary income account data record</w:t>
      </w:r>
      <w:r w:rsidRPr="006F3CD1">
        <w:rPr>
          <w:rFonts w:cs="Arial"/>
          <w:szCs w:val="22"/>
        </w:rPr>
        <w:t xml:space="preserve">. Reporting of movements of principal of FMDs and interest income earned from FMDs is reported in the </w:t>
      </w:r>
      <w:r w:rsidRPr="00F4606C">
        <w:rPr>
          <w:rFonts w:cs="Arial"/>
          <w:szCs w:val="22"/>
        </w:rPr>
        <w:t>Farm management deposit account data record</w:t>
      </w:r>
      <w:r w:rsidRPr="006F3CD1">
        <w:rPr>
          <w:rFonts w:cs="Arial"/>
          <w:szCs w:val="22"/>
        </w:rPr>
        <w:t>.</w:t>
      </w:r>
    </w:p>
    <w:p w14:paraId="3F8D5AE3" w14:textId="77777777" w:rsidR="00115458" w:rsidRPr="006F3CD1" w:rsidRDefault="00115458" w:rsidP="00F4606C">
      <w:pPr>
        <w:spacing w:after="0" w:line="240" w:lineRule="auto"/>
        <w:rPr>
          <w:rFonts w:cs="Arial"/>
          <w:szCs w:val="22"/>
        </w:rPr>
      </w:pPr>
    </w:p>
    <w:p w14:paraId="2CE4879D" w14:textId="77777777" w:rsidR="00115458" w:rsidRPr="006F3CD1" w:rsidRDefault="00115458" w:rsidP="00F4606C">
      <w:pPr>
        <w:spacing w:after="0" w:line="240" w:lineRule="auto"/>
        <w:rPr>
          <w:rFonts w:cs="Arial"/>
          <w:szCs w:val="22"/>
        </w:rPr>
      </w:pPr>
      <w:r w:rsidRPr="006F3CD1">
        <w:rPr>
          <w:rFonts w:cs="Arial"/>
          <w:szCs w:val="22"/>
        </w:rPr>
        <w:t>This section provides guidance on general reporting requirements for investor and account information reported within the AIIR not included elsewhere in this guide.</w:t>
      </w:r>
    </w:p>
    <w:p w14:paraId="56336102" w14:textId="77777777" w:rsidR="00115458" w:rsidRDefault="00115458" w:rsidP="00115458">
      <w:pPr>
        <w:pStyle w:val="Maintext"/>
        <w:rPr>
          <w:rFonts w:cs="Arial"/>
        </w:rPr>
      </w:pPr>
    </w:p>
    <w:p w14:paraId="0C1D74CD" w14:textId="77777777" w:rsidR="00115458" w:rsidRPr="00F4606C" w:rsidRDefault="00115458" w:rsidP="00115458">
      <w:pPr>
        <w:pStyle w:val="Maintext"/>
        <w:rPr>
          <w:rFonts w:asciiTheme="minorHAnsi" w:hAnsiTheme="minorHAnsi" w:cs="Arial"/>
          <w:b/>
          <w:bCs/>
          <w:sz w:val="24"/>
        </w:rPr>
      </w:pPr>
      <w:r w:rsidRPr="00F4606C">
        <w:rPr>
          <w:rFonts w:asciiTheme="minorHAnsi" w:hAnsiTheme="minorHAnsi" w:cs="Arial"/>
          <w:b/>
          <w:bCs/>
          <w:sz w:val="24"/>
        </w:rPr>
        <w:t>Changes since ERS version 13.0.2 included in this section</w:t>
      </w:r>
    </w:p>
    <w:p w14:paraId="6116A59A" w14:textId="77777777" w:rsidR="00115458" w:rsidRPr="00FD3A44" w:rsidRDefault="00115458" w:rsidP="00115458">
      <w:pPr>
        <w:pStyle w:val="Maintext"/>
        <w:rPr>
          <w:rFonts w:cs="Arial"/>
          <w:b/>
          <w:bCs/>
        </w:rPr>
      </w:pPr>
    </w:p>
    <w:p w14:paraId="3CDBE993" w14:textId="07B12CA6" w:rsidR="00115458" w:rsidRPr="00F4606C" w:rsidRDefault="0035389C" w:rsidP="001601AF">
      <w:pPr>
        <w:pStyle w:val="Maintext"/>
        <w:numPr>
          <w:ilvl w:val="0"/>
          <w:numId w:val="54"/>
        </w:numPr>
        <w:rPr>
          <w:rFonts w:asciiTheme="minorHAnsi" w:hAnsiTheme="minorHAnsi" w:cs="Arial"/>
          <w:b/>
          <w:bCs/>
          <w:sz w:val="20"/>
          <w:szCs w:val="20"/>
        </w:rPr>
      </w:pPr>
      <w:r w:rsidRPr="00F4606C">
        <w:rPr>
          <w:rFonts w:asciiTheme="minorHAnsi" w:hAnsiTheme="minorHAnsi" w:cs="Arial"/>
          <w:sz w:val="20"/>
          <w:szCs w:val="20"/>
        </w:rPr>
        <w:t>Modifying payment type of AMT to include CCIV sub-fund trusts</w:t>
      </w:r>
      <w:r w:rsidRPr="00F4606C" w:rsidDel="0035389C">
        <w:rPr>
          <w:rFonts w:asciiTheme="minorHAnsi" w:hAnsiTheme="minorHAnsi" w:cs="Arial"/>
          <w:sz w:val="20"/>
          <w:szCs w:val="20"/>
        </w:rPr>
        <w:t xml:space="preserve"> </w:t>
      </w:r>
    </w:p>
    <w:p w14:paraId="5B9C8411" w14:textId="77777777" w:rsidR="00115458" w:rsidRPr="00B35C0A" w:rsidRDefault="00115458" w:rsidP="00115458">
      <w:pPr>
        <w:pStyle w:val="Heading2"/>
      </w:pPr>
      <w:bookmarkStart w:id="594" w:name="_Toc232191313"/>
      <w:r w:rsidRPr="00B35C0A">
        <w:t>Account signatories</w:t>
      </w:r>
      <w:bookmarkEnd w:id="594"/>
    </w:p>
    <w:p w14:paraId="1E836DF3" w14:textId="77777777" w:rsidR="00115458" w:rsidRPr="00B35C0A" w:rsidRDefault="00115458" w:rsidP="00115458">
      <w:pPr>
        <w:pStyle w:val="Maintext"/>
        <w:rPr>
          <w:rFonts w:cs="Arial"/>
        </w:rPr>
      </w:pPr>
      <w:r w:rsidRPr="00F4606C">
        <w:rPr>
          <w:rFonts w:asciiTheme="minorHAnsi" w:eastAsiaTheme="minorEastAsia" w:hAnsiTheme="minorHAnsi" w:cs="Arial"/>
          <w:color w:val="000000" w:themeColor="text1"/>
          <w:sz w:val="20"/>
          <w:szCs w:val="20"/>
          <w:lang w:eastAsia="en-US"/>
        </w:rPr>
        <w:t xml:space="preserve">Do not report in the </w:t>
      </w:r>
      <w:r w:rsidRPr="00F4606C">
        <w:rPr>
          <w:rFonts w:asciiTheme="minorHAnsi" w:eastAsiaTheme="minorEastAsia" w:hAnsiTheme="minorHAnsi" w:cs="Arial"/>
          <w:i/>
          <w:iCs/>
          <w:color w:val="000000" w:themeColor="text1"/>
          <w:sz w:val="20"/>
          <w:szCs w:val="20"/>
          <w:lang w:eastAsia="en-US"/>
        </w:rPr>
        <w:t>Investor data record</w:t>
      </w:r>
      <w:r w:rsidRPr="00F4606C">
        <w:rPr>
          <w:rFonts w:asciiTheme="minorHAnsi" w:eastAsiaTheme="minorEastAsia" w:hAnsiTheme="minorHAnsi" w:cs="Arial"/>
          <w:color w:val="000000" w:themeColor="text1"/>
          <w:sz w:val="20"/>
          <w:szCs w:val="20"/>
          <w:lang w:eastAsia="en-US"/>
        </w:rPr>
        <w:t xml:space="preserve"> details of account signatories who are not investors in the account. Such reporting is incorrect and causes errors when the reported investment income amounts are matched to the amounts declared in tax returns</w:t>
      </w:r>
      <w:r w:rsidRPr="00B35C0A">
        <w:rPr>
          <w:rFonts w:cs="Arial"/>
        </w:rPr>
        <w:t>.</w:t>
      </w:r>
    </w:p>
    <w:p w14:paraId="331DBABA" w14:textId="77777777" w:rsidR="00115458" w:rsidRPr="00F94DFB" w:rsidRDefault="00115458" w:rsidP="00115458">
      <w:pPr>
        <w:pStyle w:val="Head4"/>
        <w:rPr>
          <w:rFonts w:asciiTheme="minorHAnsi" w:hAnsiTheme="minorHAnsi"/>
          <w:bCs/>
          <w:sz w:val="20"/>
          <w:szCs w:val="20"/>
        </w:rPr>
      </w:pPr>
      <w:r w:rsidRPr="00F94DFB">
        <w:rPr>
          <w:rFonts w:asciiTheme="minorHAnsi" w:hAnsiTheme="minorHAnsi"/>
          <w:bCs/>
          <w:sz w:val="20"/>
          <w:szCs w:val="20"/>
        </w:rPr>
        <w:t>Example 4.1 – Additional signatory on an individual account</w:t>
      </w:r>
    </w:p>
    <w:p w14:paraId="169134EF" w14:textId="77777777" w:rsidR="00115458" w:rsidRPr="00F4606C" w:rsidRDefault="00115458" w:rsidP="00115458">
      <w:pPr>
        <w:pStyle w:val="Maintext"/>
        <w:rPr>
          <w:rFonts w:asciiTheme="minorHAnsi" w:eastAsiaTheme="minorEastAsia" w:hAnsiTheme="minorHAnsi" w:cs="Arial"/>
          <w:color w:val="000000" w:themeColor="text1"/>
          <w:sz w:val="20"/>
          <w:szCs w:val="20"/>
          <w:lang w:eastAsia="en-US"/>
        </w:rPr>
      </w:pPr>
      <w:r w:rsidRPr="00F4606C">
        <w:rPr>
          <w:rFonts w:asciiTheme="minorHAnsi" w:eastAsiaTheme="minorEastAsia" w:hAnsiTheme="minorHAnsi" w:cs="Arial"/>
          <w:color w:val="000000" w:themeColor="text1"/>
          <w:sz w:val="20"/>
          <w:szCs w:val="20"/>
          <w:lang w:eastAsia="en-US"/>
        </w:rPr>
        <w:t xml:space="preserve">An account is held in the name of Mrs Penelope Costanza, an elderly pensioner. Her daughter Venorika Stone is a signatory to the account but does not own the funds held in the account. The interest paid to the account belongs to Mrs Penelope Costanza. Only one </w:t>
      </w:r>
      <w:r w:rsidRPr="00F4606C">
        <w:rPr>
          <w:rFonts w:asciiTheme="minorHAnsi" w:eastAsiaTheme="minorEastAsia" w:hAnsiTheme="minorHAnsi"/>
          <w:color w:val="000000" w:themeColor="text1"/>
          <w:sz w:val="20"/>
          <w:szCs w:val="20"/>
          <w:lang w:eastAsia="en-US"/>
        </w:rPr>
        <w:t>Investor data record</w:t>
      </w:r>
      <w:r w:rsidRPr="00F4606C">
        <w:rPr>
          <w:rFonts w:asciiTheme="minorHAnsi" w:eastAsiaTheme="minorEastAsia" w:hAnsiTheme="minorHAnsi" w:cs="Arial"/>
          <w:color w:val="000000" w:themeColor="text1"/>
          <w:sz w:val="20"/>
          <w:szCs w:val="20"/>
          <w:lang w:eastAsia="en-US"/>
        </w:rPr>
        <w:t xml:space="preserve"> containing Penelope's information is provided. Venorika's details are not reported in the AIIR.</w:t>
      </w:r>
    </w:p>
    <w:p w14:paraId="5BA8739D" w14:textId="77777777" w:rsidR="00115458" w:rsidRPr="00F94DFB" w:rsidRDefault="00115458" w:rsidP="00115458">
      <w:pPr>
        <w:pStyle w:val="Head4"/>
        <w:rPr>
          <w:rFonts w:asciiTheme="minorHAnsi" w:hAnsiTheme="minorHAnsi"/>
          <w:bCs/>
          <w:sz w:val="20"/>
          <w:szCs w:val="20"/>
        </w:rPr>
      </w:pPr>
      <w:r w:rsidRPr="00F94DFB">
        <w:rPr>
          <w:rFonts w:asciiTheme="minorHAnsi" w:hAnsiTheme="minorHAnsi"/>
          <w:bCs/>
          <w:sz w:val="20"/>
          <w:szCs w:val="20"/>
        </w:rPr>
        <w:t>Example 4.2 – Office bearers as signatories</w:t>
      </w:r>
    </w:p>
    <w:p w14:paraId="6868301D" w14:textId="77777777" w:rsidR="00115458" w:rsidRPr="00E763CB" w:rsidRDefault="00115458" w:rsidP="00F4606C">
      <w:pPr>
        <w:spacing w:after="0" w:line="240" w:lineRule="auto"/>
      </w:pPr>
      <w:r w:rsidRPr="00B35C0A">
        <w:rPr>
          <w:rFonts w:cs="Arial"/>
        </w:rPr>
        <w:t xml:space="preserve">An account is held in the name of the Mayberry River Tennis Club. The club office bearers, Roderick Mainstrong, Lourdes </w:t>
      </w:r>
      <w:r>
        <w:rPr>
          <w:rFonts w:cs="Arial"/>
        </w:rPr>
        <w:t>Toms</w:t>
      </w:r>
      <w:r w:rsidRPr="00B35C0A">
        <w:rPr>
          <w:rFonts w:cs="Arial"/>
        </w:rPr>
        <w:t xml:space="preserve"> and Dom Messenger are the authorised signatories to the account. The club, and not the three office bearers, is the owner of the funds in the account and entitled to any investment income earned by the account. When the interest payment is reported, only one </w:t>
      </w:r>
      <w:r w:rsidRPr="00B35C0A">
        <w:rPr>
          <w:rStyle w:val="Italic"/>
          <w:rFonts w:cs="Arial"/>
        </w:rPr>
        <w:t>Investor data record</w:t>
      </w:r>
      <w:r w:rsidRPr="00B35C0A">
        <w:rPr>
          <w:rFonts w:cs="Arial"/>
        </w:rPr>
        <w:t xml:space="preserve"> is provided, containing the name of the Mayberry River Tennis Club at the </w:t>
      </w:r>
      <w:r w:rsidRPr="00B35C0A">
        <w:rPr>
          <w:rStyle w:val="Italic"/>
          <w:rFonts w:cs="Arial"/>
        </w:rPr>
        <w:t>Non-individual investor name</w:t>
      </w:r>
      <w:r w:rsidRPr="00B35C0A">
        <w:rPr>
          <w:rFonts w:cs="Arial"/>
        </w:rPr>
        <w:t xml:space="preserve"> (</w:t>
      </w:r>
      <w:r>
        <w:rPr>
          <w:rFonts w:cs="Arial"/>
        </w:rPr>
        <w:t>9.201</w:t>
      </w:r>
      <w:r w:rsidRPr="00B35C0A">
        <w:rPr>
          <w:rFonts w:cs="Arial"/>
        </w:rPr>
        <w:t>)</w:t>
      </w:r>
      <w:r>
        <w:rPr>
          <w:rFonts w:cs="Arial"/>
        </w:rPr>
        <w:t xml:space="preserve"> </w:t>
      </w:r>
      <w:r w:rsidRPr="00B35C0A">
        <w:rPr>
          <w:rFonts w:cs="Arial"/>
        </w:rPr>
        <w:t xml:space="preserve">field. The club signatories are not reported in the AIIR. </w:t>
      </w:r>
    </w:p>
    <w:p w14:paraId="000ABFD3" w14:textId="77777777" w:rsidR="00115458" w:rsidRDefault="00115458" w:rsidP="00115458">
      <w:pPr>
        <w:pStyle w:val="Heading2"/>
      </w:pPr>
      <w:bookmarkStart w:id="595" w:name="_Toc362243814"/>
      <w:bookmarkStart w:id="596" w:name="_Toc232191314"/>
      <w:r>
        <w:t>Deferred interest securities</w:t>
      </w:r>
      <w:bookmarkEnd w:id="596"/>
    </w:p>
    <w:p w14:paraId="376DBBB9" w14:textId="7DD45EA6" w:rsidR="00115458" w:rsidRDefault="00115458" w:rsidP="00DF2716">
      <w:pPr>
        <w:spacing w:after="0" w:line="240" w:lineRule="auto"/>
      </w:pPr>
      <w:r>
        <w:t>Securities fall into the following categories:</w:t>
      </w:r>
    </w:p>
    <w:p w14:paraId="574013C5" w14:textId="77777777" w:rsidR="00DF2716" w:rsidRDefault="00DF2716" w:rsidP="00965892">
      <w:pPr>
        <w:spacing w:after="0" w:line="240" w:lineRule="auto"/>
      </w:pPr>
    </w:p>
    <w:p w14:paraId="07C77949" w14:textId="77777777" w:rsidR="00115458" w:rsidRPr="00965892" w:rsidRDefault="00115458" w:rsidP="00965892">
      <w:pPr>
        <w:pStyle w:val="ListParagraph"/>
        <w:numPr>
          <w:ilvl w:val="0"/>
          <w:numId w:val="27"/>
        </w:numPr>
        <w:spacing w:after="0" w:line="240" w:lineRule="auto"/>
        <w:rPr>
          <w:rFonts w:cs="Arial"/>
        </w:rPr>
      </w:pPr>
      <w:r w:rsidRPr="00965892">
        <w:rPr>
          <w:rFonts w:cs="Arial"/>
        </w:rPr>
        <w:t>Uninscribed stock – these are securities in which investors are not recorded on a register</w:t>
      </w:r>
    </w:p>
    <w:p w14:paraId="0A8494CE" w14:textId="458CDC8B" w:rsidR="00115458" w:rsidRDefault="00115458">
      <w:pPr>
        <w:pStyle w:val="ListParagraph"/>
        <w:numPr>
          <w:ilvl w:val="0"/>
          <w:numId w:val="27"/>
        </w:numPr>
        <w:spacing w:after="0" w:line="240" w:lineRule="auto"/>
        <w:rPr>
          <w:rFonts w:cs="Arial"/>
        </w:rPr>
      </w:pPr>
      <w:r w:rsidRPr="00965892">
        <w:rPr>
          <w:rFonts w:cs="Arial"/>
        </w:rPr>
        <w:t>Inscribed stock – these are securities in which the investors are recorded on a register. These may be transferrable or non-transferrable.</w:t>
      </w:r>
    </w:p>
    <w:p w14:paraId="47F58FC5" w14:textId="77777777" w:rsidR="00965892" w:rsidRPr="00965892" w:rsidRDefault="00965892" w:rsidP="00965892">
      <w:pPr>
        <w:pStyle w:val="ListParagraph"/>
        <w:spacing w:after="0" w:line="240" w:lineRule="auto"/>
        <w:rPr>
          <w:rFonts w:cs="Arial"/>
        </w:rPr>
      </w:pPr>
    </w:p>
    <w:p w14:paraId="1B4D478E" w14:textId="77777777" w:rsidR="00115458" w:rsidRDefault="00115458" w:rsidP="00965892">
      <w:pPr>
        <w:spacing w:after="0" w:line="240" w:lineRule="auto"/>
      </w:pPr>
      <w:r>
        <w:t>Uninscribed securities are not subject to TFN or AIIR reporting as per Tax Determination TD 92/185, Income tax: to which money market securities do the tax file number rules apply?</w:t>
      </w:r>
    </w:p>
    <w:p w14:paraId="7EBEC635" w14:textId="77777777" w:rsidR="00115458" w:rsidRDefault="00115458" w:rsidP="00965892">
      <w:pPr>
        <w:spacing w:after="0" w:line="240" w:lineRule="auto"/>
      </w:pPr>
    </w:p>
    <w:p w14:paraId="77C6E539" w14:textId="77777777" w:rsidR="00115458" w:rsidRDefault="00115458" w:rsidP="00965892">
      <w:pPr>
        <w:spacing w:after="0" w:line="240" w:lineRule="auto"/>
      </w:pPr>
      <w:r>
        <w:t>The reporting of inscribed stock varies as discussed below.</w:t>
      </w:r>
    </w:p>
    <w:p w14:paraId="2454B338" w14:textId="77777777" w:rsidR="00115458" w:rsidRDefault="00115458" w:rsidP="00965892">
      <w:pPr>
        <w:spacing w:after="0" w:line="240" w:lineRule="auto"/>
      </w:pPr>
    </w:p>
    <w:p w14:paraId="606C3A64" w14:textId="77777777" w:rsidR="00115458" w:rsidRDefault="00115458" w:rsidP="00965892">
      <w:pPr>
        <w:spacing w:after="0" w:line="240" w:lineRule="auto"/>
      </w:pPr>
      <w:r>
        <w:t xml:space="preserve">The reporting requirements of inscribed stock varies, depending upon whether the security falls within Part III of Division 16E Section159GP of the ITAA 1936 and it is a qualifying security. </w:t>
      </w:r>
    </w:p>
    <w:p w14:paraId="3309005F" w14:textId="77777777" w:rsidR="00115458" w:rsidRDefault="00115458" w:rsidP="00965892">
      <w:pPr>
        <w:spacing w:after="0" w:line="240" w:lineRule="auto"/>
      </w:pPr>
    </w:p>
    <w:p w14:paraId="2D273052" w14:textId="4FC619F3" w:rsidR="00115458" w:rsidRDefault="00115458" w:rsidP="0078754A">
      <w:pPr>
        <w:spacing w:after="0" w:line="240" w:lineRule="auto"/>
      </w:pPr>
      <w:r>
        <w:t>To be a qualifying security:</w:t>
      </w:r>
    </w:p>
    <w:p w14:paraId="421A3321" w14:textId="77777777" w:rsidR="0078754A" w:rsidRDefault="0078754A" w:rsidP="00F94DFB">
      <w:pPr>
        <w:spacing w:after="0" w:line="240" w:lineRule="auto"/>
      </w:pPr>
    </w:p>
    <w:p w14:paraId="53758DEF" w14:textId="77777777" w:rsidR="00115458" w:rsidRPr="00965892" w:rsidRDefault="00115458" w:rsidP="001601AF">
      <w:pPr>
        <w:pStyle w:val="ListParagraph"/>
        <w:numPr>
          <w:ilvl w:val="0"/>
          <w:numId w:val="50"/>
        </w:numPr>
        <w:spacing w:after="0" w:line="240" w:lineRule="auto"/>
        <w:ind w:left="714" w:hanging="357"/>
        <w:rPr>
          <w:rFonts w:cs="Arial"/>
        </w:rPr>
      </w:pPr>
      <w:r w:rsidRPr="00965892">
        <w:rPr>
          <w:rFonts w:cs="Arial"/>
        </w:rPr>
        <w:t>it must be issued after 16 December 1984</w:t>
      </w:r>
    </w:p>
    <w:p w14:paraId="5FD2E2FD" w14:textId="77777777" w:rsidR="00115458" w:rsidRPr="00965892" w:rsidRDefault="00115458" w:rsidP="001601AF">
      <w:pPr>
        <w:pStyle w:val="ListParagraph"/>
        <w:numPr>
          <w:ilvl w:val="0"/>
          <w:numId w:val="50"/>
        </w:numPr>
        <w:spacing w:after="0" w:line="240" w:lineRule="auto"/>
        <w:ind w:left="714" w:hanging="357"/>
        <w:rPr>
          <w:rFonts w:cs="Arial"/>
        </w:rPr>
      </w:pPr>
      <w:r w:rsidRPr="00965892">
        <w:rPr>
          <w:rFonts w:cs="Arial"/>
        </w:rPr>
        <w:t xml:space="preserve">the expected term must exceed or is likely to exceed 12 months </w:t>
      </w:r>
    </w:p>
    <w:p w14:paraId="385AE398" w14:textId="74BE53C5" w:rsidR="00115458" w:rsidRPr="00965892" w:rsidRDefault="00115458" w:rsidP="001601AF">
      <w:pPr>
        <w:pStyle w:val="ListParagraph"/>
        <w:numPr>
          <w:ilvl w:val="0"/>
          <w:numId w:val="50"/>
        </w:numPr>
        <w:spacing w:after="0" w:line="240" w:lineRule="auto"/>
        <w:ind w:left="714" w:hanging="357"/>
        <w:rPr>
          <w:rFonts w:cs="Arial"/>
        </w:rPr>
      </w:pPr>
      <w:r w:rsidRPr="00965892">
        <w:rPr>
          <w:rFonts w:cs="Arial"/>
        </w:rPr>
        <w:t>the sum of all payments under the security must exceed its issue price (Section 159G(1) of Division 16E of the ITAA 1936).</w:t>
      </w:r>
    </w:p>
    <w:p w14:paraId="44A08FEC" w14:textId="77777777" w:rsidR="00DF2716" w:rsidRPr="004246DF" w:rsidRDefault="00DF2716" w:rsidP="00965892">
      <w:pPr>
        <w:pStyle w:val="ListParagraph"/>
        <w:spacing w:after="0" w:line="240" w:lineRule="auto"/>
        <w:ind w:left="714"/>
        <w:rPr>
          <w:rFonts w:ascii="Arial" w:hAnsi="Arial" w:cs="Arial"/>
        </w:rPr>
      </w:pPr>
    </w:p>
    <w:p w14:paraId="11DA1656" w14:textId="77777777" w:rsidR="00115458" w:rsidRDefault="00115458" w:rsidP="00965892">
      <w:pPr>
        <w:spacing w:after="0" w:line="240" w:lineRule="auto"/>
      </w:pPr>
      <w:r>
        <w:t>The income earned is taxable on an accruals basis as per Division 16E of the ITAA 1936.</w:t>
      </w:r>
    </w:p>
    <w:p w14:paraId="7697AC18" w14:textId="77777777" w:rsidR="00115458" w:rsidRDefault="00115458" w:rsidP="00965892">
      <w:pPr>
        <w:spacing w:after="0" w:line="240" w:lineRule="auto"/>
      </w:pPr>
    </w:p>
    <w:p w14:paraId="33B2002B" w14:textId="77777777" w:rsidR="00115458" w:rsidRDefault="00115458" w:rsidP="00965892">
      <w:pPr>
        <w:spacing w:after="0" w:line="240" w:lineRule="auto"/>
      </w:pPr>
      <w:r>
        <w:t xml:space="preserve">This means that accrued interest must be reported annually, as set out in Division 393 of Schedule 1 to the TAA 1953. In addition, the TFN rules relating to TFN or ABN quoting and deduction of withholding tax apply. </w:t>
      </w:r>
    </w:p>
    <w:p w14:paraId="4EBD3761" w14:textId="77777777" w:rsidR="00115458" w:rsidRDefault="00115458" w:rsidP="00965892">
      <w:pPr>
        <w:spacing w:after="0" w:line="240" w:lineRule="auto"/>
      </w:pPr>
      <w:r>
        <w:t>Identification of investments</w:t>
      </w:r>
    </w:p>
    <w:p w14:paraId="4C026233" w14:textId="77777777" w:rsidR="00115458" w:rsidRDefault="00115458" w:rsidP="00965892">
      <w:pPr>
        <w:spacing w:after="0" w:line="240" w:lineRule="auto"/>
      </w:pPr>
    </w:p>
    <w:p w14:paraId="127E0FD4" w14:textId="77777777" w:rsidR="00115458" w:rsidRDefault="00115458" w:rsidP="00965892">
      <w:pPr>
        <w:spacing w:after="0" w:line="240" w:lineRule="auto"/>
      </w:pPr>
      <w:r>
        <w:t xml:space="preserve">Payments of interest for transferable deferred interest securities and all non-transferrable eligible securities are to be identified by recording the </w:t>
      </w:r>
      <w:r w:rsidRPr="008155D3">
        <w:rPr>
          <w:i/>
          <w:iCs/>
        </w:rPr>
        <w:t>Type of payment</w:t>
      </w:r>
      <w:r>
        <w:t xml:space="preserve"> (9.72) field as DIS.</w:t>
      </w:r>
    </w:p>
    <w:p w14:paraId="0931EE91" w14:textId="77777777" w:rsidR="00115458" w:rsidRDefault="00115458" w:rsidP="00965892">
      <w:pPr>
        <w:spacing w:after="0" w:line="240" w:lineRule="auto"/>
      </w:pPr>
    </w:p>
    <w:p w14:paraId="5B99ED24" w14:textId="77777777" w:rsidR="00115458" w:rsidRDefault="00115458" w:rsidP="00965892">
      <w:pPr>
        <w:spacing w:after="0" w:line="240" w:lineRule="auto"/>
      </w:pPr>
      <w:r>
        <w:t xml:space="preserve">For transferable deferred interest securities the </w:t>
      </w:r>
      <w:r w:rsidRPr="008155D3">
        <w:rPr>
          <w:i/>
          <w:iCs/>
        </w:rPr>
        <w:t>Term of Investment</w:t>
      </w:r>
      <w:r>
        <w:t xml:space="preserve"> (9.73) field must be reported.</w:t>
      </w:r>
    </w:p>
    <w:p w14:paraId="3B2B6E52" w14:textId="77777777" w:rsidR="00115458" w:rsidRDefault="00115458" w:rsidP="00965892">
      <w:pPr>
        <w:spacing w:after="0" w:line="240" w:lineRule="auto"/>
      </w:pPr>
      <w:r>
        <w:t xml:space="preserve"> </w:t>
      </w:r>
    </w:p>
    <w:p w14:paraId="0C341D61" w14:textId="77777777" w:rsidR="00115458" w:rsidRPr="00DF2716" w:rsidRDefault="00115458" w:rsidP="00F4606C">
      <w:pPr>
        <w:pStyle w:val="Heading2"/>
      </w:pPr>
      <w:bookmarkStart w:id="597" w:name="_Toc232191315"/>
      <w:r w:rsidRPr="00E32541">
        <w:t>Reporting arrangements</w:t>
      </w:r>
      <w:bookmarkEnd w:id="597"/>
    </w:p>
    <w:p w14:paraId="2F8837D2" w14:textId="77777777" w:rsidR="00115458" w:rsidRDefault="00115458" w:rsidP="00F4606C">
      <w:pPr>
        <w:spacing w:after="0" w:line="240" w:lineRule="auto"/>
      </w:pPr>
      <w:r w:rsidRPr="00CA0ADF">
        <w:rPr>
          <w:b/>
        </w:rPr>
        <w:t>Transferable securities</w:t>
      </w:r>
      <w:r>
        <w:t xml:space="preserve"> are to be reported as follows:</w:t>
      </w:r>
    </w:p>
    <w:p w14:paraId="17D22DE3" w14:textId="77777777" w:rsidR="00115458" w:rsidRDefault="00115458" w:rsidP="0011545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4641"/>
      </w:tblGrid>
      <w:tr w:rsidR="00115458" w:rsidRPr="00B35C0A" w14:paraId="586EE0B1" w14:textId="77777777" w:rsidTr="000C1365">
        <w:trPr>
          <w:trHeight w:hRule="exact" w:val="272"/>
          <w:tblHeader/>
        </w:trPr>
        <w:tc>
          <w:tcPr>
            <w:tcW w:w="2500" w:type="pct"/>
            <w:tcBorders>
              <w:top w:val="single" w:sz="6" w:space="0" w:color="auto"/>
              <w:left w:val="single" w:sz="6" w:space="0" w:color="auto"/>
              <w:bottom w:val="single" w:sz="6" w:space="0" w:color="auto"/>
              <w:right w:val="single" w:sz="6" w:space="0" w:color="auto"/>
            </w:tcBorders>
            <w:shd w:val="clear" w:color="auto" w:fill="B3B3B3"/>
            <w:vAlign w:val="center"/>
          </w:tcPr>
          <w:p w14:paraId="75371296"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Timing of interest payment</w:t>
            </w:r>
          </w:p>
        </w:tc>
        <w:tc>
          <w:tcPr>
            <w:tcW w:w="2500" w:type="pct"/>
            <w:tcBorders>
              <w:top w:val="single" w:sz="6" w:space="0" w:color="auto"/>
              <w:left w:val="single" w:sz="6" w:space="0" w:color="auto"/>
              <w:bottom w:val="single" w:sz="6" w:space="0" w:color="auto"/>
              <w:right w:val="single" w:sz="6" w:space="0" w:color="auto"/>
            </w:tcBorders>
            <w:shd w:val="clear" w:color="auto" w:fill="B3B3B3"/>
            <w:vAlign w:val="center"/>
          </w:tcPr>
          <w:p w14:paraId="5CD0FC60"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Interest reported (period interest not paid)</w:t>
            </w:r>
          </w:p>
        </w:tc>
      </w:tr>
      <w:tr w:rsidR="00115458" w:rsidRPr="00B35C0A" w14:paraId="3F5F600F" w14:textId="77777777" w:rsidTr="00427C84">
        <w:trPr>
          <w:trHeight w:hRule="exact" w:val="272"/>
        </w:trPr>
        <w:tc>
          <w:tcPr>
            <w:tcW w:w="2500" w:type="pct"/>
            <w:tcBorders>
              <w:top w:val="single" w:sz="6" w:space="0" w:color="auto"/>
            </w:tcBorders>
            <w:vAlign w:val="center"/>
          </w:tcPr>
          <w:p w14:paraId="30AEBCC5"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Year 1</w:t>
            </w:r>
          </w:p>
        </w:tc>
        <w:tc>
          <w:tcPr>
            <w:tcW w:w="2500" w:type="pct"/>
            <w:tcBorders>
              <w:top w:val="single" w:sz="6" w:space="0" w:color="auto"/>
            </w:tcBorders>
            <w:vAlign w:val="center"/>
          </w:tcPr>
          <w:p w14:paraId="3A8C9C92"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Nil</w:t>
            </w:r>
          </w:p>
        </w:tc>
      </w:tr>
      <w:tr w:rsidR="00115458" w:rsidRPr="00B35C0A" w14:paraId="46BC838B" w14:textId="77777777" w:rsidTr="00427C84">
        <w:trPr>
          <w:trHeight w:val="272"/>
        </w:trPr>
        <w:tc>
          <w:tcPr>
            <w:tcW w:w="2500" w:type="pct"/>
            <w:vAlign w:val="center"/>
          </w:tcPr>
          <w:p w14:paraId="48F5032E"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Year 2 and subsequent years (except final)</w:t>
            </w:r>
          </w:p>
        </w:tc>
        <w:tc>
          <w:tcPr>
            <w:tcW w:w="2500" w:type="pct"/>
            <w:vAlign w:val="center"/>
          </w:tcPr>
          <w:p w14:paraId="7A87CC7B"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Nil</w:t>
            </w:r>
          </w:p>
        </w:tc>
      </w:tr>
      <w:tr w:rsidR="00115458" w:rsidRPr="00B35C0A" w14:paraId="4C86000E" w14:textId="77777777" w:rsidTr="00427C84">
        <w:tc>
          <w:tcPr>
            <w:tcW w:w="2500" w:type="pct"/>
            <w:vAlign w:val="center"/>
          </w:tcPr>
          <w:p w14:paraId="490F44E3"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Final year </w:t>
            </w:r>
          </w:p>
        </w:tc>
        <w:tc>
          <w:tcPr>
            <w:tcW w:w="2500" w:type="pct"/>
            <w:vAlign w:val="center"/>
          </w:tcPr>
          <w:p w14:paraId="69D286B0"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Full amount of interest accrued over the term of the security for the relevant investor</w:t>
            </w:r>
          </w:p>
        </w:tc>
      </w:tr>
    </w:tbl>
    <w:p w14:paraId="4BBCE510" w14:textId="77777777" w:rsidR="00115458" w:rsidRDefault="00115458" w:rsidP="00115458">
      <w:r>
        <w:t xml:space="preserve"> </w:t>
      </w:r>
    </w:p>
    <w:p w14:paraId="28AC77B2" w14:textId="77777777" w:rsidR="00115458" w:rsidRDefault="00115458" w:rsidP="00F4606C">
      <w:pPr>
        <w:spacing w:after="0" w:line="240" w:lineRule="auto"/>
      </w:pPr>
      <w:r>
        <w:t xml:space="preserve">If periodic interest is paid on a transferable security this amount must be reported as a separate transaction. As the taxpayer will generally be required to return the interest as it accrues, the final year's report will overstate the assessable income for that investment. </w:t>
      </w:r>
    </w:p>
    <w:p w14:paraId="7B78BC2E" w14:textId="77777777" w:rsidR="00115458" w:rsidRDefault="00115458" w:rsidP="00F4606C">
      <w:pPr>
        <w:spacing w:after="0" w:line="240" w:lineRule="auto"/>
      </w:pPr>
    </w:p>
    <w:p w14:paraId="61D82CB7" w14:textId="77777777" w:rsidR="00115458" w:rsidRDefault="00115458" w:rsidP="00F4606C">
      <w:pPr>
        <w:spacing w:after="0" w:line="240" w:lineRule="auto"/>
      </w:pPr>
      <w:r>
        <w:t>Failure to identify the investment as a deferred interest security could result in post-lodgment compliance activity.</w:t>
      </w:r>
    </w:p>
    <w:p w14:paraId="3D3859FF" w14:textId="77777777" w:rsidR="00115458" w:rsidRDefault="00115458" w:rsidP="00115458"/>
    <w:p w14:paraId="35E16C98" w14:textId="77777777" w:rsidR="00115458" w:rsidRPr="00B35C0A" w:rsidRDefault="00115458" w:rsidP="00115458">
      <w:pPr>
        <w:rPr>
          <w:rFonts w:cs="Arial"/>
        </w:rPr>
      </w:pPr>
      <w:r w:rsidRPr="00B35C0A">
        <w:rPr>
          <w:rStyle w:val="Bold0"/>
          <w:rFonts w:cs="Arial"/>
          <w:szCs w:val="22"/>
        </w:rPr>
        <w:t>Non-transferable eligible securities</w:t>
      </w:r>
      <w:r w:rsidRPr="00B35C0A">
        <w:rPr>
          <w:rStyle w:val="Bold0"/>
          <w:rFonts w:cs="Arial"/>
        </w:rPr>
        <w:t xml:space="preserve"> </w:t>
      </w:r>
      <w:r w:rsidRPr="00B35C0A">
        <w:rPr>
          <w:rFonts w:cs="Arial"/>
        </w:rPr>
        <w:t>are to be reported as follows:</w:t>
      </w:r>
    </w:p>
    <w:p w14:paraId="240FDEB5" w14:textId="77777777" w:rsidR="00115458" w:rsidRPr="00B35C0A" w:rsidRDefault="00115458" w:rsidP="00115458">
      <w:pPr>
        <w:pStyle w:val="Main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4636"/>
      </w:tblGrid>
      <w:tr w:rsidR="00115458" w:rsidRPr="00B35C0A" w14:paraId="1F1C295B" w14:textId="77777777" w:rsidTr="00F4606C">
        <w:trPr>
          <w:trHeight w:val="272"/>
          <w:tblHeader/>
        </w:trPr>
        <w:tc>
          <w:tcPr>
            <w:tcW w:w="4757" w:type="dxa"/>
            <w:tcBorders>
              <w:top w:val="single" w:sz="6" w:space="0" w:color="auto"/>
              <w:left w:val="single" w:sz="6" w:space="0" w:color="auto"/>
              <w:bottom w:val="single" w:sz="6" w:space="0" w:color="auto"/>
              <w:right w:val="single" w:sz="6" w:space="0" w:color="auto"/>
            </w:tcBorders>
            <w:shd w:val="clear" w:color="auto" w:fill="B3B3B3"/>
            <w:vAlign w:val="center"/>
          </w:tcPr>
          <w:p w14:paraId="0FDF9747"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Timing of interest payment</w:t>
            </w:r>
          </w:p>
        </w:tc>
        <w:tc>
          <w:tcPr>
            <w:tcW w:w="4757" w:type="dxa"/>
            <w:tcBorders>
              <w:top w:val="single" w:sz="6" w:space="0" w:color="auto"/>
              <w:left w:val="single" w:sz="6" w:space="0" w:color="auto"/>
              <w:bottom w:val="single" w:sz="6" w:space="0" w:color="auto"/>
              <w:right w:val="single" w:sz="6" w:space="0" w:color="auto"/>
            </w:tcBorders>
            <w:shd w:val="clear" w:color="auto" w:fill="B3B3B3"/>
            <w:vAlign w:val="center"/>
          </w:tcPr>
          <w:p w14:paraId="0FBB4A40" w14:textId="77777777" w:rsidR="00115458" w:rsidRPr="00F4606C" w:rsidRDefault="00115458" w:rsidP="000C1365">
            <w:pPr>
              <w:pStyle w:val="Maintext"/>
              <w:rPr>
                <w:rFonts w:cs="Arial"/>
                <w:b/>
                <w:sz w:val="20"/>
                <w:szCs w:val="20"/>
              </w:rPr>
            </w:pPr>
            <w:r w:rsidRPr="00F4606C">
              <w:rPr>
                <w:rFonts w:cs="Arial"/>
                <w:b/>
                <w:sz w:val="20"/>
                <w:szCs w:val="20"/>
              </w:rPr>
              <w:t>Interest reported</w:t>
            </w:r>
          </w:p>
        </w:tc>
      </w:tr>
      <w:tr w:rsidR="00115458" w:rsidRPr="00B35C0A" w14:paraId="41BC328F" w14:textId="77777777" w:rsidTr="00F4606C">
        <w:trPr>
          <w:trHeight w:val="272"/>
          <w:tblHeader/>
        </w:trPr>
        <w:tc>
          <w:tcPr>
            <w:tcW w:w="4757" w:type="dxa"/>
            <w:tcBorders>
              <w:top w:val="single" w:sz="6" w:space="0" w:color="auto"/>
            </w:tcBorders>
            <w:vAlign w:val="center"/>
          </w:tcPr>
          <w:p w14:paraId="166B531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Year 1</w:t>
            </w:r>
          </w:p>
        </w:tc>
        <w:tc>
          <w:tcPr>
            <w:tcW w:w="4757" w:type="dxa"/>
            <w:vMerge w:val="restart"/>
            <w:tcBorders>
              <w:top w:val="single" w:sz="6" w:space="0" w:color="auto"/>
            </w:tcBorders>
            <w:vAlign w:val="center"/>
          </w:tcPr>
          <w:p w14:paraId="2E5E5FD6" w14:textId="77777777" w:rsidR="00115458" w:rsidRPr="00F4606C" w:rsidRDefault="00115458" w:rsidP="000C1365">
            <w:pPr>
              <w:pStyle w:val="Maintext"/>
              <w:rPr>
                <w:rFonts w:cs="Arial"/>
                <w:sz w:val="20"/>
                <w:szCs w:val="20"/>
              </w:rPr>
            </w:pPr>
          </w:p>
          <w:p w14:paraId="758F521B"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Interest paid or liable to be paid plus any accrued interest</w:t>
            </w:r>
          </w:p>
          <w:p w14:paraId="164DCCF3" w14:textId="77777777" w:rsidR="00115458" w:rsidRPr="00F4606C" w:rsidRDefault="00115458" w:rsidP="000C1365">
            <w:pPr>
              <w:pStyle w:val="Maintext"/>
              <w:rPr>
                <w:rFonts w:cs="Arial"/>
                <w:sz w:val="20"/>
                <w:szCs w:val="20"/>
              </w:rPr>
            </w:pPr>
          </w:p>
        </w:tc>
      </w:tr>
      <w:tr w:rsidR="00115458" w:rsidRPr="00B35C0A" w14:paraId="156E10FB" w14:textId="77777777" w:rsidTr="00F4606C">
        <w:trPr>
          <w:trHeight w:val="272"/>
          <w:tblHeader/>
        </w:trPr>
        <w:tc>
          <w:tcPr>
            <w:tcW w:w="4757" w:type="dxa"/>
            <w:vAlign w:val="center"/>
          </w:tcPr>
          <w:p w14:paraId="6BEC7F33"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Year 2 and subsequent years </w:t>
            </w:r>
          </w:p>
        </w:tc>
        <w:tc>
          <w:tcPr>
            <w:tcW w:w="4757" w:type="dxa"/>
            <w:vMerge/>
            <w:vAlign w:val="center"/>
          </w:tcPr>
          <w:p w14:paraId="6AD8ACE7" w14:textId="77777777" w:rsidR="00115458" w:rsidRPr="00B35C0A" w:rsidRDefault="00115458" w:rsidP="000C1365">
            <w:pPr>
              <w:pStyle w:val="Maintext"/>
              <w:rPr>
                <w:rFonts w:cs="Arial"/>
                <w:sz w:val="18"/>
                <w:szCs w:val="18"/>
              </w:rPr>
            </w:pPr>
          </w:p>
        </w:tc>
      </w:tr>
      <w:tr w:rsidR="00115458" w:rsidRPr="00B35C0A" w14:paraId="1D31275C" w14:textId="77777777" w:rsidTr="00F4606C">
        <w:trPr>
          <w:trHeight w:val="272"/>
          <w:tblHeader/>
        </w:trPr>
        <w:tc>
          <w:tcPr>
            <w:tcW w:w="4757" w:type="dxa"/>
            <w:vAlign w:val="center"/>
          </w:tcPr>
          <w:p w14:paraId="3A8E38C9"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Final year </w:t>
            </w:r>
          </w:p>
        </w:tc>
        <w:tc>
          <w:tcPr>
            <w:tcW w:w="4757" w:type="dxa"/>
            <w:vMerge/>
            <w:vAlign w:val="center"/>
          </w:tcPr>
          <w:p w14:paraId="7D255B6C" w14:textId="77777777" w:rsidR="00115458" w:rsidRPr="00B35C0A" w:rsidRDefault="00115458" w:rsidP="000C1365">
            <w:pPr>
              <w:pStyle w:val="Maintext"/>
              <w:rPr>
                <w:rFonts w:cs="Arial"/>
                <w:sz w:val="18"/>
                <w:szCs w:val="18"/>
              </w:rPr>
            </w:pPr>
          </w:p>
        </w:tc>
      </w:tr>
    </w:tbl>
    <w:p w14:paraId="28AA0F50" w14:textId="77777777" w:rsidR="009F2D4F" w:rsidRDefault="009F2D4F" w:rsidP="00115458"/>
    <w:p w14:paraId="01BFC845" w14:textId="73449236" w:rsidR="00115458" w:rsidRDefault="00115458" w:rsidP="00F4606C">
      <w:pPr>
        <w:spacing w:after="0" w:line="240" w:lineRule="auto"/>
      </w:pPr>
      <w:r>
        <w:t>The income reported each year should equal the amount of income the taxpayer includes in their tax return.</w:t>
      </w:r>
    </w:p>
    <w:p w14:paraId="519C219A" w14:textId="77777777" w:rsidR="009F2D4F" w:rsidRDefault="009F2D4F" w:rsidP="00115458"/>
    <w:p w14:paraId="3572BC5C" w14:textId="2C6430AB" w:rsidR="00115458" w:rsidRPr="008E3F77" w:rsidRDefault="00115458" w:rsidP="009F2D4F">
      <w:pPr>
        <w:pStyle w:val="Maintext"/>
        <w:rPr>
          <w:rFonts w:asciiTheme="minorHAnsi" w:hAnsiTheme="minorHAnsi" w:cs="Arial"/>
          <w:b/>
          <w:bCs/>
          <w:sz w:val="24"/>
        </w:rPr>
      </w:pPr>
      <w:r w:rsidRPr="00F4606C">
        <w:rPr>
          <w:rFonts w:asciiTheme="minorHAnsi" w:hAnsiTheme="minorHAnsi" w:cs="Arial"/>
          <w:sz w:val="24"/>
        </w:rPr>
        <w:t>Exploration Credits</w:t>
      </w:r>
    </w:p>
    <w:p w14:paraId="1AABE6AA" w14:textId="77777777" w:rsidR="009F2D4F" w:rsidRPr="00F4606C" w:rsidRDefault="009F2D4F" w:rsidP="00F4606C">
      <w:pPr>
        <w:pStyle w:val="Maintext"/>
        <w:rPr>
          <w:rFonts w:asciiTheme="minorHAnsi" w:hAnsiTheme="minorHAnsi" w:cs="Arial"/>
          <w:bCs/>
          <w:sz w:val="24"/>
        </w:rPr>
      </w:pPr>
    </w:p>
    <w:p w14:paraId="0DB0DF3B" w14:textId="77777777" w:rsidR="00115458" w:rsidRPr="003A4163" w:rsidRDefault="00115458" w:rsidP="00F4606C">
      <w:pPr>
        <w:spacing w:after="0" w:line="240" w:lineRule="auto"/>
        <w:rPr>
          <w:rFonts w:cs="Arial"/>
        </w:rPr>
      </w:pPr>
      <w:r>
        <w:rPr>
          <w:rFonts w:cs="Arial"/>
        </w:rPr>
        <w:t xml:space="preserve">The Junior minerals exploration incentive (JMEI) measure commenced in the 2017-18 financial year replacing the Greenfields minerals explorer’s program. Credits for this measure are reported at the </w:t>
      </w:r>
      <w:r w:rsidRPr="008B2D6F">
        <w:rPr>
          <w:rFonts w:cs="Arial"/>
          <w:i/>
        </w:rPr>
        <w:t>Exploration credits</w:t>
      </w:r>
      <w:r>
        <w:rPr>
          <w:rFonts w:cs="Arial"/>
        </w:rPr>
        <w:t xml:space="preserve"> (9.107) field. Completion of the </w:t>
      </w:r>
      <w:r>
        <w:rPr>
          <w:rFonts w:cs="Arial"/>
          <w:i/>
        </w:rPr>
        <w:t>Type of payment</w:t>
      </w:r>
      <w:r>
        <w:rPr>
          <w:rFonts w:cs="Arial"/>
        </w:rPr>
        <w:t xml:space="preserve"> (9.72) field is dependent on the type of reporter as follows:</w:t>
      </w:r>
    </w:p>
    <w:p w14:paraId="5570A1B0" w14:textId="77777777" w:rsidR="00115458" w:rsidRDefault="00115458" w:rsidP="00115458">
      <w:pPr>
        <w:rPr>
          <w:rFonts w:cs="Arial"/>
        </w:rPr>
      </w:pPr>
    </w:p>
    <w:tbl>
      <w:tblPr>
        <w:tblStyle w:val="TableGrid"/>
        <w:tblW w:w="0" w:type="auto"/>
        <w:tblLook w:val="04A0" w:firstRow="1" w:lastRow="0" w:firstColumn="1" w:lastColumn="0" w:noHBand="0" w:noVBand="1"/>
      </w:tblPr>
      <w:tblGrid>
        <w:gridCol w:w="3936"/>
        <w:gridCol w:w="3969"/>
      </w:tblGrid>
      <w:tr w:rsidR="00115458" w14:paraId="39FBBEAF" w14:textId="77777777" w:rsidTr="000C1365">
        <w:tc>
          <w:tcPr>
            <w:tcW w:w="3936" w:type="dxa"/>
            <w:shd w:val="clear" w:color="auto" w:fill="BFBFBF" w:themeFill="background1" w:themeFillShade="BF"/>
          </w:tcPr>
          <w:p w14:paraId="5CF7D32C"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Reporter</w:t>
            </w:r>
          </w:p>
        </w:tc>
        <w:tc>
          <w:tcPr>
            <w:tcW w:w="3969" w:type="dxa"/>
            <w:shd w:val="clear" w:color="auto" w:fill="BFBFBF" w:themeFill="background1" w:themeFillShade="BF"/>
          </w:tcPr>
          <w:p w14:paraId="2A6D30F4"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Type of Payment</w:t>
            </w:r>
          </w:p>
        </w:tc>
      </w:tr>
      <w:tr w:rsidR="00115458" w14:paraId="4A915CC7" w14:textId="77777777" w:rsidTr="000C1365">
        <w:tc>
          <w:tcPr>
            <w:tcW w:w="3936" w:type="dxa"/>
          </w:tcPr>
          <w:p w14:paraId="09CF0257" w14:textId="77777777" w:rsidR="00115458" w:rsidRPr="008C6BEA" w:rsidRDefault="00115458" w:rsidP="00F4606C">
            <w:pPr>
              <w:spacing w:after="0" w:line="240" w:lineRule="auto"/>
              <w:rPr>
                <w:rFonts w:cs="Arial"/>
                <w:sz w:val="20"/>
              </w:rPr>
            </w:pPr>
            <w:r w:rsidRPr="008C6BEA">
              <w:rPr>
                <w:rFonts w:cs="Arial"/>
                <w:sz w:val="20"/>
              </w:rPr>
              <w:t>Minerals explorer</w:t>
            </w:r>
          </w:p>
        </w:tc>
        <w:tc>
          <w:tcPr>
            <w:tcW w:w="3969" w:type="dxa"/>
          </w:tcPr>
          <w:p w14:paraId="65997103" w14:textId="77777777" w:rsidR="00115458" w:rsidRPr="008C6BEA" w:rsidRDefault="00115458" w:rsidP="00F4606C">
            <w:pPr>
              <w:spacing w:after="0" w:line="240" w:lineRule="auto"/>
              <w:rPr>
                <w:rFonts w:cs="Arial"/>
                <w:sz w:val="20"/>
              </w:rPr>
            </w:pPr>
            <w:r w:rsidRPr="008C6BEA">
              <w:rPr>
                <w:rFonts w:cs="Arial"/>
                <w:sz w:val="20"/>
              </w:rPr>
              <w:t>DIV</w:t>
            </w:r>
          </w:p>
        </w:tc>
      </w:tr>
      <w:tr w:rsidR="00115458" w14:paraId="1DC3D4F5" w14:textId="77777777" w:rsidTr="000C1365">
        <w:tc>
          <w:tcPr>
            <w:tcW w:w="3936" w:type="dxa"/>
          </w:tcPr>
          <w:p w14:paraId="45A10C38" w14:textId="77777777" w:rsidR="00115458" w:rsidRPr="008C6BEA" w:rsidRDefault="00115458" w:rsidP="00F4606C">
            <w:pPr>
              <w:spacing w:after="0" w:line="240" w:lineRule="auto"/>
              <w:rPr>
                <w:rFonts w:cs="Arial"/>
                <w:sz w:val="20"/>
              </w:rPr>
            </w:pPr>
            <w:r w:rsidRPr="008C6BEA">
              <w:rPr>
                <w:rFonts w:cs="Arial"/>
                <w:sz w:val="20"/>
              </w:rPr>
              <w:t>Trust</w:t>
            </w:r>
          </w:p>
        </w:tc>
        <w:tc>
          <w:tcPr>
            <w:tcW w:w="3969" w:type="dxa"/>
          </w:tcPr>
          <w:p w14:paraId="4E5E9696" w14:textId="77777777" w:rsidR="00115458" w:rsidRPr="008C6BEA" w:rsidRDefault="00115458" w:rsidP="00F4606C">
            <w:pPr>
              <w:spacing w:after="0" w:line="240" w:lineRule="auto"/>
              <w:rPr>
                <w:rFonts w:cs="Arial"/>
                <w:sz w:val="20"/>
              </w:rPr>
            </w:pPr>
            <w:r w:rsidRPr="008C6BEA">
              <w:rPr>
                <w:rFonts w:cs="Arial"/>
                <w:sz w:val="20"/>
              </w:rPr>
              <w:t>AMT or UTD</w:t>
            </w:r>
          </w:p>
        </w:tc>
      </w:tr>
    </w:tbl>
    <w:p w14:paraId="7CCD7405" w14:textId="77777777" w:rsidR="00115458" w:rsidRPr="00804AB6" w:rsidRDefault="00115458" w:rsidP="00115458">
      <w:pPr>
        <w:rPr>
          <w:rFonts w:cs="Arial"/>
        </w:rPr>
      </w:pPr>
    </w:p>
    <w:p w14:paraId="05FCFC44" w14:textId="171CA3BE" w:rsidR="00650B4B" w:rsidRDefault="00115458" w:rsidP="00650B4B">
      <w:pPr>
        <w:spacing w:after="0" w:line="240" w:lineRule="auto"/>
        <w:rPr>
          <w:rFonts w:cs="Arial"/>
        </w:rPr>
      </w:pPr>
      <w:r w:rsidRPr="117C1598">
        <w:rPr>
          <w:rFonts w:cs="Arial"/>
        </w:rPr>
        <w:t xml:space="preserve">Multiple exploration credits can be aggregated and reported as one amount with the </w:t>
      </w:r>
      <w:r w:rsidRPr="00F4606C">
        <w:rPr>
          <w:rFonts w:cs="Arial"/>
        </w:rPr>
        <w:t xml:space="preserve">Date of payment </w:t>
      </w:r>
      <w:r w:rsidRPr="117C1598">
        <w:rPr>
          <w:rFonts w:cs="Arial"/>
        </w:rPr>
        <w:t xml:space="preserve">(9.70) field set to 30 June. </w:t>
      </w:r>
      <w:r w:rsidR="00650B4B" w:rsidRPr="117C1598">
        <w:rPr>
          <w:rFonts w:cs="Arial"/>
        </w:rPr>
        <w:t xml:space="preserve">The JMEI measure has </w:t>
      </w:r>
      <w:r w:rsidR="006C4745">
        <w:rPr>
          <w:rFonts w:cs="Arial"/>
        </w:rPr>
        <w:t xml:space="preserve">not </w:t>
      </w:r>
      <w:r w:rsidR="00650B4B" w:rsidRPr="117C1598">
        <w:rPr>
          <w:rFonts w:cs="Arial"/>
        </w:rPr>
        <w:t xml:space="preserve">been extended </w:t>
      </w:r>
      <w:r w:rsidR="006C4745">
        <w:rPr>
          <w:rFonts w:cs="Arial"/>
        </w:rPr>
        <w:t>beyond</w:t>
      </w:r>
      <w:r w:rsidR="00650B4B" w:rsidRPr="117C1598">
        <w:rPr>
          <w:rFonts w:cs="Arial"/>
        </w:rPr>
        <w:t xml:space="preserve"> June 2025.</w:t>
      </w:r>
      <w:r w:rsidR="006C4745">
        <w:rPr>
          <w:rFonts w:cs="Arial"/>
        </w:rPr>
        <w:t xml:space="preserve">  Exploration credits, if reported in the 2026 AIIR, will not be pre-filled.</w:t>
      </w:r>
    </w:p>
    <w:p w14:paraId="70E8ECC8" w14:textId="2F50A46A" w:rsidR="00115458" w:rsidRDefault="00115458" w:rsidP="00F4606C">
      <w:pPr>
        <w:spacing w:after="0" w:line="240" w:lineRule="auto"/>
        <w:rPr>
          <w:rFonts w:cs="Arial"/>
        </w:rPr>
      </w:pPr>
    </w:p>
    <w:p w14:paraId="0BF0AB16" w14:textId="77777777" w:rsidR="00115458" w:rsidRPr="001C5AE7" w:rsidRDefault="00115458" w:rsidP="00F4606C">
      <w:pPr>
        <w:spacing w:after="0" w:line="240" w:lineRule="auto"/>
        <w:rPr>
          <w:rFonts w:cs="Arial"/>
        </w:rPr>
      </w:pPr>
      <w:r>
        <w:rPr>
          <w:rFonts w:cs="Arial"/>
        </w:rPr>
        <w:t>For more information on this incentive go to</w:t>
      </w:r>
      <w:r>
        <w:t xml:space="preserve"> </w:t>
      </w:r>
      <w:hyperlink r:id="rId28" w:history="1">
        <w:r>
          <w:rPr>
            <w:rStyle w:val="Hyperlink"/>
          </w:rPr>
          <w:t>Junior Minerals Exploration Incentive | Australian Taxation Office (ato.gov.au)</w:t>
        </w:r>
      </w:hyperlink>
    </w:p>
    <w:p w14:paraId="2AE01F4B" w14:textId="77777777" w:rsidR="00115458" w:rsidRPr="00B35C0A" w:rsidRDefault="00115458" w:rsidP="00115458">
      <w:pPr>
        <w:pStyle w:val="Heading2"/>
      </w:pPr>
      <w:bookmarkStart w:id="598" w:name="_Toc360106564"/>
      <w:bookmarkStart w:id="599" w:name="_Toc362243815"/>
      <w:bookmarkStart w:id="600" w:name="_Toc5192665"/>
      <w:bookmarkStart w:id="601" w:name="_Toc360106565"/>
      <w:bookmarkStart w:id="602" w:name="_Toc232191316"/>
      <w:bookmarkEnd w:id="595"/>
      <w:r w:rsidRPr="00B35C0A">
        <w:t>Investor entity</w:t>
      </w:r>
      <w:bookmarkEnd w:id="598"/>
      <w:r w:rsidRPr="00B35C0A">
        <w:t xml:space="preserve"> type</w:t>
      </w:r>
      <w:bookmarkEnd w:id="599"/>
      <w:bookmarkEnd w:id="600"/>
      <w:bookmarkEnd w:id="602"/>
    </w:p>
    <w:p w14:paraId="731D51D7" w14:textId="48AC7C9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 xml:space="preserve">The </w:t>
      </w:r>
      <w:r w:rsidRPr="00F4606C">
        <w:rPr>
          <w:rStyle w:val="Italic"/>
          <w:rFonts w:asciiTheme="minorHAnsi" w:hAnsiTheme="minorHAnsi" w:cs="Arial"/>
          <w:sz w:val="20"/>
          <w:szCs w:val="20"/>
        </w:rPr>
        <w:t>Investor entity type</w:t>
      </w:r>
      <w:r w:rsidRPr="00F4606C">
        <w:rPr>
          <w:rFonts w:asciiTheme="minorHAnsi" w:hAnsiTheme="minorHAnsi" w:cs="Arial"/>
          <w:sz w:val="20"/>
          <w:szCs w:val="20"/>
        </w:rPr>
        <w:t xml:space="preserve"> (9.192)</w:t>
      </w:r>
      <w:r w:rsidRPr="00F4606C">
        <w:rPr>
          <w:rFonts w:asciiTheme="minorHAnsi" w:hAnsiTheme="minorHAnsi" w:cs="Arial"/>
          <w:color w:val="FF0000"/>
          <w:sz w:val="20"/>
          <w:szCs w:val="20"/>
        </w:rPr>
        <w:t xml:space="preserve"> </w:t>
      </w:r>
      <w:r w:rsidRPr="00F4606C">
        <w:rPr>
          <w:rFonts w:asciiTheme="minorHAnsi" w:hAnsiTheme="minorHAnsi" w:cs="Arial"/>
          <w:sz w:val="20"/>
          <w:szCs w:val="20"/>
        </w:rPr>
        <w:t>field identifies the type of investor holding the account and is used in identity matching for pre-filling. An investment body must report the correct entity type for their investor. Only the codes listed below are to be reported. If the incorrect entity type is applied such as non-individual to an individual account this will prevent the individual’s information going to pre</w:t>
      </w:r>
      <w:r w:rsidR="006C4745">
        <w:rPr>
          <w:rFonts w:asciiTheme="minorHAnsi" w:hAnsiTheme="minorHAnsi" w:cs="Arial"/>
          <w:sz w:val="20"/>
          <w:szCs w:val="20"/>
        </w:rPr>
        <w:t>-</w:t>
      </w:r>
      <w:r w:rsidRPr="00F4606C">
        <w:rPr>
          <w:rFonts w:asciiTheme="minorHAnsi" w:hAnsiTheme="minorHAnsi" w:cs="Arial"/>
          <w:sz w:val="20"/>
          <w:szCs w:val="20"/>
        </w:rPr>
        <w:t>fill.</w:t>
      </w:r>
    </w:p>
    <w:p w14:paraId="46D99DE4" w14:textId="77777777" w:rsidR="00115458" w:rsidRPr="00F4606C" w:rsidRDefault="00115458" w:rsidP="009F2D4F">
      <w:pPr>
        <w:pStyle w:val="Maintext"/>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736"/>
        <w:gridCol w:w="6401"/>
      </w:tblGrid>
      <w:tr w:rsidR="00115458" w:rsidRPr="009F2D4F" w14:paraId="32B3C3AA" w14:textId="77777777" w:rsidTr="000C1365">
        <w:trPr>
          <w:trHeight w:val="272"/>
          <w:tblHeader/>
        </w:trPr>
        <w:tc>
          <w:tcPr>
            <w:tcW w:w="1164" w:type="pct"/>
            <w:shd w:val="clear" w:color="auto" w:fill="B3B3B3"/>
            <w:vAlign w:val="center"/>
          </w:tcPr>
          <w:p w14:paraId="258B062D"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Entity type</w:t>
            </w:r>
          </w:p>
        </w:tc>
        <w:tc>
          <w:tcPr>
            <w:tcW w:w="385" w:type="pct"/>
            <w:shd w:val="clear" w:color="auto" w:fill="B3B3B3"/>
            <w:vAlign w:val="center"/>
          </w:tcPr>
          <w:p w14:paraId="6178B7B9"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Code</w:t>
            </w:r>
          </w:p>
        </w:tc>
        <w:tc>
          <w:tcPr>
            <w:tcW w:w="3451" w:type="pct"/>
            <w:shd w:val="clear" w:color="auto" w:fill="B3B3B3"/>
            <w:vAlign w:val="center"/>
          </w:tcPr>
          <w:p w14:paraId="6F2D2A11" w14:textId="77777777" w:rsidR="00115458" w:rsidRPr="00F4606C" w:rsidRDefault="00115458" w:rsidP="009F2D4F">
            <w:pPr>
              <w:pStyle w:val="Maintext"/>
              <w:rPr>
                <w:rStyle w:val="Bold0"/>
                <w:rFonts w:asciiTheme="minorHAnsi" w:hAnsiTheme="minorHAnsi" w:cs="Arial"/>
                <w:sz w:val="20"/>
                <w:szCs w:val="20"/>
              </w:rPr>
            </w:pPr>
            <w:r w:rsidRPr="00F4606C">
              <w:rPr>
                <w:rStyle w:val="Bold0"/>
                <w:rFonts w:asciiTheme="minorHAnsi" w:hAnsiTheme="minorHAnsi" w:cs="Arial"/>
                <w:sz w:val="20"/>
                <w:szCs w:val="20"/>
              </w:rPr>
              <w:t>When to use?</w:t>
            </w:r>
          </w:p>
        </w:tc>
      </w:tr>
      <w:tr w:rsidR="00115458" w:rsidRPr="009F2D4F" w14:paraId="2A690DAC" w14:textId="77777777" w:rsidTr="000C1365">
        <w:tc>
          <w:tcPr>
            <w:tcW w:w="5000" w:type="pct"/>
            <w:gridSpan w:val="3"/>
            <w:vAlign w:val="center"/>
          </w:tcPr>
          <w:p w14:paraId="35662368" w14:textId="77777777" w:rsidR="00115458" w:rsidRPr="00F4606C" w:rsidRDefault="00115458" w:rsidP="009F2D4F">
            <w:pPr>
              <w:pStyle w:val="Maintext"/>
              <w:rPr>
                <w:rFonts w:asciiTheme="minorHAnsi" w:hAnsiTheme="minorHAnsi" w:cs="Arial"/>
                <w:b/>
                <w:bCs/>
                <w:sz w:val="20"/>
                <w:szCs w:val="20"/>
              </w:rPr>
            </w:pPr>
            <w:r w:rsidRPr="00F4606C">
              <w:rPr>
                <w:rFonts w:asciiTheme="minorHAnsi" w:hAnsiTheme="minorHAnsi" w:cs="Arial"/>
                <w:b/>
                <w:bCs/>
                <w:sz w:val="20"/>
                <w:szCs w:val="20"/>
              </w:rPr>
              <w:t>Individuals</w:t>
            </w:r>
          </w:p>
        </w:tc>
      </w:tr>
      <w:tr w:rsidR="00115458" w:rsidRPr="009F2D4F" w14:paraId="7ADEA9A1" w14:textId="77777777" w:rsidTr="000C1365">
        <w:tc>
          <w:tcPr>
            <w:tcW w:w="1164" w:type="pct"/>
            <w:vAlign w:val="center"/>
          </w:tcPr>
          <w:p w14:paraId="1B3E3E80"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Individual</w:t>
            </w:r>
          </w:p>
        </w:tc>
        <w:tc>
          <w:tcPr>
            <w:tcW w:w="385" w:type="pct"/>
            <w:vAlign w:val="center"/>
          </w:tcPr>
          <w:p w14:paraId="3DF08520"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I</w:t>
            </w:r>
          </w:p>
        </w:tc>
        <w:tc>
          <w:tcPr>
            <w:tcW w:w="3451" w:type="pct"/>
            <w:vAlign w:val="center"/>
          </w:tcPr>
          <w:p w14:paraId="4F2FE12F"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 xml:space="preserve">The investor is an individual person. An account may be held by one or more individuals. When this occurs, include an </w:t>
            </w:r>
            <w:r w:rsidRPr="00F4606C">
              <w:rPr>
                <w:rStyle w:val="Italic"/>
                <w:rFonts w:asciiTheme="minorHAnsi" w:hAnsiTheme="minorHAnsi" w:cs="Arial"/>
                <w:sz w:val="20"/>
                <w:szCs w:val="20"/>
              </w:rPr>
              <w:t>Investor data record</w:t>
            </w:r>
            <w:r w:rsidRPr="00F4606C">
              <w:rPr>
                <w:rFonts w:asciiTheme="minorHAnsi" w:hAnsiTheme="minorHAnsi" w:cs="Arial"/>
                <w:sz w:val="20"/>
                <w:szCs w:val="20"/>
              </w:rPr>
              <w:t xml:space="preserve"> with </w:t>
            </w:r>
            <w:r w:rsidRPr="00F4606C">
              <w:rPr>
                <w:rStyle w:val="Italic"/>
                <w:rFonts w:asciiTheme="minorHAnsi" w:hAnsiTheme="minorHAnsi" w:cs="Arial"/>
                <w:sz w:val="20"/>
                <w:szCs w:val="20"/>
              </w:rPr>
              <w:t>Investor entity type</w:t>
            </w:r>
            <w:r w:rsidRPr="00F4606C">
              <w:rPr>
                <w:rFonts w:asciiTheme="minorHAnsi" w:hAnsiTheme="minorHAnsi" w:cs="Arial"/>
                <w:sz w:val="20"/>
                <w:szCs w:val="20"/>
              </w:rPr>
              <w:t xml:space="preserve"> = </w:t>
            </w:r>
            <w:r w:rsidRPr="00F4606C">
              <w:rPr>
                <w:rStyle w:val="Bold0"/>
                <w:rFonts w:asciiTheme="minorHAnsi" w:hAnsiTheme="minorHAnsi" w:cs="Arial"/>
                <w:sz w:val="20"/>
                <w:szCs w:val="20"/>
              </w:rPr>
              <w:t xml:space="preserve">I </w:t>
            </w:r>
            <w:r w:rsidRPr="00F4606C">
              <w:rPr>
                <w:rFonts w:asciiTheme="minorHAnsi" w:hAnsiTheme="minorHAnsi" w:cs="Arial"/>
                <w:sz w:val="20"/>
                <w:szCs w:val="20"/>
              </w:rPr>
              <w:t>for each individual investor in the account.</w:t>
            </w:r>
          </w:p>
        </w:tc>
      </w:tr>
      <w:tr w:rsidR="00115458" w:rsidRPr="009F2D4F" w14:paraId="3E78B5A2" w14:textId="77777777" w:rsidTr="000C1365">
        <w:tc>
          <w:tcPr>
            <w:tcW w:w="1164" w:type="pct"/>
            <w:vAlign w:val="center"/>
          </w:tcPr>
          <w:p w14:paraId="4B1E725C"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Deceased individual</w:t>
            </w:r>
          </w:p>
        </w:tc>
        <w:tc>
          <w:tcPr>
            <w:tcW w:w="385" w:type="pct"/>
            <w:vAlign w:val="center"/>
          </w:tcPr>
          <w:p w14:paraId="6A160A69"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D</w:t>
            </w:r>
          </w:p>
        </w:tc>
        <w:tc>
          <w:tcPr>
            <w:tcW w:w="3451" w:type="pct"/>
            <w:vAlign w:val="center"/>
          </w:tcPr>
          <w:p w14:paraId="6A9A59EC"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has died during the reporting period.</w:t>
            </w:r>
          </w:p>
        </w:tc>
      </w:tr>
      <w:tr w:rsidR="00115458" w:rsidRPr="009F2D4F" w14:paraId="31AB1F60" w14:textId="77777777" w:rsidTr="000C1365">
        <w:tc>
          <w:tcPr>
            <w:tcW w:w="5000" w:type="pct"/>
            <w:gridSpan w:val="3"/>
            <w:vAlign w:val="center"/>
          </w:tcPr>
          <w:p w14:paraId="37DCEE34" w14:textId="77777777" w:rsidR="00115458" w:rsidRPr="00F4606C" w:rsidRDefault="00115458" w:rsidP="009F2D4F">
            <w:pPr>
              <w:pStyle w:val="Maintext"/>
              <w:rPr>
                <w:rFonts w:asciiTheme="minorHAnsi" w:hAnsiTheme="minorHAnsi" w:cs="Arial"/>
                <w:sz w:val="20"/>
                <w:szCs w:val="20"/>
              </w:rPr>
            </w:pPr>
            <w:r w:rsidRPr="00F4606C">
              <w:rPr>
                <w:rStyle w:val="Bold0"/>
                <w:rFonts w:asciiTheme="minorHAnsi" w:hAnsiTheme="minorHAnsi" w:cs="Arial"/>
                <w:sz w:val="20"/>
                <w:szCs w:val="20"/>
              </w:rPr>
              <w:t>Non-Individuals</w:t>
            </w:r>
          </w:p>
        </w:tc>
      </w:tr>
      <w:tr w:rsidR="00115458" w:rsidRPr="009F2D4F" w14:paraId="5C9A8764" w14:textId="77777777" w:rsidTr="000C1365">
        <w:tc>
          <w:tcPr>
            <w:tcW w:w="1164" w:type="pct"/>
            <w:vAlign w:val="center"/>
          </w:tcPr>
          <w:p w14:paraId="0CDF8197"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Corporation</w:t>
            </w:r>
          </w:p>
        </w:tc>
        <w:tc>
          <w:tcPr>
            <w:tcW w:w="385" w:type="pct"/>
            <w:vAlign w:val="center"/>
          </w:tcPr>
          <w:p w14:paraId="757B3DEB"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C</w:t>
            </w:r>
          </w:p>
        </w:tc>
        <w:tc>
          <w:tcPr>
            <w:tcW w:w="3451" w:type="pct"/>
            <w:vAlign w:val="center"/>
          </w:tcPr>
          <w:p w14:paraId="140345D4"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public or private company or an incorporated organisation. Joint investment accounts held by two or more companies are usually formal partnership arrangements (joint ventures) and should quote the partnership TFN or ABN of the joint venture rather than the separate company TFNs or ABNs.</w:t>
            </w:r>
          </w:p>
        </w:tc>
      </w:tr>
      <w:tr w:rsidR="00115458" w:rsidRPr="009F2D4F" w14:paraId="6CF8B23B" w14:textId="77777777" w:rsidTr="000C1365">
        <w:tc>
          <w:tcPr>
            <w:tcW w:w="1164" w:type="pct"/>
            <w:vAlign w:val="center"/>
          </w:tcPr>
          <w:p w14:paraId="2F48FC11"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Sovereign entity</w:t>
            </w:r>
          </w:p>
        </w:tc>
        <w:tc>
          <w:tcPr>
            <w:tcW w:w="385" w:type="pct"/>
            <w:vAlign w:val="center"/>
          </w:tcPr>
          <w:p w14:paraId="1DFAF1DE"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E</w:t>
            </w:r>
          </w:p>
        </w:tc>
        <w:tc>
          <w:tcPr>
            <w:tcW w:w="3451" w:type="pct"/>
            <w:vAlign w:val="center"/>
          </w:tcPr>
          <w:p w14:paraId="3F1D9562"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sovereign entity.</w:t>
            </w:r>
          </w:p>
        </w:tc>
      </w:tr>
      <w:tr w:rsidR="00115458" w:rsidRPr="009F2D4F" w14:paraId="506F3E1C" w14:textId="77777777" w:rsidTr="000C1365">
        <w:tc>
          <w:tcPr>
            <w:tcW w:w="1164" w:type="pct"/>
            <w:vAlign w:val="center"/>
          </w:tcPr>
          <w:p w14:paraId="1BDA7546"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Foreign super/pension fund</w:t>
            </w:r>
          </w:p>
        </w:tc>
        <w:tc>
          <w:tcPr>
            <w:tcW w:w="385" w:type="pct"/>
            <w:vAlign w:val="center"/>
          </w:tcPr>
          <w:p w14:paraId="26D1D161"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F</w:t>
            </w:r>
          </w:p>
        </w:tc>
        <w:tc>
          <w:tcPr>
            <w:tcW w:w="3451" w:type="pct"/>
            <w:vAlign w:val="center"/>
          </w:tcPr>
          <w:p w14:paraId="5A5A2CA3"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Foreign super/pension fund.</w:t>
            </w:r>
          </w:p>
        </w:tc>
      </w:tr>
      <w:tr w:rsidR="00115458" w:rsidRPr="009F2D4F" w14:paraId="126D28C7" w14:textId="77777777" w:rsidTr="000C1365">
        <w:tc>
          <w:tcPr>
            <w:tcW w:w="1164" w:type="pct"/>
            <w:vAlign w:val="center"/>
          </w:tcPr>
          <w:p w14:paraId="56AE8A4B"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Government organisation</w:t>
            </w:r>
          </w:p>
        </w:tc>
        <w:tc>
          <w:tcPr>
            <w:tcW w:w="385" w:type="pct"/>
            <w:vAlign w:val="center"/>
          </w:tcPr>
          <w:p w14:paraId="00FC3C16"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G</w:t>
            </w:r>
          </w:p>
        </w:tc>
        <w:tc>
          <w:tcPr>
            <w:tcW w:w="3451" w:type="pct"/>
            <w:vAlign w:val="center"/>
          </w:tcPr>
          <w:p w14:paraId="6799CD7D"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government organisation.</w:t>
            </w:r>
          </w:p>
        </w:tc>
      </w:tr>
      <w:tr w:rsidR="00115458" w:rsidRPr="009F2D4F" w14:paraId="078B9EBE" w14:textId="77777777" w:rsidTr="000C1365">
        <w:tc>
          <w:tcPr>
            <w:tcW w:w="1164" w:type="pct"/>
            <w:vAlign w:val="center"/>
          </w:tcPr>
          <w:p w14:paraId="00C21C9C"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Other</w:t>
            </w:r>
          </w:p>
          <w:p w14:paraId="31D036A2"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non-individual</w:t>
            </w:r>
          </w:p>
        </w:tc>
        <w:tc>
          <w:tcPr>
            <w:tcW w:w="385" w:type="pct"/>
            <w:vAlign w:val="center"/>
          </w:tcPr>
          <w:p w14:paraId="1BCCB3E8"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O</w:t>
            </w:r>
          </w:p>
        </w:tc>
        <w:tc>
          <w:tcPr>
            <w:tcW w:w="3451" w:type="pct"/>
            <w:vAlign w:val="center"/>
          </w:tcPr>
          <w:p w14:paraId="171E7C1A"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an unincorporated organisation or a non-individual entity not mentioned above such as sports clubs and informal trusts.</w:t>
            </w:r>
          </w:p>
        </w:tc>
      </w:tr>
      <w:tr w:rsidR="00115458" w:rsidRPr="009F2D4F" w14:paraId="095B7F78" w14:textId="77777777" w:rsidTr="000C1365">
        <w:tc>
          <w:tcPr>
            <w:tcW w:w="1164" w:type="pct"/>
            <w:vAlign w:val="center"/>
          </w:tcPr>
          <w:p w14:paraId="12559E14"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Partnership</w:t>
            </w:r>
          </w:p>
        </w:tc>
        <w:tc>
          <w:tcPr>
            <w:tcW w:w="385" w:type="pct"/>
            <w:vAlign w:val="center"/>
          </w:tcPr>
          <w:p w14:paraId="799E2630"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P</w:t>
            </w:r>
          </w:p>
        </w:tc>
        <w:tc>
          <w:tcPr>
            <w:tcW w:w="3451" w:type="pct"/>
            <w:vAlign w:val="center"/>
          </w:tcPr>
          <w:p w14:paraId="432BFB7B"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 formal partnership – a formal partnership exists.</w:t>
            </w:r>
          </w:p>
        </w:tc>
      </w:tr>
      <w:tr w:rsidR="00115458" w:rsidRPr="009F2D4F" w14:paraId="1370FA36" w14:textId="77777777" w:rsidTr="000C1365">
        <w:tc>
          <w:tcPr>
            <w:tcW w:w="1164" w:type="pct"/>
            <w:vAlign w:val="center"/>
          </w:tcPr>
          <w:p w14:paraId="1635D3A5"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Super fund</w:t>
            </w:r>
          </w:p>
        </w:tc>
        <w:tc>
          <w:tcPr>
            <w:tcW w:w="385" w:type="pct"/>
            <w:vAlign w:val="center"/>
          </w:tcPr>
          <w:p w14:paraId="2A052B7F"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S</w:t>
            </w:r>
          </w:p>
        </w:tc>
        <w:tc>
          <w:tcPr>
            <w:tcW w:w="3451" w:type="pct"/>
            <w:vAlign w:val="center"/>
          </w:tcPr>
          <w:p w14:paraId="236276B6"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The investor is an Australian super fund.</w:t>
            </w:r>
          </w:p>
        </w:tc>
      </w:tr>
      <w:tr w:rsidR="00115458" w:rsidRPr="009F2D4F" w14:paraId="5B7A0623" w14:textId="77777777" w:rsidTr="000C1365">
        <w:tc>
          <w:tcPr>
            <w:tcW w:w="1164" w:type="pct"/>
            <w:vAlign w:val="center"/>
          </w:tcPr>
          <w:p w14:paraId="703BB824"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Trust</w:t>
            </w:r>
          </w:p>
        </w:tc>
        <w:tc>
          <w:tcPr>
            <w:tcW w:w="385" w:type="pct"/>
            <w:vAlign w:val="center"/>
          </w:tcPr>
          <w:p w14:paraId="3E1424B4" w14:textId="77777777" w:rsidR="00115458" w:rsidRPr="00F4606C" w:rsidRDefault="00115458" w:rsidP="009F2D4F">
            <w:pPr>
              <w:pStyle w:val="Maintext"/>
              <w:jc w:val="center"/>
              <w:rPr>
                <w:rStyle w:val="Bold0"/>
                <w:rFonts w:asciiTheme="minorHAnsi" w:hAnsiTheme="minorHAnsi" w:cs="Arial"/>
                <w:b w:val="0"/>
                <w:sz w:val="20"/>
                <w:szCs w:val="20"/>
              </w:rPr>
            </w:pPr>
            <w:r w:rsidRPr="00F4606C">
              <w:rPr>
                <w:rStyle w:val="Bold0"/>
                <w:rFonts w:asciiTheme="minorHAnsi" w:hAnsiTheme="minorHAnsi" w:cs="Arial"/>
                <w:sz w:val="20"/>
                <w:szCs w:val="20"/>
              </w:rPr>
              <w:t>T</w:t>
            </w:r>
          </w:p>
        </w:tc>
        <w:tc>
          <w:tcPr>
            <w:tcW w:w="3451" w:type="pct"/>
            <w:vAlign w:val="center"/>
          </w:tcPr>
          <w:p w14:paraId="25D0EF53" w14:textId="77777777" w:rsidR="00115458" w:rsidRPr="00F4606C" w:rsidRDefault="00115458" w:rsidP="009F2D4F">
            <w:pPr>
              <w:pStyle w:val="Maintext"/>
              <w:rPr>
                <w:rFonts w:asciiTheme="minorHAnsi" w:hAnsiTheme="minorHAnsi" w:cs="Arial"/>
                <w:sz w:val="20"/>
                <w:szCs w:val="20"/>
              </w:rPr>
            </w:pPr>
            <w:r w:rsidRPr="00F4606C">
              <w:rPr>
                <w:rFonts w:asciiTheme="minorHAnsi" w:hAnsiTheme="minorHAnsi" w:cs="Arial"/>
                <w:sz w:val="20"/>
                <w:szCs w:val="20"/>
              </w:rPr>
              <w:t xml:space="preserve">The investor is a formal trust. </w:t>
            </w:r>
          </w:p>
        </w:tc>
      </w:tr>
    </w:tbl>
    <w:p w14:paraId="734A5563" w14:textId="77777777" w:rsidR="00115458" w:rsidRDefault="00115458" w:rsidP="00115458">
      <w:pPr>
        <w:pStyle w:val="Heading3"/>
      </w:pPr>
      <w:bookmarkStart w:id="603" w:name="_Toc362243816"/>
      <w:bookmarkStart w:id="604" w:name="_Toc5192666"/>
      <w:bookmarkStart w:id="605" w:name="_Toc232191317"/>
      <w:r w:rsidRPr="00B35C0A">
        <w:t xml:space="preserve">Reporting for different </w:t>
      </w:r>
      <w:r>
        <w:t xml:space="preserve">investor </w:t>
      </w:r>
      <w:r w:rsidRPr="006E3058">
        <w:t>entity</w:t>
      </w:r>
      <w:r w:rsidRPr="00B35C0A">
        <w:t xml:space="preserve"> types</w:t>
      </w:r>
      <w:bookmarkEnd w:id="605"/>
    </w:p>
    <w:p w14:paraId="05BAADA8" w14:textId="1402B60A" w:rsidR="00115458" w:rsidRDefault="00115458" w:rsidP="00115458">
      <w:pPr>
        <w:pStyle w:val="Maintext"/>
        <w:rPr>
          <w:rFonts w:asciiTheme="minorHAnsi" w:hAnsiTheme="minorHAnsi"/>
          <w:sz w:val="20"/>
          <w:szCs w:val="20"/>
        </w:rPr>
      </w:pPr>
      <w:r w:rsidRPr="00F4606C">
        <w:rPr>
          <w:rFonts w:asciiTheme="minorHAnsi" w:hAnsiTheme="minorHAnsi"/>
          <w:sz w:val="20"/>
          <w:szCs w:val="20"/>
        </w:rPr>
        <w:t>The following rules must be applied:</w:t>
      </w:r>
    </w:p>
    <w:p w14:paraId="0B2A448A" w14:textId="77777777" w:rsidR="00650B4B" w:rsidRDefault="00650B4B" w:rsidP="00B34C95"/>
    <w:p w14:paraId="65A4AEB7" w14:textId="009910E8" w:rsidR="00115458" w:rsidRPr="00650B4B" w:rsidRDefault="00115458" w:rsidP="00F4606C">
      <w:pPr>
        <w:pStyle w:val="Heading4"/>
        <w:spacing w:before="0" w:after="0" w:line="240" w:lineRule="auto"/>
      </w:pPr>
      <w:r w:rsidRPr="00650B4B">
        <w:t xml:space="preserve">Individuals </w:t>
      </w:r>
    </w:p>
    <w:p w14:paraId="3889E1C9" w14:textId="77777777" w:rsidR="00650B4B" w:rsidRDefault="00650B4B" w:rsidP="00115458">
      <w:pPr>
        <w:pStyle w:val="Maintext"/>
        <w:rPr>
          <w:rFonts w:cs="Arial"/>
        </w:rPr>
      </w:pPr>
    </w:p>
    <w:p w14:paraId="79CF9485" w14:textId="5B070CFB"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 xml:space="preserve">To ensure correct pre-filling and avoid lodgment compliance activity, it is critical that individual investor names and TFNs are not reported at non-individual fields if the </w:t>
      </w:r>
      <w:r w:rsidRPr="00F4606C">
        <w:rPr>
          <w:rFonts w:asciiTheme="minorHAnsi" w:hAnsiTheme="minorHAnsi" w:cs="Arial"/>
          <w:i/>
          <w:sz w:val="20"/>
          <w:szCs w:val="20"/>
        </w:rPr>
        <w:t xml:space="preserve">Investor entity type </w:t>
      </w:r>
      <w:r w:rsidRPr="00F4606C">
        <w:rPr>
          <w:rFonts w:asciiTheme="minorHAnsi" w:hAnsiTheme="minorHAnsi" w:cs="Arial"/>
          <w:sz w:val="20"/>
          <w:szCs w:val="20"/>
        </w:rPr>
        <w:t xml:space="preserve">(9.192) field code equals </w:t>
      </w:r>
      <w:r w:rsidRPr="00F4606C">
        <w:rPr>
          <w:rFonts w:asciiTheme="minorHAnsi" w:hAnsiTheme="minorHAnsi" w:cs="Arial"/>
          <w:b/>
          <w:sz w:val="20"/>
          <w:szCs w:val="20"/>
        </w:rPr>
        <w:t xml:space="preserve">I </w:t>
      </w:r>
      <w:r w:rsidRPr="00F4606C">
        <w:rPr>
          <w:rFonts w:asciiTheme="minorHAnsi" w:hAnsiTheme="minorHAnsi" w:cs="Arial"/>
          <w:sz w:val="20"/>
          <w:szCs w:val="20"/>
        </w:rPr>
        <w:t>or</w:t>
      </w:r>
      <w:r w:rsidRPr="00F4606C">
        <w:rPr>
          <w:rFonts w:asciiTheme="minorHAnsi" w:hAnsiTheme="minorHAnsi" w:cs="Arial"/>
          <w:b/>
          <w:sz w:val="20"/>
          <w:szCs w:val="20"/>
        </w:rPr>
        <w:t xml:space="preserve"> D</w:t>
      </w:r>
      <w:r w:rsidRPr="00F4606C">
        <w:rPr>
          <w:rFonts w:asciiTheme="minorHAnsi" w:hAnsiTheme="minorHAnsi" w:cs="Arial"/>
          <w:sz w:val="20"/>
          <w:szCs w:val="20"/>
        </w:rPr>
        <w:t xml:space="preserve">. Individual investor names should not be reported at the </w:t>
      </w:r>
      <w:r w:rsidRPr="00F4606C">
        <w:rPr>
          <w:rFonts w:asciiTheme="minorHAnsi" w:hAnsiTheme="minorHAnsi" w:cs="Arial"/>
          <w:i/>
          <w:sz w:val="20"/>
          <w:szCs w:val="20"/>
        </w:rPr>
        <w:t>Non-individual investor name</w:t>
      </w:r>
      <w:r w:rsidRPr="00F4606C">
        <w:rPr>
          <w:rFonts w:asciiTheme="minorHAnsi" w:hAnsiTheme="minorHAnsi" w:cs="Arial"/>
          <w:sz w:val="20"/>
          <w:szCs w:val="20"/>
        </w:rPr>
        <w:t xml:space="preserve"> (9.201) field. </w:t>
      </w:r>
    </w:p>
    <w:p w14:paraId="2B819DB1" w14:textId="77777777" w:rsidR="00115458" w:rsidRPr="00672C1B" w:rsidRDefault="00115458" w:rsidP="00115458">
      <w:pPr>
        <w:pStyle w:val="Maintext"/>
      </w:pPr>
    </w:p>
    <w:tbl>
      <w:tblPr>
        <w:tblW w:w="5000" w:type="pct"/>
        <w:tblLook w:val="0000" w:firstRow="0" w:lastRow="0" w:firstColumn="0" w:lastColumn="0" w:noHBand="0" w:noVBand="0"/>
      </w:tblPr>
      <w:tblGrid>
        <w:gridCol w:w="1227"/>
        <w:gridCol w:w="5203"/>
        <w:gridCol w:w="2852"/>
      </w:tblGrid>
      <w:tr w:rsidR="00115458" w:rsidRPr="00B35C0A" w14:paraId="2FCCFFE7" w14:textId="77777777" w:rsidTr="000C1365">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268B4E05" w14:textId="77777777" w:rsidR="00115458" w:rsidRPr="00F4606C" w:rsidRDefault="00115458" w:rsidP="00650B4B">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493CCA91" w14:textId="77777777" w:rsidR="00115458" w:rsidRPr="00F4606C" w:rsidRDefault="00115458" w:rsidP="00650B4B">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3C33F1B8" w14:textId="77777777" w:rsidR="00115458" w:rsidRPr="00F4606C" w:rsidRDefault="00115458" w:rsidP="00650B4B">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B35C0A" w14:paraId="3AA76332"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66821583"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27801F34"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7939D4D8"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Account name</w:t>
            </w:r>
          </w:p>
        </w:tc>
      </w:tr>
      <w:tr w:rsidR="00115458" w:rsidRPr="00B35C0A" w14:paraId="5BC10131"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42955167" w14:textId="72ABA419"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9.19</w:t>
            </w:r>
            <w:r w:rsidR="0067021D">
              <w:rPr>
                <w:rFonts w:asciiTheme="minorHAnsi" w:hAnsiTheme="minorHAnsi" w:cs="Arial"/>
                <w:sz w:val="20"/>
                <w:szCs w:val="20"/>
              </w:rPr>
              <w:t>7</w:t>
            </w:r>
          </w:p>
        </w:tc>
        <w:tc>
          <w:tcPr>
            <w:tcW w:w="2848" w:type="pct"/>
            <w:tcBorders>
              <w:top w:val="single" w:sz="6" w:space="0" w:color="auto"/>
              <w:left w:val="single" w:sz="6" w:space="0" w:color="auto"/>
              <w:bottom w:val="single" w:sz="6" w:space="0" w:color="auto"/>
              <w:right w:val="single" w:sz="6" w:space="0" w:color="auto"/>
            </w:tcBorders>
            <w:vAlign w:val="center"/>
          </w:tcPr>
          <w:p w14:paraId="7560A6E5"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17EF8E2A"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 xml:space="preserve">I = Individual or </w:t>
            </w:r>
          </w:p>
          <w:p w14:paraId="5C2D952F"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D = Individual is deceased</w:t>
            </w:r>
          </w:p>
        </w:tc>
      </w:tr>
      <w:tr w:rsidR="00115458" w:rsidRPr="00B35C0A" w14:paraId="32F6487E" w14:textId="77777777" w:rsidTr="000C1365">
        <w:trPr>
          <w:cantSplit/>
          <w:trHeight w:val="507"/>
        </w:trPr>
        <w:tc>
          <w:tcPr>
            <w:tcW w:w="571" w:type="pct"/>
            <w:tcBorders>
              <w:top w:val="single" w:sz="6" w:space="0" w:color="auto"/>
              <w:left w:val="single" w:sz="6" w:space="0" w:color="auto"/>
              <w:bottom w:val="single" w:sz="6" w:space="0" w:color="auto"/>
              <w:right w:val="single" w:sz="6" w:space="0" w:color="auto"/>
            </w:tcBorders>
            <w:vAlign w:val="center"/>
          </w:tcPr>
          <w:p w14:paraId="16579BD4" w14:textId="10247D1A"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9.19</w:t>
            </w:r>
            <w:r w:rsidR="005E3702">
              <w:rPr>
                <w:rFonts w:asciiTheme="minorHAnsi" w:hAnsiTheme="minorHAnsi" w:cs="Arial"/>
                <w:sz w:val="20"/>
                <w:szCs w:val="20"/>
              </w:rPr>
              <w:t>8</w:t>
            </w:r>
          </w:p>
        </w:tc>
        <w:tc>
          <w:tcPr>
            <w:tcW w:w="2848" w:type="pct"/>
            <w:tcBorders>
              <w:top w:val="single" w:sz="6" w:space="0" w:color="auto"/>
              <w:left w:val="single" w:sz="6" w:space="0" w:color="auto"/>
              <w:bottom w:val="single" w:sz="6" w:space="0" w:color="auto"/>
              <w:right w:val="single" w:sz="6" w:space="0" w:color="auto"/>
            </w:tcBorders>
            <w:vAlign w:val="center"/>
          </w:tcPr>
          <w:p w14:paraId="3A01E47D"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75A76C65"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Individual investor’s TFN as quoted</w:t>
            </w:r>
          </w:p>
        </w:tc>
      </w:tr>
      <w:tr w:rsidR="00115458" w:rsidRPr="00B35C0A" w14:paraId="64EA5F53"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D47CF88" w14:textId="20832E82"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9.19</w:t>
            </w:r>
            <w:r w:rsidR="005E3702">
              <w:rPr>
                <w:rFonts w:asciiTheme="minorHAnsi" w:hAnsiTheme="minorHAnsi" w:cs="Arial"/>
                <w:sz w:val="20"/>
                <w:szCs w:val="20"/>
              </w:rPr>
              <w:t>9</w:t>
            </w:r>
          </w:p>
        </w:tc>
        <w:tc>
          <w:tcPr>
            <w:tcW w:w="2848" w:type="pct"/>
            <w:tcBorders>
              <w:top w:val="single" w:sz="6" w:space="0" w:color="auto"/>
              <w:left w:val="single" w:sz="6" w:space="0" w:color="auto"/>
              <w:bottom w:val="single" w:sz="6" w:space="0" w:color="auto"/>
              <w:right w:val="single" w:sz="6" w:space="0" w:color="auto"/>
            </w:tcBorders>
            <w:vAlign w:val="center"/>
          </w:tcPr>
          <w:p w14:paraId="36F1725E"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67BD5172"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Individual investor’s ABN as quoted</w:t>
            </w:r>
          </w:p>
        </w:tc>
      </w:tr>
      <w:tr w:rsidR="00115458" w:rsidRPr="00B35C0A" w14:paraId="1F2A44E5"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0E57D5FC" w14:textId="5F5975AB"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9.20</w:t>
            </w:r>
            <w:r w:rsidR="005E3702">
              <w:rPr>
                <w:rFonts w:asciiTheme="minorHAnsi" w:hAnsiTheme="minorHAnsi" w:cs="Arial"/>
                <w:sz w:val="20"/>
                <w:szCs w:val="20"/>
              </w:rPr>
              <w:t>6</w:t>
            </w:r>
          </w:p>
        </w:tc>
        <w:tc>
          <w:tcPr>
            <w:tcW w:w="2848" w:type="pct"/>
            <w:tcBorders>
              <w:top w:val="single" w:sz="6" w:space="0" w:color="auto"/>
              <w:left w:val="single" w:sz="6" w:space="0" w:color="auto"/>
              <w:bottom w:val="single" w:sz="6" w:space="0" w:color="auto"/>
              <w:right w:val="single" w:sz="6" w:space="0" w:color="auto"/>
            </w:tcBorders>
            <w:vAlign w:val="center"/>
          </w:tcPr>
          <w:p w14:paraId="5AB8EE6D"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039FA930" w14:textId="77777777" w:rsidR="00115458" w:rsidRPr="00F4606C" w:rsidRDefault="00115458" w:rsidP="00650B4B">
            <w:pPr>
              <w:pStyle w:val="Maintext"/>
              <w:rPr>
                <w:rFonts w:asciiTheme="minorHAnsi" w:hAnsiTheme="minorHAnsi" w:cs="Arial"/>
                <w:sz w:val="20"/>
                <w:szCs w:val="20"/>
              </w:rPr>
            </w:pPr>
            <w:r w:rsidRPr="00F4606C">
              <w:rPr>
                <w:rFonts w:asciiTheme="minorHAnsi" w:hAnsiTheme="minorHAnsi" w:cs="Arial"/>
                <w:sz w:val="20"/>
                <w:szCs w:val="20"/>
              </w:rPr>
              <w:t>Blank fill</w:t>
            </w:r>
          </w:p>
        </w:tc>
      </w:tr>
    </w:tbl>
    <w:p w14:paraId="33A1D058" w14:textId="77777777" w:rsidR="00115458" w:rsidRPr="009807B1" w:rsidRDefault="00115458" w:rsidP="00115458">
      <w:pPr>
        <w:pStyle w:val="Heading4"/>
      </w:pPr>
      <w:r w:rsidRPr="009807B1">
        <w:t>Non-individual investor</w:t>
      </w:r>
      <w:r>
        <w:t xml:space="preserve">s </w:t>
      </w:r>
    </w:p>
    <w:tbl>
      <w:tblPr>
        <w:tblW w:w="5000" w:type="pct"/>
        <w:tblLook w:val="0000" w:firstRow="0" w:lastRow="0" w:firstColumn="0" w:lastColumn="0" w:noHBand="0" w:noVBand="0"/>
      </w:tblPr>
      <w:tblGrid>
        <w:gridCol w:w="1227"/>
        <w:gridCol w:w="5203"/>
        <w:gridCol w:w="2852"/>
      </w:tblGrid>
      <w:tr w:rsidR="00115458" w:rsidRPr="00B35C0A" w14:paraId="7A12B7E8" w14:textId="77777777" w:rsidTr="000C1365">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61C2A0ED"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02A47F97"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7BBF6F03"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B35C0A" w14:paraId="38797039"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3B262CC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428FAA20"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1C7E687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Account name</w:t>
            </w:r>
          </w:p>
        </w:tc>
      </w:tr>
      <w:tr w:rsidR="00115458" w:rsidRPr="00B35C0A" w14:paraId="497087F5"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5D304E3" w14:textId="0C01F746"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AA2BC5">
              <w:rPr>
                <w:rFonts w:asciiTheme="minorHAnsi" w:hAnsiTheme="minorHAnsi" w:cs="Arial"/>
                <w:sz w:val="20"/>
                <w:szCs w:val="20"/>
              </w:rPr>
              <w:t>7</w:t>
            </w:r>
          </w:p>
        </w:tc>
        <w:tc>
          <w:tcPr>
            <w:tcW w:w="2848" w:type="pct"/>
            <w:tcBorders>
              <w:top w:val="single" w:sz="6" w:space="0" w:color="auto"/>
              <w:left w:val="single" w:sz="6" w:space="0" w:color="auto"/>
              <w:bottom w:val="single" w:sz="6" w:space="0" w:color="auto"/>
              <w:right w:val="single" w:sz="6" w:space="0" w:color="auto"/>
            </w:tcBorders>
            <w:vAlign w:val="center"/>
          </w:tcPr>
          <w:p w14:paraId="2B6F4B90"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67B297A5"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C, G</w:t>
            </w:r>
            <w:r w:rsidRPr="00F4606C">
              <w:rPr>
                <w:rFonts w:asciiTheme="minorHAnsi" w:hAnsiTheme="minorHAnsi"/>
                <w:sz w:val="20"/>
                <w:szCs w:val="20"/>
              </w:rPr>
              <w:t xml:space="preserve">, </w:t>
            </w:r>
            <w:r w:rsidRPr="00F4606C">
              <w:rPr>
                <w:rFonts w:asciiTheme="minorHAnsi" w:hAnsiTheme="minorHAnsi" w:cs="Arial"/>
                <w:sz w:val="20"/>
                <w:szCs w:val="20"/>
              </w:rPr>
              <w:t>E, F, O</w:t>
            </w:r>
            <w:r w:rsidRPr="00F4606C">
              <w:rPr>
                <w:rFonts w:asciiTheme="minorHAnsi" w:hAnsiTheme="minorHAnsi"/>
                <w:sz w:val="20"/>
                <w:szCs w:val="20"/>
              </w:rPr>
              <w:t xml:space="preserve">, </w:t>
            </w:r>
            <w:r w:rsidRPr="00F4606C">
              <w:rPr>
                <w:rFonts w:asciiTheme="minorHAnsi" w:hAnsiTheme="minorHAnsi" w:cs="Arial"/>
                <w:sz w:val="20"/>
                <w:szCs w:val="20"/>
              </w:rPr>
              <w:t xml:space="preserve">P, </w:t>
            </w:r>
            <w:r w:rsidRPr="00F4606C">
              <w:rPr>
                <w:rFonts w:asciiTheme="minorHAnsi" w:hAnsiTheme="minorHAnsi"/>
                <w:sz w:val="20"/>
                <w:szCs w:val="20"/>
              </w:rPr>
              <w:t>S,</w:t>
            </w:r>
            <w:r w:rsidRPr="00F4606C">
              <w:rPr>
                <w:rFonts w:asciiTheme="minorHAnsi" w:hAnsiTheme="minorHAnsi" w:cs="Arial"/>
                <w:sz w:val="20"/>
                <w:szCs w:val="20"/>
              </w:rPr>
              <w:t xml:space="preserve"> T</w:t>
            </w:r>
          </w:p>
        </w:tc>
      </w:tr>
      <w:tr w:rsidR="00115458" w:rsidRPr="00B35C0A" w14:paraId="01CEC3D6"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7D1C94DF" w14:textId="1910360F"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AA2BC5">
              <w:rPr>
                <w:rFonts w:asciiTheme="minorHAnsi" w:hAnsiTheme="minorHAnsi" w:cs="Arial"/>
                <w:sz w:val="20"/>
                <w:szCs w:val="20"/>
              </w:rPr>
              <w:t>8</w:t>
            </w:r>
          </w:p>
        </w:tc>
        <w:tc>
          <w:tcPr>
            <w:tcW w:w="2848" w:type="pct"/>
            <w:tcBorders>
              <w:top w:val="single" w:sz="6" w:space="0" w:color="auto"/>
              <w:left w:val="single" w:sz="6" w:space="0" w:color="auto"/>
              <w:bottom w:val="single" w:sz="6" w:space="0" w:color="auto"/>
              <w:right w:val="single" w:sz="6" w:space="0" w:color="auto"/>
            </w:tcBorders>
            <w:vAlign w:val="center"/>
          </w:tcPr>
          <w:p w14:paraId="4C882B2B"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1EECE9B7"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Investor’s TFN as quoted</w:t>
            </w:r>
          </w:p>
        </w:tc>
      </w:tr>
      <w:tr w:rsidR="00115458" w:rsidRPr="00B35C0A" w14:paraId="7C8A6759"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743B9E9D" w14:textId="6E4DF542"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w:t>
            </w:r>
            <w:r w:rsidR="00EC0CD6">
              <w:rPr>
                <w:rFonts w:asciiTheme="minorHAnsi" w:hAnsiTheme="minorHAnsi" w:cs="Arial"/>
                <w:sz w:val="20"/>
                <w:szCs w:val="20"/>
              </w:rPr>
              <w:t>199</w:t>
            </w:r>
          </w:p>
        </w:tc>
        <w:tc>
          <w:tcPr>
            <w:tcW w:w="2848" w:type="pct"/>
            <w:tcBorders>
              <w:top w:val="single" w:sz="6" w:space="0" w:color="auto"/>
              <w:left w:val="single" w:sz="6" w:space="0" w:color="auto"/>
              <w:bottom w:val="single" w:sz="6" w:space="0" w:color="auto"/>
              <w:right w:val="single" w:sz="6" w:space="0" w:color="auto"/>
            </w:tcBorders>
            <w:vAlign w:val="center"/>
          </w:tcPr>
          <w:p w14:paraId="2E40DDE2"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098CE06D"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Investor’s ABN as quoted</w:t>
            </w:r>
          </w:p>
        </w:tc>
      </w:tr>
    </w:tbl>
    <w:p w14:paraId="585B1410" w14:textId="77777777" w:rsidR="00650B4B" w:rsidRDefault="00650B4B" w:rsidP="00115458">
      <w:pPr>
        <w:pStyle w:val="Maintext"/>
        <w:spacing w:before="60" w:after="60"/>
        <w:rPr>
          <w:rFonts w:cs="Arial"/>
          <w:i/>
        </w:rPr>
      </w:pPr>
    </w:p>
    <w:p w14:paraId="64ABB28C" w14:textId="221AADAB"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i/>
          <w:sz w:val="20"/>
          <w:szCs w:val="20"/>
        </w:rPr>
        <w:t>Individual investor surname</w:t>
      </w:r>
      <w:r w:rsidRPr="00F4606C">
        <w:rPr>
          <w:rFonts w:asciiTheme="minorHAnsi" w:hAnsiTheme="minorHAnsi" w:cs="Arial"/>
          <w:sz w:val="20"/>
          <w:szCs w:val="20"/>
        </w:rPr>
        <w:t xml:space="preserve"> (9.</w:t>
      </w:r>
      <w:r w:rsidR="00681219">
        <w:rPr>
          <w:rFonts w:asciiTheme="minorHAnsi" w:hAnsiTheme="minorHAnsi" w:cs="Arial"/>
          <w:sz w:val="20"/>
          <w:szCs w:val="20"/>
        </w:rPr>
        <w:t>201</w:t>
      </w:r>
      <w:r w:rsidRPr="00F4606C">
        <w:rPr>
          <w:rFonts w:asciiTheme="minorHAnsi" w:hAnsiTheme="minorHAnsi" w:cs="Arial"/>
          <w:sz w:val="20"/>
          <w:szCs w:val="20"/>
        </w:rPr>
        <w:t>) and given name (9.</w:t>
      </w:r>
      <w:r w:rsidR="0067021D">
        <w:rPr>
          <w:rFonts w:asciiTheme="minorHAnsi" w:hAnsiTheme="minorHAnsi" w:cs="Arial"/>
          <w:sz w:val="20"/>
          <w:szCs w:val="20"/>
        </w:rPr>
        <w:t>202</w:t>
      </w:r>
      <w:r w:rsidR="0067021D" w:rsidRPr="00F4606C">
        <w:rPr>
          <w:rFonts w:asciiTheme="minorHAnsi" w:hAnsiTheme="minorHAnsi" w:cs="Arial"/>
          <w:sz w:val="20"/>
          <w:szCs w:val="20"/>
        </w:rPr>
        <w:t xml:space="preserve"> </w:t>
      </w:r>
      <w:r w:rsidRPr="00F4606C">
        <w:rPr>
          <w:rFonts w:asciiTheme="minorHAnsi" w:hAnsiTheme="minorHAnsi" w:cs="Arial"/>
          <w:sz w:val="20"/>
          <w:szCs w:val="20"/>
        </w:rPr>
        <w:t>and 9.</w:t>
      </w:r>
      <w:r w:rsidR="0067021D">
        <w:rPr>
          <w:rFonts w:asciiTheme="minorHAnsi" w:hAnsiTheme="minorHAnsi" w:cs="Arial"/>
          <w:sz w:val="20"/>
          <w:szCs w:val="20"/>
        </w:rPr>
        <w:t>203</w:t>
      </w:r>
      <w:r w:rsidRPr="00F4606C">
        <w:rPr>
          <w:rFonts w:asciiTheme="minorHAnsi" w:hAnsiTheme="minorHAnsi" w:cs="Arial"/>
          <w:sz w:val="20"/>
          <w:szCs w:val="20"/>
        </w:rPr>
        <w:t xml:space="preserve">) fields should be blank filled. </w:t>
      </w:r>
    </w:p>
    <w:p w14:paraId="29ED9062" w14:textId="77777777" w:rsidR="00115458" w:rsidRDefault="00115458" w:rsidP="00F94DFB">
      <w:pPr>
        <w:spacing w:after="0" w:line="240" w:lineRule="auto"/>
      </w:pPr>
    </w:p>
    <w:p w14:paraId="19C8CC2E" w14:textId="77777777" w:rsidR="00115458" w:rsidRPr="00707E39" w:rsidRDefault="00115458" w:rsidP="009B51F6">
      <w:pPr>
        <w:spacing w:after="0" w:line="240" w:lineRule="auto"/>
        <w:rPr>
          <w:b/>
          <w:bCs/>
        </w:rPr>
      </w:pPr>
      <w:r w:rsidRPr="00707E39">
        <w:rPr>
          <w:b/>
          <w:bCs/>
        </w:rPr>
        <w:t>Australian superannuation fund</w:t>
      </w:r>
    </w:p>
    <w:p w14:paraId="474DCC9D" w14:textId="77777777" w:rsidR="00115458" w:rsidRPr="00707E39" w:rsidRDefault="00115458" w:rsidP="00115458"/>
    <w:tbl>
      <w:tblPr>
        <w:tblW w:w="5000" w:type="pct"/>
        <w:tblLook w:val="0000" w:firstRow="0" w:lastRow="0" w:firstColumn="0" w:lastColumn="0" w:noHBand="0" w:noVBand="0"/>
      </w:tblPr>
      <w:tblGrid>
        <w:gridCol w:w="1227"/>
        <w:gridCol w:w="5203"/>
        <w:gridCol w:w="2852"/>
      </w:tblGrid>
      <w:tr w:rsidR="00115458" w:rsidRPr="00B35C0A" w14:paraId="2915FC54" w14:textId="77777777" w:rsidTr="000C1365">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0EAF7CF4"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7D594EEA"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63562A3"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B35C0A" w14:paraId="5E2FE771"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4B7DF8AF"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3ABA271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12799AAF"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Name of super fund</w:t>
            </w:r>
          </w:p>
        </w:tc>
      </w:tr>
      <w:tr w:rsidR="00115458" w:rsidRPr="00B35C0A" w14:paraId="4EA8BC82"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6ECEB8E8" w14:textId="555DBE91" w:rsidR="00115458" w:rsidRPr="008C6BEA" w:rsidRDefault="00115458" w:rsidP="000C1365">
            <w:pPr>
              <w:pStyle w:val="Maintext"/>
              <w:rPr>
                <w:rFonts w:asciiTheme="minorHAnsi" w:hAnsiTheme="minorHAnsi" w:cs="Arial"/>
                <w:sz w:val="20"/>
                <w:szCs w:val="20"/>
              </w:rPr>
            </w:pPr>
            <w:r w:rsidRPr="008C6BEA">
              <w:rPr>
                <w:rFonts w:asciiTheme="minorHAnsi" w:hAnsiTheme="minorHAnsi" w:cs="Arial"/>
                <w:sz w:val="20"/>
                <w:szCs w:val="20"/>
              </w:rPr>
              <w:t>9.19</w:t>
            </w:r>
            <w:r w:rsidR="00234CE9">
              <w:rPr>
                <w:rFonts w:asciiTheme="minorHAnsi" w:hAnsiTheme="minorHAnsi" w:cs="Arial"/>
                <w:sz w:val="20"/>
                <w:szCs w:val="20"/>
              </w:rPr>
              <w:t>7</w:t>
            </w:r>
          </w:p>
        </w:tc>
        <w:tc>
          <w:tcPr>
            <w:tcW w:w="2848" w:type="pct"/>
            <w:tcBorders>
              <w:top w:val="single" w:sz="6" w:space="0" w:color="auto"/>
              <w:left w:val="single" w:sz="6" w:space="0" w:color="auto"/>
              <w:bottom w:val="single" w:sz="6" w:space="0" w:color="auto"/>
              <w:right w:val="single" w:sz="6" w:space="0" w:color="auto"/>
            </w:tcBorders>
            <w:vAlign w:val="center"/>
          </w:tcPr>
          <w:p w14:paraId="0B989AD7" w14:textId="77777777" w:rsidR="00115458" w:rsidRPr="008C6BEA" w:rsidRDefault="00115458" w:rsidP="000C1365">
            <w:pPr>
              <w:pStyle w:val="Maintext"/>
              <w:rPr>
                <w:rFonts w:asciiTheme="minorHAnsi" w:hAnsiTheme="minorHAnsi" w:cs="Arial"/>
                <w:sz w:val="20"/>
                <w:szCs w:val="20"/>
              </w:rPr>
            </w:pPr>
            <w:r w:rsidRPr="008C6BEA">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7878D5A3" w14:textId="77777777" w:rsidR="00115458" w:rsidRPr="008C6BEA" w:rsidRDefault="00115458" w:rsidP="000C1365">
            <w:pPr>
              <w:pStyle w:val="Maintext"/>
              <w:rPr>
                <w:rFonts w:asciiTheme="minorHAnsi" w:hAnsiTheme="minorHAnsi" w:cs="Arial"/>
                <w:sz w:val="20"/>
                <w:szCs w:val="20"/>
              </w:rPr>
            </w:pPr>
            <w:r w:rsidRPr="008C6BEA">
              <w:rPr>
                <w:rFonts w:asciiTheme="minorHAnsi" w:hAnsiTheme="minorHAnsi" w:cs="Arial"/>
                <w:sz w:val="20"/>
                <w:szCs w:val="20"/>
              </w:rPr>
              <w:t>S = Australian Super fund</w:t>
            </w:r>
          </w:p>
        </w:tc>
      </w:tr>
      <w:tr w:rsidR="00115458" w:rsidRPr="00B35C0A" w14:paraId="1DE8CFDE"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3A54AF74" w14:textId="49BFA9F4"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234CE9">
              <w:rPr>
                <w:rFonts w:asciiTheme="minorHAnsi" w:hAnsiTheme="minorHAnsi" w:cs="Arial"/>
                <w:sz w:val="20"/>
                <w:szCs w:val="20"/>
              </w:rPr>
              <w:t>8</w:t>
            </w:r>
          </w:p>
        </w:tc>
        <w:tc>
          <w:tcPr>
            <w:tcW w:w="2848" w:type="pct"/>
            <w:tcBorders>
              <w:top w:val="single" w:sz="6" w:space="0" w:color="auto"/>
              <w:left w:val="single" w:sz="6" w:space="0" w:color="auto"/>
              <w:bottom w:val="single" w:sz="6" w:space="0" w:color="auto"/>
              <w:right w:val="single" w:sz="6" w:space="0" w:color="auto"/>
            </w:tcBorders>
            <w:vAlign w:val="center"/>
          </w:tcPr>
          <w:p w14:paraId="5DDBC204"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52AEFB3A"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Super fund’s TFN </w:t>
            </w:r>
          </w:p>
        </w:tc>
      </w:tr>
      <w:tr w:rsidR="00115458" w:rsidRPr="00B35C0A" w14:paraId="4DD75409"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077B2B6D" w14:textId="4C11970D"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EC0CD6">
              <w:rPr>
                <w:rFonts w:asciiTheme="minorHAnsi" w:hAnsiTheme="minorHAnsi" w:cs="Arial"/>
                <w:sz w:val="20"/>
                <w:szCs w:val="20"/>
              </w:rPr>
              <w:t>9</w:t>
            </w:r>
          </w:p>
        </w:tc>
        <w:tc>
          <w:tcPr>
            <w:tcW w:w="2848" w:type="pct"/>
            <w:tcBorders>
              <w:top w:val="single" w:sz="6" w:space="0" w:color="auto"/>
              <w:left w:val="single" w:sz="6" w:space="0" w:color="auto"/>
              <w:bottom w:val="single" w:sz="6" w:space="0" w:color="auto"/>
              <w:right w:val="single" w:sz="6" w:space="0" w:color="auto"/>
            </w:tcBorders>
            <w:vAlign w:val="center"/>
          </w:tcPr>
          <w:p w14:paraId="1B3DBBC8"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2A59B090"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Super fund’s ABN </w:t>
            </w:r>
          </w:p>
        </w:tc>
      </w:tr>
      <w:tr w:rsidR="00115458" w:rsidRPr="00B35C0A" w14:paraId="55984AB9"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58BFC14C" w14:textId="65ED9ABD"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9.20</w:t>
            </w:r>
            <w:r w:rsidR="00EC0CD6">
              <w:rPr>
                <w:rFonts w:asciiTheme="minorHAnsi" w:hAnsiTheme="minorHAnsi" w:cs="Arial"/>
                <w:sz w:val="20"/>
                <w:szCs w:val="20"/>
              </w:rPr>
              <w:t>6</w:t>
            </w:r>
          </w:p>
        </w:tc>
        <w:tc>
          <w:tcPr>
            <w:tcW w:w="2848" w:type="pct"/>
            <w:tcBorders>
              <w:top w:val="single" w:sz="6" w:space="0" w:color="auto"/>
              <w:left w:val="single" w:sz="6" w:space="0" w:color="auto"/>
              <w:bottom w:val="single" w:sz="6" w:space="0" w:color="auto"/>
              <w:right w:val="single" w:sz="6" w:space="0" w:color="auto"/>
            </w:tcBorders>
            <w:vAlign w:val="center"/>
          </w:tcPr>
          <w:p w14:paraId="4F676D4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4DD73EFD"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Name of Super fund</w:t>
            </w:r>
          </w:p>
        </w:tc>
      </w:tr>
    </w:tbl>
    <w:p w14:paraId="4E777ABD" w14:textId="77777777" w:rsidR="00115458" w:rsidRPr="00B35C0A" w:rsidRDefault="00115458" w:rsidP="00115458">
      <w:pPr>
        <w:pStyle w:val="Maintext"/>
        <w:rPr>
          <w:rFonts w:cs="Arial"/>
        </w:rPr>
      </w:pPr>
    </w:p>
    <w:p w14:paraId="58AC9534" w14:textId="77777777" w:rsidR="00115458" w:rsidRPr="008C6BEA" w:rsidRDefault="00115458" w:rsidP="00115458">
      <w:pPr>
        <w:pStyle w:val="Maintext"/>
        <w:spacing w:before="60" w:after="60"/>
        <w:rPr>
          <w:rFonts w:asciiTheme="minorHAnsi" w:hAnsiTheme="minorHAnsi" w:cs="Arial"/>
          <w:sz w:val="20"/>
          <w:szCs w:val="20"/>
        </w:rPr>
      </w:pPr>
      <w:r w:rsidRPr="008C6BEA">
        <w:rPr>
          <w:rFonts w:asciiTheme="minorHAnsi" w:hAnsiTheme="minorHAnsi" w:cs="Arial"/>
          <w:sz w:val="20"/>
          <w:szCs w:val="20"/>
        </w:rPr>
        <w:t xml:space="preserve">Only one </w:t>
      </w:r>
      <w:r w:rsidRPr="008C6BEA">
        <w:rPr>
          <w:rFonts w:asciiTheme="minorHAnsi" w:hAnsiTheme="minorHAnsi" w:cs="Arial"/>
          <w:i/>
          <w:sz w:val="20"/>
          <w:szCs w:val="20"/>
        </w:rPr>
        <w:t xml:space="preserve">investor data record </w:t>
      </w:r>
      <w:r w:rsidRPr="008C6BEA">
        <w:rPr>
          <w:rFonts w:asciiTheme="minorHAnsi" w:hAnsiTheme="minorHAnsi" w:cs="Arial"/>
          <w:sz w:val="20"/>
          <w:szCs w:val="20"/>
        </w:rPr>
        <w:t xml:space="preserve">is reported for a Super fund. Do not report the TFNs or names of individual trustees in separate </w:t>
      </w:r>
      <w:r w:rsidRPr="008C6BEA">
        <w:rPr>
          <w:rFonts w:asciiTheme="minorHAnsi" w:hAnsiTheme="minorHAnsi" w:cs="Arial"/>
          <w:i/>
          <w:sz w:val="20"/>
          <w:szCs w:val="20"/>
        </w:rPr>
        <w:t>Investor data records</w:t>
      </w:r>
      <w:r w:rsidRPr="008C6BEA">
        <w:rPr>
          <w:rFonts w:asciiTheme="minorHAnsi" w:hAnsiTheme="minorHAnsi" w:cs="Arial"/>
          <w:sz w:val="20"/>
          <w:szCs w:val="20"/>
        </w:rPr>
        <w:t xml:space="preserve">. If the trustee’s names are reported they should be reported at the </w:t>
      </w:r>
      <w:r w:rsidRPr="008C6BEA">
        <w:rPr>
          <w:rFonts w:asciiTheme="minorHAnsi" w:hAnsiTheme="minorHAnsi" w:cs="Arial"/>
          <w:i/>
          <w:sz w:val="20"/>
          <w:szCs w:val="20"/>
        </w:rPr>
        <w:t>Account name</w:t>
      </w:r>
      <w:r w:rsidRPr="008C6BEA">
        <w:rPr>
          <w:rFonts w:asciiTheme="minorHAnsi" w:hAnsiTheme="minorHAnsi" w:cs="Arial"/>
          <w:sz w:val="20"/>
          <w:szCs w:val="20"/>
        </w:rPr>
        <w:t xml:space="preserve"> (9.67) and at the </w:t>
      </w:r>
      <w:r w:rsidRPr="008C6BEA">
        <w:rPr>
          <w:rFonts w:asciiTheme="minorHAnsi" w:hAnsiTheme="minorHAnsi" w:cs="Arial"/>
          <w:i/>
          <w:sz w:val="20"/>
          <w:szCs w:val="20"/>
        </w:rPr>
        <w:t>Non-individual investor name</w:t>
      </w:r>
      <w:r w:rsidRPr="008C6BEA">
        <w:rPr>
          <w:rFonts w:asciiTheme="minorHAnsi" w:hAnsiTheme="minorHAnsi" w:cs="Arial"/>
          <w:sz w:val="20"/>
          <w:szCs w:val="20"/>
        </w:rPr>
        <w:t xml:space="preserve"> (9.201) fields. For example, John and Mary Smith ATF the Smith Superannuation fund is reported in the </w:t>
      </w:r>
      <w:r w:rsidRPr="008C6BEA">
        <w:rPr>
          <w:rFonts w:asciiTheme="minorHAnsi" w:hAnsiTheme="minorHAnsi" w:cs="Arial"/>
          <w:i/>
          <w:sz w:val="20"/>
          <w:szCs w:val="20"/>
        </w:rPr>
        <w:t>Non-individual investor name</w:t>
      </w:r>
      <w:r w:rsidRPr="008C6BEA">
        <w:rPr>
          <w:rFonts w:asciiTheme="minorHAnsi" w:hAnsiTheme="minorHAnsi" w:cs="Arial"/>
          <w:sz w:val="20"/>
          <w:szCs w:val="20"/>
        </w:rPr>
        <w:t xml:space="preserve"> (9.201) and </w:t>
      </w:r>
      <w:r w:rsidRPr="008C6BEA">
        <w:rPr>
          <w:rFonts w:asciiTheme="minorHAnsi" w:hAnsiTheme="minorHAnsi" w:cs="Arial"/>
          <w:i/>
          <w:sz w:val="20"/>
          <w:szCs w:val="20"/>
        </w:rPr>
        <w:t>Account name</w:t>
      </w:r>
      <w:r w:rsidRPr="008C6BEA">
        <w:rPr>
          <w:rFonts w:asciiTheme="minorHAnsi" w:hAnsiTheme="minorHAnsi" w:cs="Arial"/>
          <w:sz w:val="20"/>
          <w:szCs w:val="20"/>
        </w:rPr>
        <w:t xml:space="preserve"> (9.67) fields.</w:t>
      </w:r>
    </w:p>
    <w:p w14:paraId="6FE4BEFC" w14:textId="77777777" w:rsidR="00115458" w:rsidRPr="00B35C0A" w:rsidRDefault="00115458" w:rsidP="00115458">
      <w:pPr>
        <w:pStyle w:val="Maintext"/>
        <w:spacing w:before="60" w:after="60"/>
        <w:rPr>
          <w:rFonts w:cs="Arial"/>
        </w:rPr>
      </w:pPr>
    </w:p>
    <w:p w14:paraId="357FB43F" w14:textId="77777777" w:rsidR="00115458" w:rsidRDefault="00115458" w:rsidP="008C6BEA">
      <w:pPr>
        <w:spacing w:after="0" w:line="240" w:lineRule="auto"/>
        <w:rPr>
          <w:b/>
          <w:bCs/>
        </w:rPr>
      </w:pPr>
      <w:r w:rsidRPr="00707E39">
        <w:rPr>
          <w:b/>
          <w:bCs/>
        </w:rPr>
        <w:t xml:space="preserve">Corporation or incorporated organisation </w:t>
      </w:r>
    </w:p>
    <w:p w14:paraId="7F32A189" w14:textId="77777777" w:rsidR="00115458" w:rsidRPr="00707E39" w:rsidRDefault="00115458" w:rsidP="008C6BEA">
      <w:pPr>
        <w:spacing w:after="0" w:line="240" w:lineRule="auto"/>
        <w:rPr>
          <w:b/>
          <w:bCs/>
        </w:rPr>
      </w:pPr>
    </w:p>
    <w:p w14:paraId="546BFE01" w14:textId="77777777" w:rsidR="00115458" w:rsidRPr="00C91556" w:rsidRDefault="00115458" w:rsidP="008C6BEA">
      <w:pPr>
        <w:spacing w:after="0" w:line="240" w:lineRule="auto"/>
        <w:rPr>
          <w:rFonts w:cs="Arial"/>
        </w:rPr>
      </w:pPr>
      <w:r w:rsidRPr="00C91556">
        <w:rPr>
          <w:rFonts w:cs="Arial"/>
        </w:rPr>
        <w:t>An account held by a company or incorporated organisation, must report the TFN or ABN and registered name. The name and TFN of the Public Officer or other signatory to the account should not be reported.</w:t>
      </w:r>
    </w:p>
    <w:p w14:paraId="4DFC424E" w14:textId="77777777" w:rsidR="00115458" w:rsidRPr="00C91556" w:rsidRDefault="00115458" w:rsidP="00115458">
      <w:pPr>
        <w:rPr>
          <w:rFonts w:cs="Arial"/>
        </w:rPr>
      </w:pPr>
    </w:p>
    <w:tbl>
      <w:tblPr>
        <w:tblW w:w="5000" w:type="pct"/>
        <w:tblLook w:val="0000" w:firstRow="0" w:lastRow="0" w:firstColumn="0" w:lastColumn="0" w:noHBand="0" w:noVBand="0"/>
      </w:tblPr>
      <w:tblGrid>
        <w:gridCol w:w="1227"/>
        <w:gridCol w:w="5202"/>
        <w:gridCol w:w="2853"/>
      </w:tblGrid>
      <w:tr w:rsidR="00115458" w:rsidRPr="00C91556" w14:paraId="335CCBF7" w14:textId="77777777" w:rsidTr="000C1365">
        <w:trPr>
          <w:cantSplit/>
        </w:trPr>
        <w:tc>
          <w:tcPr>
            <w:tcW w:w="586" w:type="pct"/>
            <w:tcBorders>
              <w:top w:val="single" w:sz="6" w:space="0" w:color="auto"/>
              <w:left w:val="single" w:sz="6" w:space="0" w:color="auto"/>
              <w:bottom w:val="single" w:sz="6" w:space="0" w:color="auto"/>
              <w:right w:val="single" w:sz="6" w:space="0" w:color="auto"/>
            </w:tcBorders>
            <w:shd w:val="clear" w:color="auto" w:fill="B3B3B3"/>
            <w:vAlign w:val="center"/>
          </w:tcPr>
          <w:p w14:paraId="61889149" w14:textId="77777777" w:rsidR="00115458" w:rsidRPr="008C6BEA" w:rsidRDefault="00115458" w:rsidP="008C6BEA">
            <w:pPr>
              <w:pStyle w:val="Maintext"/>
              <w:rPr>
                <w:rFonts w:asciiTheme="minorHAnsi" w:hAnsiTheme="minorHAnsi" w:cs="Arial"/>
                <w:b/>
                <w:sz w:val="20"/>
                <w:szCs w:val="20"/>
              </w:rPr>
            </w:pPr>
            <w:r w:rsidRPr="008C6BEA">
              <w:rPr>
                <w:rFonts w:asciiTheme="minorHAnsi" w:hAnsiTheme="minorHAnsi" w:cs="Arial"/>
                <w:b/>
                <w:sz w:val="20"/>
                <w:szCs w:val="20"/>
              </w:rPr>
              <w:t>Reference number</w:t>
            </w:r>
          </w:p>
        </w:tc>
        <w:tc>
          <w:tcPr>
            <w:tcW w:w="2840" w:type="pct"/>
            <w:tcBorders>
              <w:top w:val="single" w:sz="6" w:space="0" w:color="auto"/>
              <w:left w:val="single" w:sz="6" w:space="0" w:color="auto"/>
              <w:bottom w:val="single" w:sz="6" w:space="0" w:color="auto"/>
              <w:right w:val="single" w:sz="6" w:space="0" w:color="auto"/>
            </w:tcBorders>
            <w:shd w:val="clear" w:color="auto" w:fill="B3B3B3"/>
            <w:vAlign w:val="center"/>
          </w:tcPr>
          <w:p w14:paraId="4F3A8D63" w14:textId="77777777" w:rsidR="00115458" w:rsidRPr="008C6BEA" w:rsidRDefault="00115458" w:rsidP="008C6BEA">
            <w:pPr>
              <w:pStyle w:val="Maintext"/>
              <w:rPr>
                <w:rFonts w:asciiTheme="minorHAnsi" w:hAnsiTheme="minorHAnsi" w:cs="Arial"/>
                <w:b/>
                <w:sz w:val="20"/>
                <w:szCs w:val="20"/>
              </w:rPr>
            </w:pPr>
            <w:r w:rsidRPr="008C6BEA">
              <w:rPr>
                <w:rFonts w:asciiTheme="minorHAnsi" w:hAnsiTheme="minorHAnsi" w:cs="Arial"/>
                <w:b/>
                <w:sz w:val="20"/>
                <w:szCs w:val="20"/>
              </w:rPr>
              <w:t>Field name</w:t>
            </w:r>
          </w:p>
        </w:tc>
        <w:tc>
          <w:tcPr>
            <w:tcW w:w="1574" w:type="pct"/>
            <w:tcBorders>
              <w:top w:val="single" w:sz="6" w:space="0" w:color="auto"/>
              <w:left w:val="single" w:sz="6" w:space="0" w:color="auto"/>
              <w:bottom w:val="single" w:sz="6" w:space="0" w:color="auto"/>
              <w:right w:val="single" w:sz="6" w:space="0" w:color="auto"/>
            </w:tcBorders>
            <w:shd w:val="clear" w:color="auto" w:fill="B3B3B3"/>
            <w:vAlign w:val="center"/>
          </w:tcPr>
          <w:p w14:paraId="144EF013" w14:textId="77777777" w:rsidR="00115458" w:rsidRPr="008C6BEA" w:rsidRDefault="00115458" w:rsidP="008C6BEA">
            <w:pPr>
              <w:pStyle w:val="Maintext"/>
              <w:rPr>
                <w:rFonts w:asciiTheme="minorHAnsi" w:hAnsiTheme="minorHAnsi" w:cs="Arial"/>
                <w:b/>
                <w:sz w:val="20"/>
                <w:szCs w:val="20"/>
              </w:rPr>
            </w:pPr>
            <w:r w:rsidRPr="008C6BEA">
              <w:rPr>
                <w:rFonts w:asciiTheme="minorHAnsi" w:hAnsiTheme="minorHAnsi" w:cs="Arial"/>
                <w:b/>
                <w:sz w:val="20"/>
                <w:szCs w:val="20"/>
              </w:rPr>
              <w:t>Explanation</w:t>
            </w:r>
          </w:p>
        </w:tc>
      </w:tr>
      <w:tr w:rsidR="00115458" w:rsidRPr="00C91556" w14:paraId="16241DA5"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0A098C04"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9.67</w:t>
            </w:r>
          </w:p>
        </w:tc>
        <w:tc>
          <w:tcPr>
            <w:tcW w:w="2840" w:type="pct"/>
            <w:tcBorders>
              <w:top w:val="single" w:sz="6" w:space="0" w:color="auto"/>
              <w:left w:val="single" w:sz="6" w:space="0" w:color="auto"/>
              <w:bottom w:val="single" w:sz="6" w:space="0" w:color="auto"/>
              <w:right w:val="single" w:sz="6" w:space="0" w:color="auto"/>
            </w:tcBorders>
            <w:vAlign w:val="center"/>
          </w:tcPr>
          <w:p w14:paraId="2B4D1B4B"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Account name</w:t>
            </w:r>
          </w:p>
        </w:tc>
        <w:tc>
          <w:tcPr>
            <w:tcW w:w="1574" w:type="pct"/>
            <w:tcBorders>
              <w:top w:val="single" w:sz="6" w:space="0" w:color="auto"/>
              <w:left w:val="single" w:sz="6" w:space="0" w:color="auto"/>
              <w:bottom w:val="single" w:sz="6" w:space="0" w:color="auto"/>
              <w:right w:val="single" w:sz="6" w:space="0" w:color="auto"/>
            </w:tcBorders>
            <w:vAlign w:val="center"/>
          </w:tcPr>
          <w:p w14:paraId="481CDBAB"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Account name of company or incorporated organisation</w:t>
            </w:r>
          </w:p>
        </w:tc>
      </w:tr>
      <w:tr w:rsidR="00115458" w:rsidRPr="00C91556" w14:paraId="0282E262"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0291F359" w14:textId="1D962CDC"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9.19</w:t>
            </w:r>
            <w:r w:rsidR="00234CE9">
              <w:rPr>
                <w:rFonts w:asciiTheme="minorHAnsi" w:hAnsiTheme="minorHAnsi" w:cs="Arial"/>
                <w:bCs/>
                <w:sz w:val="20"/>
                <w:szCs w:val="20"/>
              </w:rPr>
              <w:t>7</w:t>
            </w:r>
          </w:p>
        </w:tc>
        <w:tc>
          <w:tcPr>
            <w:tcW w:w="2840" w:type="pct"/>
            <w:tcBorders>
              <w:top w:val="single" w:sz="6" w:space="0" w:color="auto"/>
              <w:left w:val="single" w:sz="6" w:space="0" w:color="auto"/>
              <w:bottom w:val="single" w:sz="6" w:space="0" w:color="auto"/>
              <w:right w:val="single" w:sz="6" w:space="0" w:color="auto"/>
            </w:tcBorders>
            <w:vAlign w:val="center"/>
          </w:tcPr>
          <w:p w14:paraId="34315DD9"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Investor entity type</w:t>
            </w:r>
          </w:p>
        </w:tc>
        <w:tc>
          <w:tcPr>
            <w:tcW w:w="1574" w:type="pct"/>
            <w:tcBorders>
              <w:top w:val="single" w:sz="6" w:space="0" w:color="auto"/>
              <w:left w:val="single" w:sz="6" w:space="0" w:color="auto"/>
              <w:bottom w:val="single" w:sz="6" w:space="0" w:color="auto"/>
              <w:right w:val="single" w:sz="6" w:space="0" w:color="auto"/>
            </w:tcBorders>
            <w:vAlign w:val="center"/>
          </w:tcPr>
          <w:p w14:paraId="64EA105E"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C = Corporation</w:t>
            </w:r>
          </w:p>
        </w:tc>
      </w:tr>
      <w:tr w:rsidR="00115458" w:rsidRPr="00C91556" w14:paraId="644955C9"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2338338" w14:textId="34B36A48"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9.19</w:t>
            </w:r>
            <w:r w:rsidR="00234CE9">
              <w:rPr>
                <w:rFonts w:asciiTheme="minorHAnsi" w:hAnsiTheme="minorHAnsi" w:cs="Arial"/>
                <w:bCs/>
                <w:sz w:val="20"/>
                <w:szCs w:val="20"/>
              </w:rPr>
              <w:t>8</w:t>
            </w:r>
          </w:p>
        </w:tc>
        <w:tc>
          <w:tcPr>
            <w:tcW w:w="2840" w:type="pct"/>
            <w:tcBorders>
              <w:top w:val="single" w:sz="6" w:space="0" w:color="auto"/>
              <w:left w:val="single" w:sz="6" w:space="0" w:color="auto"/>
              <w:bottom w:val="single" w:sz="6" w:space="0" w:color="auto"/>
              <w:right w:val="single" w:sz="6" w:space="0" w:color="auto"/>
            </w:tcBorders>
            <w:vAlign w:val="center"/>
          </w:tcPr>
          <w:p w14:paraId="3D3DEF56"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Investor tax file number</w:t>
            </w:r>
          </w:p>
        </w:tc>
        <w:tc>
          <w:tcPr>
            <w:tcW w:w="1574" w:type="pct"/>
            <w:tcBorders>
              <w:top w:val="single" w:sz="6" w:space="0" w:color="auto"/>
              <w:left w:val="single" w:sz="6" w:space="0" w:color="auto"/>
              <w:bottom w:val="single" w:sz="6" w:space="0" w:color="auto"/>
              <w:right w:val="single" w:sz="6" w:space="0" w:color="auto"/>
            </w:tcBorders>
            <w:vAlign w:val="center"/>
          </w:tcPr>
          <w:p w14:paraId="0C1387B1"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Company’s TFN as quoted</w:t>
            </w:r>
          </w:p>
        </w:tc>
      </w:tr>
      <w:tr w:rsidR="00115458" w:rsidRPr="00C91556" w14:paraId="7FD07EEC"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6C6CDA9B" w14:textId="17D4E86C"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9.19</w:t>
            </w:r>
            <w:r w:rsidR="00234CE9">
              <w:rPr>
                <w:rFonts w:asciiTheme="minorHAnsi" w:hAnsiTheme="minorHAnsi" w:cs="Arial"/>
                <w:bCs/>
                <w:sz w:val="20"/>
                <w:szCs w:val="20"/>
              </w:rPr>
              <w:t>9</w:t>
            </w:r>
          </w:p>
        </w:tc>
        <w:tc>
          <w:tcPr>
            <w:tcW w:w="2840" w:type="pct"/>
            <w:tcBorders>
              <w:top w:val="single" w:sz="6" w:space="0" w:color="auto"/>
              <w:left w:val="single" w:sz="6" w:space="0" w:color="auto"/>
              <w:bottom w:val="single" w:sz="6" w:space="0" w:color="auto"/>
              <w:right w:val="single" w:sz="6" w:space="0" w:color="auto"/>
            </w:tcBorders>
            <w:vAlign w:val="center"/>
          </w:tcPr>
          <w:p w14:paraId="270B5D4D"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Investor Australian business number</w:t>
            </w:r>
          </w:p>
        </w:tc>
        <w:tc>
          <w:tcPr>
            <w:tcW w:w="1574" w:type="pct"/>
            <w:tcBorders>
              <w:top w:val="single" w:sz="6" w:space="0" w:color="auto"/>
              <w:left w:val="single" w:sz="6" w:space="0" w:color="auto"/>
              <w:bottom w:val="single" w:sz="6" w:space="0" w:color="auto"/>
              <w:right w:val="single" w:sz="6" w:space="0" w:color="auto"/>
            </w:tcBorders>
            <w:vAlign w:val="center"/>
          </w:tcPr>
          <w:p w14:paraId="7A072983"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Company’s ABN as quoted</w:t>
            </w:r>
          </w:p>
        </w:tc>
      </w:tr>
      <w:tr w:rsidR="00115458" w:rsidRPr="00C91556" w14:paraId="63979BEC"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CA21925" w14:textId="434216E6"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9.20</w:t>
            </w:r>
            <w:r w:rsidR="00234CE9">
              <w:rPr>
                <w:rFonts w:asciiTheme="minorHAnsi" w:hAnsiTheme="minorHAnsi" w:cs="Arial"/>
                <w:bCs/>
                <w:sz w:val="20"/>
                <w:szCs w:val="20"/>
              </w:rPr>
              <w:t>6</w:t>
            </w:r>
          </w:p>
        </w:tc>
        <w:tc>
          <w:tcPr>
            <w:tcW w:w="2840" w:type="pct"/>
            <w:tcBorders>
              <w:top w:val="single" w:sz="6" w:space="0" w:color="auto"/>
              <w:left w:val="single" w:sz="6" w:space="0" w:color="auto"/>
              <w:bottom w:val="single" w:sz="6" w:space="0" w:color="auto"/>
              <w:right w:val="single" w:sz="6" w:space="0" w:color="auto"/>
            </w:tcBorders>
            <w:vAlign w:val="center"/>
          </w:tcPr>
          <w:p w14:paraId="71AB928E"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Non-individual investor name</w:t>
            </w:r>
          </w:p>
        </w:tc>
        <w:tc>
          <w:tcPr>
            <w:tcW w:w="1574" w:type="pct"/>
            <w:tcBorders>
              <w:top w:val="single" w:sz="6" w:space="0" w:color="auto"/>
              <w:left w:val="single" w:sz="6" w:space="0" w:color="auto"/>
              <w:bottom w:val="single" w:sz="6" w:space="0" w:color="auto"/>
              <w:right w:val="single" w:sz="6" w:space="0" w:color="auto"/>
            </w:tcBorders>
            <w:vAlign w:val="center"/>
          </w:tcPr>
          <w:p w14:paraId="5E224400" w14:textId="77777777" w:rsidR="00115458" w:rsidRPr="008C6BEA" w:rsidRDefault="00115458" w:rsidP="008C6BEA">
            <w:pPr>
              <w:pStyle w:val="Maintext"/>
              <w:rPr>
                <w:rFonts w:asciiTheme="minorHAnsi" w:hAnsiTheme="minorHAnsi" w:cs="Arial"/>
                <w:bCs/>
                <w:sz w:val="20"/>
                <w:szCs w:val="20"/>
              </w:rPr>
            </w:pPr>
            <w:r w:rsidRPr="008C6BEA">
              <w:rPr>
                <w:rFonts w:asciiTheme="minorHAnsi" w:hAnsiTheme="minorHAnsi" w:cs="Arial"/>
                <w:bCs/>
                <w:sz w:val="20"/>
                <w:szCs w:val="20"/>
              </w:rPr>
              <w:t>Registered name of company</w:t>
            </w:r>
          </w:p>
        </w:tc>
      </w:tr>
    </w:tbl>
    <w:p w14:paraId="4A45AA77" w14:textId="77777777" w:rsidR="00115458" w:rsidRDefault="00115458" w:rsidP="00115458">
      <w:pPr>
        <w:rPr>
          <w:b/>
          <w:bCs/>
        </w:rPr>
      </w:pPr>
    </w:p>
    <w:p w14:paraId="00EF1A64" w14:textId="77777777" w:rsidR="00037647" w:rsidRDefault="00037647" w:rsidP="008C6BEA">
      <w:pPr>
        <w:spacing w:after="0" w:line="240" w:lineRule="auto"/>
        <w:rPr>
          <w:b/>
          <w:bCs/>
        </w:rPr>
      </w:pPr>
    </w:p>
    <w:p w14:paraId="5441F757" w14:textId="77777777" w:rsidR="00037647" w:rsidRDefault="00037647" w:rsidP="008C6BEA">
      <w:pPr>
        <w:spacing w:after="0" w:line="240" w:lineRule="auto"/>
        <w:rPr>
          <w:b/>
          <w:bCs/>
        </w:rPr>
      </w:pPr>
    </w:p>
    <w:p w14:paraId="6DA96920" w14:textId="01D49AC4" w:rsidR="00115458" w:rsidRDefault="00115458" w:rsidP="008C6BEA">
      <w:pPr>
        <w:spacing w:after="0" w:line="240" w:lineRule="auto"/>
        <w:rPr>
          <w:b/>
          <w:bCs/>
        </w:rPr>
      </w:pPr>
      <w:r w:rsidRPr="00707E39">
        <w:rPr>
          <w:b/>
          <w:bCs/>
        </w:rPr>
        <w:t>Foreign super/pension fund</w:t>
      </w:r>
    </w:p>
    <w:p w14:paraId="1732DEEC" w14:textId="77777777" w:rsidR="00115458" w:rsidRPr="00707E39" w:rsidRDefault="00115458" w:rsidP="00115458">
      <w:pPr>
        <w:rPr>
          <w:b/>
          <w:bCs/>
        </w:rPr>
      </w:pPr>
    </w:p>
    <w:tbl>
      <w:tblPr>
        <w:tblW w:w="5000" w:type="pct"/>
        <w:tblLook w:val="0000" w:firstRow="0" w:lastRow="0" w:firstColumn="0" w:lastColumn="0" w:noHBand="0" w:noVBand="0"/>
      </w:tblPr>
      <w:tblGrid>
        <w:gridCol w:w="1227"/>
        <w:gridCol w:w="5202"/>
        <w:gridCol w:w="2853"/>
      </w:tblGrid>
      <w:tr w:rsidR="00115458" w:rsidRPr="00C91556" w14:paraId="44272696" w14:textId="77777777" w:rsidTr="000C1365">
        <w:trPr>
          <w:cantSplit/>
        </w:trPr>
        <w:tc>
          <w:tcPr>
            <w:tcW w:w="602" w:type="pct"/>
            <w:tcBorders>
              <w:top w:val="single" w:sz="6" w:space="0" w:color="auto"/>
              <w:left w:val="single" w:sz="6" w:space="0" w:color="auto"/>
              <w:bottom w:val="single" w:sz="6" w:space="0" w:color="auto"/>
              <w:right w:val="single" w:sz="6" w:space="0" w:color="auto"/>
            </w:tcBorders>
            <w:shd w:val="clear" w:color="auto" w:fill="B3B3B3"/>
            <w:vAlign w:val="center"/>
          </w:tcPr>
          <w:p w14:paraId="159EC599" w14:textId="77777777" w:rsidR="00115458" w:rsidRPr="00F4606C" w:rsidRDefault="00115458" w:rsidP="008C6BEA">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32" w:type="pct"/>
            <w:tcBorders>
              <w:top w:val="single" w:sz="6" w:space="0" w:color="auto"/>
              <w:left w:val="single" w:sz="6" w:space="0" w:color="auto"/>
              <w:bottom w:val="single" w:sz="6" w:space="0" w:color="auto"/>
              <w:right w:val="single" w:sz="6" w:space="0" w:color="auto"/>
            </w:tcBorders>
            <w:shd w:val="clear" w:color="auto" w:fill="B3B3B3"/>
            <w:vAlign w:val="center"/>
          </w:tcPr>
          <w:p w14:paraId="070F4B76" w14:textId="77777777" w:rsidR="00115458" w:rsidRPr="00F4606C" w:rsidRDefault="00115458" w:rsidP="008C6BEA">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66" w:type="pct"/>
            <w:tcBorders>
              <w:top w:val="single" w:sz="6" w:space="0" w:color="auto"/>
              <w:left w:val="single" w:sz="6" w:space="0" w:color="auto"/>
              <w:bottom w:val="single" w:sz="6" w:space="0" w:color="auto"/>
              <w:right w:val="single" w:sz="6" w:space="0" w:color="auto"/>
            </w:tcBorders>
            <w:shd w:val="clear" w:color="auto" w:fill="B3B3B3"/>
            <w:vAlign w:val="center"/>
          </w:tcPr>
          <w:p w14:paraId="70CEAF47" w14:textId="77777777" w:rsidR="00115458" w:rsidRPr="00F4606C" w:rsidRDefault="00115458" w:rsidP="008C6BEA">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8C6BEA" w14:paraId="27409026" w14:textId="77777777" w:rsidTr="000C1365">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2D0022A2"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9.67</w:t>
            </w:r>
          </w:p>
        </w:tc>
        <w:tc>
          <w:tcPr>
            <w:tcW w:w="2832" w:type="pct"/>
            <w:tcBorders>
              <w:top w:val="single" w:sz="6" w:space="0" w:color="auto"/>
              <w:left w:val="single" w:sz="6" w:space="0" w:color="auto"/>
              <w:bottom w:val="single" w:sz="6" w:space="0" w:color="auto"/>
              <w:right w:val="single" w:sz="6" w:space="0" w:color="auto"/>
            </w:tcBorders>
            <w:vAlign w:val="center"/>
          </w:tcPr>
          <w:p w14:paraId="793D6808"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Account name</w:t>
            </w:r>
          </w:p>
        </w:tc>
        <w:tc>
          <w:tcPr>
            <w:tcW w:w="1566" w:type="pct"/>
            <w:tcBorders>
              <w:top w:val="single" w:sz="6" w:space="0" w:color="auto"/>
              <w:left w:val="single" w:sz="6" w:space="0" w:color="auto"/>
              <w:bottom w:val="single" w:sz="6" w:space="0" w:color="auto"/>
              <w:right w:val="single" w:sz="6" w:space="0" w:color="auto"/>
            </w:tcBorders>
            <w:vAlign w:val="center"/>
          </w:tcPr>
          <w:p w14:paraId="43CCEA2D"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Account name of company or incorporated organisation</w:t>
            </w:r>
          </w:p>
        </w:tc>
      </w:tr>
      <w:tr w:rsidR="00115458" w:rsidRPr="008C6BEA" w14:paraId="0FEDA450" w14:textId="77777777" w:rsidTr="000C1365">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72E6C670" w14:textId="72B8721E"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9.19</w:t>
            </w:r>
            <w:r w:rsidR="00234CE9">
              <w:rPr>
                <w:rFonts w:asciiTheme="minorHAnsi" w:hAnsiTheme="minorHAnsi" w:cs="Arial"/>
                <w:bCs/>
                <w:sz w:val="20"/>
                <w:szCs w:val="20"/>
              </w:rPr>
              <w:t>7</w:t>
            </w:r>
          </w:p>
        </w:tc>
        <w:tc>
          <w:tcPr>
            <w:tcW w:w="2832" w:type="pct"/>
            <w:tcBorders>
              <w:top w:val="single" w:sz="6" w:space="0" w:color="auto"/>
              <w:left w:val="single" w:sz="6" w:space="0" w:color="auto"/>
              <w:bottom w:val="single" w:sz="6" w:space="0" w:color="auto"/>
              <w:right w:val="single" w:sz="6" w:space="0" w:color="auto"/>
            </w:tcBorders>
            <w:vAlign w:val="center"/>
          </w:tcPr>
          <w:p w14:paraId="1A579F37"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Investor entity type</w:t>
            </w:r>
          </w:p>
        </w:tc>
        <w:tc>
          <w:tcPr>
            <w:tcW w:w="1566" w:type="pct"/>
            <w:tcBorders>
              <w:top w:val="single" w:sz="6" w:space="0" w:color="auto"/>
              <w:left w:val="single" w:sz="6" w:space="0" w:color="auto"/>
              <w:bottom w:val="single" w:sz="6" w:space="0" w:color="auto"/>
              <w:right w:val="single" w:sz="6" w:space="0" w:color="auto"/>
            </w:tcBorders>
            <w:vAlign w:val="center"/>
          </w:tcPr>
          <w:p w14:paraId="2E83C371"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F = Foreign super/pension fund</w:t>
            </w:r>
          </w:p>
        </w:tc>
      </w:tr>
      <w:tr w:rsidR="00115458" w:rsidRPr="008C6BEA" w14:paraId="123A36B0" w14:textId="77777777" w:rsidTr="000C1365">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2AC557DF" w14:textId="406DEBDF"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9.</w:t>
            </w:r>
            <w:r w:rsidR="00234CE9">
              <w:rPr>
                <w:rFonts w:asciiTheme="minorHAnsi" w:hAnsiTheme="minorHAnsi" w:cs="Arial"/>
                <w:bCs/>
                <w:sz w:val="20"/>
                <w:szCs w:val="20"/>
              </w:rPr>
              <w:t>200</w:t>
            </w:r>
          </w:p>
        </w:tc>
        <w:tc>
          <w:tcPr>
            <w:tcW w:w="2832" w:type="pct"/>
            <w:tcBorders>
              <w:top w:val="single" w:sz="6" w:space="0" w:color="auto"/>
              <w:left w:val="single" w:sz="6" w:space="0" w:color="auto"/>
              <w:bottom w:val="single" w:sz="6" w:space="0" w:color="auto"/>
              <w:right w:val="single" w:sz="6" w:space="0" w:color="auto"/>
            </w:tcBorders>
            <w:vAlign w:val="center"/>
          </w:tcPr>
          <w:p w14:paraId="6FC8D270"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Non-resident investor tax identification number</w:t>
            </w:r>
          </w:p>
        </w:tc>
        <w:tc>
          <w:tcPr>
            <w:tcW w:w="1566" w:type="pct"/>
            <w:tcBorders>
              <w:top w:val="single" w:sz="6" w:space="0" w:color="auto"/>
              <w:left w:val="single" w:sz="6" w:space="0" w:color="auto"/>
              <w:bottom w:val="single" w:sz="6" w:space="0" w:color="auto"/>
              <w:right w:val="single" w:sz="6" w:space="0" w:color="auto"/>
            </w:tcBorders>
            <w:vAlign w:val="center"/>
          </w:tcPr>
          <w:p w14:paraId="063DF705"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Sovereign’s TIN as quoted</w:t>
            </w:r>
          </w:p>
        </w:tc>
      </w:tr>
      <w:tr w:rsidR="00115458" w:rsidRPr="008C6BEA" w14:paraId="47B28041" w14:textId="77777777" w:rsidTr="000C1365">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5E50B66F" w14:textId="6E43D5D2"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9.20</w:t>
            </w:r>
            <w:r w:rsidR="0010066C">
              <w:rPr>
                <w:rFonts w:asciiTheme="minorHAnsi" w:hAnsiTheme="minorHAnsi" w:cs="Arial"/>
                <w:bCs/>
                <w:sz w:val="20"/>
                <w:szCs w:val="20"/>
              </w:rPr>
              <w:t>6</w:t>
            </w:r>
          </w:p>
        </w:tc>
        <w:tc>
          <w:tcPr>
            <w:tcW w:w="2832" w:type="pct"/>
            <w:tcBorders>
              <w:top w:val="single" w:sz="6" w:space="0" w:color="auto"/>
              <w:left w:val="single" w:sz="6" w:space="0" w:color="auto"/>
              <w:bottom w:val="single" w:sz="6" w:space="0" w:color="auto"/>
              <w:right w:val="single" w:sz="6" w:space="0" w:color="auto"/>
            </w:tcBorders>
            <w:vAlign w:val="center"/>
          </w:tcPr>
          <w:p w14:paraId="59739883"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Non-individual investor name</w:t>
            </w:r>
          </w:p>
        </w:tc>
        <w:tc>
          <w:tcPr>
            <w:tcW w:w="1566" w:type="pct"/>
            <w:tcBorders>
              <w:top w:val="single" w:sz="6" w:space="0" w:color="auto"/>
              <w:left w:val="single" w:sz="6" w:space="0" w:color="auto"/>
              <w:bottom w:val="single" w:sz="6" w:space="0" w:color="auto"/>
              <w:right w:val="single" w:sz="6" w:space="0" w:color="auto"/>
            </w:tcBorders>
            <w:vAlign w:val="center"/>
          </w:tcPr>
          <w:p w14:paraId="42AED1C6" w14:textId="77777777" w:rsidR="00115458" w:rsidRPr="00F4606C" w:rsidRDefault="00115458" w:rsidP="008C6BEA">
            <w:pPr>
              <w:pStyle w:val="Maintext"/>
              <w:rPr>
                <w:rFonts w:asciiTheme="minorHAnsi" w:hAnsiTheme="minorHAnsi" w:cs="Arial"/>
                <w:bCs/>
                <w:sz w:val="20"/>
                <w:szCs w:val="20"/>
              </w:rPr>
            </w:pPr>
            <w:r w:rsidRPr="00F4606C">
              <w:rPr>
                <w:rFonts w:asciiTheme="minorHAnsi" w:hAnsiTheme="minorHAnsi" w:cs="Arial"/>
                <w:bCs/>
                <w:sz w:val="20"/>
                <w:szCs w:val="20"/>
              </w:rPr>
              <w:t xml:space="preserve">Registered name of Foreign super/pension fund </w:t>
            </w:r>
          </w:p>
        </w:tc>
      </w:tr>
    </w:tbl>
    <w:p w14:paraId="25EF29F6" w14:textId="77777777" w:rsidR="00115458" w:rsidRPr="008C6BEA" w:rsidRDefault="00115458" w:rsidP="008C6BEA">
      <w:pPr>
        <w:pStyle w:val="Maintext"/>
        <w:rPr>
          <w:rFonts w:cs="Arial"/>
          <w:bCs/>
          <w:sz w:val="20"/>
          <w:szCs w:val="20"/>
        </w:rPr>
      </w:pPr>
    </w:p>
    <w:p w14:paraId="63298EDE" w14:textId="77777777" w:rsidR="00115458" w:rsidRDefault="00115458" w:rsidP="00115458">
      <w:pPr>
        <w:rPr>
          <w:b/>
          <w:bCs/>
        </w:rPr>
      </w:pPr>
      <w:r w:rsidRPr="00707E39">
        <w:rPr>
          <w:b/>
          <w:bCs/>
        </w:rPr>
        <w:t>Government organisation</w:t>
      </w:r>
    </w:p>
    <w:tbl>
      <w:tblPr>
        <w:tblW w:w="5000" w:type="pct"/>
        <w:tblLook w:val="0000" w:firstRow="0" w:lastRow="0" w:firstColumn="0" w:lastColumn="0" w:noHBand="0" w:noVBand="0"/>
      </w:tblPr>
      <w:tblGrid>
        <w:gridCol w:w="1227"/>
        <w:gridCol w:w="5203"/>
        <w:gridCol w:w="2852"/>
      </w:tblGrid>
      <w:tr w:rsidR="00115458" w:rsidRPr="00CF056D" w14:paraId="0383F8BB" w14:textId="77777777" w:rsidTr="000C1365">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5168B2F3"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38A5EC8B"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50706949"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0A67A5AD" w14:textId="77777777" w:rsidTr="000C1365">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78E9BDED"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3A281C7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2FD7F1E5"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Name of government organisation</w:t>
            </w:r>
          </w:p>
        </w:tc>
      </w:tr>
      <w:tr w:rsidR="00115458" w:rsidRPr="00CF056D" w14:paraId="471EA7D4" w14:textId="77777777" w:rsidTr="000C1365">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454B9C43" w14:textId="436035CC"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10066C">
              <w:rPr>
                <w:rFonts w:asciiTheme="minorHAnsi" w:hAnsiTheme="minorHAnsi" w:cs="Arial"/>
                <w:sz w:val="20"/>
                <w:szCs w:val="20"/>
              </w:rPr>
              <w:t>7</w:t>
            </w:r>
          </w:p>
        </w:tc>
        <w:tc>
          <w:tcPr>
            <w:tcW w:w="2848" w:type="pct"/>
            <w:tcBorders>
              <w:top w:val="single" w:sz="6" w:space="0" w:color="auto"/>
              <w:left w:val="single" w:sz="6" w:space="0" w:color="auto"/>
              <w:bottom w:val="single" w:sz="6" w:space="0" w:color="auto"/>
              <w:right w:val="single" w:sz="6" w:space="0" w:color="auto"/>
            </w:tcBorders>
            <w:vAlign w:val="center"/>
          </w:tcPr>
          <w:p w14:paraId="00B69BF2"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Investor </w:t>
            </w:r>
            <w:r w:rsidRPr="00F4606C">
              <w:rPr>
                <w:rFonts w:asciiTheme="minorHAnsi" w:hAnsiTheme="minorHAnsi" w:cs="Arial"/>
                <w:bCs/>
                <w:sz w:val="20"/>
                <w:szCs w:val="20"/>
              </w:rPr>
              <w:t xml:space="preserve">entity </w:t>
            </w:r>
            <w:r w:rsidRPr="00F4606C">
              <w:rPr>
                <w:rFonts w:asciiTheme="minorHAnsi" w:hAnsiTheme="minorHAnsi" w:cs="Arial"/>
                <w:sz w:val="20"/>
                <w:szCs w:val="20"/>
              </w:rPr>
              <w:t>type</w:t>
            </w:r>
          </w:p>
        </w:tc>
        <w:tc>
          <w:tcPr>
            <w:tcW w:w="1581" w:type="pct"/>
            <w:tcBorders>
              <w:top w:val="single" w:sz="6" w:space="0" w:color="auto"/>
              <w:left w:val="single" w:sz="6" w:space="0" w:color="auto"/>
              <w:bottom w:val="single" w:sz="6" w:space="0" w:color="auto"/>
              <w:right w:val="single" w:sz="6" w:space="0" w:color="auto"/>
            </w:tcBorders>
            <w:vAlign w:val="center"/>
          </w:tcPr>
          <w:p w14:paraId="78895213"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G = Government</w:t>
            </w:r>
          </w:p>
        </w:tc>
      </w:tr>
      <w:tr w:rsidR="00115458" w:rsidRPr="00CF056D" w14:paraId="1A5A53F5" w14:textId="77777777" w:rsidTr="000C1365">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7E1937DE" w14:textId="2BC41ACC"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10066C">
              <w:rPr>
                <w:rFonts w:asciiTheme="minorHAnsi" w:hAnsiTheme="minorHAnsi" w:cs="Arial"/>
                <w:sz w:val="20"/>
                <w:szCs w:val="20"/>
              </w:rPr>
              <w:t>8</w:t>
            </w:r>
          </w:p>
        </w:tc>
        <w:tc>
          <w:tcPr>
            <w:tcW w:w="2848" w:type="pct"/>
            <w:tcBorders>
              <w:top w:val="single" w:sz="6" w:space="0" w:color="auto"/>
              <w:left w:val="single" w:sz="6" w:space="0" w:color="auto"/>
              <w:bottom w:val="single" w:sz="6" w:space="0" w:color="auto"/>
              <w:right w:val="single" w:sz="6" w:space="0" w:color="auto"/>
            </w:tcBorders>
            <w:vAlign w:val="center"/>
          </w:tcPr>
          <w:p w14:paraId="28814745"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0297F338"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Government body’s TFN </w:t>
            </w:r>
          </w:p>
        </w:tc>
      </w:tr>
      <w:tr w:rsidR="00115458" w:rsidRPr="00CF056D" w14:paraId="70D93612" w14:textId="77777777" w:rsidTr="000C1365">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1653A2B8" w14:textId="56608088"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10066C">
              <w:rPr>
                <w:rFonts w:asciiTheme="minorHAnsi" w:hAnsiTheme="minorHAnsi" w:cs="Arial"/>
                <w:sz w:val="20"/>
                <w:szCs w:val="20"/>
              </w:rPr>
              <w:t>9</w:t>
            </w:r>
          </w:p>
        </w:tc>
        <w:tc>
          <w:tcPr>
            <w:tcW w:w="2848" w:type="pct"/>
            <w:tcBorders>
              <w:top w:val="single" w:sz="6" w:space="0" w:color="auto"/>
              <w:left w:val="single" w:sz="6" w:space="0" w:color="auto"/>
              <w:bottom w:val="single" w:sz="6" w:space="0" w:color="auto"/>
              <w:right w:val="single" w:sz="6" w:space="0" w:color="auto"/>
            </w:tcBorders>
            <w:vAlign w:val="center"/>
          </w:tcPr>
          <w:p w14:paraId="2196269E"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1854309A"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Government body’s ABN </w:t>
            </w:r>
          </w:p>
        </w:tc>
      </w:tr>
      <w:tr w:rsidR="00115458" w:rsidRPr="00CF056D" w14:paraId="7327DD3A" w14:textId="77777777" w:rsidTr="000C1365">
        <w:trPr>
          <w:cantSplit/>
          <w:trHeight w:val="272"/>
          <w:tblHeader/>
        </w:trPr>
        <w:tc>
          <w:tcPr>
            <w:tcW w:w="571" w:type="pct"/>
            <w:tcBorders>
              <w:top w:val="single" w:sz="6" w:space="0" w:color="auto"/>
              <w:left w:val="single" w:sz="6" w:space="0" w:color="auto"/>
              <w:bottom w:val="single" w:sz="6" w:space="0" w:color="auto"/>
              <w:right w:val="single" w:sz="6" w:space="0" w:color="auto"/>
            </w:tcBorders>
            <w:vAlign w:val="center"/>
          </w:tcPr>
          <w:p w14:paraId="57FC3E3C" w14:textId="17682124"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9.20</w:t>
            </w:r>
            <w:r w:rsidR="0010066C">
              <w:rPr>
                <w:rFonts w:asciiTheme="minorHAnsi" w:hAnsiTheme="minorHAnsi" w:cs="Arial"/>
                <w:sz w:val="20"/>
                <w:szCs w:val="20"/>
              </w:rPr>
              <w:t>6</w:t>
            </w:r>
          </w:p>
        </w:tc>
        <w:tc>
          <w:tcPr>
            <w:tcW w:w="2848" w:type="pct"/>
            <w:tcBorders>
              <w:top w:val="single" w:sz="6" w:space="0" w:color="auto"/>
              <w:left w:val="single" w:sz="6" w:space="0" w:color="auto"/>
              <w:bottom w:val="single" w:sz="6" w:space="0" w:color="auto"/>
              <w:right w:val="single" w:sz="6" w:space="0" w:color="auto"/>
            </w:tcBorders>
            <w:vAlign w:val="center"/>
          </w:tcPr>
          <w:p w14:paraId="02EC5AA5"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405E0D0F"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Name of government body</w:t>
            </w:r>
          </w:p>
        </w:tc>
      </w:tr>
    </w:tbl>
    <w:p w14:paraId="5B5EF6AD" w14:textId="77777777" w:rsidR="00115458" w:rsidRPr="00F4606C" w:rsidRDefault="00115458" w:rsidP="00115458">
      <w:pPr>
        <w:pStyle w:val="Maintext"/>
        <w:rPr>
          <w:rFonts w:asciiTheme="minorHAnsi" w:hAnsiTheme="minorHAnsi" w:cs="Arial"/>
          <w:sz w:val="20"/>
          <w:szCs w:val="20"/>
        </w:rPr>
      </w:pPr>
    </w:p>
    <w:p w14:paraId="652A2762" w14:textId="77777777" w:rsidR="00115458" w:rsidRPr="00F4606C" w:rsidRDefault="00115458" w:rsidP="00115458">
      <w:pPr>
        <w:pStyle w:val="Maintext"/>
        <w:spacing w:before="60" w:after="60"/>
        <w:rPr>
          <w:rFonts w:asciiTheme="minorHAnsi" w:hAnsiTheme="minorHAnsi" w:cs="Arial"/>
          <w:sz w:val="20"/>
          <w:szCs w:val="20"/>
        </w:rPr>
      </w:pPr>
      <w:r w:rsidRPr="00F4606C">
        <w:rPr>
          <w:rFonts w:asciiTheme="minorHAnsi" w:hAnsiTheme="minorHAnsi" w:cs="Arial"/>
          <w:sz w:val="20"/>
          <w:szCs w:val="20"/>
        </w:rPr>
        <w:t xml:space="preserve">Details of account signatories should not be reported in the </w:t>
      </w:r>
      <w:r w:rsidRPr="00F4606C">
        <w:rPr>
          <w:rFonts w:asciiTheme="minorHAnsi" w:hAnsiTheme="minorHAnsi" w:cs="Arial"/>
          <w:i/>
          <w:sz w:val="20"/>
          <w:szCs w:val="20"/>
        </w:rPr>
        <w:t>Investor data record</w:t>
      </w:r>
      <w:r w:rsidRPr="00F4606C">
        <w:rPr>
          <w:rFonts w:asciiTheme="minorHAnsi" w:hAnsiTheme="minorHAnsi" w:cs="Arial"/>
          <w:sz w:val="20"/>
          <w:szCs w:val="20"/>
        </w:rPr>
        <w:t>.</w:t>
      </w:r>
    </w:p>
    <w:p w14:paraId="1D35C0F5" w14:textId="77777777" w:rsidR="00115458" w:rsidRPr="00F4606C" w:rsidRDefault="00115458" w:rsidP="00115458">
      <w:pPr>
        <w:pStyle w:val="Maintext"/>
        <w:spacing w:before="60" w:after="60"/>
        <w:rPr>
          <w:rFonts w:asciiTheme="minorHAnsi" w:hAnsiTheme="minorHAnsi" w:cs="Arial"/>
          <w:sz w:val="20"/>
          <w:szCs w:val="20"/>
        </w:rPr>
      </w:pPr>
    </w:p>
    <w:p w14:paraId="32382F20" w14:textId="77777777" w:rsidR="00115458" w:rsidRPr="00CF056D" w:rsidRDefault="00115458" w:rsidP="009B51F6">
      <w:pPr>
        <w:spacing w:after="0" w:line="240" w:lineRule="auto"/>
        <w:rPr>
          <w:b/>
          <w:bCs/>
        </w:rPr>
      </w:pPr>
      <w:r w:rsidRPr="00CF056D">
        <w:rPr>
          <w:b/>
          <w:bCs/>
        </w:rPr>
        <w:t>Other non-individual</w:t>
      </w:r>
    </w:p>
    <w:p w14:paraId="3074BA57" w14:textId="77777777" w:rsidR="00115458" w:rsidRPr="00CF056D" w:rsidRDefault="00115458" w:rsidP="00115458">
      <w:pPr>
        <w:rPr>
          <w:b/>
          <w:bCs/>
        </w:rPr>
      </w:pPr>
    </w:p>
    <w:tbl>
      <w:tblPr>
        <w:tblW w:w="5000" w:type="pct"/>
        <w:tblLook w:val="0000" w:firstRow="0" w:lastRow="0" w:firstColumn="0" w:lastColumn="0" w:noHBand="0" w:noVBand="0"/>
      </w:tblPr>
      <w:tblGrid>
        <w:gridCol w:w="1227"/>
        <w:gridCol w:w="5203"/>
        <w:gridCol w:w="2852"/>
      </w:tblGrid>
      <w:tr w:rsidR="00115458" w:rsidRPr="00CF056D" w14:paraId="3DEBD113" w14:textId="77777777" w:rsidTr="000C1365">
        <w:trPr>
          <w:cantSplit/>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091D5BAC"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46529493"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91AA2FE"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4E88A049"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1AC0A7D6"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6BF37FBA"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7777EB3E"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 xml:space="preserve">Name of unincorporated organisation or non-individual entity </w:t>
            </w:r>
          </w:p>
        </w:tc>
      </w:tr>
      <w:tr w:rsidR="00115458" w:rsidRPr="00CF056D" w14:paraId="7E930541"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6A79E69C" w14:textId="09FDECCE"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9.19</w:t>
            </w:r>
            <w:r w:rsidR="0010066C">
              <w:rPr>
                <w:rFonts w:asciiTheme="minorHAnsi" w:hAnsiTheme="minorHAnsi" w:cs="Arial"/>
                <w:sz w:val="20"/>
                <w:szCs w:val="20"/>
              </w:rPr>
              <w:t>7</w:t>
            </w:r>
          </w:p>
        </w:tc>
        <w:tc>
          <w:tcPr>
            <w:tcW w:w="2848" w:type="pct"/>
            <w:tcBorders>
              <w:top w:val="single" w:sz="6" w:space="0" w:color="auto"/>
              <w:left w:val="single" w:sz="6" w:space="0" w:color="auto"/>
              <w:bottom w:val="single" w:sz="6" w:space="0" w:color="auto"/>
              <w:right w:val="single" w:sz="6" w:space="0" w:color="auto"/>
            </w:tcBorders>
            <w:vAlign w:val="center"/>
          </w:tcPr>
          <w:p w14:paraId="6190E38F"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0E76CC94"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O = Other non-individual</w:t>
            </w:r>
          </w:p>
        </w:tc>
      </w:tr>
      <w:tr w:rsidR="00115458" w:rsidRPr="00CF056D" w14:paraId="64796EB0"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693D975B" w14:textId="142C8B8E"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9.19</w:t>
            </w:r>
            <w:r w:rsidR="0010066C">
              <w:rPr>
                <w:rFonts w:asciiTheme="minorHAnsi" w:hAnsiTheme="minorHAnsi" w:cs="Arial"/>
                <w:sz w:val="20"/>
                <w:szCs w:val="20"/>
              </w:rPr>
              <w:t>8</w:t>
            </w:r>
          </w:p>
        </w:tc>
        <w:tc>
          <w:tcPr>
            <w:tcW w:w="2848" w:type="pct"/>
            <w:tcBorders>
              <w:top w:val="single" w:sz="6" w:space="0" w:color="auto"/>
              <w:left w:val="single" w:sz="6" w:space="0" w:color="auto"/>
              <w:bottom w:val="single" w:sz="6" w:space="0" w:color="auto"/>
              <w:right w:val="single" w:sz="6" w:space="0" w:color="auto"/>
            </w:tcBorders>
            <w:vAlign w:val="center"/>
          </w:tcPr>
          <w:p w14:paraId="7AE46AED"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27E70361"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 xml:space="preserve">Non-individual’s TFN </w:t>
            </w:r>
          </w:p>
        </w:tc>
      </w:tr>
      <w:tr w:rsidR="00115458" w:rsidRPr="00CF056D" w14:paraId="449F24F0"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1983699" w14:textId="3E4BE2D8"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9.19</w:t>
            </w:r>
            <w:r w:rsidR="0010066C">
              <w:rPr>
                <w:rFonts w:asciiTheme="minorHAnsi" w:hAnsiTheme="minorHAnsi" w:cs="Arial"/>
                <w:sz w:val="20"/>
                <w:szCs w:val="20"/>
              </w:rPr>
              <w:t>9</w:t>
            </w:r>
          </w:p>
        </w:tc>
        <w:tc>
          <w:tcPr>
            <w:tcW w:w="2848" w:type="pct"/>
            <w:tcBorders>
              <w:top w:val="single" w:sz="6" w:space="0" w:color="auto"/>
              <w:left w:val="single" w:sz="6" w:space="0" w:color="auto"/>
              <w:bottom w:val="single" w:sz="6" w:space="0" w:color="auto"/>
              <w:right w:val="single" w:sz="6" w:space="0" w:color="auto"/>
            </w:tcBorders>
            <w:vAlign w:val="center"/>
          </w:tcPr>
          <w:p w14:paraId="67734B32"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4D189F2B"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 xml:space="preserve">Non-individual’s ABN </w:t>
            </w:r>
          </w:p>
        </w:tc>
      </w:tr>
      <w:tr w:rsidR="00115458" w:rsidRPr="00CF056D" w14:paraId="033CF9BD"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858EFBE" w14:textId="6330A746"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9.20</w:t>
            </w:r>
            <w:r w:rsidR="0010066C">
              <w:rPr>
                <w:rFonts w:asciiTheme="minorHAnsi" w:hAnsiTheme="minorHAnsi" w:cs="Arial"/>
                <w:sz w:val="20"/>
                <w:szCs w:val="20"/>
              </w:rPr>
              <w:t>6</w:t>
            </w:r>
          </w:p>
        </w:tc>
        <w:tc>
          <w:tcPr>
            <w:tcW w:w="2848" w:type="pct"/>
            <w:tcBorders>
              <w:top w:val="single" w:sz="6" w:space="0" w:color="auto"/>
              <w:left w:val="single" w:sz="6" w:space="0" w:color="auto"/>
              <w:bottom w:val="single" w:sz="6" w:space="0" w:color="auto"/>
              <w:right w:val="single" w:sz="6" w:space="0" w:color="auto"/>
            </w:tcBorders>
            <w:vAlign w:val="center"/>
          </w:tcPr>
          <w:p w14:paraId="76F21CB8"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4144B0BC" w14:textId="77777777" w:rsidR="00115458" w:rsidRPr="00F4606C" w:rsidRDefault="00115458" w:rsidP="008C6BEA">
            <w:pPr>
              <w:pStyle w:val="Maintext"/>
              <w:rPr>
                <w:rFonts w:asciiTheme="minorHAnsi" w:hAnsiTheme="minorHAnsi" w:cs="Arial"/>
                <w:sz w:val="20"/>
                <w:szCs w:val="20"/>
              </w:rPr>
            </w:pPr>
            <w:r w:rsidRPr="00F4606C">
              <w:rPr>
                <w:rFonts w:asciiTheme="minorHAnsi" w:hAnsiTheme="minorHAnsi" w:cs="Arial"/>
                <w:sz w:val="20"/>
                <w:szCs w:val="20"/>
              </w:rPr>
              <w:t>Name of unincorporated organisation or non-individual entity</w:t>
            </w:r>
          </w:p>
        </w:tc>
      </w:tr>
    </w:tbl>
    <w:p w14:paraId="5545682E" w14:textId="77777777" w:rsidR="00115458" w:rsidRDefault="00115458" w:rsidP="00115458">
      <w:pPr>
        <w:rPr>
          <w:b/>
          <w:bCs/>
        </w:rPr>
      </w:pPr>
    </w:p>
    <w:p w14:paraId="62BA801B" w14:textId="77777777" w:rsidR="00115458" w:rsidRDefault="00115458" w:rsidP="00F4606C">
      <w:pPr>
        <w:spacing w:after="0" w:line="240" w:lineRule="auto"/>
        <w:rPr>
          <w:b/>
          <w:bCs/>
        </w:rPr>
      </w:pPr>
      <w:r w:rsidRPr="00707E39">
        <w:rPr>
          <w:b/>
          <w:bCs/>
        </w:rPr>
        <w:t>Partnerships</w:t>
      </w:r>
    </w:p>
    <w:p w14:paraId="27D18305" w14:textId="77777777" w:rsidR="00115458" w:rsidRPr="00707E39" w:rsidRDefault="00115458" w:rsidP="00F4606C">
      <w:pPr>
        <w:spacing w:after="0" w:line="240" w:lineRule="auto"/>
        <w:rPr>
          <w:b/>
          <w:bCs/>
        </w:rPr>
      </w:pPr>
    </w:p>
    <w:p w14:paraId="2B9C3048" w14:textId="60F3291B" w:rsidR="00115458" w:rsidRDefault="00115458" w:rsidP="00F4606C">
      <w:pPr>
        <w:spacing w:after="0" w:line="240" w:lineRule="auto"/>
        <w:rPr>
          <w:rFonts w:cs="Arial"/>
        </w:rPr>
      </w:pPr>
      <w:r w:rsidRPr="00C91556">
        <w:rPr>
          <w:rFonts w:cs="Arial"/>
        </w:rPr>
        <w:t xml:space="preserve">A formal partnership arrangement can be identified by the existence of a partnership agreement and a partnership TFN or ABN. </w:t>
      </w:r>
    </w:p>
    <w:p w14:paraId="6B7CD62F" w14:textId="355232AC" w:rsidR="00F94DFB" w:rsidRDefault="00F94DFB" w:rsidP="00F4606C">
      <w:pPr>
        <w:spacing w:after="0" w:line="240" w:lineRule="auto"/>
        <w:rPr>
          <w:rFonts w:cs="Arial"/>
        </w:rPr>
      </w:pPr>
    </w:p>
    <w:tbl>
      <w:tblPr>
        <w:tblW w:w="5000" w:type="pct"/>
        <w:tblLook w:val="0000" w:firstRow="0" w:lastRow="0" w:firstColumn="0" w:lastColumn="0" w:noHBand="0" w:noVBand="0"/>
      </w:tblPr>
      <w:tblGrid>
        <w:gridCol w:w="1227"/>
        <w:gridCol w:w="5203"/>
        <w:gridCol w:w="2852"/>
      </w:tblGrid>
      <w:tr w:rsidR="00115458" w:rsidRPr="00C91556" w14:paraId="40E11201" w14:textId="77777777" w:rsidTr="00F94DFB">
        <w:trPr>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515AB753" w14:textId="77777777" w:rsidR="00115458" w:rsidRPr="00F94DFB" w:rsidRDefault="00115458" w:rsidP="00F94DFB">
            <w:pPr>
              <w:spacing w:after="0" w:line="240" w:lineRule="auto"/>
              <w:rPr>
                <w:rFonts w:cs="Arial"/>
                <w:b/>
              </w:rPr>
            </w:pPr>
            <w:r w:rsidRPr="00F94DFB">
              <w:rPr>
                <w:rFonts w:cs="Arial"/>
                <w:b/>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2037DDDF" w14:textId="77777777" w:rsidR="00115458" w:rsidRPr="00F94DFB" w:rsidRDefault="00115458" w:rsidP="00F94DFB">
            <w:pPr>
              <w:spacing w:after="0" w:line="240" w:lineRule="auto"/>
              <w:rPr>
                <w:rFonts w:cs="Arial"/>
                <w:b/>
              </w:rPr>
            </w:pPr>
            <w:r w:rsidRPr="00F94DFB">
              <w:rPr>
                <w:rFonts w:cs="Arial"/>
                <w:b/>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1A476B03" w14:textId="77777777" w:rsidR="00115458" w:rsidRPr="00F94DFB" w:rsidRDefault="00115458" w:rsidP="00F94DFB">
            <w:pPr>
              <w:spacing w:after="0" w:line="240" w:lineRule="auto"/>
              <w:rPr>
                <w:rFonts w:cs="Arial"/>
                <w:b/>
              </w:rPr>
            </w:pPr>
            <w:r w:rsidRPr="00F94DFB">
              <w:rPr>
                <w:rFonts w:cs="Arial"/>
                <w:b/>
              </w:rPr>
              <w:t>Explanation</w:t>
            </w:r>
          </w:p>
        </w:tc>
      </w:tr>
      <w:tr w:rsidR="00115458" w:rsidRPr="00C91556" w14:paraId="0032D856"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157C87E2" w14:textId="77777777" w:rsidR="00115458" w:rsidRPr="00F94DFB" w:rsidRDefault="00115458" w:rsidP="00F94DFB">
            <w:pPr>
              <w:spacing w:after="0" w:line="240" w:lineRule="auto"/>
              <w:rPr>
                <w:rFonts w:cs="Arial"/>
              </w:rPr>
            </w:pPr>
            <w:r w:rsidRPr="00F94DFB">
              <w:rPr>
                <w:rFonts w:cs="Arial"/>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6575A292" w14:textId="77777777" w:rsidR="00115458" w:rsidRPr="00F94DFB" w:rsidRDefault="00115458" w:rsidP="00F94DFB">
            <w:pPr>
              <w:spacing w:after="0" w:line="240" w:lineRule="auto"/>
              <w:rPr>
                <w:rFonts w:cs="Arial"/>
              </w:rPr>
            </w:pPr>
            <w:r w:rsidRPr="00F94DFB">
              <w:rPr>
                <w:rFonts w:cs="Arial"/>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6CEAA117" w14:textId="77777777" w:rsidR="00115458" w:rsidRPr="00F94DFB" w:rsidRDefault="00115458" w:rsidP="00F94DFB">
            <w:pPr>
              <w:spacing w:after="0" w:line="240" w:lineRule="auto"/>
              <w:rPr>
                <w:rFonts w:cs="Arial"/>
              </w:rPr>
            </w:pPr>
            <w:r w:rsidRPr="00F94DFB">
              <w:rPr>
                <w:rFonts w:cs="Arial"/>
              </w:rPr>
              <w:t>Account name of partnership</w:t>
            </w:r>
          </w:p>
        </w:tc>
      </w:tr>
      <w:tr w:rsidR="00115458" w:rsidRPr="00C91556" w14:paraId="685BD66D"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39A1FACA" w14:textId="3DCFEE71" w:rsidR="00115458" w:rsidRPr="00F94DFB" w:rsidRDefault="00115458" w:rsidP="00F94DFB">
            <w:pPr>
              <w:spacing w:after="0" w:line="240" w:lineRule="auto"/>
              <w:rPr>
                <w:rFonts w:cs="Arial"/>
              </w:rPr>
            </w:pPr>
            <w:r w:rsidRPr="00F94DFB">
              <w:rPr>
                <w:rFonts w:cs="Arial"/>
              </w:rPr>
              <w:t>9.19</w:t>
            </w:r>
            <w:r w:rsidR="0010066C">
              <w:rPr>
                <w:rFonts w:cs="Arial"/>
              </w:rPr>
              <w:t>7</w:t>
            </w:r>
          </w:p>
        </w:tc>
        <w:tc>
          <w:tcPr>
            <w:tcW w:w="2848" w:type="pct"/>
            <w:tcBorders>
              <w:top w:val="single" w:sz="6" w:space="0" w:color="auto"/>
              <w:left w:val="single" w:sz="6" w:space="0" w:color="auto"/>
              <w:bottom w:val="single" w:sz="6" w:space="0" w:color="auto"/>
              <w:right w:val="single" w:sz="6" w:space="0" w:color="auto"/>
            </w:tcBorders>
            <w:vAlign w:val="center"/>
          </w:tcPr>
          <w:p w14:paraId="161EDCEC" w14:textId="77777777" w:rsidR="00115458" w:rsidRPr="00F94DFB" w:rsidRDefault="00115458" w:rsidP="00F94DFB">
            <w:pPr>
              <w:spacing w:after="0" w:line="240" w:lineRule="auto"/>
              <w:rPr>
                <w:rFonts w:cs="Arial"/>
              </w:rPr>
            </w:pPr>
            <w:r w:rsidRPr="00F94DFB">
              <w:rPr>
                <w:rFonts w:cs="Arial"/>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390DFAD0" w14:textId="77777777" w:rsidR="00115458" w:rsidRPr="00F94DFB" w:rsidRDefault="00115458" w:rsidP="00F94DFB">
            <w:pPr>
              <w:spacing w:after="0" w:line="240" w:lineRule="auto"/>
              <w:rPr>
                <w:rFonts w:cs="Arial"/>
              </w:rPr>
            </w:pPr>
            <w:r w:rsidRPr="00F94DFB">
              <w:rPr>
                <w:rFonts w:cs="Arial"/>
              </w:rPr>
              <w:t>P = Partnership</w:t>
            </w:r>
          </w:p>
        </w:tc>
      </w:tr>
      <w:tr w:rsidR="00115458" w:rsidRPr="00C91556" w14:paraId="392EAAFE"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263DFDC6" w14:textId="18B84F21" w:rsidR="00115458" w:rsidRPr="00F94DFB" w:rsidRDefault="00115458" w:rsidP="00F94DFB">
            <w:pPr>
              <w:spacing w:after="0" w:line="240" w:lineRule="auto"/>
              <w:rPr>
                <w:rFonts w:cs="Arial"/>
              </w:rPr>
            </w:pPr>
            <w:r w:rsidRPr="00F94DFB">
              <w:rPr>
                <w:rFonts w:cs="Arial"/>
              </w:rPr>
              <w:t>9.19</w:t>
            </w:r>
            <w:r w:rsidR="00564D93">
              <w:rPr>
                <w:rFonts w:cs="Arial"/>
              </w:rPr>
              <w:t>8</w:t>
            </w:r>
          </w:p>
        </w:tc>
        <w:tc>
          <w:tcPr>
            <w:tcW w:w="2848" w:type="pct"/>
            <w:tcBorders>
              <w:top w:val="single" w:sz="6" w:space="0" w:color="auto"/>
              <w:left w:val="single" w:sz="6" w:space="0" w:color="auto"/>
              <w:bottom w:val="single" w:sz="6" w:space="0" w:color="auto"/>
              <w:right w:val="single" w:sz="6" w:space="0" w:color="auto"/>
            </w:tcBorders>
            <w:vAlign w:val="center"/>
          </w:tcPr>
          <w:p w14:paraId="333D572B" w14:textId="77777777" w:rsidR="00115458" w:rsidRPr="00F94DFB" w:rsidRDefault="00115458" w:rsidP="00F94DFB">
            <w:pPr>
              <w:spacing w:after="0" w:line="240" w:lineRule="auto"/>
              <w:rPr>
                <w:rFonts w:cs="Arial"/>
              </w:rPr>
            </w:pPr>
            <w:r w:rsidRPr="00F94DFB">
              <w:rPr>
                <w:rFonts w:cs="Arial"/>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5345D5FA" w14:textId="77777777" w:rsidR="00115458" w:rsidRPr="00F94DFB" w:rsidRDefault="00115458" w:rsidP="00F94DFB">
            <w:pPr>
              <w:spacing w:after="0" w:line="240" w:lineRule="auto"/>
              <w:rPr>
                <w:rFonts w:cs="Arial"/>
              </w:rPr>
            </w:pPr>
            <w:r w:rsidRPr="00F94DFB">
              <w:rPr>
                <w:rFonts w:cs="Arial"/>
              </w:rPr>
              <w:t>Partnership’s TFN as quoted</w:t>
            </w:r>
          </w:p>
        </w:tc>
      </w:tr>
      <w:tr w:rsidR="00115458" w:rsidRPr="00C91556" w14:paraId="2CA378D5"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4E629D93" w14:textId="6632EDBF" w:rsidR="00115458" w:rsidRPr="00F94DFB" w:rsidRDefault="00115458" w:rsidP="00F94DFB">
            <w:pPr>
              <w:spacing w:after="0" w:line="240" w:lineRule="auto"/>
              <w:rPr>
                <w:rFonts w:cs="Arial"/>
              </w:rPr>
            </w:pPr>
            <w:r w:rsidRPr="00F94DFB">
              <w:rPr>
                <w:rFonts w:cs="Arial"/>
              </w:rPr>
              <w:t>9.19</w:t>
            </w:r>
            <w:r w:rsidR="00564D93">
              <w:rPr>
                <w:rFonts w:cs="Arial"/>
              </w:rPr>
              <w:t>9</w:t>
            </w:r>
          </w:p>
        </w:tc>
        <w:tc>
          <w:tcPr>
            <w:tcW w:w="2848" w:type="pct"/>
            <w:tcBorders>
              <w:top w:val="single" w:sz="6" w:space="0" w:color="auto"/>
              <w:left w:val="single" w:sz="6" w:space="0" w:color="auto"/>
              <w:bottom w:val="single" w:sz="6" w:space="0" w:color="auto"/>
              <w:right w:val="single" w:sz="6" w:space="0" w:color="auto"/>
            </w:tcBorders>
            <w:vAlign w:val="center"/>
          </w:tcPr>
          <w:p w14:paraId="3843FF4C" w14:textId="77777777" w:rsidR="00115458" w:rsidRPr="00F94DFB" w:rsidRDefault="00115458" w:rsidP="00F94DFB">
            <w:pPr>
              <w:spacing w:after="0" w:line="240" w:lineRule="auto"/>
              <w:rPr>
                <w:rFonts w:cs="Arial"/>
              </w:rPr>
            </w:pPr>
            <w:r w:rsidRPr="00F94DFB">
              <w:rPr>
                <w:rFonts w:cs="Arial"/>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23A5D9DB" w14:textId="77777777" w:rsidR="00115458" w:rsidRPr="00F94DFB" w:rsidRDefault="00115458" w:rsidP="00F94DFB">
            <w:pPr>
              <w:spacing w:after="0" w:line="240" w:lineRule="auto"/>
              <w:rPr>
                <w:rFonts w:cs="Arial"/>
              </w:rPr>
            </w:pPr>
            <w:r w:rsidRPr="00F94DFB">
              <w:rPr>
                <w:rFonts w:cs="Arial"/>
              </w:rPr>
              <w:t>Partnership’s ABN as quoted</w:t>
            </w:r>
          </w:p>
        </w:tc>
      </w:tr>
      <w:tr w:rsidR="00115458" w:rsidRPr="00C91556" w14:paraId="0CC433B5"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165F47CB" w14:textId="2B6DA9EA" w:rsidR="00115458" w:rsidRPr="00F94DFB" w:rsidRDefault="00115458" w:rsidP="00F94DFB">
            <w:pPr>
              <w:spacing w:after="0" w:line="240" w:lineRule="auto"/>
              <w:rPr>
                <w:rFonts w:cs="Arial"/>
              </w:rPr>
            </w:pPr>
            <w:r w:rsidRPr="00F94DFB">
              <w:rPr>
                <w:rFonts w:cs="Arial"/>
              </w:rPr>
              <w:t>9.20</w:t>
            </w:r>
            <w:r w:rsidR="00564D93">
              <w:rPr>
                <w:rFonts w:cs="Arial"/>
              </w:rPr>
              <w:t>6</w:t>
            </w:r>
          </w:p>
        </w:tc>
        <w:tc>
          <w:tcPr>
            <w:tcW w:w="2848" w:type="pct"/>
            <w:tcBorders>
              <w:top w:val="single" w:sz="6" w:space="0" w:color="auto"/>
              <w:left w:val="single" w:sz="6" w:space="0" w:color="auto"/>
              <w:bottom w:val="single" w:sz="6" w:space="0" w:color="auto"/>
              <w:right w:val="single" w:sz="6" w:space="0" w:color="auto"/>
            </w:tcBorders>
            <w:vAlign w:val="center"/>
          </w:tcPr>
          <w:p w14:paraId="6051E400" w14:textId="77777777" w:rsidR="00115458" w:rsidRPr="00F94DFB" w:rsidRDefault="00115458" w:rsidP="00F94DFB">
            <w:pPr>
              <w:spacing w:after="0" w:line="240" w:lineRule="auto"/>
              <w:rPr>
                <w:rFonts w:cs="Arial"/>
              </w:rPr>
            </w:pPr>
            <w:r w:rsidRPr="00F94DFB">
              <w:rPr>
                <w:rFonts w:cs="Arial"/>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40A4C91D" w14:textId="77777777" w:rsidR="00115458" w:rsidRPr="00F94DFB" w:rsidRDefault="00115458" w:rsidP="00F94DFB">
            <w:pPr>
              <w:spacing w:after="0" w:line="240" w:lineRule="auto"/>
              <w:rPr>
                <w:rFonts w:cs="Arial"/>
              </w:rPr>
            </w:pPr>
            <w:r w:rsidRPr="00F94DFB">
              <w:rPr>
                <w:rFonts w:cs="Arial"/>
              </w:rPr>
              <w:t>Name of partnership</w:t>
            </w:r>
          </w:p>
        </w:tc>
      </w:tr>
    </w:tbl>
    <w:p w14:paraId="5E0055E2" w14:textId="06713A96" w:rsidR="00115458" w:rsidRDefault="00115458" w:rsidP="00115458">
      <w:pPr>
        <w:spacing w:before="60" w:after="60"/>
      </w:pPr>
      <w:r w:rsidRPr="00C91556">
        <w:rPr>
          <w:rFonts w:cs="Arial"/>
          <w:i/>
        </w:rPr>
        <w:t>Individual investor surname</w:t>
      </w:r>
      <w:r w:rsidRPr="00C91556">
        <w:rPr>
          <w:rFonts w:cs="Arial"/>
        </w:rPr>
        <w:t xml:space="preserve"> (9.</w:t>
      </w:r>
      <w:r w:rsidR="00EF7F9D">
        <w:rPr>
          <w:rFonts w:cs="Arial"/>
        </w:rPr>
        <w:t>201</w:t>
      </w:r>
      <w:r w:rsidRPr="00C91556">
        <w:rPr>
          <w:rFonts w:cs="Arial"/>
        </w:rPr>
        <w:t>) and given name (9.</w:t>
      </w:r>
      <w:r w:rsidR="00681219">
        <w:rPr>
          <w:rFonts w:cs="Arial"/>
        </w:rPr>
        <w:t>202</w:t>
      </w:r>
      <w:r w:rsidR="00681219" w:rsidRPr="00C91556">
        <w:rPr>
          <w:rFonts w:cs="Arial"/>
        </w:rPr>
        <w:t xml:space="preserve"> </w:t>
      </w:r>
      <w:r w:rsidRPr="00C91556">
        <w:rPr>
          <w:rFonts w:cs="Arial"/>
        </w:rPr>
        <w:t>and 9.</w:t>
      </w:r>
      <w:r w:rsidR="00681219">
        <w:rPr>
          <w:rFonts w:cs="Arial"/>
        </w:rPr>
        <w:t>203</w:t>
      </w:r>
      <w:r w:rsidRPr="00C91556">
        <w:rPr>
          <w:rFonts w:cs="Arial"/>
        </w:rPr>
        <w:t>) fields should be blank filled.</w:t>
      </w:r>
    </w:p>
    <w:p w14:paraId="4DEBA29B" w14:textId="77777777" w:rsidR="00115458" w:rsidRPr="00CF056D" w:rsidRDefault="00115458" w:rsidP="00115458">
      <w:pPr>
        <w:rPr>
          <w:b/>
          <w:bCs/>
        </w:rPr>
      </w:pPr>
      <w:r w:rsidRPr="00CF056D">
        <w:rPr>
          <w:b/>
          <w:bCs/>
        </w:rPr>
        <w:t>Sovereign entity</w:t>
      </w:r>
    </w:p>
    <w:p w14:paraId="63C9F68A" w14:textId="77777777" w:rsidR="00115458" w:rsidRPr="00CF056D" w:rsidRDefault="00115458" w:rsidP="00115458">
      <w:pPr>
        <w:rPr>
          <w:b/>
          <w:bCs/>
        </w:rPr>
      </w:pPr>
    </w:p>
    <w:tbl>
      <w:tblPr>
        <w:tblW w:w="5000" w:type="pct"/>
        <w:tblLook w:val="0000" w:firstRow="0" w:lastRow="0" w:firstColumn="0" w:lastColumn="0" w:noHBand="0" w:noVBand="0"/>
      </w:tblPr>
      <w:tblGrid>
        <w:gridCol w:w="1227"/>
        <w:gridCol w:w="5202"/>
        <w:gridCol w:w="2853"/>
      </w:tblGrid>
      <w:tr w:rsidR="00115458" w:rsidRPr="00CF056D" w14:paraId="251F3F0D" w14:textId="77777777" w:rsidTr="000C1365">
        <w:trPr>
          <w:cantSplit/>
        </w:trPr>
        <w:tc>
          <w:tcPr>
            <w:tcW w:w="602" w:type="pct"/>
            <w:tcBorders>
              <w:top w:val="single" w:sz="6" w:space="0" w:color="auto"/>
              <w:left w:val="single" w:sz="6" w:space="0" w:color="auto"/>
              <w:bottom w:val="single" w:sz="6" w:space="0" w:color="auto"/>
              <w:right w:val="single" w:sz="6" w:space="0" w:color="auto"/>
            </w:tcBorders>
            <w:shd w:val="clear" w:color="auto" w:fill="B3B3B3"/>
            <w:vAlign w:val="center"/>
          </w:tcPr>
          <w:p w14:paraId="5603EAFE" w14:textId="77777777" w:rsidR="00115458" w:rsidRPr="00F4606C" w:rsidRDefault="00115458" w:rsidP="00F94DFB">
            <w:pPr>
              <w:spacing w:after="0" w:line="240" w:lineRule="auto"/>
              <w:rPr>
                <w:rFonts w:cs="Arial"/>
                <w:b/>
              </w:rPr>
            </w:pPr>
            <w:r w:rsidRPr="00F4606C">
              <w:rPr>
                <w:rFonts w:cs="Arial"/>
                <w:b/>
              </w:rPr>
              <w:t>Reference number</w:t>
            </w:r>
          </w:p>
        </w:tc>
        <w:tc>
          <w:tcPr>
            <w:tcW w:w="2832" w:type="pct"/>
            <w:tcBorders>
              <w:top w:val="single" w:sz="6" w:space="0" w:color="auto"/>
              <w:left w:val="single" w:sz="6" w:space="0" w:color="auto"/>
              <w:bottom w:val="single" w:sz="6" w:space="0" w:color="auto"/>
              <w:right w:val="single" w:sz="6" w:space="0" w:color="auto"/>
            </w:tcBorders>
            <w:shd w:val="clear" w:color="auto" w:fill="B3B3B3"/>
            <w:vAlign w:val="center"/>
          </w:tcPr>
          <w:p w14:paraId="6F5AEA76" w14:textId="77777777" w:rsidR="00115458" w:rsidRPr="00F4606C" w:rsidRDefault="00115458" w:rsidP="00F94DFB">
            <w:pPr>
              <w:spacing w:after="0" w:line="240" w:lineRule="auto"/>
              <w:rPr>
                <w:rFonts w:cs="Arial"/>
                <w:b/>
              </w:rPr>
            </w:pPr>
            <w:r w:rsidRPr="00F4606C">
              <w:rPr>
                <w:rFonts w:cs="Arial"/>
                <w:b/>
              </w:rPr>
              <w:t>Field name</w:t>
            </w:r>
          </w:p>
        </w:tc>
        <w:tc>
          <w:tcPr>
            <w:tcW w:w="1566" w:type="pct"/>
            <w:tcBorders>
              <w:top w:val="single" w:sz="6" w:space="0" w:color="auto"/>
              <w:left w:val="single" w:sz="6" w:space="0" w:color="auto"/>
              <w:bottom w:val="single" w:sz="6" w:space="0" w:color="auto"/>
              <w:right w:val="single" w:sz="6" w:space="0" w:color="auto"/>
            </w:tcBorders>
            <w:shd w:val="clear" w:color="auto" w:fill="B3B3B3"/>
            <w:vAlign w:val="center"/>
          </w:tcPr>
          <w:p w14:paraId="0DE1A90E" w14:textId="77777777" w:rsidR="00115458" w:rsidRPr="00F4606C" w:rsidRDefault="00115458" w:rsidP="00F94DFB">
            <w:pPr>
              <w:spacing w:after="0" w:line="240" w:lineRule="auto"/>
              <w:rPr>
                <w:rFonts w:cs="Arial"/>
                <w:b/>
              </w:rPr>
            </w:pPr>
            <w:r w:rsidRPr="00F4606C">
              <w:rPr>
                <w:rFonts w:cs="Arial"/>
                <w:b/>
              </w:rPr>
              <w:t>Explanation</w:t>
            </w:r>
          </w:p>
        </w:tc>
      </w:tr>
      <w:tr w:rsidR="00115458" w:rsidRPr="00CF056D" w14:paraId="1ED423AF" w14:textId="77777777" w:rsidTr="000C1365">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3AC29BB5" w14:textId="77777777" w:rsidR="00115458" w:rsidRPr="00F4606C" w:rsidRDefault="00115458" w:rsidP="00F94DFB">
            <w:pPr>
              <w:spacing w:after="0" w:line="240" w:lineRule="auto"/>
              <w:rPr>
                <w:rFonts w:cs="Arial"/>
              </w:rPr>
            </w:pPr>
            <w:r w:rsidRPr="00F4606C">
              <w:rPr>
                <w:rFonts w:cs="Arial"/>
              </w:rPr>
              <w:t>9.67</w:t>
            </w:r>
          </w:p>
        </w:tc>
        <w:tc>
          <w:tcPr>
            <w:tcW w:w="2832" w:type="pct"/>
            <w:tcBorders>
              <w:top w:val="single" w:sz="6" w:space="0" w:color="auto"/>
              <w:left w:val="single" w:sz="6" w:space="0" w:color="auto"/>
              <w:bottom w:val="single" w:sz="6" w:space="0" w:color="auto"/>
              <w:right w:val="single" w:sz="6" w:space="0" w:color="auto"/>
            </w:tcBorders>
            <w:vAlign w:val="center"/>
          </w:tcPr>
          <w:p w14:paraId="56DC3B41" w14:textId="77777777" w:rsidR="00115458" w:rsidRPr="00F4606C" w:rsidRDefault="00115458" w:rsidP="00F94DFB">
            <w:pPr>
              <w:spacing w:after="0" w:line="240" w:lineRule="auto"/>
              <w:rPr>
                <w:rFonts w:cs="Arial"/>
              </w:rPr>
            </w:pPr>
            <w:r w:rsidRPr="00F4606C">
              <w:rPr>
                <w:rFonts w:cs="Arial"/>
              </w:rPr>
              <w:t>Account name</w:t>
            </w:r>
          </w:p>
        </w:tc>
        <w:tc>
          <w:tcPr>
            <w:tcW w:w="1566" w:type="pct"/>
            <w:tcBorders>
              <w:top w:val="single" w:sz="6" w:space="0" w:color="auto"/>
              <w:left w:val="single" w:sz="6" w:space="0" w:color="auto"/>
              <w:bottom w:val="single" w:sz="6" w:space="0" w:color="auto"/>
              <w:right w:val="single" w:sz="6" w:space="0" w:color="auto"/>
            </w:tcBorders>
            <w:vAlign w:val="center"/>
          </w:tcPr>
          <w:p w14:paraId="59DA17E9" w14:textId="77777777" w:rsidR="00115458" w:rsidRPr="00F4606C" w:rsidRDefault="00115458" w:rsidP="00F94DFB">
            <w:pPr>
              <w:spacing w:after="0" w:line="240" w:lineRule="auto"/>
              <w:rPr>
                <w:rFonts w:cs="Arial"/>
              </w:rPr>
            </w:pPr>
            <w:r w:rsidRPr="00F4606C">
              <w:rPr>
                <w:rFonts w:cs="Arial"/>
              </w:rPr>
              <w:t>Account name of company or incorporated organisation</w:t>
            </w:r>
          </w:p>
        </w:tc>
      </w:tr>
      <w:tr w:rsidR="00115458" w:rsidRPr="00CF056D" w14:paraId="64DC0398" w14:textId="77777777" w:rsidTr="000C1365">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4B69A27A" w14:textId="22E3AE72" w:rsidR="00115458" w:rsidRPr="00F4606C" w:rsidRDefault="00115458" w:rsidP="00F94DFB">
            <w:pPr>
              <w:spacing w:after="0" w:line="240" w:lineRule="auto"/>
              <w:rPr>
                <w:rFonts w:cs="Arial"/>
              </w:rPr>
            </w:pPr>
            <w:r w:rsidRPr="00F4606C">
              <w:rPr>
                <w:rFonts w:cs="Arial"/>
              </w:rPr>
              <w:t>9.19</w:t>
            </w:r>
            <w:r w:rsidR="00564D93">
              <w:rPr>
                <w:rFonts w:cs="Arial"/>
              </w:rPr>
              <w:t>7</w:t>
            </w:r>
          </w:p>
        </w:tc>
        <w:tc>
          <w:tcPr>
            <w:tcW w:w="2832" w:type="pct"/>
            <w:tcBorders>
              <w:top w:val="single" w:sz="6" w:space="0" w:color="auto"/>
              <w:left w:val="single" w:sz="6" w:space="0" w:color="auto"/>
              <w:bottom w:val="single" w:sz="6" w:space="0" w:color="auto"/>
              <w:right w:val="single" w:sz="6" w:space="0" w:color="auto"/>
            </w:tcBorders>
            <w:vAlign w:val="center"/>
          </w:tcPr>
          <w:p w14:paraId="2E8AFB1D" w14:textId="77777777" w:rsidR="00115458" w:rsidRPr="00F4606C" w:rsidRDefault="00115458" w:rsidP="00F94DFB">
            <w:pPr>
              <w:spacing w:after="0" w:line="240" w:lineRule="auto"/>
              <w:rPr>
                <w:rFonts w:cs="Arial"/>
              </w:rPr>
            </w:pPr>
            <w:r w:rsidRPr="00F4606C">
              <w:rPr>
                <w:rFonts w:cs="Arial"/>
              </w:rPr>
              <w:t>Investor entity type</w:t>
            </w:r>
          </w:p>
        </w:tc>
        <w:tc>
          <w:tcPr>
            <w:tcW w:w="1566" w:type="pct"/>
            <w:tcBorders>
              <w:top w:val="single" w:sz="6" w:space="0" w:color="auto"/>
              <w:left w:val="single" w:sz="6" w:space="0" w:color="auto"/>
              <w:bottom w:val="single" w:sz="6" w:space="0" w:color="auto"/>
              <w:right w:val="single" w:sz="6" w:space="0" w:color="auto"/>
            </w:tcBorders>
            <w:vAlign w:val="center"/>
          </w:tcPr>
          <w:p w14:paraId="24D04461" w14:textId="77777777" w:rsidR="00115458" w:rsidRPr="00F4606C" w:rsidRDefault="00115458" w:rsidP="00F94DFB">
            <w:pPr>
              <w:spacing w:after="0" w:line="240" w:lineRule="auto"/>
              <w:rPr>
                <w:rFonts w:cs="Arial"/>
              </w:rPr>
            </w:pPr>
            <w:r w:rsidRPr="00F4606C">
              <w:rPr>
                <w:rFonts w:cs="Arial"/>
              </w:rPr>
              <w:t>E = Sovereign entity</w:t>
            </w:r>
          </w:p>
        </w:tc>
      </w:tr>
      <w:tr w:rsidR="00115458" w:rsidRPr="00CF056D" w14:paraId="16717617" w14:textId="77777777" w:rsidTr="000C1365">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6782CD8F" w14:textId="62484DF3" w:rsidR="00115458" w:rsidRPr="00F4606C" w:rsidRDefault="00115458" w:rsidP="00F94DFB">
            <w:pPr>
              <w:spacing w:after="0" w:line="240" w:lineRule="auto"/>
              <w:rPr>
                <w:rFonts w:cs="Arial"/>
              </w:rPr>
            </w:pPr>
            <w:r w:rsidRPr="00F4606C">
              <w:rPr>
                <w:rFonts w:cs="Arial"/>
              </w:rPr>
              <w:t>9.</w:t>
            </w:r>
            <w:r w:rsidR="00564D93">
              <w:rPr>
                <w:rFonts w:cs="Arial"/>
              </w:rPr>
              <w:t>200</w:t>
            </w:r>
          </w:p>
        </w:tc>
        <w:tc>
          <w:tcPr>
            <w:tcW w:w="2832" w:type="pct"/>
            <w:tcBorders>
              <w:top w:val="single" w:sz="6" w:space="0" w:color="auto"/>
              <w:left w:val="single" w:sz="6" w:space="0" w:color="auto"/>
              <w:bottom w:val="single" w:sz="6" w:space="0" w:color="auto"/>
              <w:right w:val="single" w:sz="6" w:space="0" w:color="auto"/>
            </w:tcBorders>
            <w:vAlign w:val="center"/>
          </w:tcPr>
          <w:p w14:paraId="2014E402" w14:textId="77777777" w:rsidR="00115458" w:rsidRPr="00F4606C" w:rsidRDefault="00115458" w:rsidP="00F94DFB">
            <w:pPr>
              <w:spacing w:after="0" w:line="240" w:lineRule="auto"/>
              <w:rPr>
                <w:rFonts w:cs="Arial"/>
              </w:rPr>
            </w:pPr>
            <w:r w:rsidRPr="00F4606C">
              <w:rPr>
                <w:rFonts w:cs="Arial"/>
              </w:rPr>
              <w:t>Non-resident investor tax identification number</w:t>
            </w:r>
          </w:p>
        </w:tc>
        <w:tc>
          <w:tcPr>
            <w:tcW w:w="1566" w:type="pct"/>
            <w:tcBorders>
              <w:top w:val="single" w:sz="6" w:space="0" w:color="auto"/>
              <w:left w:val="single" w:sz="6" w:space="0" w:color="auto"/>
              <w:bottom w:val="single" w:sz="6" w:space="0" w:color="auto"/>
              <w:right w:val="single" w:sz="6" w:space="0" w:color="auto"/>
            </w:tcBorders>
            <w:vAlign w:val="center"/>
          </w:tcPr>
          <w:p w14:paraId="5C7BDA45" w14:textId="77777777" w:rsidR="00115458" w:rsidRPr="00F4606C" w:rsidRDefault="00115458" w:rsidP="00F94DFB">
            <w:pPr>
              <w:spacing w:after="0" w:line="240" w:lineRule="auto"/>
              <w:rPr>
                <w:rFonts w:cs="Arial"/>
              </w:rPr>
            </w:pPr>
            <w:r w:rsidRPr="00F4606C">
              <w:rPr>
                <w:rFonts w:cs="Arial"/>
              </w:rPr>
              <w:t>Sovereign’s TIN as quoted</w:t>
            </w:r>
          </w:p>
        </w:tc>
      </w:tr>
      <w:tr w:rsidR="00115458" w:rsidRPr="00CF056D" w14:paraId="4388C491" w14:textId="77777777" w:rsidTr="000C1365">
        <w:trPr>
          <w:cantSplit/>
          <w:trHeight w:val="272"/>
        </w:trPr>
        <w:tc>
          <w:tcPr>
            <w:tcW w:w="602" w:type="pct"/>
            <w:tcBorders>
              <w:top w:val="single" w:sz="6" w:space="0" w:color="auto"/>
              <w:left w:val="single" w:sz="6" w:space="0" w:color="auto"/>
              <w:bottom w:val="single" w:sz="6" w:space="0" w:color="auto"/>
              <w:right w:val="single" w:sz="6" w:space="0" w:color="auto"/>
            </w:tcBorders>
            <w:vAlign w:val="center"/>
          </w:tcPr>
          <w:p w14:paraId="19CC0ED9" w14:textId="534021A0" w:rsidR="00115458" w:rsidRPr="00F4606C" w:rsidRDefault="00115458" w:rsidP="00F94DFB">
            <w:pPr>
              <w:spacing w:after="0" w:line="240" w:lineRule="auto"/>
              <w:rPr>
                <w:rFonts w:cs="Arial"/>
              </w:rPr>
            </w:pPr>
            <w:r w:rsidRPr="00F4606C">
              <w:rPr>
                <w:rFonts w:cs="Arial"/>
              </w:rPr>
              <w:t>9.20</w:t>
            </w:r>
            <w:r w:rsidR="009A7AB0">
              <w:rPr>
                <w:rFonts w:cs="Arial"/>
              </w:rPr>
              <w:t>6</w:t>
            </w:r>
          </w:p>
        </w:tc>
        <w:tc>
          <w:tcPr>
            <w:tcW w:w="2832" w:type="pct"/>
            <w:tcBorders>
              <w:top w:val="single" w:sz="6" w:space="0" w:color="auto"/>
              <w:left w:val="single" w:sz="6" w:space="0" w:color="auto"/>
              <w:bottom w:val="single" w:sz="6" w:space="0" w:color="auto"/>
              <w:right w:val="single" w:sz="6" w:space="0" w:color="auto"/>
            </w:tcBorders>
            <w:vAlign w:val="center"/>
          </w:tcPr>
          <w:p w14:paraId="4462610A" w14:textId="77777777" w:rsidR="00115458" w:rsidRPr="00F4606C" w:rsidRDefault="00115458" w:rsidP="00F94DFB">
            <w:pPr>
              <w:spacing w:after="0" w:line="240" w:lineRule="auto"/>
              <w:rPr>
                <w:rFonts w:cs="Arial"/>
              </w:rPr>
            </w:pPr>
            <w:r w:rsidRPr="00F4606C">
              <w:rPr>
                <w:rFonts w:cs="Arial"/>
              </w:rPr>
              <w:t>Non-individual investor name</w:t>
            </w:r>
          </w:p>
        </w:tc>
        <w:tc>
          <w:tcPr>
            <w:tcW w:w="1566" w:type="pct"/>
            <w:tcBorders>
              <w:top w:val="single" w:sz="6" w:space="0" w:color="auto"/>
              <w:left w:val="single" w:sz="6" w:space="0" w:color="auto"/>
              <w:bottom w:val="single" w:sz="6" w:space="0" w:color="auto"/>
              <w:right w:val="single" w:sz="6" w:space="0" w:color="auto"/>
            </w:tcBorders>
            <w:vAlign w:val="center"/>
          </w:tcPr>
          <w:p w14:paraId="0D319E0B" w14:textId="77777777" w:rsidR="00115458" w:rsidRPr="00F4606C" w:rsidRDefault="00115458" w:rsidP="00F94DFB">
            <w:pPr>
              <w:spacing w:after="0" w:line="240" w:lineRule="auto"/>
              <w:rPr>
                <w:rFonts w:cs="Arial"/>
              </w:rPr>
            </w:pPr>
            <w:r w:rsidRPr="00F4606C">
              <w:rPr>
                <w:rFonts w:cs="Arial"/>
              </w:rPr>
              <w:t xml:space="preserve">Registered name of Sovereign </w:t>
            </w:r>
          </w:p>
        </w:tc>
      </w:tr>
    </w:tbl>
    <w:p w14:paraId="70E9CDD5" w14:textId="77777777" w:rsidR="00115458" w:rsidRPr="00CF056D" w:rsidRDefault="00115458" w:rsidP="00115458">
      <w:pPr>
        <w:rPr>
          <w:b/>
          <w:bCs/>
        </w:rPr>
      </w:pPr>
    </w:p>
    <w:p w14:paraId="5A6FCED3" w14:textId="7DDE628E" w:rsidR="00115458" w:rsidRDefault="00115458" w:rsidP="00F94DFB">
      <w:pPr>
        <w:spacing w:after="0" w:line="240" w:lineRule="auto"/>
        <w:rPr>
          <w:b/>
          <w:bCs/>
        </w:rPr>
      </w:pPr>
      <w:r w:rsidRPr="00CF056D">
        <w:rPr>
          <w:b/>
          <w:bCs/>
        </w:rPr>
        <w:t>Trusts</w:t>
      </w:r>
    </w:p>
    <w:p w14:paraId="166B4D75" w14:textId="77777777" w:rsidR="00F94DFB" w:rsidRPr="00CF056D" w:rsidRDefault="00F94DFB" w:rsidP="00F94DFB">
      <w:pPr>
        <w:spacing w:after="0" w:line="240" w:lineRule="auto"/>
        <w:rPr>
          <w:b/>
          <w:bCs/>
        </w:rPr>
      </w:pPr>
    </w:p>
    <w:p w14:paraId="0E5E6473" w14:textId="77777777" w:rsidR="00115458" w:rsidRPr="00CF056D" w:rsidRDefault="00115458" w:rsidP="00F4606C">
      <w:pPr>
        <w:spacing w:after="0" w:line="240" w:lineRule="auto"/>
        <w:rPr>
          <w:rFonts w:cs="Arial"/>
        </w:rPr>
      </w:pPr>
      <w:r w:rsidRPr="00CF056D">
        <w:rPr>
          <w:rFonts w:cs="Arial"/>
        </w:rPr>
        <w:t>This section relates to trusts established under a formal arrangement such as a trust deed or will. Although not a separate legal entity, it is an entity for tax purposes the entity has a trust TFN and the trustee is required to lodge a trust tax return. The trustee can be an individual or a non-individual.</w:t>
      </w:r>
    </w:p>
    <w:p w14:paraId="5640438D" w14:textId="77777777" w:rsidR="00115458" w:rsidRPr="00CF056D" w:rsidRDefault="00115458" w:rsidP="00F4606C">
      <w:pPr>
        <w:spacing w:after="0" w:line="240" w:lineRule="auto"/>
        <w:rPr>
          <w:rFonts w:cs="Arial"/>
        </w:rPr>
      </w:pPr>
    </w:p>
    <w:p w14:paraId="7A6C65C4"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Use of ITF (in trust for), OBO (on behalf of) or ATF (as trustee for), in the account or investor name fields, MUST be preceded and followed by a space or the account will not be recognised as a trust.</w:t>
      </w:r>
    </w:p>
    <w:p w14:paraId="2B88FF79" w14:textId="77777777" w:rsidR="00115458" w:rsidRPr="00F4606C" w:rsidRDefault="00115458" w:rsidP="00115458">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5203"/>
        <w:gridCol w:w="2852"/>
      </w:tblGrid>
      <w:tr w:rsidR="00115458" w:rsidRPr="00CF056D" w14:paraId="7B22BA69" w14:textId="77777777" w:rsidTr="000C1365">
        <w:trPr>
          <w:cantSplit/>
          <w:trHeight w:val="272"/>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41BD94C2" w14:textId="77777777" w:rsidR="00115458" w:rsidRPr="00F4606C" w:rsidRDefault="00115458" w:rsidP="00F94DFB">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21009B1D" w14:textId="77777777" w:rsidR="00115458" w:rsidRPr="00F4606C" w:rsidRDefault="00115458" w:rsidP="00F94DFB">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2F4B69B3" w14:textId="77777777" w:rsidR="00115458" w:rsidRPr="00F4606C" w:rsidRDefault="00115458" w:rsidP="00F94DFB">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5E2633E7"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7E564BCC"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9.67</w:t>
            </w:r>
          </w:p>
        </w:tc>
        <w:tc>
          <w:tcPr>
            <w:tcW w:w="2848" w:type="pct"/>
            <w:tcBorders>
              <w:top w:val="single" w:sz="6" w:space="0" w:color="auto"/>
              <w:left w:val="single" w:sz="6" w:space="0" w:color="auto"/>
              <w:bottom w:val="single" w:sz="6" w:space="0" w:color="auto"/>
              <w:right w:val="single" w:sz="6" w:space="0" w:color="auto"/>
            </w:tcBorders>
            <w:vAlign w:val="center"/>
          </w:tcPr>
          <w:p w14:paraId="4FA6C27A"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581" w:type="pct"/>
            <w:tcBorders>
              <w:top w:val="single" w:sz="6" w:space="0" w:color="auto"/>
              <w:left w:val="single" w:sz="6" w:space="0" w:color="auto"/>
              <w:bottom w:val="single" w:sz="6" w:space="0" w:color="auto"/>
              <w:right w:val="single" w:sz="6" w:space="0" w:color="auto"/>
            </w:tcBorders>
            <w:vAlign w:val="center"/>
          </w:tcPr>
          <w:p w14:paraId="4B7F956A"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 xml:space="preserve">Trust name or </w:t>
            </w:r>
          </w:p>
          <w:p w14:paraId="7893EE34"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Trustee’s name ATF trust name</w:t>
            </w:r>
          </w:p>
        </w:tc>
      </w:tr>
      <w:tr w:rsidR="00115458" w:rsidRPr="00CF056D" w14:paraId="457E1A4B"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7AA21E39" w14:textId="1EBD2773"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9.19</w:t>
            </w:r>
            <w:r w:rsidR="00C07D18">
              <w:rPr>
                <w:rFonts w:asciiTheme="minorHAnsi" w:hAnsiTheme="minorHAnsi" w:cs="Arial"/>
                <w:sz w:val="20"/>
                <w:szCs w:val="20"/>
              </w:rPr>
              <w:t>7</w:t>
            </w:r>
          </w:p>
        </w:tc>
        <w:tc>
          <w:tcPr>
            <w:tcW w:w="2848" w:type="pct"/>
            <w:tcBorders>
              <w:top w:val="single" w:sz="6" w:space="0" w:color="auto"/>
              <w:left w:val="single" w:sz="6" w:space="0" w:color="auto"/>
              <w:bottom w:val="single" w:sz="6" w:space="0" w:color="auto"/>
              <w:right w:val="single" w:sz="6" w:space="0" w:color="auto"/>
            </w:tcBorders>
            <w:vAlign w:val="center"/>
          </w:tcPr>
          <w:p w14:paraId="386E73D5"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581" w:type="pct"/>
            <w:tcBorders>
              <w:top w:val="single" w:sz="6" w:space="0" w:color="auto"/>
              <w:left w:val="single" w:sz="6" w:space="0" w:color="auto"/>
              <w:bottom w:val="single" w:sz="6" w:space="0" w:color="auto"/>
              <w:right w:val="single" w:sz="6" w:space="0" w:color="auto"/>
            </w:tcBorders>
            <w:vAlign w:val="center"/>
          </w:tcPr>
          <w:p w14:paraId="005E876D"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 = Trust</w:t>
            </w:r>
          </w:p>
        </w:tc>
      </w:tr>
      <w:tr w:rsidR="00115458" w:rsidRPr="00CF056D" w14:paraId="452B95D8"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11C383D8" w14:textId="0C7CC18C"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9.19</w:t>
            </w:r>
            <w:r w:rsidR="00C07D18">
              <w:rPr>
                <w:rFonts w:asciiTheme="minorHAnsi" w:hAnsiTheme="minorHAnsi" w:cs="Arial"/>
                <w:sz w:val="20"/>
                <w:szCs w:val="20"/>
              </w:rPr>
              <w:t>8</w:t>
            </w:r>
          </w:p>
        </w:tc>
        <w:tc>
          <w:tcPr>
            <w:tcW w:w="2848" w:type="pct"/>
            <w:tcBorders>
              <w:top w:val="single" w:sz="6" w:space="0" w:color="auto"/>
              <w:left w:val="single" w:sz="6" w:space="0" w:color="auto"/>
              <w:bottom w:val="single" w:sz="6" w:space="0" w:color="auto"/>
              <w:right w:val="single" w:sz="6" w:space="0" w:color="auto"/>
            </w:tcBorders>
            <w:vAlign w:val="center"/>
          </w:tcPr>
          <w:p w14:paraId="14A5BA1B"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34E15FF9"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 or Trustee’s TFN</w:t>
            </w:r>
          </w:p>
        </w:tc>
      </w:tr>
      <w:tr w:rsidR="00115458" w:rsidRPr="00CF056D" w14:paraId="008F0B41"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342056C3" w14:textId="2B046CE3"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9.19</w:t>
            </w:r>
            <w:r w:rsidR="00C07D18">
              <w:rPr>
                <w:rFonts w:asciiTheme="minorHAnsi" w:hAnsiTheme="minorHAnsi" w:cs="Arial"/>
                <w:sz w:val="20"/>
                <w:szCs w:val="20"/>
              </w:rPr>
              <w:t>9</w:t>
            </w:r>
          </w:p>
        </w:tc>
        <w:tc>
          <w:tcPr>
            <w:tcW w:w="2848" w:type="pct"/>
            <w:tcBorders>
              <w:top w:val="single" w:sz="6" w:space="0" w:color="auto"/>
              <w:left w:val="single" w:sz="6" w:space="0" w:color="auto"/>
              <w:bottom w:val="single" w:sz="6" w:space="0" w:color="auto"/>
              <w:right w:val="single" w:sz="6" w:space="0" w:color="auto"/>
            </w:tcBorders>
            <w:vAlign w:val="center"/>
          </w:tcPr>
          <w:p w14:paraId="57AD41C4"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Investor Australian business number</w:t>
            </w:r>
          </w:p>
        </w:tc>
        <w:tc>
          <w:tcPr>
            <w:tcW w:w="1581" w:type="pct"/>
            <w:tcBorders>
              <w:top w:val="single" w:sz="6" w:space="0" w:color="auto"/>
              <w:left w:val="single" w:sz="6" w:space="0" w:color="auto"/>
              <w:bottom w:val="single" w:sz="6" w:space="0" w:color="auto"/>
              <w:right w:val="single" w:sz="6" w:space="0" w:color="auto"/>
            </w:tcBorders>
            <w:vAlign w:val="center"/>
          </w:tcPr>
          <w:p w14:paraId="2CC0EE9F"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Trust’s or Trustee’s ABN</w:t>
            </w:r>
          </w:p>
        </w:tc>
      </w:tr>
      <w:tr w:rsidR="00115458" w:rsidRPr="00CF056D" w14:paraId="02169034" w14:textId="77777777" w:rsidTr="000C1365">
        <w:trPr>
          <w:cantSplit/>
          <w:trHeight w:val="272"/>
        </w:trPr>
        <w:tc>
          <w:tcPr>
            <w:tcW w:w="571" w:type="pct"/>
            <w:tcBorders>
              <w:top w:val="single" w:sz="6" w:space="0" w:color="auto"/>
              <w:left w:val="single" w:sz="6" w:space="0" w:color="auto"/>
              <w:bottom w:val="single" w:sz="6" w:space="0" w:color="auto"/>
              <w:right w:val="single" w:sz="6" w:space="0" w:color="auto"/>
            </w:tcBorders>
            <w:vAlign w:val="center"/>
          </w:tcPr>
          <w:p w14:paraId="0AAF66A7" w14:textId="3F2A3644"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9.20</w:t>
            </w:r>
            <w:r w:rsidR="00C07D18">
              <w:rPr>
                <w:rFonts w:asciiTheme="minorHAnsi" w:hAnsiTheme="minorHAnsi" w:cs="Arial"/>
                <w:sz w:val="20"/>
                <w:szCs w:val="20"/>
              </w:rPr>
              <w:t>6</w:t>
            </w:r>
          </w:p>
        </w:tc>
        <w:tc>
          <w:tcPr>
            <w:tcW w:w="2848" w:type="pct"/>
            <w:tcBorders>
              <w:top w:val="single" w:sz="6" w:space="0" w:color="auto"/>
              <w:left w:val="single" w:sz="6" w:space="0" w:color="auto"/>
              <w:bottom w:val="single" w:sz="6" w:space="0" w:color="auto"/>
              <w:right w:val="single" w:sz="6" w:space="0" w:color="auto"/>
            </w:tcBorders>
            <w:vAlign w:val="center"/>
          </w:tcPr>
          <w:p w14:paraId="0601C454"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581" w:type="pct"/>
            <w:tcBorders>
              <w:top w:val="single" w:sz="6" w:space="0" w:color="auto"/>
              <w:left w:val="single" w:sz="6" w:space="0" w:color="auto"/>
              <w:bottom w:val="single" w:sz="6" w:space="0" w:color="auto"/>
              <w:right w:val="single" w:sz="6" w:space="0" w:color="auto"/>
            </w:tcBorders>
            <w:vAlign w:val="center"/>
          </w:tcPr>
          <w:p w14:paraId="0CD57737"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 name or</w:t>
            </w:r>
          </w:p>
          <w:p w14:paraId="744B26A5"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Trustee’s name ATF trust name</w:t>
            </w:r>
          </w:p>
        </w:tc>
      </w:tr>
    </w:tbl>
    <w:p w14:paraId="36A6C753" w14:textId="77777777" w:rsidR="00115458" w:rsidRPr="00F4606C" w:rsidRDefault="00115458" w:rsidP="00115458">
      <w:pPr>
        <w:pStyle w:val="Head4"/>
        <w:rPr>
          <w:rFonts w:asciiTheme="minorHAnsi" w:hAnsiTheme="minorHAnsi"/>
          <w:b w:val="0"/>
          <w:sz w:val="20"/>
          <w:szCs w:val="20"/>
        </w:rPr>
      </w:pPr>
      <w:r w:rsidRPr="00F4606C">
        <w:rPr>
          <w:rFonts w:asciiTheme="minorHAnsi" w:hAnsiTheme="minorHAnsi"/>
          <w:b w:val="0"/>
          <w:sz w:val="20"/>
          <w:szCs w:val="20"/>
        </w:rPr>
        <w:t>It is expected that the Trust’s TFN or ABN would be reported in most circumstances.</w:t>
      </w:r>
    </w:p>
    <w:p w14:paraId="373989FB"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Example 4.3 – Formal trust with trust TFN</w:t>
      </w:r>
    </w:p>
    <w:p w14:paraId="356F2FF6" w14:textId="77777777" w:rsidR="00115458" w:rsidRPr="00F4606C" w:rsidRDefault="00115458" w:rsidP="00115458">
      <w:pPr>
        <w:pStyle w:val="Maintext"/>
        <w:jc w:val="both"/>
        <w:rPr>
          <w:rFonts w:asciiTheme="minorHAnsi" w:hAnsiTheme="minorHAnsi" w:cs="Arial"/>
          <w:sz w:val="20"/>
          <w:szCs w:val="20"/>
        </w:rPr>
      </w:pPr>
      <w:r w:rsidRPr="00F4606C">
        <w:rPr>
          <w:rFonts w:asciiTheme="minorHAnsi" w:hAnsiTheme="minorHAnsi" w:cs="Arial"/>
          <w:sz w:val="20"/>
          <w:szCs w:val="20"/>
        </w:rPr>
        <w:t xml:space="preserve">An account opened by trustee Damien Renard for the D R Family Trust and the trust TFN is quoted. </w:t>
      </w:r>
    </w:p>
    <w:p w14:paraId="058FB8AD" w14:textId="77777777" w:rsidR="00115458" w:rsidRPr="00F4606C" w:rsidRDefault="00115458" w:rsidP="00115458">
      <w:pPr>
        <w:pStyle w:val="Maintext"/>
        <w:rPr>
          <w:rFonts w:asciiTheme="minorHAnsi" w:hAnsiTheme="minorHAnsi" w:cs="Arial"/>
          <w:sz w:val="20"/>
          <w:szCs w:val="20"/>
        </w:rPr>
      </w:pPr>
    </w:p>
    <w:p w14:paraId="75AC832F" w14:textId="77777777" w:rsidR="00115458" w:rsidRPr="00F4606C" w:rsidRDefault="00115458" w:rsidP="00115458">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7631A712" w14:textId="77777777" w:rsidR="00115458" w:rsidRPr="00F4606C" w:rsidRDefault="00115458" w:rsidP="00115458">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707"/>
        <w:gridCol w:w="2417"/>
        <w:gridCol w:w="2931"/>
      </w:tblGrid>
      <w:tr w:rsidR="00115458" w:rsidRPr="00CF056D" w14:paraId="019FB558" w14:textId="77777777" w:rsidTr="000C1365">
        <w:trPr>
          <w:cantSplit/>
        </w:trPr>
        <w:tc>
          <w:tcPr>
            <w:tcW w:w="580" w:type="pct"/>
            <w:tcBorders>
              <w:top w:val="single" w:sz="6" w:space="0" w:color="auto"/>
              <w:left w:val="single" w:sz="6" w:space="0" w:color="auto"/>
              <w:bottom w:val="single" w:sz="6" w:space="0" w:color="auto"/>
              <w:right w:val="single" w:sz="6" w:space="0" w:color="auto"/>
            </w:tcBorders>
            <w:shd w:val="clear" w:color="auto" w:fill="B3B3B3"/>
            <w:vAlign w:val="center"/>
          </w:tcPr>
          <w:p w14:paraId="69E34743"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4F31BA91"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85" w:type="pct"/>
            <w:tcBorders>
              <w:top w:val="single" w:sz="6" w:space="0" w:color="auto"/>
              <w:left w:val="single" w:sz="6" w:space="0" w:color="auto"/>
              <w:bottom w:val="single" w:sz="6" w:space="0" w:color="auto"/>
              <w:right w:val="single" w:sz="6" w:space="0" w:color="auto"/>
            </w:tcBorders>
            <w:shd w:val="clear" w:color="auto" w:fill="B3B3B3"/>
            <w:vAlign w:val="center"/>
          </w:tcPr>
          <w:p w14:paraId="41CF35BA"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29" w:type="pct"/>
            <w:tcBorders>
              <w:top w:val="single" w:sz="6" w:space="0" w:color="auto"/>
              <w:left w:val="single" w:sz="6" w:space="0" w:color="auto"/>
              <w:bottom w:val="single" w:sz="6" w:space="0" w:color="auto"/>
              <w:right w:val="single" w:sz="6" w:space="0" w:color="auto"/>
            </w:tcBorders>
            <w:shd w:val="clear" w:color="auto" w:fill="B3B3B3"/>
            <w:vAlign w:val="center"/>
          </w:tcPr>
          <w:p w14:paraId="454CED5F"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606" w:type="pct"/>
            <w:tcBorders>
              <w:top w:val="single" w:sz="6" w:space="0" w:color="auto"/>
              <w:left w:val="single" w:sz="6" w:space="0" w:color="auto"/>
              <w:bottom w:val="single" w:sz="6" w:space="0" w:color="auto"/>
              <w:right w:val="single" w:sz="6" w:space="0" w:color="auto"/>
            </w:tcBorders>
            <w:shd w:val="clear" w:color="auto" w:fill="B3B3B3"/>
            <w:vAlign w:val="center"/>
          </w:tcPr>
          <w:p w14:paraId="333B3652"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3374DFAC" w14:textId="77777777" w:rsidTr="000C1365">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66FCA45E"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9.67</w:t>
            </w:r>
          </w:p>
        </w:tc>
        <w:tc>
          <w:tcPr>
            <w:tcW w:w="1485" w:type="pct"/>
            <w:tcBorders>
              <w:top w:val="single" w:sz="6" w:space="0" w:color="auto"/>
              <w:left w:val="single" w:sz="6" w:space="0" w:color="auto"/>
              <w:bottom w:val="single" w:sz="6" w:space="0" w:color="auto"/>
              <w:right w:val="single" w:sz="6" w:space="0" w:color="auto"/>
            </w:tcBorders>
            <w:vAlign w:val="center"/>
          </w:tcPr>
          <w:p w14:paraId="053A9B38"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329" w:type="pct"/>
            <w:tcBorders>
              <w:top w:val="single" w:sz="6" w:space="0" w:color="auto"/>
              <w:left w:val="single" w:sz="6" w:space="0" w:color="auto"/>
              <w:bottom w:val="single" w:sz="6" w:space="0" w:color="auto"/>
              <w:right w:val="single" w:sz="6" w:space="0" w:color="auto"/>
            </w:tcBorders>
            <w:vAlign w:val="center"/>
          </w:tcPr>
          <w:p w14:paraId="346175F5"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D R Family Trust </w:t>
            </w:r>
          </w:p>
        </w:tc>
        <w:tc>
          <w:tcPr>
            <w:tcW w:w="1606" w:type="pct"/>
            <w:tcBorders>
              <w:top w:val="single" w:sz="6" w:space="0" w:color="auto"/>
              <w:left w:val="single" w:sz="6" w:space="0" w:color="auto"/>
              <w:bottom w:val="single" w:sz="6" w:space="0" w:color="auto"/>
              <w:right w:val="single" w:sz="6" w:space="0" w:color="auto"/>
            </w:tcBorders>
            <w:vAlign w:val="center"/>
          </w:tcPr>
          <w:p w14:paraId="19F6FDD7"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Name of Trust </w:t>
            </w:r>
          </w:p>
        </w:tc>
      </w:tr>
    </w:tbl>
    <w:p w14:paraId="25B596AA" w14:textId="77777777" w:rsidR="00115458" w:rsidRPr="00F4606C" w:rsidRDefault="00115458" w:rsidP="00115458">
      <w:pPr>
        <w:pStyle w:val="Maintext"/>
        <w:rPr>
          <w:rFonts w:asciiTheme="minorHAnsi" w:hAnsiTheme="minorHAnsi" w:cs="Arial"/>
          <w:sz w:val="20"/>
          <w:szCs w:val="20"/>
        </w:rPr>
      </w:pPr>
    </w:p>
    <w:p w14:paraId="4261AEAE" w14:textId="77777777" w:rsidR="00115458" w:rsidRPr="00F4606C" w:rsidRDefault="00115458" w:rsidP="00115458">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investor data record </w:t>
      </w:r>
      <w:r w:rsidRPr="00F4606C">
        <w:rPr>
          <w:rFonts w:asciiTheme="minorHAnsi" w:hAnsiTheme="minorHAnsi" w:cs="Arial"/>
          <w:smallCaps/>
          <w:sz w:val="20"/>
          <w:szCs w:val="20"/>
        </w:rPr>
        <w:t>(extract)</w:t>
      </w:r>
    </w:p>
    <w:p w14:paraId="38772885" w14:textId="77777777" w:rsidR="00115458" w:rsidRPr="00F4606C" w:rsidRDefault="00115458" w:rsidP="00115458">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725"/>
        <w:gridCol w:w="2512"/>
        <w:gridCol w:w="2818"/>
      </w:tblGrid>
      <w:tr w:rsidR="00115458" w:rsidRPr="00CF056D" w14:paraId="14E5198E" w14:textId="77777777" w:rsidTr="000C1365">
        <w:trPr>
          <w:cantSplit/>
          <w:tblHeader/>
        </w:trPr>
        <w:tc>
          <w:tcPr>
            <w:tcW w:w="580" w:type="pct"/>
            <w:tcBorders>
              <w:top w:val="single" w:sz="6" w:space="0" w:color="auto"/>
              <w:left w:val="single" w:sz="6" w:space="0" w:color="auto"/>
              <w:bottom w:val="single" w:sz="6" w:space="0" w:color="auto"/>
              <w:right w:val="single" w:sz="6" w:space="0" w:color="auto"/>
            </w:tcBorders>
            <w:shd w:val="clear" w:color="auto" w:fill="B3B3B3"/>
            <w:vAlign w:val="center"/>
          </w:tcPr>
          <w:p w14:paraId="4E5A51F4"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7A06DD19"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95" w:type="pct"/>
            <w:tcBorders>
              <w:top w:val="single" w:sz="6" w:space="0" w:color="auto"/>
              <w:left w:val="single" w:sz="6" w:space="0" w:color="auto"/>
              <w:bottom w:val="single" w:sz="6" w:space="0" w:color="auto"/>
              <w:right w:val="single" w:sz="6" w:space="0" w:color="auto"/>
            </w:tcBorders>
            <w:shd w:val="clear" w:color="auto" w:fill="B3B3B3"/>
            <w:vAlign w:val="center"/>
          </w:tcPr>
          <w:p w14:paraId="745CF1A7"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80" w:type="pct"/>
            <w:tcBorders>
              <w:top w:val="single" w:sz="6" w:space="0" w:color="auto"/>
              <w:left w:val="single" w:sz="6" w:space="0" w:color="auto"/>
              <w:bottom w:val="single" w:sz="6" w:space="0" w:color="auto"/>
              <w:right w:val="single" w:sz="6" w:space="0" w:color="auto"/>
            </w:tcBorders>
            <w:shd w:val="clear" w:color="auto" w:fill="B3B3B3"/>
            <w:vAlign w:val="center"/>
          </w:tcPr>
          <w:p w14:paraId="2CAF9153"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45" w:type="pct"/>
            <w:tcBorders>
              <w:top w:val="single" w:sz="6" w:space="0" w:color="auto"/>
              <w:left w:val="single" w:sz="6" w:space="0" w:color="auto"/>
              <w:bottom w:val="single" w:sz="6" w:space="0" w:color="auto"/>
              <w:right w:val="single" w:sz="6" w:space="0" w:color="auto"/>
            </w:tcBorders>
            <w:shd w:val="clear" w:color="auto" w:fill="B3B3B3"/>
            <w:vAlign w:val="center"/>
          </w:tcPr>
          <w:p w14:paraId="6666E827"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5C78E877" w14:textId="77777777" w:rsidTr="000C1365">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341219F4" w14:textId="3B19D263"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4D2FD3">
              <w:rPr>
                <w:rFonts w:asciiTheme="minorHAnsi" w:hAnsiTheme="minorHAnsi" w:cs="Arial"/>
                <w:sz w:val="20"/>
                <w:szCs w:val="20"/>
              </w:rPr>
              <w:t>7</w:t>
            </w:r>
          </w:p>
        </w:tc>
        <w:tc>
          <w:tcPr>
            <w:tcW w:w="1495" w:type="pct"/>
            <w:tcBorders>
              <w:top w:val="single" w:sz="6" w:space="0" w:color="auto"/>
              <w:left w:val="single" w:sz="6" w:space="0" w:color="auto"/>
              <w:bottom w:val="single" w:sz="6" w:space="0" w:color="auto"/>
              <w:right w:val="single" w:sz="6" w:space="0" w:color="auto"/>
            </w:tcBorders>
            <w:vAlign w:val="center"/>
          </w:tcPr>
          <w:p w14:paraId="357A766A"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380" w:type="pct"/>
            <w:tcBorders>
              <w:top w:val="single" w:sz="6" w:space="0" w:color="auto"/>
              <w:left w:val="single" w:sz="6" w:space="0" w:color="auto"/>
              <w:bottom w:val="single" w:sz="6" w:space="0" w:color="auto"/>
              <w:right w:val="single" w:sz="6" w:space="0" w:color="auto"/>
            </w:tcBorders>
            <w:vAlign w:val="center"/>
          </w:tcPr>
          <w:p w14:paraId="361D930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T</w:t>
            </w:r>
          </w:p>
        </w:tc>
        <w:tc>
          <w:tcPr>
            <w:tcW w:w="1545" w:type="pct"/>
            <w:tcBorders>
              <w:top w:val="single" w:sz="6" w:space="0" w:color="auto"/>
              <w:left w:val="single" w:sz="6" w:space="0" w:color="auto"/>
              <w:bottom w:val="single" w:sz="6" w:space="0" w:color="auto"/>
              <w:right w:val="single" w:sz="6" w:space="0" w:color="auto"/>
            </w:tcBorders>
            <w:vAlign w:val="center"/>
          </w:tcPr>
          <w:p w14:paraId="279D66AE"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T = Trust</w:t>
            </w:r>
          </w:p>
        </w:tc>
      </w:tr>
      <w:tr w:rsidR="00115458" w:rsidRPr="00CF056D" w14:paraId="1E7F1B52" w14:textId="77777777" w:rsidTr="000C1365">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257B1378" w14:textId="0056B4FB"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4D2FD3">
              <w:rPr>
                <w:rFonts w:asciiTheme="minorHAnsi" w:hAnsiTheme="minorHAnsi" w:cs="Arial"/>
                <w:sz w:val="20"/>
                <w:szCs w:val="20"/>
              </w:rPr>
              <w:t>8</w:t>
            </w:r>
          </w:p>
        </w:tc>
        <w:tc>
          <w:tcPr>
            <w:tcW w:w="1495" w:type="pct"/>
            <w:tcBorders>
              <w:top w:val="single" w:sz="6" w:space="0" w:color="auto"/>
              <w:left w:val="single" w:sz="6" w:space="0" w:color="auto"/>
              <w:bottom w:val="single" w:sz="6" w:space="0" w:color="auto"/>
              <w:right w:val="single" w:sz="6" w:space="0" w:color="auto"/>
            </w:tcBorders>
            <w:vAlign w:val="center"/>
          </w:tcPr>
          <w:p w14:paraId="7DA6AE3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380" w:type="pct"/>
            <w:tcBorders>
              <w:top w:val="single" w:sz="6" w:space="0" w:color="auto"/>
              <w:left w:val="single" w:sz="6" w:space="0" w:color="auto"/>
              <w:bottom w:val="single" w:sz="6" w:space="0" w:color="auto"/>
              <w:right w:val="single" w:sz="6" w:space="0" w:color="auto"/>
            </w:tcBorders>
            <w:vAlign w:val="center"/>
          </w:tcPr>
          <w:p w14:paraId="7E75989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012345678</w:t>
            </w:r>
          </w:p>
        </w:tc>
        <w:tc>
          <w:tcPr>
            <w:tcW w:w="1545" w:type="pct"/>
            <w:tcBorders>
              <w:top w:val="single" w:sz="6" w:space="0" w:color="auto"/>
              <w:left w:val="single" w:sz="6" w:space="0" w:color="auto"/>
              <w:bottom w:val="single" w:sz="6" w:space="0" w:color="auto"/>
              <w:right w:val="single" w:sz="6" w:space="0" w:color="auto"/>
            </w:tcBorders>
            <w:vAlign w:val="center"/>
          </w:tcPr>
          <w:p w14:paraId="006ADBCE"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Trust’s TFN</w:t>
            </w:r>
          </w:p>
        </w:tc>
      </w:tr>
      <w:tr w:rsidR="00115458" w:rsidRPr="00CF056D" w14:paraId="0431BACB" w14:textId="77777777" w:rsidTr="000C1365">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0D47D616" w14:textId="79CD9B0C"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9.20</w:t>
            </w:r>
            <w:r w:rsidR="004D2FD3">
              <w:rPr>
                <w:rFonts w:asciiTheme="minorHAnsi" w:hAnsiTheme="minorHAnsi" w:cs="Arial"/>
                <w:sz w:val="20"/>
                <w:szCs w:val="20"/>
              </w:rPr>
              <w:t>6</w:t>
            </w:r>
          </w:p>
        </w:tc>
        <w:tc>
          <w:tcPr>
            <w:tcW w:w="1495" w:type="pct"/>
            <w:tcBorders>
              <w:top w:val="single" w:sz="6" w:space="0" w:color="auto"/>
              <w:left w:val="single" w:sz="6" w:space="0" w:color="auto"/>
              <w:bottom w:val="single" w:sz="6" w:space="0" w:color="auto"/>
              <w:right w:val="single" w:sz="6" w:space="0" w:color="auto"/>
            </w:tcBorders>
            <w:vAlign w:val="center"/>
          </w:tcPr>
          <w:p w14:paraId="17ECB8F0"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380" w:type="pct"/>
            <w:tcBorders>
              <w:top w:val="single" w:sz="6" w:space="0" w:color="auto"/>
              <w:left w:val="single" w:sz="6" w:space="0" w:color="auto"/>
              <w:bottom w:val="single" w:sz="6" w:space="0" w:color="auto"/>
              <w:right w:val="single" w:sz="6" w:space="0" w:color="auto"/>
            </w:tcBorders>
            <w:vAlign w:val="center"/>
          </w:tcPr>
          <w:p w14:paraId="6F7F8E16"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D R Family Trust</w:t>
            </w:r>
          </w:p>
        </w:tc>
        <w:tc>
          <w:tcPr>
            <w:tcW w:w="1545" w:type="pct"/>
            <w:tcBorders>
              <w:top w:val="single" w:sz="6" w:space="0" w:color="auto"/>
              <w:left w:val="single" w:sz="6" w:space="0" w:color="auto"/>
              <w:bottom w:val="single" w:sz="6" w:space="0" w:color="auto"/>
              <w:right w:val="single" w:sz="6" w:space="0" w:color="auto"/>
            </w:tcBorders>
            <w:vAlign w:val="center"/>
          </w:tcPr>
          <w:p w14:paraId="0B7AE1B6"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Name of the Trust (NOT the name of the trustee)</w:t>
            </w:r>
          </w:p>
        </w:tc>
      </w:tr>
    </w:tbl>
    <w:p w14:paraId="02D7AFA7"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Example 4.4 – Formal trust with trustee TFN</w:t>
      </w:r>
    </w:p>
    <w:p w14:paraId="277A4C19"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An account opened by trustee Anson Raines for the AR McPeters Family Trust and the trustee’s TFN is quoted. </w:t>
      </w:r>
    </w:p>
    <w:p w14:paraId="19C617EE" w14:textId="77777777" w:rsidR="00115458" w:rsidRPr="00F4606C" w:rsidRDefault="00115458" w:rsidP="00115458">
      <w:pPr>
        <w:pStyle w:val="Maintext"/>
        <w:rPr>
          <w:rFonts w:asciiTheme="minorHAnsi" w:hAnsiTheme="minorHAnsi" w:cs="Arial"/>
          <w:sz w:val="20"/>
          <w:szCs w:val="20"/>
        </w:rPr>
      </w:pPr>
    </w:p>
    <w:p w14:paraId="5F90BC75" w14:textId="77777777" w:rsidR="00115458" w:rsidRPr="00F4606C" w:rsidRDefault="00115458" w:rsidP="00115458">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4E9ABAC8" w14:textId="77777777" w:rsidR="00115458" w:rsidRPr="00F4606C" w:rsidRDefault="00115458" w:rsidP="00115458">
      <w:pPr>
        <w:pStyle w:val="Maintext"/>
        <w:rPr>
          <w:rFonts w:asciiTheme="minorHAnsi" w:hAnsiTheme="minorHAnsi" w:cs="Arial"/>
          <w:smallCaps/>
          <w:sz w:val="20"/>
          <w:szCs w:val="20"/>
        </w:rPr>
      </w:pPr>
    </w:p>
    <w:tbl>
      <w:tblPr>
        <w:tblW w:w="5000" w:type="pct"/>
        <w:tblLook w:val="0000" w:firstRow="0" w:lastRow="0" w:firstColumn="0" w:lastColumn="0" w:noHBand="0" w:noVBand="0"/>
      </w:tblPr>
      <w:tblGrid>
        <w:gridCol w:w="1227"/>
        <w:gridCol w:w="2725"/>
        <w:gridCol w:w="2512"/>
        <w:gridCol w:w="2818"/>
      </w:tblGrid>
      <w:tr w:rsidR="00115458" w:rsidRPr="00CF056D" w14:paraId="09C2287C" w14:textId="77777777" w:rsidTr="000C1365">
        <w:trPr>
          <w:cantSplit/>
        </w:trPr>
        <w:tc>
          <w:tcPr>
            <w:tcW w:w="580" w:type="pct"/>
            <w:tcBorders>
              <w:top w:val="single" w:sz="6" w:space="0" w:color="auto"/>
              <w:left w:val="single" w:sz="6" w:space="0" w:color="auto"/>
              <w:bottom w:val="single" w:sz="6" w:space="0" w:color="auto"/>
              <w:right w:val="single" w:sz="6" w:space="0" w:color="auto"/>
            </w:tcBorders>
            <w:shd w:val="clear" w:color="auto" w:fill="B3B3B3"/>
            <w:vAlign w:val="center"/>
          </w:tcPr>
          <w:p w14:paraId="20FC622D"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0D4F11D2"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95" w:type="pct"/>
            <w:tcBorders>
              <w:top w:val="single" w:sz="6" w:space="0" w:color="auto"/>
              <w:left w:val="single" w:sz="6" w:space="0" w:color="auto"/>
              <w:bottom w:val="single" w:sz="6" w:space="0" w:color="auto"/>
              <w:right w:val="single" w:sz="6" w:space="0" w:color="auto"/>
            </w:tcBorders>
            <w:shd w:val="clear" w:color="auto" w:fill="B3B3B3"/>
            <w:vAlign w:val="center"/>
          </w:tcPr>
          <w:p w14:paraId="2D6B64FB"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80" w:type="pct"/>
            <w:tcBorders>
              <w:top w:val="single" w:sz="6" w:space="0" w:color="auto"/>
              <w:left w:val="single" w:sz="6" w:space="0" w:color="auto"/>
              <w:bottom w:val="single" w:sz="6" w:space="0" w:color="auto"/>
              <w:right w:val="single" w:sz="6" w:space="0" w:color="auto"/>
            </w:tcBorders>
            <w:shd w:val="clear" w:color="auto" w:fill="B3B3B3"/>
            <w:vAlign w:val="center"/>
          </w:tcPr>
          <w:p w14:paraId="0C0DB3CC"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45" w:type="pct"/>
            <w:tcBorders>
              <w:top w:val="single" w:sz="6" w:space="0" w:color="auto"/>
              <w:left w:val="single" w:sz="6" w:space="0" w:color="auto"/>
              <w:bottom w:val="single" w:sz="6" w:space="0" w:color="auto"/>
              <w:right w:val="single" w:sz="6" w:space="0" w:color="auto"/>
            </w:tcBorders>
            <w:shd w:val="clear" w:color="auto" w:fill="B3B3B3"/>
            <w:vAlign w:val="center"/>
          </w:tcPr>
          <w:p w14:paraId="04B75EF2"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1B069293" w14:textId="77777777" w:rsidTr="000C1365">
        <w:trPr>
          <w:cantSplit/>
          <w:trHeight w:val="276"/>
        </w:trPr>
        <w:tc>
          <w:tcPr>
            <w:tcW w:w="580" w:type="pct"/>
            <w:tcBorders>
              <w:top w:val="single" w:sz="6" w:space="0" w:color="auto"/>
              <w:left w:val="single" w:sz="6" w:space="0" w:color="auto"/>
              <w:bottom w:val="single" w:sz="6" w:space="0" w:color="auto"/>
              <w:right w:val="single" w:sz="6" w:space="0" w:color="auto"/>
            </w:tcBorders>
            <w:vAlign w:val="center"/>
          </w:tcPr>
          <w:p w14:paraId="7897C3DB"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9.67</w:t>
            </w:r>
          </w:p>
        </w:tc>
        <w:tc>
          <w:tcPr>
            <w:tcW w:w="1495" w:type="pct"/>
            <w:tcBorders>
              <w:top w:val="single" w:sz="6" w:space="0" w:color="auto"/>
              <w:left w:val="single" w:sz="6" w:space="0" w:color="auto"/>
              <w:bottom w:val="single" w:sz="6" w:space="0" w:color="auto"/>
              <w:right w:val="single" w:sz="6" w:space="0" w:color="auto"/>
            </w:tcBorders>
            <w:vAlign w:val="center"/>
          </w:tcPr>
          <w:p w14:paraId="7141AC34"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380" w:type="pct"/>
            <w:tcBorders>
              <w:top w:val="single" w:sz="6" w:space="0" w:color="auto"/>
              <w:left w:val="single" w:sz="6" w:space="0" w:color="auto"/>
              <w:bottom w:val="single" w:sz="6" w:space="0" w:color="auto"/>
              <w:right w:val="single" w:sz="6" w:space="0" w:color="auto"/>
            </w:tcBorders>
            <w:vAlign w:val="center"/>
          </w:tcPr>
          <w:p w14:paraId="7F784CA2"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Anson Raines ATF AR McPeters Family Trust</w:t>
            </w:r>
          </w:p>
        </w:tc>
        <w:tc>
          <w:tcPr>
            <w:tcW w:w="1545" w:type="pct"/>
            <w:tcBorders>
              <w:top w:val="single" w:sz="6" w:space="0" w:color="auto"/>
              <w:left w:val="single" w:sz="6" w:space="0" w:color="auto"/>
              <w:bottom w:val="single" w:sz="6" w:space="0" w:color="auto"/>
              <w:right w:val="single" w:sz="6" w:space="0" w:color="auto"/>
            </w:tcBorders>
            <w:vAlign w:val="center"/>
          </w:tcPr>
          <w:p w14:paraId="4520EBE5"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Trustee ATF Trust  </w:t>
            </w:r>
          </w:p>
        </w:tc>
      </w:tr>
    </w:tbl>
    <w:p w14:paraId="6631D7D5" w14:textId="77777777" w:rsidR="00115458" w:rsidRPr="00F4606C" w:rsidRDefault="00115458" w:rsidP="00115458">
      <w:pPr>
        <w:pStyle w:val="Maintext"/>
        <w:rPr>
          <w:rFonts w:asciiTheme="minorHAnsi" w:hAnsiTheme="minorHAnsi" w:cs="Arial"/>
          <w:sz w:val="20"/>
          <w:szCs w:val="20"/>
        </w:rPr>
      </w:pPr>
    </w:p>
    <w:p w14:paraId="2131FCB1" w14:textId="77777777" w:rsidR="00115458" w:rsidRPr="00CF056D" w:rsidRDefault="00115458" w:rsidP="00115458">
      <w:pPr>
        <w:rPr>
          <w:rFonts w:cs="Arial"/>
          <w:smallCaps/>
        </w:rPr>
      </w:pPr>
      <w:r w:rsidRPr="00CF056D">
        <w:rPr>
          <w:rFonts w:cs="Arial"/>
          <w:b/>
          <w:smallCaps/>
        </w:rPr>
        <w:t xml:space="preserve">investor data record </w:t>
      </w:r>
      <w:r w:rsidRPr="00CF056D">
        <w:rPr>
          <w:rFonts w:cs="Arial"/>
          <w:smallCaps/>
        </w:rPr>
        <w:t>(extract)</w:t>
      </w:r>
    </w:p>
    <w:p w14:paraId="15B7E4E0" w14:textId="77777777" w:rsidR="00115458" w:rsidRPr="00F4606C" w:rsidRDefault="00115458" w:rsidP="00115458">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859"/>
        <w:gridCol w:w="2276"/>
        <w:gridCol w:w="2920"/>
      </w:tblGrid>
      <w:tr w:rsidR="00115458" w:rsidRPr="00CF056D" w14:paraId="767D88C7" w14:textId="77777777" w:rsidTr="000C1365">
        <w:trPr>
          <w:cantSplit/>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4AD41F4B"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46C169BF"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570" w:type="pct"/>
            <w:tcBorders>
              <w:top w:val="single" w:sz="6" w:space="0" w:color="auto"/>
              <w:left w:val="single" w:sz="6" w:space="0" w:color="auto"/>
              <w:bottom w:val="single" w:sz="6" w:space="0" w:color="auto"/>
              <w:right w:val="single" w:sz="6" w:space="0" w:color="auto"/>
            </w:tcBorders>
            <w:shd w:val="clear" w:color="auto" w:fill="B3B3B3"/>
            <w:vAlign w:val="center"/>
          </w:tcPr>
          <w:p w14:paraId="050294A4"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256" w:type="pct"/>
            <w:tcBorders>
              <w:top w:val="single" w:sz="6" w:space="0" w:color="auto"/>
              <w:left w:val="single" w:sz="6" w:space="0" w:color="auto"/>
              <w:bottom w:val="single" w:sz="6" w:space="0" w:color="auto"/>
              <w:right w:val="single" w:sz="6" w:space="0" w:color="auto"/>
            </w:tcBorders>
            <w:shd w:val="clear" w:color="auto" w:fill="B3B3B3"/>
            <w:vAlign w:val="center"/>
          </w:tcPr>
          <w:p w14:paraId="4F0CF94C"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603" w:type="pct"/>
            <w:tcBorders>
              <w:top w:val="single" w:sz="6" w:space="0" w:color="auto"/>
              <w:left w:val="single" w:sz="6" w:space="0" w:color="auto"/>
              <w:bottom w:val="single" w:sz="6" w:space="0" w:color="auto"/>
              <w:right w:val="single" w:sz="6" w:space="0" w:color="auto"/>
            </w:tcBorders>
            <w:shd w:val="clear" w:color="auto" w:fill="B3B3B3"/>
            <w:vAlign w:val="center"/>
          </w:tcPr>
          <w:p w14:paraId="3FC4A869" w14:textId="77777777" w:rsidR="00115458" w:rsidRPr="00F4606C" w:rsidRDefault="00115458" w:rsidP="000C136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CF056D" w14:paraId="273A60BA" w14:textId="77777777" w:rsidTr="000C1365">
        <w:trPr>
          <w:cantSplit/>
          <w:trHeight w:val="276"/>
        </w:trPr>
        <w:tc>
          <w:tcPr>
            <w:tcW w:w="571" w:type="pct"/>
            <w:tcBorders>
              <w:top w:val="single" w:sz="6" w:space="0" w:color="auto"/>
              <w:left w:val="single" w:sz="6" w:space="0" w:color="auto"/>
              <w:bottom w:val="single" w:sz="6" w:space="0" w:color="auto"/>
              <w:right w:val="single" w:sz="6" w:space="0" w:color="auto"/>
            </w:tcBorders>
            <w:vAlign w:val="center"/>
          </w:tcPr>
          <w:p w14:paraId="48F522D1" w14:textId="44DD2015"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4D2FD3">
              <w:rPr>
                <w:rFonts w:asciiTheme="minorHAnsi" w:hAnsiTheme="minorHAnsi" w:cs="Arial"/>
                <w:sz w:val="20"/>
                <w:szCs w:val="20"/>
              </w:rPr>
              <w:t>7</w:t>
            </w:r>
          </w:p>
        </w:tc>
        <w:tc>
          <w:tcPr>
            <w:tcW w:w="1570" w:type="pct"/>
            <w:tcBorders>
              <w:top w:val="single" w:sz="6" w:space="0" w:color="auto"/>
              <w:left w:val="single" w:sz="6" w:space="0" w:color="auto"/>
              <w:bottom w:val="single" w:sz="6" w:space="0" w:color="auto"/>
              <w:right w:val="single" w:sz="6" w:space="0" w:color="auto"/>
            </w:tcBorders>
            <w:vAlign w:val="center"/>
          </w:tcPr>
          <w:p w14:paraId="7F4594BF"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256" w:type="pct"/>
            <w:tcBorders>
              <w:top w:val="single" w:sz="6" w:space="0" w:color="auto"/>
              <w:left w:val="single" w:sz="6" w:space="0" w:color="auto"/>
              <w:bottom w:val="single" w:sz="6" w:space="0" w:color="auto"/>
              <w:right w:val="single" w:sz="6" w:space="0" w:color="auto"/>
            </w:tcBorders>
            <w:vAlign w:val="center"/>
          </w:tcPr>
          <w:p w14:paraId="2B686803"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T</w:t>
            </w:r>
          </w:p>
        </w:tc>
        <w:tc>
          <w:tcPr>
            <w:tcW w:w="1603" w:type="pct"/>
            <w:tcBorders>
              <w:top w:val="single" w:sz="6" w:space="0" w:color="auto"/>
              <w:left w:val="single" w:sz="6" w:space="0" w:color="auto"/>
              <w:bottom w:val="single" w:sz="6" w:space="0" w:color="auto"/>
              <w:right w:val="single" w:sz="6" w:space="0" w:color="auto"/>
            </w:tcBorders>
            <w:vAlign w:val="center"/>
          </w:tcPr>
          <w:p w14:paraId="5F6B020C"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T = trust</w:t>
            </w:r>
          </w:p>
        </w:tc>
      </w:tr>
      <w:tr w:rsidR="00115458" w:rsidRPr="00CF056D" w14:paraId="5D824CB7" w14:textId="77777777" w:rsidTr="000C1365">
        <w:trPr>
          <w:cantSplit/>
          <w:trHeight w:val="276"/>
        </w:trPr>
        <w:tc>
          <w:tcPr>
            <w:tcW w:w="571" w:type="pct"/>
            <w:tcBorders>
              <w:top w:val="single" w:sz="6" w:space="0" w:color="auto"/>
              <w:left w:val="single" w:sz="6" w:space="0" w:color="auto"/>
              <w:bottom w:val="single" w:sz="6" w:space="0" w:color="auto"/>
              <w:right w:val="single" w:sz="6" w:space="0" w:color="auto"/>
            </w:tcBorders>
            <w:vAlign w:val="center"/>
          </w:tcPr>
          <w:p w14:paraId="059D754C" w14:textId="16038219"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9.19</w:t>
            </w:r>
            <w:r w:rsidR="004D2FD3">
              <w:rPr>
                <w:rFonts w:asciiTheme="minorHAnsi" w:hAnsiTheme="minorHAnsi" w:cs="Arial"/>
                <w:sz w:val="20"/>
                <w:szCs w:val="20"/>
              </w:rPr>
              <w:t>8</w:t>
            </w:r>
          </w:p>
        </w:tc>
        <w:tc>
          <w:tcPr>
            <w:tcW w:w="1570" w:type="pct"/>
            <w:tcBorders>
              <w:top w:val="single" w:sz="6" w:space="0" w:color="auto"/>
              <w:left w:val="single" w:sz="6" w:space="0" w:color="auto"/>
              <w:bottom w:val="single" w:sz="6" w:space="0" w:color="auto"/>
              <w:right w:val="single" w:sz="6" w:space="0" w:color="auto"/>
            </w:tcBorders>
            <w:vAlign w:val="center"/>
          </w:tcPr>
          <w:p w14:paraId="04A9A128"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256" w:type="pct"/>
            <w:tcBorders>
              <w:top w:val="single" w:sz="6" w:space="0" w:color="auto"/>
              <w:left w:val="single" w:sz="6" w:space="0" w:color="auto"/>
              <w:bottom w:val="single" w:sz="6" w:space="0" w:color="auto"/>
              <w:right w:val="single" w:sz="6" w:space="0" w:color="auto"/>
            </w:tcBorders>
            <w:vAlign w:val="center"/>
          </w:tcPr>
          <w:p w14:paraId="7A982603"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912345678</w:t>
            </w:r>
          </w:p>
        </w:tc>
        <w:tc>
          <w:tcPr>
            <w:tcW w:w="1603" w:type="pct"/>
            <w:tcBorders>
              <w:top w:val="single" w:sz="6" w:space="0" w:color="auto"/>
              <w:left w:val="single" w:sz="6" w:space="0" w:color="auto"/>
              <w:bottom w:val="single" w:sz="6" w:space="0" w:color="auto"/>
              <w:right w:val="single" w:sz="6" w:space="0" w:color="auto"/>
            </w:tcBorders>
            <w:vAlign w:val="center"/>
          </w:tcPr>
          <w:p w14:paraId="39F740EB"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Trustee’s TFN</w:t>
            </w:r>
          </w:p>
        </w:tc>
      </w:tr>
      <w:tr w:rsidR="00115458" w:rsidRPr="00CF056D" w14:paraId="01A78781" w14:textId="77777777" w:rsidTr="000C1365">
        <w:trPr>
          <w:cantSplit/>
          <w:trHeight w:val="276"/>
        </w:trPr>
        <w:tc>
          <w:tcPr>
            <w:tcW w:w="571" w:type="pct"/>
            <w:tcBorders>
              <w:top w:val="single" w:sz="6" w:space="0" w:color="auto"/>
              <w:left w:val="single" w:sz="6" w:space="0" w:color="auto"/>
              <w:bottom w:val="single" w:sz="6" w:space="0" w:color="auto"/>
              <w:right w:val="single" w:sz="6" w:space="0" w:color="auto"/>
            </w:tcBorders>
            <w:vAlign w:val="center"/>
          </w:tcPr>
          <w:p w14:paraId="6AC5DE0C" w14:textId="03970A35"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9.20</w:t>
            </w:r>
            <w:r w:rsidR="004D2FD3">
              <w:rPr>
                <w:rFonts w:asciiTheme="minorHAnsi" w:hAnsiTheme="minorHAnsi" w:cs="Arial"/>
                <w:sz w:val="20"/>
                <w:szCs w:val="20"/>
              </w:rPr>
              <w:t>6</w:t>
            </w:r>
          </w:p>
        </w:tc>
        <w:tc>
          <w:tcPr>
            <w:tcW w:w="1570" w:type="pct"/>
            <w:tcBorders>
              <w:top w:val="single" w:sz="6" w:space="0" w:color="auto"/>
              <w:left w:val="single" w:sz="6" w:space="0" w:color="auto"/>
              <w:bottom w:val="single" w:sz="6" w:space="0" w:color="auto"/>
              <w:right w:val="single" w:sz="6" w:space="0" w:color="auto"/>
            </w:tcBorders>
            <w:vAlign w:val="center"/>
          </w:tcPr>
          <w:p w14:paraId="43E45CD5"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Non-individual investor name</w:t>
            </w:r>
          </w:p>
        </w:tc>
        <w:tc>
          <w:tcPr>
            <w:tcW w:w="1256" w:type="pct"/>
            <w:tcBorders>
              <w:top w:val="single" w:sz="6" w:space="0" w:color="auto"/>
              <w:left w:val="single" w:sz="6" w:space="0" w:color="auto"/>
              <w:bottom w:val="single" w:sz="6" w:space="0" w:color="auto"/>
              <w:right w:val="single" w:sz="6" w:space="0" w:color="auto"/>
            </w:tcBorders>
            <w:vAlign w:val="center"/>
          </w:tcPr>
          <w:p w14:paraId="2ACA3591"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Anson Raines ATF AR McPeters Family Trust </w:t>
            </w:r>
          </w:p>
        </w:tc>
        <w:tc>
          <w:tcPr>
            <w:tcW w:w="1603" w:type="pct"/>
            <w:tcBorders>
              <w:top w:val="single" w:sz="6" w:space="0" w:color="auto"/>
              <w:left w:val="single" w:sz="6" w:space="0" w:color="auto"/>
              <w:bottom w:val="single" w:sz="6" w:space="0" w:color="auto"/>
              <w:right w:val="single" w:sz="6" w:space="0" w:color="auto"/>
            </w:tcBorders>
            <w:vAlign w:val="center"/>
          </w:tcPr>
          <w:p w14:paraId="2A75BB84"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Name of Trustee ATF Trust</w:t>
            </w:r>
          </w:p>
        </w:tc>
      </w:tr>
    </w:tbl>
    <w:p w14:paraId="36EBA762" w14:textId="77777777" w:rsidR="00F94DFB" w:rsidRDefault="00F94DFB" w:rsidP="00B34C95"/>
    <w:p w14:paraId="3A2502FC" w14:textId="77777777" w:rsidR="00F94DFB" w:rsidRDefault="00F94DFB">
      <w:pPr>
        <w:rPr>
          <w:rFonts w:asciiTheme="majorHAnsi" w:eastAsiaTheme="majorEastAsia" w:hAnsiTheme="majorHAnsi" w:cstheme="majorBidi"/>
          <w:b/>
          <w:color w:val="3844CA" w:themeColor="accent1"/>
          <w:spacing w:val="-4"/>
          <w:sz w:val="32"/>
          <w:szCs w:val="26"/>
        </w:rPr>
      </w:pPr>
      <w:r>
        <w:br w:type="page"/>
      </w:r>
    </w:p>
    <w:p w14:paraId="13061D75" w14:textId="098122E9" w:rsidR="00115458" w:rsidRPr="007511EB" w:rsidRDefault="00115458" w:rsidP="00115458">
      <w:pPr>
        <w:pStyle w:val="Heading2"/>
      </w:pPr>
      <w:bookmarkStart w:id="606" w:name="_Toc232191318"/>
      <w:r w:rsidRPr="007511EB">
        <w:t>Investor TFN</w:t>
      </w:r>
      <w:bookmarkEnd w:id="606"/>
    </w:p>
    <w:p w14:paraId="6CA4D0D1" w14:textId="77777777" w:rsidR="00115458" w:rsidRPr="00B35C0A" w:rsidRDefault="00115458" w:rsidP="00115458">
      <w:pPr>
        <w:pStyle w:val="Maintex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479"/>
        <w:gridCol w:w="1369"/>
      </w:tblGrid>
      <w:tr w:rsidR="00115458" w:rsidRPr="00B35C0A" w14:paraId="4BA454FD" w14:textId="77777777" w:rsidTr="000C1365">
        <w:trPr>
          <w:tblHeader/>
        </w:trPr>
        <w:tc>
          <w:tcPr>
            <w:tcW w:w="775" w:type="pct"/>
            <w:shd w:val="clear" w:color="auto" w:fill="B3B3B3"/>
            <w:vAlign w:val="center"/>
          </w:tcPr>
          <w:p w14:paraId="09EBD9ED" w14:textId="77777777" w:rsidR="00115458" w:rsidRPr="00F4606C" w:rsidRDefault="00115458" w:rsidP="00F4606C">
            <w:pPr>
              <w:pStyle w:val="Maintext"/>
              <w:rPr>
                <w:rFonts w:asciiTheme="minorHAnsi" w:hAnsiTheme="minorHAnsi" w:cs="Arial"/>
                <w:b/>
                <w:sz w:val="20"/>
                <w:szCs w:val="20"/>
              </w:rPr>
            </w:pPr>
            <w:r w:rsidRPr="00F4606C">
              <w:rPr>
                <w:rFonts w:asciiTheme="minorHAnsi" w:hAnsiTheme="minorHAnsi" w:cs="Arial"/>
                <w:sz w:val="20"/>
                <w:szCs w:val="20"/>
              </w:rPr>
              <w:br w:type="page"/>
            </w:r>
            <w:r w:rsidRPr="00F4606C">
              <w:rPr>
                <w:rFonts w:asciiTheme="minorHAnsi" w:hAnsiTheme="minorHAnsi" w:cs="Arial"/>
                <w:sz w:val="20"/>
                <w:szCs w:val="20"/>
              </w:rPr>
              <w:br w:type="page"/>
            </w:r>
            <w:r w:rsidRPr="00F4606C">
              <w:rPr>
                <w:rFonts w:asciiTheme="minorHAnsi" w:hAnsiTheme="minorHAnsi" w:cs="Arial"/>
                <w:sz w:val="20"/>
                <w:szCs w:val="20"/>
              </w:rPr>
              <w:br w:type="page"/>
            </w:r>
            <w:r w:rsidRPr="00F4606C">
              <w:rPr>
                <w:rFonts w:asciiTheme="minorHAnsi" w:hAnsiTheme="minorHAnsi" w:cs="Arial"/>
                <w:b/>
                <w:sz w:val="20"/>
                <w:szCs w:val="20"/>
              </w:rPr>
              <w:t>TFN exemption code</w:t>
            </w:r>
          </w:p>
        </w:tc>
        <w:tc>
          <w:tcPr>
            <w:tcW w:w="3488" w:type="pct"/>
            <w:shd w:val="clear" w:color="auto" w:fill="B3B3B3"/>
            <w:vAlign w:val="center"/>
          </w:tcPr>
          <w:p w14:paraId="38141BDC" w14:textId="77777777" w:rsidR="00115458" w:rsidRPr="00F4606C" w:rsidRDefault="00115458" w:rsidP="00CF056D">
            <w:pPr>
              <w:pStyle w:val="Maintext"/>
              <w:rPr>
                <w:rFonts w:asciiTheme="minorHAnsi" w:hAnsiTheme="minorHAnsi" w:cs="Arial"/>
                <w:b/>
                <w:sz w:val="20"/>
                <w:szCs w:val="20"/>
              </w:rPr>
            </w:pPr>
            <w:r w:rsidRPr="00F4606C">
              <w:rPr>
                <w:rFonts w:asciiTheme="minorHAnsi" w:hAnsiTheme="minorHAnsi" w:cs="Arial"/>
                <w:b/>
                <w:sz w:val="20"/>
                <w:szCs w:val="20"/>
              </w:rPr>
              <w:t>When to use?</w:t>
            </w:r>
          </w:p>
        </w:tc>
        <w:tc>
          <w:tcPr>
            <w:tcW w:w="737" w:type="pct"/>
            <w:shd w:val="clear" w:color="auto" w:fill="B3B3B3"/>
            <w:vAlign w:val="center"/>
          </w:tcPr>
          <w:p w14:paraId="767D9AB0" w14:textId="77777777" w:rsidR="00115458" w:rsidRPr="00F4606C" w:rsidRDefault="00115458" w:rsidP="00CF056D">
            <w:pPr>
              <w:pStyle w:val="Maintext"/>
              <w:rPr>
                <w:rFonts w:asciiTheme="minorHAnsi" w:hAnsiTheme="minorHAnsi" w:cs="Arial"/>
                <w:b/>
                <w:sz w:val="20"/>
                <w:szCs w:val="20"/>
              </w:rPr>
            </w:pPr>
            <w:r w:rsidRPr="00F4606C">
              <w:rPr>
                <w:rFonts w:asciiTheme="minorHAnsi" w:hAnsiTheme="minorHAnsi" w:cs="Arial"/>
                <w:b/>
                <w:sz w:val="20"/>
                <w:szCs w:val="20"/>
              </w:rPr>
              <w:t>Investor entity type code</w:t>
            </w:r>
          </w:p>
        </w:tc>
      </w:tr>
      <w:tr w:rsidR="00115458" w:rsidRPr="00B35C0A" w14:paraId="7FA736C8" w14:textId="77777777" w:rsidTr="00427C84">
        <w:tc>
          <w:tcPr>
            <w:tcW w:w="775" w:type="pct"/>
            <w:vAlign w:val="center"/>
          </w:tcPr>
          <w:p w14:paraId="7A5D3BE8"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333333333</w:t>
            </w:r>
          </w:p>
        </w:tc>
        <w:tc>
          <w:tcPr>
            <w:tcW w:w="3488" w:type="pct"/>
            <w:vAlign w:val="center"/>
          </w:tcPr>
          <w:p w14:paraId="57639049" w14:textId="5777D546" w:rsidR="00F94DFB" w:rsidRPr="00F4606C" w:rsidRDefault="00115458" w:rsidP="00CF056D">
            <w:pPr>
              <w:pStyle w:val="Maintext"/>
              <w:rPr>
                <w:rFonts w:asciiTheme="minorHAnsi" w:hAnsiTheme="minorHAnsi" w:cs="Arial"/>
                <w:sz w:val="20"/>
                <w:szCs w:val="20"/>
              </w:rPr>
            </w:pPr>
            <w:r w:rsidRPr="00E36194">
              <w:rPr>
                <w:rFonts w:asciiTheme="minorHAnsi" w:hAnsiTheme="minorHAnsi" w:cs="Arial"/>
                <w:sz w:val="20"/>
                <w:szCs w:val="22"/>
              </w:rPr>
              <w:t xml:space="preserve">Investor is a child under sixteen on 1 January before the date on which the payment is made and the payment is less than the tax-free threshold for minors for the financial year. The tax-free threshold limit </w:t>
            </w:r>
            <w:r w:rsidRPr="00E36194">
              <w:rPr>
                <w:rFonts w:asciiTheme="minorHAnsi" w:hAnsiTheme="minorHAnsi" w:cs="Arial"/>
                <w:sz w:val="20"/>
                <w:szCs w:val="20"/>
              </w:rPr>
              <w:t>must be pro-rated when it is not for the whole financial year. This exemption code does not apply to public company share investments.</w:t>
            </w:r>
          </w:p>
          <w:p w14:paraId="7FD547E5" w14:textId="77777777" w:rsidR="00115458" w:rsidRPr="00F4606C" w:rsidRDefault="00115458" w:rsidP="00CF056D">
            <w:pPr>
              <w:pStyle w:val="Maintext"/>
              <w:rPr>
                <w:rFonts w:asciiTheme="minorHAnsi" w:hAnsiTheme="minorHAnsi" w:cs="Arial"/>
                <w:sz w:val="20"/>
                <w:szCs w:val="20"/>
              </w:rPr>
            </w:pPr>
          </w:p>
          <w:p w14:paraId="34342250"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The </w:t>
            </w:r>
            <w:r w:rsidRPr="00F4606C">
              <w:rPr>
                <w:rFonts w:asciiTheme="minorHAnsi" w:hAnsiTheme="minorHAnsi" w:cs="Arial"/>
                <w:i/>
                <w:sz w:val="20"/>
                <w:szCs w:val="20"/>
              </w:rPr>
              <w:t xml:space="preserve">Individual investor date of birth </w:t>
            </w:r>
            <w:r w:rsidRPr="00F4606C">
              <w:rPr>
                <w:rFonts w:asciiTheme="minorHAnsi" w:hAnsiTheme="minorHAnsi" w:cs="Arial"/>
                <w:sz w:val="20"/>
                <w:szCs w:val="20"/>
              </w:rPr>
              <w:t>(9.199) field must be reported when using this exemption code.</w:t>
            </w:r>
          </w:p>
          <w:p w14:paraId="4F15364C" w14:textId="77777777" w:rsidR="00115458" w:rsidRPr="00F4606C" w:rsidRDefault="00115458" w:rsidP="00CF056D">
            <w:pPr>
              <w:pStyle w:val="Maintext"/>
              <w:rPr>
                <w:rFonts w:asciiTheme="minorHAnsi" w:hAnsiTheme="minorHAnsi" w:cs="Arial"/>
                <w:sz w:val="20"/>
                <w:szCs w:val="20"/>
              </w:rPr>
            </w:pPr>
          </w:p>
          <w:p w14:paraId="7BD0D646"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See Updating records when no longer a minor below for more information</w:t>
            </w:r>
          </w:p>
        </w:tc>
        <w:tc>
          <w:tcPr>
            <w:tcW w:w="737" w:type="pct"/>
            <w:vAlign w:val="center"/>
          </w:tcPr>
          <w:p w14:paraId="15B94560"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I &amp; D</w:t>
            </w:r>
          </w:p>
        </w:tc>
      </w:tr>
      <w:tr w:rsidR="00115458" w:rsidRPr="00B35C0A" w14:paraId="764DF32F" w14:textId="77777777" w:rsidTr="00427C84">
        <w:tc>
          <w:tcPr>
            <w:tcW w:w="775" w:type="pct"/>
            <w:vAlign w:val="center"/>
          </w:tcPr>
          <w:p w14:paraId="4CED9EBA"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444444441</w:t>
            </w:r>
          </w:p>
        </w:tc>
        <w:tc>
          <w:tcPr>
            <w:tcW w:w="3488" w:type="pct"/>
            <w:vAlign w:val="center"/>
          </w:tcPr>
          <w:p w14:paraId="52EF1A03"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Investor is a pensioner. The investor is the recipient of a Centrelink age or disability support pension or a pension under the </w:t>
            </w:r>
            <w:r w:rsidRPr="00F4606C">
              <w:rPr>
                <w:rFonts w:asciiTheme="minorHAnsi" w:hAnsiTheme="minorHAnsi" w:cs="Arial"/>
                <w:i/>
                <w:sz w:val="20"/>
                <w:szCs w:val="20"/>
              </w:rPr>
              <w:t>Veterans' Entitlements Act of 1986</w:t>
            </w:r>
            <w:r w:rsidRPr="00F4606C">
              <w:rPr>
                <w:rFonts w:asciiTheme="minorHAnsi" w:hAnsiTheme="minorHAnsi" w:cs="Arial"/>
                <w:sz w:val="20"/>
                <w:szCs w:val="20"/>
              </w:rPr>
              <w:t xml:space="preserve"> and notifies the investment body of their full name and pension entitlement.</w:t>
            </w:r>
          </w:p>
        </w:tc>
        <w:tc>
          <w:tcPr>
            <w:tcW w:w="737" w:type="pct"/>
            <w:vAlign w:val="center"/>
          </w:tcPr>
          <w:p w14:paraId="39C5DA21"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I &amp; D</w:t>
            </w:r>
          </w:p>
        </w:tc>
      </w:tr>
      <w:tr w:rsidR="00115458" w:rsidRPr="00B35C0A" w14:paraId="214E7C05" w14:textId="77777777" w:rsidTr="00427C84">
        <w:tc>
          <w:tcPr>
            <w:tcW w:w="775" w:type="pct"/>
            <w:vAlign w:val="center"/>
          </w:tcPr>
          <w:p w14:paraId="2777520E"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444444442</w:t>
            </w:r>
          </w:p>
        </w:tc>
        <w:tc>
          <w:tcPr>
            <w:tcW w:w="3488" w:type="pct"/>
            <w:vAlign w:val="center"/>
          </w:tcPr>
          <w:p w14:paraId="27939FDB"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The investor is the recipient of another eligible Centrelink pension such as a wife's, carer's, special needs, widow's B pension, parenting payment or special benefit, and the investor notifies the investment body of their full name and pension entitlement.</w:t>
            </w:r>
          </w:p>
          <w:p w14:paraId="656853F2" w14:textId="77777777" w:rsidR="00115458" w:rsidRPr="00F4606C" w:rsidRDefault="00115458" w:rsidP="00CF056D">
            <w:pPr>
              <w:pStyle w:val="Maintext"/>
              <w:rPr>
                <w:rFonts w:asciiTheme="minorHAnsi" w:hAnsiTheme="minorHAnsi" w:cs="Arial"/>
                <w:sz w:val="20"/>
                <w:szCs w:val="20"/>
              </w:rPr>
            </w:pPr>
          </w:p>
          <w:p w14:paraId="6E695E60"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JobSeeker Payment is not an eligible benefit for exemption purposes.</w:t>
            </w:r>
          </w:p>
        </w:tc>
        <w:tc>
          <w:tcPr>
            <w:tcW w:w="737" w:type="pct"/>
            <w:vAlign w:val="center"/>
          </w:tcPr>
          <w:p w14:paraId="5B56858E"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I &amp; D</w:t>
            </w:r>
          </w:p>
        </w:tc>
      </w:tr>
      <w:tr w:rsidR="00115458" w:rsidRPr="00B35C0A" w14:paraId="69914A1F" w14:textId="77777777" w:rsidTr="00427C84">
        <w:tc>
          <w:tcPr>
            <w:tcW w:w="775" w:type="pct"/>
            <w:vAlign w:val="center"/>
          </w:tcPr>
          <w:p w14:paraId="5AF880B7"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555555555</w:t>
            </w:r>
          </w:p>
        </w:tc>
        <w:tc>
          <w:tcPr>
            <w:tcW w:w="3488" w:type="pct"/>
            <w:vAlign w:val="center"/>
          </w:tcPr>
          <w:p w14:paraId="0A6ECF77"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The investor is an entity that does not have a TFN and advises that it is exempted from lodging an income tax return. </w:t>
            </w:r>
          </w:p>
          <w:p w14:paraId="5819B9AF" w14:textId="77777777" w:rsidR="00115458" w:rsidRPr="00F4606C" w:rsidRDefault="00115458" w:rsidP="00CF056D">
            <w:pPr>
              <w:pStyle w:val="Maintext"/>
              <w:rPr>
                <w:rFonts w:asciiTheme="minorHAnsi" w:hAnsiTheme="minorHAnsi" w:cs="Arial"/>
                <w:sz w:val="20"/>
                <w:szCs w:val="20"/>
              </w:rPr>
            </w:pPr>
          </w:p>
          <w:p w14:paraId="6DF543EA"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An entity, for the purpose of a Part VA investment and defined in section 202A of the ITAA 1936 means a body corporate or an unincorporated association, but does not include a natural person or a partnership. </w:t>
            </w:r>
          </w:p>
          <w:p w14:paraId="753B63F0" w14:textId="77777777" w:rsidR="00115458" w:rsidRPr="00F4606C" w:rsidRDefault="00115458" w:rsidP="00CF056D">
            <w:pPr>
              <w:pStyle w:val="Maintext"/>
              <w:rPr>
                <w:rFonts w:asciiTheme="minorHAnsi" w:hAnsiTheme="minorHAnsi" w:cs="Arial"/>
                <w:sz w:val="20"/>
                <w:szCs w:val="20"/>
              </w:rPr>
            </w:pPr>
          </w:p>
          <w:p w14:paraId="0275D8D1"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Examples of such entities include charitable, social and other non-profit organisations, societies and clubs and non-profit companies with taxable incomes below the relevant threshold. These entities are required to notify the investment body of their full name, address and reason for their exempt status.</w:t>
            </w:r>
          </w:p>
        </w:tc>
        <w:tc>
          <w:tcPr>
            <w:tcW w:w="737" w:type="pct"/>
            <w:vAlign w:val="center"/>
          </w:tcPr>
          <w:p w14:paraId="7E0B6951"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 xml:space="preserve">C, P, T, </w:t>
            </w:r>
          </w:p>
          <w:p w14:paraId="16D44CC1"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S &amp; O</w:t>
            </w:r>
          </w:p>
        </w:tc>
      </w:tr>
      <w:tr w:rsidR="00115458" w:rsidRPr="00B35C0A" w14:paraId="6725FBBC" w14:textId="77777777" w:rsidTr="00427C84">
        <w:tc>
          <w:tcPr>
            <w:tcW w:w="775" w:type="pct"/>
            <w:vAlign w:val="center"/>
          </w:tcPr>
          <w:p w14:paraId="05D58871"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666666666</w:t>
            </w:r>
          </w:p>
        </w:tc>
        <w:tc>
          <w:tcPr>
            <w:tcW w:w="3488" w:type="pct"/>
            <w:vAlign w:val="center"/>
          </w:tcPr>
          <w:p w14:paraId="6BE01038"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The investor is in the business of providing business or consumer finance and is receiving the income from business or consumer finance provided to a borrower.</w:t>
            </w:r>
          </w:p>
          <w:p w14:paraId="0DDB24E4" w14:textId="77777777" w:rsidR="00115458" w:rsidRPr="00F4606C" w:rsidRDefault="00115458" w:rsidP="00CF056D">
            <w:pPr>
              <w:pStyle w:val="Maintext"/>
              <w:rPr>
                <w:rFonts w:asciiTheme="minorHAnsi" w:hAnsiTheme="minorHAnsi" w:cs="Arial"/>
                <w:sz w:val="20"/>
                <w:szCs w:val="20"/>
              </w:rPr>
            </w:pPr>
          </w:p>
          <w:p w14:paraId="2B22EBB6"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An example of this type of investor is a bank receiving interest on a loan that it made in the course of providing business or consumer finance to a borrower.</w:t>
            </w:r>
          </w:p>
        </w:tc>
        <w:tc>
          <w:tcPr>
            <w:tcW w:w="737" w:type="pct"/>
            <w:vAlign w:val="center"/>
          </w:tcPr>
          <w:p w14:paraId="75B97763"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C &amp; O</w:t>
            </w:r>
          </w:p>
        </w:tc>
      </w:tr>
      <w:tr w:rsidR="00115458" w:rsidRPr="00B35C0A" w14:paraId="05CC547A" w14:textId="77777777" w:rsidTr="00427C84">
        <w:tc>
          <w:tcPr>
            <w:tcW w:w="775" w:type="pct"/>
            <w:vAlign w:val="center"/>
          </w:tcPr>
          <w:p w14:paraId="3737555B" w14:textId="77777777" w:rsidR="00115458" w:rsidRPr="00F4606C" w:rsidRDefault="00115458" w:rsidP="00CF056D">
            <w:pPr>
              <w:pStyle w:val="Maintext"/>
              <w:jc w:val="center"/>
              <w:rPr>
                <w:rFonts w:asciiTheme="minorHAnsi" w:hAnsiTheme="minorHAnsi" w:cs="Arial"/>
                <w:sz w:val="20"/>
                <w:szCs w:val="20"/>
              </w:rPr>
            </w:pPr>
            <w:r w:rsidRPr="00F4606C">
              <w:rPr>
                <w:rFonts w:asciiTheme="minorHAnsi" w:hAnsiTheme="minorHAnsi" w:cs="Arial"/>
                <w:sz w:val="20"/>
                <w:szCs w:val="20"/>
              </w:rPr>
              <w:t>888888888</w:t>
            </w:r>
          </w:p>
        </w:tc>
        <w:tc>
          <w:tcPr>
            <w:tcW w:w="3488" w:type="pct"/>
            <w:vAlign w:val="center"/>
          </w:tcPr>
          <w:p w14:paraId="60D259C6"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The investor is not a resident of Australia for tax purposes.</w:t>
            </w:r>
          </w:p>
        </w:tc>
        <w:tc>
          <w:tcPr>
            <w:tcW w:w="737" w:type="pct"/>
            <w:vAlign w:val="center"/>
          </w:tcPr>
          <w:p w14:paraId="00CAF958" w14:textId="77777777"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I, D, C, E, F, P, T,G &amp; O</w:t>
            </w:r>
          </w:p>
        </w:tc>
      </w:tr>
    </w:tbl>
    <w:p w14:paraId="0AD185F2" w14:textId="77777777" w:rsidR="00115458" w:rsidRDefault="00115458" w:rsidP="00115458">
      <w:pPr>
        <w:rPr>
          <w:rFonts w:cs="Arial"/>
          <w:sz w:val="18"/>
          <w:szCs w:val="18"/>
        </w:rPr>
      </w:pPr>
    </w:p>
    <w:p w14:paraId="230C47AD" w14:textId="77777777" w:rsidR="00115458" w:rsidRDefault="00115458" w:rsidP="00115458">
      <w:pPr>
        <w:pStyle w:val="Heading3"/>
      </w:pPr>
      <w:bookmarkStart w:id="607" w:name="_Toc232191319"/>
      <w:r w:rsidRPr="00C21231">
        <w:t xml:space="preserve">Updating records </w:t>
      </w:r>
      <w:r>
        <w:t>for children over 16</w:t>
      </w:r>
      <w:bookmarkEnd w:id="607"/>
    </w:p>
    <w:p w14:paraId="2926793E" w14:textId="77777777" w:rsidR="00115458" w:rsidRDefault="00115458" w:rsidP="00F4606C">
      <w:pPr>
        <w:spacing w:after="0" w:line="240" w:lineRule="auto"/>
      </w:pPr>
      <w:r>
        <w:t xml:space="preserve">A child turning 16 remains eligible to use the exemption code 333333333 until the end of the calendar year in which they turn 16. The exemption code should be removed from their account from 1 January the year after they turn 16. If a TFN is not provided </w:t>
      </w:r>
      <w:r w:rsidRPr="00B054EA">
        <w:t xml:space="preserve">after this date </w:t>
      </w:r>
      <w:r>
        <w:t>then they are deemed to have not quoted and withholding tax must be deducted at the highest marginal rate.</w:t>
      </w:r>
    </w:p>
    <w:p w14:paraId="440610D2" w14:textId="77777777" w:rsidR="00115458" w:rsidRPr="00B35C0A" w:rsidRDefault="00115458" w:rsidP="00115458">
      <w:pPr>
        <w:pStyle w:val="Heading2"/>
      </w:pPr>
      <w:bookmarkStart w:id="608" w:name="_Toc232191320"/>
      <w:r w:rsidRPr="00B35C0A">
        <w:t>Joint accounts</w:t>
      </w:r>
      <w:bookmarkEnd w:id="608"/>
    </w:p>
    <w:p w14:paraId="37C02533"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If a partnership entity does not exist, joint holders of the account should be treated as separate investors. An </w:t>
      </w:r>
      <w:r w:rsidRPr="00F4606C">
        <w:rPr>
          <w:rFonts w:asciiTheme="minorHAnsi" w:hAnsiTheme="minorHAnsi" w:cs="Arial"/>
          <w:i/>
          <w:sz w:val="20"/>
          <w:szCs w:val="20"/>
        </w:rPr>
        <w:t>Investor data record</w:t>
      </w:r>
      <w:r w:rsidRPr="00F4606C">
        <w:rPr>
          <w:rFonts w:asciiTheme="minorHAnsi" w:hAnsiTheme="minorHAnsi" w:cs="Arial"/>
          <w:sz w:val="20"/>
          <w:szCs w:val="20"/>
        </w:rPr>
        <w:t xml:space="preserve"> is required for each investor.</w:t>
      </w:r>
    </w:p>
    <w:p w14:paraId="615FF85B" w14:textId="77777777" w:rsidR="00115458" w:rsidRPr="00F4606C" w:rsidRDefault="00115458" w:rsidP="00115458">
      <w:pPr>
        <w:pStyle w:val="Head4"/>
        <w:rPr>
          <w:rFonts w:asciiTheme="minorHAnsi" w:hAnsiTheme="minorHAnsi"/>
          <w:sz w:val="24"/>
          <w:szCs w:val="24"/>
        </w:rPr>
      </w:pPr>
      <w:r w:rsidRPr="00F4606C">
        <w:rPr>
          <w:rFonts w:asciiTheme="minorHAnsi" w:hAnsiTheme="minorHAnsi"/>
          <w:sz w:val="24"/>
          <w:szCs w:val="24"/>
        </w:rPr>
        <w:t>Unequal shares in a joint account</w:t>
      </w:r>
    </w:p>
    <w:p w14:paraId="39C7AB4D"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Investors of accounts in joint names are presumed to have joint beneficial ownership of the monies in equal shares, unless otherwise noted. Within the AIIR, the full amount of income attributable to the account is reported.  This amount should not be split between the investors as the amount of income is apportioned by the number of investors reported in the </w:t>
      </w:r>
      <w:r w:rsidRPr="00F4606C">
        <w:rPr>
          <w:rFonts w:asciiTheme="minorHAnsi" w:hAnsiTheme="minorHAnsi" w:cs="Arial"/>
          <w:i/>
          <w:sz w:val="20"/>
          <w:szCs w:val="20"/>
        </w:rPr>
        <w:t>Investment account data record</w:t>
      </w:r>
      <w:r w:rsidRPr="00F4606C">
        <w:rPr>
          <w:rFonts w:asciiTheme="minorHAnsi" w:hAnsiTheme="minorHAnsi" w:cs="Arial"/>
          <w:sz w:val="20"/>
          <w:szCs w:val="20"/>
        </w:rPr>
        <w:t xml:space="preserve">. </w:t>
      </w:r>
    </w:p>
    <w:p w14:paraId="3C03868F" w14:textId="77777777" w:rsidR="00115458" w:rsidRPr="00F4606C" w:rsidRDefault="00115458" w:rsidP="00115458">
      <w:pPr>
        <w:pStyle w:val="Maintext"/>
        <w:rPr>
          <w:rFonts w:asciiTheme="minorHAnsi" w:hAnsiTheme="minorHAnsi" w:cs="Arial"/>
          <w:sz w:val="20"/>
          <w:szCs w:val="20"/>
        </w:rPr>
      </w:pPr>
    </w:p>
    <w:p w14:paraId="6E4DF0C4" w14:textId="77777777" w:rsidR="00115458" w:rsidRDefault="00115458" w:rsidP="00115458">
      <w:pPr>
        <w:pStyle w:val="Maintext"/>
        <w:rPr>
          <w:rFonts w:cs="Arial"/>
        </w:rPr>
      </w:pPr>
      <w:r w:rsidRPr="00F4606C">
        <w:rPr>
          <w:rFonts w:asciiTheme="minorHAnsi" w:hAnsiTheme="minorHAnsi" w:cs="Arial"/>
          <w:sz w:val="20"/>
          <w:szCs w:val="20"/>
        </w:rPr>
        <w:t xml:space="preserve">If an investor advises the investment body that the beneficial ownership of the monies is not in equal shares (that is unequal shares), the investment body reports this information by providing a separate </w:t>
      </w:r>
      <w:r w:rsidRPr="00F4606C">
        <w:rPr>
          <w:rFonts w:asciiTheme="minorHAnsi" w:hAnsiTheme="minorHAnsi" w:cs="Arial"/>
          <w:i/>
          <w:sz w:val="20"/>
          <w:szCs w:val="20"/>
        </w:rPr>
        <w:t>Investment account data record</w:t>
      </w:r>
      <w:r w:rsidRPr="00F4606C">
        <w:rPr>
          <w:rFonts w:asciiTheme="minorHAnsi" w:hAnsiTheme="minorHAnsi" w:cs="Arial"/>
          <w:sz w:val="20"/>
          <w:szCs w:val="20"/>
        </w:rPr>
        <w:t xml:space="preserve"> for each investor, with their share of investment income paid</w:t>
      </w:r>
      <w:r w:rsidRPr="00B35C0A">
        <w:rPr>
          <w:rFonts w:cs="Arial"/>
        </w:rPr>
        <w:t>.</w:t>
      </w:r>
    </w:p>
    <w:p w14:paraId="3F1A80B8" w14:textId="77777777" w:rsidR="00115458" w:rsidRDefault="00115458" w:rsidP="00115458">
      <w:pPr>
        <w:pStyle w:val="Heading2"/>
      </w:pPr>
      <w:bookmarkStart w:id="609" w:name="_Toc232191321"/>
      <w:r>
        <w:t>Listed investment company (LIC) capital gain deduction</w:t>
      </w:r>
      <w:bookmarkEnd w:id="609"/>
    </w:p>
    <w:p w14:paraId="76C8F3DF" w14:textId="77777777" w:rsidR="00115458" w:rsidRPr="00CF056D" w:rsidRDefault="00115458" w:rsidP="00F4606C">
      <w:pPr>
        <w:spacing w:after="0" w:line="240" w:lineRule="auto"/>
      </w:pPr>
      <w:r w:rsidRPr="00CF056D">
        <w:t xml:space="preserve">When a listed investment company (LIC) pays a dividend that includes a LIC capital gain amount, a shareholder who is an Australian resident at the time may be entitled to an income tax deduction. </w:t>
      </w:r>
      <w:r w:rsidRPr="00CF056D">
        <w:rPr>
          <w:lang w:val="en"/>
        </w:rPr>
        <w:t>A LIC paying a dividend will advise its shareholders how much of the dividend is attributable to a LIC capital gain (the attributable part).</w:t>
      </w:r>
    </w:p>
    <w:p w14:paraId="4C4C4AEE" w14:textId="77777777" w:rsidR="00115458" w:rsidRPr="00F4606C" w:rsidRDefault="00115458" w:rsidP="3E79CC04">
      <w:pPr>
        <w:pStyle w:val="Maintext"/>
        <w:rPr>
          <w:rFonts w:asciiTheme="minorHAnsi" w:hAnsiTheme="minorHAnsi" w:cs="Arial"/>
          <w:sz w:val="20"/>
          <w:szCs w:val="20"/>
          <w:lang w:val="en-US"/>
        </w:rPr>
      </w:pPr>
      <w:r w:rsidRPr="3E79CC04">
        <w:rPr>
          <w:rFonts w:asciiTheme="minorHAnsi" w:hAnsiTheme="minorHAnsi" w:cs="Arial"/>
          <w:sz w:val="20"/>
          <w:szCs w:val="20"/>
          <w:lang w:val="en-US"/>
        </w:rPr>
        <w:t xml:space="preserve">If a shareholder in a LIC is a trust or partnership, a beneficiary of the trust or a partner in the partnership has no share of the attributable part. However the trustee can deduct 50% of the attributable part in calculating the net income of the trust. Trustees may choose to disclose the amount of the dividend attributable to a LIC capital gain to beneficiaries for information. </w:t>
      </w:r>
    </w:p>
    <w:p w14:paraId="25E3663A" w14:textId="77777777" w:rsidR="00115458" w:rsidRPr="00F4606C" w:rsidRDefault="00115458" w:rsidP="00115458">
      <w:pPr>
        <w:pStyle w:val="Maintext"/>
        <w:rPr>
          <w:rFonts w:asciiTheme="minorHAnsi" w:hAnsiTheme="minorHAnsi"/>
          <w:sz w:val="20"/>
          <w:szCs w:val="20"/>
        </w:rPr>
      </w:pPr>
    </w:p>
    <w:p w14:paraId="1FD589C7" w14:textId="77777777" w:rsidR="00115458" w:rsidRPr="00CF056D" w:rsidRDefault="00115458" w:rsidP="00F4606C">
      <w:pPr>
        <w:spacing w:after="0" w:line="240" w:lineRule="auto"/>
        <w:rPr>
          <w:rFonts w:eastAsia="ヒラギノ角ゴ Pro W3"/>
        </w:rPr>
      </w:pPr>
      <w:r w:rsidRPr="00CF056D">
        <w:rPr>
          <w:rFonts w:eastAsia="ヒラギノ角ゴ Pro W3"/>
        </w:rPr>
        <w:t>The</w:t>
      </w:r>
      <w:r w:rsidRPr="00CF056D">
        <w:rPr>
          <w:rFonts w:eastAsia="ヒラギノ角ゴ Pro W3"/>
          <w:i/>
        </w:rPr>
        <w:t xml:space="preserve"> Listed investment company capital gain deduction</w:t>
      </w:r>
      <w:r w:rsidRPr="00CF056D">
        <w:rPr>
          <w:rFonts w:eastAsia="ヒラギノ角ゴ Pro W3"/>
        </w:rPr>
        <w:t xml:space="preserve"> (9.108) field has been added to capture the CGT discount amount of a franked or unfranked dividend attributable to a LIC capital gain amount. </w:t>
      </w:r>
    </w:p>
    <w:p w14:paraId="57EF632F" w14:textId="77777777" w:rsidR="00B05991" w:rsidRDefault="00B05991" w:rsidP="00F94DFB">
      <w:pPr>
        <w:spacing w:after="0" w:line="240" w:lineRule="auto"/>
        <w:rPr>
          <w:rFonts w:eastAsia="ヒラギノ角ゴ Pro W3"/>
        </w:rPr>
      </w:pPr>
    </w:p>
    <w:p w14:paraId="25B512E7" w14:textId="745765F5" w:rsidR="00115458" w:rsidRPr="00CF056D" w:rsidRDefault="00115458" w:rsidP="00F94DFB">
      <w:pPr>
        <w:spacing w:after="0" w:line="240" w:lineRule="auto"/>
      </w:pPr>
      <w:r w:rsidRPr="00CF056D">
        <w:rPr>
          <w:rFonts w:eastAsia="ヒラギノ角ゴ Pro W3"/>
        </w:rPr>
        <w:t xml:space="preserve">The </w:t>
      </w:r>
      <w:r w:rsidRPr="00CF056D">
        <w:rPr>
          <w:rFonts w:eastAsia="ヒラギノ角ゴ Pro W3"/>
          <w:i/>
        </w:rPr>
        <w:t>Type of payment</w:t>
      </w:r>
      <w:r w:rsidRPr="00CF056D">
        <w:rPr>
          <w:rFonts w:eastAsia="ヒラギノ角ゴ Pro W3"/>
        </w:rPr>
        <w:t xml:space="preserve"> (9.72) field </w:t>
      </w:r>
      <w:r w:rsidRPr="00CF056D">
        <w:t xml:space="preserve">must be </w:t>
      </w:r>
      <w:r w:rsidRPr="00CF056D">
        <w:rPr>
          <w:b/>
        </w:rPr>
        <w:t>AMT</w:t>
      </w:r>
      <w:r w:rsidRPr="00CF056D">
        <w:t xml:space="preserve">, </w:t>
      </w:r>
      <w:r w:rsidRPr="00CF056D">
        <w:rPr>
          <w:b/>
        </w:rPr>
        <w:t>DIV</w:t>
      </w:r>
      <w:r w:rsidRPr="00CF056D">
        <w:t xml:space="preserve"> or </w:t>
      </w:r>
      <w:r w:rsidRPr="00CF056D">
        <w:rPr>
          <w:b/>
        </w:rPr>
        <w:t>UTD</w:t>
      </w:r>
      <w:r w:rsidRPr="00CF056D">
        <w:t>.</w:t>
      </w:r>
    </w:p>
    <w:p w14:paraId="2F1C0690" w14:textId="77777777" w:rsidR="00F94DFB" w:rsidRDefault="00F94DFB" w:rsidP="00F94DFB">
      <w:pPr>
        <w:spacing w:after="0" w:line="240" w:lineRule="auto"/>
      </w:pPr>
    </w:p>
    <w:p w14:paraId="3CF1F362" w14:textId="7C6AFA94" w:rsidR="00115458" w:rsidRPr="00CF056D" w:rsidRDefault="00115458" w:rsidP="00F94DFB">
      <w:pPr>
        <w:spacing w:after="0" w:line="240" w:lineRule="auto"/>
      </w:pPr>
      <w:r w:rsidRPr="00CF056D">
        <w:t xml:space="preserve">If the </w:t>
      </w:r>
      <w:r w:rsidRPr="00CF056D">
        <w:rPr>
          <w:i/>
        </w:rPr>
        <w:t>Type of payment</w:t>
      </w:r>
      <w:r w:rsidRPr="00CF056D">
        <w:t xml:space="preserve"> (9.72) field = </w:t>
      </w:r>
      <w:r w:rsidRPr="00CF056D">
        <w:rPr>
          <w:b/>
        </w:rPr>
        <w:t xml:space="preserve">DIV </w:t>
      </w:r>
      <w:r w:rsidRPr="00CF056D">
        <w:t xml:space="preserve">the amount reported in this field will be pre-filled to the individual investor’s tax return at </w:t>
      </w:r>
      <w:r w:rsidRPr="00CF056D">
        <w:rPr>
          <w:b/>
        </w:rPr>
        <w:t>D8</w:t>
      </w:r>
      <w:r w:rsidRPr="00CF056D">
        <w:t xml:space="preserve"> </w:t>
      </w:r>
      <w:r w:rsidRPr="00CF056D">
        <w:rPr>
          <w:i/>
        </w:rPr>
        <w:t>Dividend deductions</w:t>
      </w:r>
      <w:r w:rsidRPr="00CF056D">
        <w:t>.</w:t>
      </w:r>
    </w:p>
    <w:p w14:paraId="2912D59D" w14:textId="77777777" w:rsidR="00115458" w:rsidRPr="00B35C0A" w:rsidRDefault="00115458" w:rsidP="00115458">
      <w:pPr>
        <w:pStyle w:val="Heading2"/>
      </w:pPr>
      <w:bookmarkStart w:id="610" w:name="_Toc232191322"/>
      <w:r w:rsidRPr="00B35C0A">
        <w:t xml:space="preserve">Payment </w:t>
      </w:r>
      <w:r>
        <w:t>d</w:t>
      </w:r>
      <w:r w:rsidRPr="00B35C0A">
        <w:t>ates</w:t>
      </w:r>
      <w:bookmarkEnd w:id="610"/>
    </w:p>
    <w:p w14:paraId="5299A7CC"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 xml:space="preserve">The </w:t>
      </w:r>
      <w:r w:rsidRPr="00F4606C">
        <w:rPr>
          <w:rFonts w:asciiTheme="minorHAnsi" w:hAnsiTheme="minorHAnsi" w:cs="Arial"/>
          <w:i/>
          <w:sz w:val="20"/>
          <w:szCs w:val="20"/>
        </w:rPr>
        <w:t>Date of payment</w:t>
      </w:r>
      <w:r w:rsidRPr="00F4606C">
        <w:rPr>
          <w:rFonts w:asciiTheme="minorHAnsi" w:hAnsiTheme="minorHAnsi" w:cs="Arial"/>
          <w:sz w:val="20"/>
          <w:szCs w:val="20"/>
        </w:rPr>
        <w:t xml:space="preserve"> (9.70) field identifies the date the income was paid or credited to the investment account or in the case of a:</w:t>
      </w:r>
    </w:p>
    <w:p w14:paraId="6BC72D0D" w14:textId="77777777" w:rsidR="00115458" w:rsidRPr="00F4606C" w:rsidRDefault="00115458" w:rsidP="00F94DFB">
      <w:pPr>
        <w:pStyle w:val="Maintext"/>
        <w:rPr>
          <w:rFonts w:asciiTheme="minorHAnsi" w:hAnsiTheme="minorHAnsi" w:cs="Arial"/>
          <w:sz w:val="20"/>
          <w:szCs w:val="20"/>
        </w:rPr>
      </w:pPr>
    </w:p>
    <w:p w14:paraId="531833CC" w14:textId="77777777" w:rsidR="00115458" w:rsidRPr="00F4606C" w:rsidRDefault="00115458" w:rsidP="00F94DFB">
      <w:pPr>
        <w:pStyle w:val="Bullet1"/>
        <w:numPr>
          <w:ilvl w:val="0"/>
          <w:numId w:val="54"/>
        </w:numPr>
        <w:spacing w:before="0" w:after="0"/>
        <w:rPr>
          <w:rFonts w:asciiTheme="minorHAnsi" w:hAnsiTheme="minorHAnsi" w:cs="Arial"/>
          <w:sz w:val="20"/>
          <w:szCs w:val="20"/>
        </w:rPr>
      </w:pPr>
      <w:r w:rsidRPr="00F4606C">
        <w:rPr>
          <w:rFonts w:asciiTheme="minorHAnsi" w:hAnsiTheme="minorHAnsi" w:cs="Arial"/>
          <w:sz w:val="20"/>
          <w:szCs w:val="20"/>
        </w:rPr>
        <w:t>trust distribution, the last day of the trust’s tax year</w:t>
      </w:r>
    </w:p>
    <w:p w14:paraId="6287FE7C" w14:textId="77777777" w:rsidR="00115458" w:rsidRPr="00F4606C" w:rsidRDefault="00115458" w:rsidP="00F94DFB">
      <w:pPr>
        <w:pStyle w:val="Bullet1"/>
        <w:numPr>
          <w:ilvl w:val="0"/>
          <w:numId w:val="54"/>
        </w:numPr>
        <w:spacing w:before="0" w:after="0"/>
        <w:rPr>
          <w:rFonts w:asciiTheme="minorHAnsi" w:hAnsiTheme="minorHAnsi" w:cs="Arial"/>
          <w:sz w:val="20"/>
          <w:szCs w:val="20"/>
        </w:rPr>
      </w:pPr>
      <w:r w:rsidRPr="00F4606C">
        <w:rPr>
          <w:rFonts w:asciiTheme="minorHAnsi" w:hAnsiTheme="minorHAnsi" w:cs="Arial"/>
          <w:sz w:val="20"/>
          <w:szCs w:val="20"/>
        </w:rPr>
        <w:t>exploration credit, the date of distribution to the investment account</w:t>
      </w:r>
    </w:p>
    <w:p w14:paraId="163AD209" w14:textId="77777777" w:rsidR="00115458" w:rsidRPr="00F4606C" w:rsidRDefault="00115458" w:rsidP="00F94DFB">
      <w:pPr>
        <w:pStyle w:val="Bullet1"/>
        <w:spacing w:before="0" w:after="0"/>
        <w:rPr>
          <w:rFonts w:asciiTheme="minorHAnsi" w:hAnsiTheme="minorHAnsi" w:cs="Arial"/>
          <w:sz w:val="20"/>
          <w:szCs w:val="20"/>
        </w:rPr>
      </w:pPr>
    </w:p>
    <w:p w14:paraId="699867D4" w14:textId="77777777" w:rsidR="00115458" w:rsidRPr="00F4606C" w:rsidRDefault="00115458" w:rsidP="00F94DFB">
      <w:pPr>
        <w:pStyle w:val="Maintext"/>
        <w:rPr>
          <w:rFonts w:asciiTheme="minorHAnsi" w:hAnsiTheme="minorHAnsi" w:cs="Arial"/>
          <w:sz w:val="20"/>
          <w:szCs w:val="20"/>
        </w:rPr>
      </w:pPr>
      <w:r w:rsidRPr="00F4606C">
        <w:rPr>
          <w:rFonts w:asciiTheme="minorHAnsi" w:hAnsiTheme="minorHAnsi" w:cs="Arial"/>
          <w:sz w:val="20"/>
          <w:szCs w:val="20"/>
        </w:rPr>
        <w:t xml:space="preserve">For all payment types, where multiple payments are made during the year, you may report the payment date as 30 June and report an aggregated amount at the appropriate label.  This requirement is </w:t>
      </w:r>
      <w:r w:rsidRPr="00F4606C">
        <w:rPr>
          <w:rFonts w:asciiTheme="minorHAnsi" w:hAnsiTheme="minorHAnsi" w:cs="Arial"/>
          <w:b/>
          <w:bCs/>
          <w:sz w:val="20"/>
          <w:szCs w:val="20"/>
        </w:rPr>
        <w:t xml:space="preserve">not mandatory. </w:t>
      </w:r>
    </w:p>
    <w:p w14:paraId="16D41193" w14:textId="77777777" w:rsidR="00115458" w:rsidRPr="00F94DFB" w:rsidRDefault="00115458" w:rsidP="00115458">
      <w:pPr>
        <w:pStyle w:val="Head4"/>
        <w:rPr>
          <w:rFonts w:asciiTheme="minorHAnsi" w:hAnsiTheme="minorHAnsi"/>
          <w:sz w:val="20"/>
          <w:szCs w:val="20"/>
        </w:rPr>
      </w:pPr>
      <w:r w:rsidRPr="00F94DFB">
        <w:rPr>
          <w:rFonts w:asciiTheme="minorHAnsi" w:hAnsiTheme="minorHAnsi"/>
          <w:sz w:val="20"/>
          <w:szCs w:val="20"/>
        </w:rPr>
        <w:t>Example 4.5 – Multiple interest payments</w:t>
      </w:r>
    </w:p>
    <w:p w14:paraId="60B2FAE8" w14:textId="08053748"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Estelle van Hagen holds an interest-bearing account and receives interest payments in October 20</w:t>
      </w:r>
      <w:r w:rsidR="00C100BF">
        <w:rPr>
          <w:rFonts w:asciiTheme="minorHAnsi" w:hAnsiTheme="minorHAnsi" w:cs="Arial"/>
          <w:sz w:val="20"/>
          <w:szCs w:val="20"/>
        </w:rPr>
        <w:t>25</w:t>
      </w:r>
      <w:r w:rsidRPr="00F4606C">
        <w:rPr>
          <w:rFonts w:asciiTheme="minorHAnsi" w:hAnsiTheme="minorHAnsi" w:cs="Arial"/>
          <w:sz w:val="20"/>
          <w:szCs w:val="20"/>
        </w:rPr>
        <w:t>, February 20</w:t>
      </w:r>
      <w:r w:rsidR="00C100BF">
        <w:rPr>
          <w:rFonts w:asciiTheme="minorHAnsi" w:hAnsiTheme="minorHAnsi" w:cs="Arial"/>
          <w:sz w:val="20"/>
          <w:szCs w:val="20"/>
        </w:rPr>
        <w:t>26</w:t>
      </w:r>
      <w:r w:rsidRPr="00F4606C">
        <w:rPr>
          <w:rFonts w:asciiTheme="minorHAnsi" w:hAnsiTheme="minorHAnsi" w:cs="Arial"/>
          <w:sz w:val="20"/>
          <w:szCs w:val="20"/>
        </w:rPr>
        <w:t xml:space="preserve"> and June 20</w:t>
      </w:r>
      <w:r w:rsidR="00C100BF">
        <w:rPr>
          <w:rFonts w:asciiTheme="minorHAnsi" w:hAnsiTheme="minorHAnsi" w:cs="Arial"/>
          <w:sz w:val="20"/>
          <w:szCs w:val="20"/>
        </w:rPr>
        <w:t>26</w:t>
      </w:r>
      <w:r w:rsidRPr="00F4606C">
        <w:rPr>
          <w:rFonts w:asciiTheme="minorHAnsi" w:hAnsiTheme="minorHAnsi" w:cs="Arial"/>
          <w:sz w:val="20"/>
          <w:szCs w:val="20"/>
        </w:rPr>
        <w:t xml:space="preserve">. The payments are aggregated and the payment date is </w:t>
      </w:r>
      <w:r w:rsidRPr="00F4606C">
        <w:rPr>
          <w:rFonts w:asciiTheme="minorHAnsi" w:hAnsiTheme="minorHAnsi" w:cs="Arial"/>
          <w:b/>
          <w:bCs/>
          <w:sz w:val="20"/>
          <w:szCs w:val="20"/>
        </w:rPr>
        <w:t>300620</w:t>
      </w:r>
      <w:r w:rsidR="00C100BF">
        <w:rPr>
          <w:rFonts w:asciiTheme="minorHAnsi" w:hAnsiTheme="minorHAnsi" w:cs="Arial"/>
          <w:b/>
          <w:bCs/>
          <w:sz w:val="20"/>
          <w:szCs w:val="20"/>
        </w:rPr>
        <w:t>26</w:t>
      </w:r>
      <w:r w:rsidRPr="00F4606C">
        <w:rPr>
          <w:rFonts w:asciiTheme="minorHAnsi" w:hAnsiTheme="minorHAnsi" w:cs="Arial"/>
          <w:sz w:val="20"/>
          <w:szCs w:val="20"/>
        </w:rPr>
        <w:t>.</w:t>
      </w:r>
    </w:p>
    <w:p w14:paraId="4D509390" w14:textId="77777777" w:rsidR="00115458" w:rsidRPr="0016592F" w:rsidRDefault="00115458" w:rsidP="00115458">
      <w:pPr>
        <w:pStyle w:val="Head4"/>
        <w:rPr>
          <w:rFonts w:asciiTheme="minorHAnsi" w:hAnsiTheme="minorHAnsi"/>
          <w:sz w:val="20"/>
          <w:szCs w:val="20"/>
        </w:rPr>
      </w:pPr>
      <w:r w:rsidRPr="0016592F">
        <w:rPr>
          <w:rFonts w:asciiTheme="minorHAnsi" w:hAnsiTheme="minorHAnsi"/>
          <w:sz w:val="20"/>
          <w:szCs w:val="20"/>
        </w:rPr>
        <w:t>Example 4.6 – Multiple franked dividend payments</w:t>
      </w:r>
    </w:p>
    <w:p w14:paraId="2739C9C4" w14:textId="601998BF" w:rsidR="00115458" w:rsidRPr="00F4606C" w:rsidRDefault="00115458" w:rsidP="00CF056D">
      <w:pPr>
        <w:pStyle w:val="Maintext"/>
        <w:rPr>
          <w:rFonts w:asciiTheme="minorHAnsi" w:hAnsiTheme="minorHAnsi" w:cs="Arial"/>
          <w:sz w:val="20"/>
          <w:szCs w:val="20"/>
        </w:rPr>
      </w:pPr>
      <w:r w:rsidRPr="00F4606C">
        <w:rPr>
          <w:rFonts w:asciiTheme="minorHAnsi" w:hAnsiTheme="minorHAnsi" w:cs="Arial"/>
          <w:sz w:val="20"/>
          <w:szCs w:val="20"/>
        </w:rPr>
        <w:t>Rosita Stavros holds shares in Cold Cables Ltd and receives four franked dividend payments in September and December 20</w:t>
      </w:r>
      <w:r w:rsidR="00C100BF">
        <w:rPr>
          <w:rFonts w:asciiTheme="minorHAnsi" w:hAnsiTheme="minorHAnsi" w:cs="Arial"/>
          <w:sz w:val="20"/>
          <w:szCs w:val="20"/>
        </w:rPr>
        <w:t>25</w:t>
      </w:r>
      <w:r w:rsidRPr="00F4606C">
        <w:rPr>
          <w:rFonts w:asciiTheme="minorHAnsi" w:hAnsiTheme="minorHAnsi" w:cs="Arial"/>
          <w:sz w:val="20"/>
          <w:szCs w:val="20"/>
        </w:rPr>
        <w:t xml:space="preserve"> and in March and June 20</w:t>
      </w:r>
      <w:r w:rsidR="00C100BF">
        <w:rPr>
          <w:rFonts w:asciiTheme="minorHAnsi" w:hAnsiTheme="minorHAnsi" w:cs="Arial"/>
          <w:sz w:val="20"/>
          <w:szCs w:val="20"/>
        </w:rPr>
        <w:t>26</w:t>
      </w:r>
      <w:r w:rsidRPr="00F4606C">
        <w:rPr>
          <w:rFonts w:asciiTheme="minorHAnsi" w:hAnsiTheme="minorHAnsi" w:cs="Arial"/>
          <w:sz w:val="20"/>
          <w:szCs w:val="20"/>
        </w:rPr>
        <w:t xml:space="preserve">. The payments are aggregated and the payment date is </w:t>
      </w:r>
      <w:r w:rsidRPr="00F4606C">
        <w:rPr>
          <w:rFonts w:asciiTheme="minorHAnsi" w:hAnsiTheme="minorHAnsi" w:cs="Arial"/>
          <w:b/>
          <w:bCs/>
          <w:sz w:val="20"/>
          <w:szCs w:val="20"/>
        </w:rPr>
        <w:t>300620</w:t>
      </w:r>
      <w:r w:rsidR="00C100BF">
        <w:rPr>
          <w:rFonts w:asciiTheme="minorHAnsi" w:hAnsiTheme="minorHAnsi" w:cs="Arial"/>
          <w:b/>
          <w:bCs/>
          <w:sz w:val="20"/>
          <w:szCs w:val="20"/>
        </w:rPr>
        <w:t>26</w:t>
      </w:r>
      <w:r w:rsidRPr="00F4606C">
        <w:rPr>
          <w:rFonts w:asciiTheme="minorHAnsi" w:hAnsiTheme="minorHAnsi" w:cs="Arial"/>
          <w:sz w:val="20"/>
          <w:szCs w:val="20"/>
        </w:rPr>
        <w:t xml:space="preserve">. </w:t>
      </w:r>
    </w:p>
    <w:p w14:paraId="25E4D41E" w14:textId="77777777" w:rsidR="00115458" w:rsidRPr="00B35C0A" w:rsidRDefault="00115458" w:rsidP="00115458">
      <w:pPr>
        <w:pStyle w:val="Heading2"/>
      </w:pPr>
      <w:bookmarkStart w:id="611" w:name="_Toc232191323"/>
      <w:r w:rsidRPr="006239A1">
        <w:t>Payment type</w:t>
      </w:r>
      <w:r>
        <w:t>s</w:t>
      </w:r>
      <w:bookmarkEnd w:id="611"/>
    </w:p>
    <w:p w14:paraId="56AA3E9D"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As there are a number of different payment types reported in the AIIR, reporting the correct code at the </w:t>
      </w:r>
      <w:r w:rsidRPr="00F4606C">
        <w:rPr>
          <w:rFonts w:asciiTheme="minorHAnsi" w:hAnsiTheme="minorHAnsi" w:cs="Arial"/>
          <w:i/>
          <w:sz w:val="20"/>
          <w:szCs w:val="20"/>
        </w:rPr>
        <w:t xml:space="preserve">Type of payment </w:t>
      </w:r>
      <w:r w:rsidRPr="00F4606C">
        <w:rPr>
          <w:rFonts w:asciiTheme="minorHAnsi" w:hAnsiTheme="minorHAnsi" w:cs="Arial"/>
          <w:sz w:val="20"/>
          <w:szCs w:val="20"/>
        </w:rPr>
        <w:t>(9.72) field is critical for matching the investment income to the correct label in the tax return for pre-filling and to avoid lodgment compliance activity.</w:t>
      </w:r>
    </w:p>
    <w:p w14:paraId="5C310452" w14:textId="77777777" w:rsidR="00115458" w:rsidRPr="00F4606C" w:rsidRDefault="00115458" w:rsidP="00115458">
      <w:pPr>
        <w:pStyle w:val="Maintext"/>
        <w:rPr>
          <w:rFonts w:asciiTheme="minorHAnsi" w:hAnsiTheme="minorHAnsi" w:cs="Arial"/>
          <w:sz w:val="20"/>
          <w:szCs w:val="20"/>
        </w:rPr>
      </w:pPr>
    </w:p>
    <w:p w14:paraId="5F7F9E38"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For example, amounts reported at the </w:t>
      </w:r>
      <w:r w:rsidRPr="00F4606C">
        <w:rPr>
          <w:rFonts w:asciiTheme="minorHAnsi" w:hAnsiTheme="minorHAnsi" w:cs="Arial"/>
          <w:i/>
          <w:sz w:val="20"/>
          <w:szCs w:val="20"/>
        </w:rPr>
        <w:t xml:space="preserve">Interest </w:t>
      </w:r>
      <w:r w:rsidRPr="00F4606C">
        <w:rPr>
          <w:rFonts w:asciiTheme="minorHAnsi" w:hAnsiTheme="minorHAnsi" w:cs="Arial"/>
          <w:sz w:val="20"/>
          <w:szCs w:val="20"/>
        </w:rPr>
        <w:t xml:space="preserve">(9.79) field with a payment type of </w:t>
      </w:r>
      <w:r w:rsidRPr="00F4606C">
        <w:rPr>
          <w:rFonts w:asciiTheme="minorHAnsi" w:hAnsiTheme="minorHAnsi" w:cs="Arial"/>
          <w:b/>
          <w:sz w:val="20"/>
          <w:szCs w:val="20"/>
        </w:rPr>
        <w:t>UTD</w:t>
      </w:r>
      <w:r w:rsidRPr="00F4606C">
        <w:rPr>
          <w:rFonts w:asciiTheme="minorHAnsi" w:hAnsiTheme="minorHAnsi" w:cs="Arial"/>
          <w:sz w:val="20"/>
          <w:szCs w:val="20"/>
        </w:rPr>
        <w:t xml:space="preserve"> are mapped to label </w:t>
      </w:r>
      <w:r w:rsidRPr="00F4606C">
        <w:rPr>
          <w:rFonts w:asciiTheme="minorHAnsi" w:hAnsiTheme="minorHAnsi" w:cs="Arial"/>
          <w:b/>
          <w:sz w:val="20"/>
          <w:szCs w:val="20"/>
        </w:rPr>
        <w:t>13U</w:t>
      </w:r>
      <w:r w:rsidRPr="00F4606C">
        <w:rPr>
          <w:rFonts w:asciiTheme="minorHAnsi" w:hAnsiTheme="minorHAnsi" w:cs="Arial"/>
          <w:sz w:val="20"/>
          <w:szCs w:val="20"/>
        </w:rPr>
        <w:t xml:space="preserve"> in the Individual tax return (ITR) whereas amounts reported at the </w:t>
      </w:r>
      <w:r w:rsidRPr="00F4606C">
        <w:rPr>
          <w:rFonts w:asciiTheme="minorHAnsi" w:hAnsiTheme="minorHAnsi" w:cs="Arial"/>
          <w:i/>
          <w:sz w:val="20"/>
          <w:szCs w:val="20"/>
        </w:rPr>
        <w:t xml:space="preserve">Interest </w:t>
      </w:r>
      <w:r w:rsidRPr="00F4606C">
        <w:rPr>
          <w:rFonts w:asciiTheme="minorHAnsi" w:hAnsiTheme="minorHAnsi" w:cs="Arial"/>
          <w:sz w:val="20"/>
          <w:szCs w:val="20"/>
        </w:rPr>
        <w:t>(9.79)</w:t>
      </w:r>
      <w:r w:rsidRPr="00F4606C">
        <w:rPr>
          <w:rFonts w:asciiTheme="minorHAnsi" w:hAnsiTheme="minorHAnsi" w:cs="Arial"/>
          <w:i/>
          <w:sz w:val="20"/>
          <w:szCs w:val="20"/>
        </w:rPr>
        <w:t xml:space="preserve"> </w:t>
      </w:r>
      <w:r w:rsidRPr="00F4606C">
        <w:rPr>
          <w:rFonts w:asciiTheme="minorHAnsi" w:hAnsiTheme="minorHAnsi" w:cs="Arial"/>
          <w:sz w:val="20"/>
          <w:szCs w:val="20"/>
        </w:rPr>
        <w:t xml:space="preserve">field with a payment type of INT are mapped to </w:t>
      </w:r>
      <w:r w:rsidRPr="00F4606C">
        <w:rPr>
          <w:rFonts w:asciiTheme="minorHAnsi" w:hAnsiTheme="minorHAnsi" w:cs="Arial"/>
          <w:b/>
          <w:sz w:val="20"/>
          <w:szCs w:val="20"/>
        </w:rPr>
        <w:t>10L</w:t>
      </w:r>
      <w:r w:rsidRPr="00F4606C">
        <w:rPr>
          <w:rFonts w:asciiTheme="minorHAnsi" w:hAnsiTheme="minorHAnsi" w:cs="Arial"/>
          <w:sz w:val="20"/>
          <w:szCs w:val="20"/>
        </w:rPr>
        <w:t>.</w:t>
      </w:r>
    </w:p>
    <w:p w14:paraId="3DE5C1C8" w14:textId="77777777" w:rsidR="00115458" w:rsidRPr="00F4606C" w:rsidRDefault="00115458" w:rsidP="00115458">
      <w:pPr>
        <w:pStyle w:val="Maintext"/>
        <w:rPr>
          <w:rFonts w:asciiTheme="minorHAnsi" w:hAnsiTheme="minorHAnsi" w:cs="Arial"/>
          <w:sz w:val="20"/>
          <w:szCs w:val="20"/>
        </w:rPr>
      </w:pPr>
    </w:p>
    <w:p w14:paraId="3247DDAA"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The following table identifies the payment types reported in the AIIR. </w:t>
      </w:r>
    </w:p>
    <w:p w14:paraId="0A0F8B97" w14:textId="77777777" w:rsidR="00115458" w:rsidRPr="00F4606C" w:rsidRDefault="00115458" w:rsidP="00115458">
      <w:pPr>
        <w:pStyle w:val="Maintext"/>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3158"/>
        <w:gridCol w:w="1236"/>
        <w:gridCol w:w="4888"/>
      </w:tblGrid>
      <w:tr w:rsidR="00115458" w:rsidRPr="00B35C0A" w14:paraId="7615BDD8" w14:textId="77777777" w:rsidTr="000C1365">
        <w:trPr>
          <w:tblHeader/>
        </w:trPr>
        <w:tc>
          <w:tcPr>
            <w:tcW w:w="1732" w:type="pct"/>
            <w:tcBorders>
              <w:top w:val="single" w:sz="6" w:space="0" w:color="auto"/>
              <w:left w:val="single" w:sz="6" w:space="0" w:color="auto"/>
              <w:bottom w:val="single" w:sz="6" w:space="0" w:color="auto"/>
              <w:right w:val="single" w:sz="6" w:space="0" w:color="auto"/>
            </w:tcBorders>
            <w:shd w:val="clear" w:color="auto" w:fill="B3B3B3"/>
            <w:vAlign w:val="center"/>
          </w:tcPr>
          <w:p w14:paraId="116AE89D" w14:textId="77777777" w:rsidR="00115458" w:rsidRPr="00F4606C" w:rsidRDefault="00115458" w:rsidP="000C1365">
            <w:pPr>
              <w:pStyle w:val="Maintext"/>
              <w:spacing w:before="60" w:after="60"/>
              <w:rPr>
                <w:rFonts w:asciiTheme="minorHAnsi" w:hAnsiTheme="minorHAnsi" w:cs="Arial"/>
                <w:b/>
                <w:sz w:val="20"/>
                <w:szCs w:val="20"/>
              </w:rPr>
            </w:pPr>
            <w:r w:rsidRPr="00F4606C">
              <w:rPr>
                <w:rFonts w:asciiTheme="minorHAnsi" w:hAnsiTheme="minorHAnsi" w:cs="Arial"/>
                <w:b/>
                <w:sz w:val="20"/>
                <w:szCs w:val="20"/>
              </w:rPr>
              <w:t>Payment type</w:t>
            </w:r>
          </w:p>
        </w:tc>
        <w:tc>
          <w:tcPr>
            <w:tcW w:w="604" w:type="pct"/>
            <w:tcBorders>
              <w:top w:val="single" w:sz="6" w:space="0" w:color="auto"/>
              <w:left w:val="single" w:sz="6" w:space="0" w:color="auto"/>
              <w:bottom w:val="single" w:sz="6" w:space="0" w:color="auto"/>
              <w:right w:val="single" w:sz="6" w:space="0" w:color="auto"/>
            </w:tcBorders>
            <w:shd w:val="clear" w:color="auto" w:fill="B3B3B3"/>
            <w:vAlign w:val="center"/>
          </w:tcPr>
          <w:p w14:paraId="4D6A90D2" w14:textId="77777777" w:rsidR="00115458" w:rsidRPr="00F4606C" w:rsidRDefault="00115458" w:rsidP="000C1365">
            <w:pPr>
              <w:pStyle w:val="Maintext"/>
              <w:spacing w:before="60" w:after="60"/>
              <w:rPr>
                <w:rFonts w:asciiTheme="minorHAnsi" w:hAnsiTheme="minorHAnsi" w:cs="Arial"/>
                <w:b/>
                <w:sz w:val="20"/>
                <w:szCs w:val="20"/>
              </w:rPr>
            </w:pPr>
            <w:r w:rsidRPr="00F4606C">
              <w:rPr>
                <w:rFonts w:asciiTheme="minorHAnsi" w:hAnsiTheme="minorHAnsi" w:cs="Arial"/>
                <w:b/>
                <w:sz w:val="20"/>
                <w:szCs w:val="20"/>
              </w:rPr>
              <w:t>Acronym</w:t>
            </w:r>
          </w:p>
        </w:tc>
        <w:tc>
          <w:tcPr>
            <w:tcW w:w="2664" w:type="pct"/>
            <w:tcBorders>
              <w:top w:val="single" w:sz="6" w:space="0" w:color="auto"/>
              <w:left w:val="single" w:sz="6" w:space="0" w:color="auto"/>
              <w:bottom w:val="single" w:sz="6" w:space="0" w:color="auto"/>
              <w:right w:val="single" w:sz="6" w:space="0" w:color="auto"/>
            </w:tcBorders>
            <w:shd w:val="clear" w:color="auto" w:fill="B3B3B3"/>
            <w:vAlign w:val="center"/>
          </w:tcPr>
          <w:p w14:paraId="0C42B490" w14:textId="77777777" w:rsidR="00115458" w:rsidRPr="00F4606C" w:rsidRDefault="00115458" w:rsidP="000C1365">
            <w:pPr>
              <w:pStyle w:val="Maintext"/>
              <w:spacing w:before="60" w:after="60"/>
              <w:rPr>
                <w:rFonts w:asciiTheme="minorHAnsi" w:hAnsiTheme="minorHAnsi" w:cs="Arial"/>
                <w:b/>
                <w:sz w:val="20"/>
                <w:szCs w:val="20"/>
              </w:rPr>
            </w:pPr>
            <w:r w:rsidRPr="00F4606C">
              <w:rPr>
                <w:rFonts w:asciiTheme="minorHAnsi" w:hAnsiTheme="minorHAnsi" w:cs="Arial"/>
                <w:b/>
                <w:sz w:val="20"/>
                <w:szCs w:val="20"/>
              </w:rPr>
              <w:t>Details of payment type</w:t>
            </w:r>
          </w:p>
        </w:tc>
      </w:tr>
      <w:tr w:rsidR="00115458" w:rsidRPr="00B35C0A" w14:paraId="3A14FE95" w14:textId="77777777" w:rsidTr="000C1365">
        <w:tc>
          <w:tcPr>
            <w:tcW w:w="1732" w:type="pct"/>
            <w:tcBorders>
              <w:top w:val="single" w:sz="6" w:space="0" w:color="auto"/>
            </w:tcBorders>
            <w:vAlign w:val="center"/>
          </w:tcPr>
          <w:p w14:paraId="3B20F6E3"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Attributions</w:t>
            </w:r>
          </w:p>
        </w:tc>
        <w:tc>
          <w:tcPr>
            <w:tcW w:w="604" w:type="pct"/>
            <w:tcBorders>
              <w:top w:val="single" w:sz="6" w:space="0" w:color="auto"/>
            </w:tcBorders>
            <w:vAlign w:val="center"/>
          </w:tcPr>
          <w:p w14:paraId="7AAC4032"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AMT</w:t>
            </w:r>
          </w:p>
        </w:tc>
        <w:tc>
          <w:tcPr>
            <w:tcW w:w="2664" w:type="pct"/>
            <w:tcBorders>
              <w:top w:val="single" w:sz="6" w:space="0" w:color="auto"/>
            </w:tcBorders>
            <w:vAlign w:val="center"/>
          </w:tcPr>
          <w:p w14:paraId="3D27C749" w14:textId="7C320822"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Amounts attributed from an AMIT</w:t>
            </w:r>
            <w:r w:rsidR="00B5777A">
              <w:rPr>
                <w:rFonts w:asciiTheme="minorHAnsi" w:hAnsiTheme="minorHAnsi" w:cs="Arial"/>
                <w:sz w:val="20"/>
                <w:szCs w:val="20"/>
              </w:rPr>
              <w:t xml:space="preserve"> </w:t>
            </w:r>
            <w:r w:rsidRPr="00F4606C">
              <w:rPr>
                <w:rFonts w:asciiTheme="minorHAnsi" w:hAnsiTheme="minorHAnsi" w:cs="Arial"/>
                <w:sz w:val="20"/>
                <w:szCs w:val="20"/>
              </w:rPr>
              <w:t xml:space="preserve">or </w:t>
            </w:r>
            <w:r w:rsidR="00CF056D" w:rsidRPr="00F4606C">
              <w:rPr>
                <w:rFonts w:asciiTheme="minorHAnsi" w:hAnsiTheme="minorHAnsi" w:cs="Arial"/>
                <w:sz w:val="20"/>
                <w:szCs w:val="20"/>
              </w:rPr>
              <w:t xml:space="preserve">attribution CCIV sub-fund trust </w:t>
            </w:r>
            <w:r w:rsidRPr="00F4606C">
              <w:rPr>
                <w:rFonts w:asciiTheme="minorHAnsi" w:hAnsiTheme="minorHAnsi" w:cs="Arial"/>
                <w:sz w:val="20"/>
                <w:szCs w:val="20"/>
              </w:rPr>
              <w:t>including MIT fund payments made to non-residents (see Section 6</w:t>
            </w:r>
            <w:r w:rsidRPr="00F4606C">
              <w:rPr>
                <w:rFonts w:asciiTheme="minorHAnsi" w:hAnsiTheme="minorHAnsi"/>
                <w:sz w:val="20"/>
                <w:szCs w:val="20"/>
              </w:rPr>
              <w:t xml:space="preserve">, </w:t>
            </w:r>
            <w:r w:rsidRPr="00F4606C">
              <w:rPr>
                <w:rFonts w:asciiTheme="minorHAnsi" w:hAnsiTheme="minorHAnsi" w:cs="Arial"/>
                <w:sz w:val="20"/>
                <w:szCs w:val="20"/>
              </w:rPr>
              <w:t>Attribution Managed Investment Trusts</w:t>
            </w:r>
            <w:r w:rsidRPr="00F4606C">
              <w:rPr>
                <w:rStyle w:val="Hyperlink"/>
                <w:rFonts w:asciiTheme="minorHAnsi" w:hAnsiTheme="minorHAnsi" w:cs="Arial"/>
                <w:szCs w:val="20"/>
              </w:rPr>
              <w:t>,</w:t>
            </w:r>
            <w:r w:rsidRPr="00F4606C">
              <w:rPr>
                <w:rFonts w:asciiTheme="minorHAnsi" w:hAnsiTheme="minorHAnsi" w:cs="Arial"/>
                <w:sz w:val="20"/>
                <w:szCs w:val="20"/>
              </w:rPr>
              <w:t xml:space="preserve"> for reporting requirements)</w:t>
            </w:r>
          </w:p>
        </w:tc>
      </w:tr>
      <w:tr w:rsidR="00115458" w:rsidRPr="00B35C0A" w14:paraId="21A302A2" w14:textId="77777777" w:rsidTr="000C1365">
        <w:tc>
          <w:tcPr>
            <w:tcW w:w="1732" w:type="pct"/>
            <w:tcBorders>
              <w:top w:val="single" w:sz="6" w:space="0" w:color="auto"/>
            </w:tcBorders>
            <w:vAlign w:val="center"/>
          </w:tcPr>
          <w:p w14:paraId="52776368"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Deferred interest securities</w:t>
            </w:r>
          </w:p>
        </w:tc>
        <w:tc>
          <w:tcPr>
            <w:tcW w:w="604" w:type="pct"/>
            <w:tcBorders>
              <w:top w:val="single" w:sz="6" w:space="0" w:color="auto"/>
            </w:tcBorders>
            <w:vAlign w:val="center"/>
          </w:tcPr>
          <w:p w14:paraId="492D7F59"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DIS</w:t>
            </w:r>
          </w:p>
        </w:tc>
        <w:tc>
          <w:tcPr>
            <w:tcW w:w="2664" w:type="pct"/>
            <w:tcBorders>
              <w:top w:val="single" w:sz="6" w:space="0" w:color="auto"/>
            </w:tcBorders>
            <w:vAlign w:val="center"/>
          </w:tcPr>
          <w:p w14:paraId="717B48C1"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Interest on deferred interest securities only (see s 4, for reporting requirements)</w:t>
            </w:r>
          </w:p>
        </w:tc>
      </w:tr>
      <w:tr w:rsidR="00115458" w:rsidRPr="00B35C0A" w14:paraId="609BF29C" w14:textId="77777777" w:rsidTr="000C1365">
        <w:tc>
          <w:tcPr>
            <w:tcW w:w="1732" w:type="pct"/>
            <w:vAlign w:val="center"/>
          </w:tcPr>
          <w:p w14:paraId="05A8D7B3" w14:textId="77777777" w:rsidR="00115458" w:rsidRPr="00CF056D" w:rsidRDefault="00115458" w:rsidP="000C1365">
            <w:pPr>
              <w:pStyle w:val="Maintext"/>
              <w:spacing w:before="60" w:after="60"/>
              <w:rPr>
                <w:rFonts w:asciiTheme="minorHAnsi" w:hAnsiTheme="minorHAnsi" w:cs="Arial"/>
                <w:sz w:val="20"/>
                <w:szCs w:val="20"/>
              </w:rPr>
            </w:pPr>
            <w:r w:rsidRPr="00CF056D">
              <w:rPr>
                <w:rFonts w:asciiTheme="minorHAnsi" w:hAnsiTheme="minorHAnsi" w:cs="Arial"/>
                <w:sz w:val="20"/>
                <w:szCs w:val="20"/>
              </w:rPr>
              <w:t>Dividend and</w:t>
            </w:r>
          </w:p>
          <w:p w14:paraId="39678F25" w14:textId="77777777" w:rsidR="00115458" w:rsidRPr="00CF056D" w:rsidRDefault="00115458" w:rsidP="000C1365">
            <w:pPr>
              <w:pStyle w:val="Maintext"/>
              <w:spacing w:before="60" w:after="60"/>
              <w:rPr>
                <w:rFonts w:asciiTheme="minorHAnsi" w:hAnsiTheme="minorHAnsi" w:cs="Arial"/>
                <w:sz w:val="20"/>
                <w:szCs w:val="20"/>
              </w:rPr>
            </w:pPr>
            <w:r w:rsidRPr="00CF056D">
              <w:rPr>
                <w:rFonts w:asciiTheme="minorHAnsi" w:hAnsiTheme="minorHAnsi" w:cs="Arial"/>
                <w:sz w:val="20"/>
                <w:szCs w:val="20"/>
              </w:rPr>
              <w:t xml:space="preserve">Exploration credits </w:t>
            </w:r>
          </w:p>
        </w:tc>
        <w:tc>
          <w:tcPr>
            <w:tcW w:w="604" w:type="pct"/>
            <w:vAlign w:val="center"/>
          </w:tcPr>
          <w:p w14:paraId="54EB6338" w14:textId="77777777" w:rsidR="00115458" w:rsidRPr="00CF056D" w:rsidRDefault="00115458" w:rsidP="000C1365">
            <w:pPr>
              <w:pStyle w:val="Maintext"/>
              <w:spacing w:before="60" w:after="60"/>
              <w:rPr>
                <w:rFonts w:asciiTheme="minorHAnsi" w:hAnsiTheme="minorHAnsi" w:cs="Arial"/>
                <w:sz w:val="20"/>
                <w:szCs w:val="20"/>
              </w:rPr>
            </w:pPr>
            <w:r w:rsidRPr="00CF056D">
              <w:rPr>
                <w:rFonts w:asciiTheme="minorHAnsi" w:hAnsiTheme="minorHAnsi" w:cs="Arial"/>
                <w:sz w:val="20"/>
                <w:szCs w:val="20"/>
              </w:rPr>
              <w:t>DIV</w:t>
            </w:r>
          </w:p>
        </w:tc>
        <w:tc>
          <w:tcPr>
            <w:tcW w:w="2664" w:type="pct"/>
            <w:vAlign w:val="center"/>
          </w:tcPr>
          <w:p w14:paraId="6CAA6971" w14:textId="2B3DC9A7" w:rsidR="00115458" w:rsidRPr="00CF056D" w:rsidRDefault="00115458" w:rsidP="00F4606C">
            <w:pPr>
              <w:pStyle w:val="Maintext"/>
              <w:rPr>
                <w:rFonts w:asciiTheme="minorHAnsi" w:hAnsiTheme="minorHAnsi" w:cs="Arial"/>
                <w:sz w:val="20"/>
                <w:szCs w:val="20"/>
              </w:rPr>
            </w:pPr>
            <w:r w:rsidRPr="00CF056D">
              <w:rPr>
                <w:rFonts w:asciiTheme="minorHAnsi" w:hAnsiTheme="minorHAnsi" w:cs="Arial"/>
                <w:sz w:val="20"/>
                <w:szCs w:val="20"/>
              </w:rPr>
              <w:t>Franked, unfranked dividends and franking credits and</w:t>
            </w:r>
            <w:r w:rsidR="00CF056D">
              <w:rPr>
                <w:rFonts w:asciiTheme="minorHAnsi" w:hAnsiTheme="minorHAnsi" w:cs="Arial"/>
                <w:sz w:val="20"/>
                <w:szCs w:val="20"/>
              </w:rPr>
              <w:t xml:space="preserve"> e</w:t>
            </w:r>
            <w:r w:rsidRPr="00CF056D">
              <w:rPr>
                <w:rFonts w:asciiTheme="minorHAnsi" w:hAnsiTheme="minorHAnsi" w:cs="Arial"/>
                <w:sz w:val="20"/>
                <w:szCs w:val="20"/>
              </w:rPr>
              <w:t>xploration credits directly distributed by a Junior mineral explorer</w:t>
            </w:r>
            <w:r w:rsidRPr="00CF056D">
              <w:rPr>
                <w:rStyle w:val="CommentReference"/>
                <w:rFonts w:asciiTheme="minorHAnsi" w:hAnsiTheme="minorHAnsi"/>
                <w:sz w:val="20"/>
                <w:szCs w:val="20"/>
              </w:rPr>
              <w:t xml:space="preserve">. This payment type may also apply to NANE payments that are not received through a trust. </w:t>
            </w:r>
          </w:p>
        </w:tc>
      </w:tr>
      <w:tr w:rsidR="00115458" w:rsidRPr="00B35C0A" w14:paraId="7305E27D" w14:textId="77777777" w:rsidTr="000C1365">
        <w:tc>
          <w:tcPr>
            <w:tcW w:w="1732" w:type="pct"/>
            <w:vAlign w:val="center"/>
          </w:tcPr>
          <w:p w14:paraId="59B72D80"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Farm management deposit</w:t>
            </w:r>
          </w:p>
        </w:tc>
        <w:tc>
          <w:tcPr>
            <w:tcW w:w="604" w:type="pct"/>
            <w:vAlign w:val="center"/>
          </w:tcPr>
          <w:p w14:paraId="635977BE"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FMD</w:t>
            </w:r>
          </w:p>
        </w:tc>
        <w:tc>
          <w:tcPr>
            <w:tcW w:w="2664" w:type="pct"/>
            <w:vAlign w:val="center"/>
          </w:tcPr>
          <w:p w14:paraId="7A53919B"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Interest on farm management deposits only (see Section 9, Farm management deposits, for reporting requirements)</w:t>
            </w:r>
          </w:p>
        </w:tc>
      </w:tr>
      <w:tr w:rsidR="00115458" w:rsidRPr="00B35C0A" w14:paraId="145A11F8" w14:textId="77777777" w:rsidTr="000C1365">
        <w:tc>
          <w:tcPr>
            <w:tcW w:w="1732" w:type="pct"/>
            <w:vAlign w:val="center"/>
          </w:tcPr>
          <w:p w14:paraId="43CEC6ED"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Foreign source income</w:t>
            </w:r>
          </w:p>
        </w:tc>
        <w:tc>
          <w:tcPr>
            <w:tcW w:w="604" w:type="pct"/>
            <w:vAlign w:val="center"/>
          </w:tcPr>
          <w:p w14:paraId="6EB25321"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FSI</w:t>
            </w:r>
          </w:p>
        </w:tc>
        <w:tc>
          <w:tcPr>
            <w:tcW w:w="2664" w:type="pct"/>
            <w:vAlign w:val="center"/>
          </w:tcPr>
          <w:p w14:paraId="4A2BFB72"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Foreign source investment income that is not part of a unit trust distribution </w:t>
            </w:r>
          </w:p>
        </w:tc>
      </w:tr>
      <w:tr w:rsidR="00115458" w:rsidRPr="00B35C0A" w14:paraId="41A93040" w14:textId="77777777" w:rsidTr="000C1365">
        <w:tc>
          <w:tcPr>
            <w:tcW w:w="1732" w:type="pct"/>
            <w:vAlign w:val="center"/>
          </w:tcPr>
          <w:p w14:paraId="5E700A7E"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Interest</w:t>
            </w:r>
          </w:p>
        </w:tc>
        <w:tc>
          <w:tcPr>
            <w:tcW w:w="604" w:type="pct"/>
            <w:vAlign w:val="center"/>
          </w:tcPr>
          <w:p w14:paraId="0B4F74D8"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INT</w:t>
            </w:r>
          </w:p>
        </w:tc>
        <w:tc>
          <w:tcPr>
            <w:tcW w:w="2664" w:type="pct"/>
            <w:vAlign w:val="center"/>
          </w:tcPr>
          <w:p w14:paraId="0242399F"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Interest on all other interest bearing investments</w:t>
            </w:r>
            <w:r w:rsidRPr="00F4606C">
              <w:rPr>
                <w:rFonts w:asciiTheme="minorHAnsi" w:hAnsiTheme="minorHAnsi" w:cs="Arial"/>
                <w:color w:val="FF0000"/>
                <w:sz w:val="20"/>
                <w:szCs w:val="20"/>
              </w:rPr>
              <w:t xml:space="preserve">. </w:t>
            </w:r>
            <w:r w:rsidRPr="00F4606C">
              <w:rPr>
                <w:rStyle w:val="CommentReference"/>
                <w:rFonts w:asciiTheme="minorHAnsi" w:hAnsiTheme="minorHAnsi"/>
                <w:sz w:val="20"/>
                <w:szCs w:val="20"/>
              </w:rPr>
              <w:t>This payment type may also apply to NANE payments that are not received through a trust.</w:t>
            </w:r>
          </w:p>
        </w:tc>
      </w:tr>
      <w:tr w:rsidR="00115458" w:rsidRPr="00B35C0A" w14:paraId="4AC568E4" w14:textId="77777777" w:rsidTr="000C1365">
        <w:tc>
          <w:tcPr>
            <w:tcW w:w="1732" w:type="pct"/>
            <w:vAlign w:val="center"/>
          </w:tcPr>
          <w:p w14:paraId="12ACD688"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Investment related betting chance</w:t>
            </w:r>
          </w:p>
        </w:tc>
        <w:tc>
          <w:tcPr>
            <w:tcW w:w="604" w:type="pct"/>
            <w:vAlign w:val="center"/>
          </w:tcPr>
          <w:p w14:paraId="0BAECA45"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IRB</w:t>
            </w:r>
          </w:p>
        </w:tc>
        <w:tc>
          <w:tcPr>
            <w:tcW w:w="2664" w:type="pct"/>
            <w:vAlign w:val="center"/>
          </w:tcPr>
          <w:p w14:paraId="4B9268A5"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Cash or non-cash payments from investment related betting chance</w:t>
            </w:r>
          </w:p>
        </w:tc>
      </w:tr>
      <w:tr w:rsidR="00115458" w:rsidRPr="00B35C0A" w14:paraId="3854EE8E" w14:textId="77777777" w:rsidTr="000C1365">
        <w:tc>
          <w:tcPr>
            <w:tcW w:w="1732" w:type="pct"/>
            <w:vAlign w:val="center"/>
          </w:tcPr>
          <w:p w14:paraId="1255E2B3"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Term deposit</w:t>
            </w:r>
          </w:p>
        </w:tc>
        <w:tc>
          <w:tcPr>
            <w:tcW w:w="604" w:type="pct"/>
            <w:vAlign w:val="center"/>
          </w:tcPr>
          <w:p w14:paraId="03E6A7C6"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TDP</w:t>
            </w:r>
          </w:p>
        </w:tc>
        <w:tc>
          <w:tcPr>
            <w:tcW w:w="2664" w:type="pct"/>
            <w:vAlign w:val="center"/>
          </w:tcPr>
          <w:p w14:paraId="42BF19FE"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Interest on term deposits only</w:t>
            </w:r>
          </w:p>
        </w:tc>
      </w:tr>
      <w:tr w:rsidR="00115458" w:rsidRPr="00B35C0A" w14:paraId="41A353D3" w14:textId="77777777" w:rsidTr="000C1365">
        <w:trPr>
          <w:cantSplit/>
        </w:trPr>
        <w:tc>
          <w:tcPr>
            <w:tcW w:w="1732" w:type="pct"/>
            <w:vAlign w:val="center"/>
          </w:tcPr>
          <w:p w14:paraId="2D5089CA"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Unit trust distribution</w:t>
            </w:r>
          </w:p>
        </w:tc>
        <w:tc>
          <w:tcPr>
            <w:tcW w:w="604" w:type="pct"/>
            <w:vAlign w:val="center"/>
          </w:tcPr>
          <w:p w14:paraId="05C2D9D0" w14:textId="77777777" w:rsidR="00115458" w:rsidRPr="00F4606C" w:rsidRDefault="00115458" w:rsidP="000C1365">
            <w:pPr>
              <w:pStyle w:val="Maintext"/>
              <w:spacing w:before="60" w:after="60"/>
              <w:rPr>
                <w:rFonts w:asciiTheme="minorHAnsi" w:hAnsiTheme="minorHAnsi" w:cs="Arial"/>
                <w:sz w:val="20"/>
                <w:szCs w:val="20"/>
              </w:rPr>
            </w:pPr>
            <w:r w:rsidRPr="00F4606C">
              <w:rPr>
                <w:rFonts w:asciiTheme="minorHAnsi" w:hAnsiTheme="minorHAnsi" w:cs="Arial"/>
                <w:sz w:val="20"/>
                <w:szCs w:val="20"/>
              </w:rPr>
              <w:t>UTD</w:t>
            </w:r>
          </w:p>
        </w:tc>
        <w:tc>
          <w:tcPr>
            <w:tcW w:w="2664" w:type="pct"/>
            <w:vAlign w:val="center"/>
          </w:tcPr>
          <w:p w14:paraId="1F2AA25C"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Unit trust distributions including managed investment trust payments made to non-residents and amounts withheld under Subdivision 12-H (see </w:t>
            </w:r>
            <w:hyperlink w:anchor="Section6" w:history="1">
              <w:r w:rsidRPr="00F4606C">
                <w:rPr>
                  <w:rStyle w:val="Hyperlink"/>
                  <w:rFonts w:asciiTheme="minorHAnsi" w:hAnsiTheme="minorHAnsi" w:cs="Arial"/>
                  <w:szCs w:val="20"/>
                </w:rPr>
                <w:t xml:space="preserve">Section </w:t>
              </w:r>
            </w:hyperlink>
            <w:r w:rsidRPr="00F4606C">
              <w:rPr>
                <w:rStyle w:val="Hyperlink"/>
                <w:rFonts w:asciiTheme="minorHAnsi" w:hAnsiTheme="minorHAnsi" w:cs="Arial"/>
                <w:szCs w:val="20"/>
              </w:rPr>
              <w:t>7, Trust Reporting,</w:t>
            </w:r>
            <w:r w:rsidRPr="00F4606C">
              <w:rPr>
                <w:rFonts w:asciiTheme="minorHAnsi" w:hAnsiTheme="minorHAnsi"/>
                <w:sz w:val="20"/>
                <w:szCs w:val="20"/>
              </w:rPr>
              <w:t xml:space="preserve"> </w:t>
            </w:r>
            <w:r w:rsidRPr="00F4606C">
              <w:rPr>
                <w:rFonts w:asciiTheme="minorHAnsi" w:hAnsiTheme="minorHAnsi" w:cs="Arial"/>
                <w:sz w:val="20"/>
                <w:szCs w:val="20"/>
              </w:rPr>
              <w:t>for reporting requirements)</w:t>
            </w:r>
          </w:p>
        </w:tc>
      </w:tr>
    </w:tbl>
    <w:p w14:paraId="31D3AC88" w14:textId="77777777" w:rsidR="00115458" w:rsidRPr="00B35C0A" w:rsidRDefault="00115458" w:rsidP="00115458">
      <w:pPr>
        <w:pStyle w:val="Maintext"/>
        <w:rPr>
          <w:rFonts w:cs="Arial"/>
        </w:rPr>
      </w:pPr>
    </w:p>
    <w:p w14:paraId="208E9FF2" w14:textId="77777777" w:rsidR="00115458" w:rsidRDefault="00115458" w:rsidP="00115458">
      <w:pPr>
        <w:pStyle w:val="Maintext"/>
        <w:rPr>
          <w:rFonts w:cs="Arial"/>
        </w:rPr>
      </w:pPr>
    </w:p>
    <w:p w14:paraId="1A9AC5C8"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This table shows which fields relate to each payment type.</w:t>
      </w:r>
    </w:p>
    <w:p w14:paraId="3EA24C58" w14:textId="77777777" w:rsidR="00115458" w:rsidRPr="00F4606C" w:rsidRDefault="00115458" w:rsidP="00115458">
      <w:pPr>
        <w:pStyle w:val="Maintext"/>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709"/>
        <w:gridCol w:w="567"/>
        <w:gridCol w:w="709"/>
        <w:gridCol w:w="708"/>
        <w:gridCol w:w="567"/>
        <w:gridCol w:w="567"/>
        <w:gridCol w:w="567"/>
        <w:gridCol w:w="709"/>
        <w:gridCol w:w="646"/>
      </w:tblGrid>
      <w:tr w:rsidR="00B178BE" w:rsidRPr="00B41954" w14:paraId="5B38D175" w14:textId="77777777" w:rsidTr="008E3F77">
        <w:trPr>
          <w:trHeight w:val="900"/>
          <w:tblHeader/>
        </w:trPr>
        <w:tc>
          <w:tcPr>
            <w:tcW w:w="2263" w:type="dxa"/>
            <w:shd w:val="clear" w:color="000000" w:fill="B3B3B3"/>
            <w:vAlign w:val="center"/>
            <w:hideMark/>
          </w:tcPr>
          <w:p w14:paraId="735798C4" w14:textId="77777777" w:rsidR="00115458" w:rsidRPr="00F4606C" w:rsidRDefault="00115458" w:rsidP="000C1365">
            <w:pPr>
              <w:rPr>
                <w:rFonts w:cs="Arial"/>
                <w:b/>
                <w:bCs/>
                <w:color w:val="000000"/>
              </w:rPr>
            </w:pPr>
            <w:r w:rsidRPr="00F4606C">
              <w:rPr>
                <w:rFonts w:cs="Arial"/>
                <w:b/>
                <w:bCs/>
                <w:color w:val="000000"/>
              </w:rPr>
              <w:t>Field name</w:t>
            </w:r>
          </w:p>
        </w:tc>
        <w:tc>
          <w:tcPr>
            <w:tcW w:w="1276" w:type="dxa"/>
            <w:shd w:val="clear" w:color="000000" w:fill="B3B3B3"/>
            <w:vAlign w:val="center"/>
            <w:hideMark/>
          </w:tcPr>
          <w:p w14:paraId="028C9E61" w14:textId="77777777" w:rsidR="00115458" w:rsidRPr="00F4606C" w:rsidRDefault="00115458" w:rsidP="000C1365">
            <w:pPr>
              <w:jc w:val="center"/>
              <w:rPr>
                <w:rFonts w:cs="Arial"/>
                <w:b/>
                <w:bCs/>
                <w:color w:val="000000"/>
              </w:rPr>
            </w:pPr>
            <w:r w:rsidRPr="00F4606C">
              <w:rPr>
                <w:rFonts w:cs="Arial"/>
                <w:b/>
                <w:bCs/>
                <w:color w:val="000000"/>
              </w:rPr>
              <w:t>Reference number</w:t>
            </w:r>
          </w:p>
        </w:tc>
        <w:tc>
          <w:tcPr>
            <w:tcW w:w="709" w:type="dxa"/>
            <w:shd w:val="clear" w:color="000000" w:fill="B3B3B3"/>
            <w:vAlign w:val="center"/>
            <w:hideMark/>
          </w:tcPr>
          <w:p w14:paraId="67A4966C" w14:textId="77777777" w:rsidR="00115458" w:rsidRPr="00F4606C" w:rsidRDefault="00115458" w:rsidP="000C1365">
            <w:pPr>
              <w:jc w:val="center"/>
              <w:rPr>
                <w:rFonts w:cs="Arial"/>
                <w:b/>
                <w:bCs/>
                <w:color w:val="000000"/>
              </w:rPr>
            </w:pPr>
            <w:r w:rsidRPr="00F4606C">
              <w:rPr>
                <w:rFonts w:cs="Arial"/>
                <w:b/>
                <w:bCs/>
                <w:color w:val="000000"/>
              </w:rPr>
              <w:t>AMT</w:t>
            </w:r>
          </w:p>
        </w:tc>
        <w:tc>
          <w:tcPr>
            <w:tcW w:w="567" w:type="dxa"/>
            <w:shd w:val="clear" w:color="000000" w:fill="B3B3B3"/>
            <w:vAlign w:val="center"/>
            <w:hideMark/>
          </w:tcPr>
          <w:p w14:paraId="302BAD5E" w14:textId="77777777" w:rsidR="00115458" w:rsidRPr="00F4606C" w:rsidRDefault="00115458" w:rsidP="000C1365">
            <w:pPr>
              <w:jc w:val="center"/>
              <w:rPr>
                <w:rFonts w:cs="Arial"/>
                <w:b/>
                <w:bCs/>
                <w:color w:val="000000"/>
              </w:rPr>
            </w:pPr>
            <w:r w:rsidRPr="00F4606C">
              <w:rPr>
                <w:rFonts w:cs="Arial"/>
                <w:b/>
                <w:bCs/>
                <w:color w:val="000000"/>
              </w:rPr>
              <w:t>DIS</w:t>
            </w:r>
          </w:p>
        </w:tc>
        <w:tc>
          <w:tcPr>
            <w:tcW w:w="709" w:type="dxa"/>
            <w:shd w:val="clear" w:color="000000" w:fill="B3B3B3"/>
            <w:vAlign w:val="center"/>
            <w:hideMark/>
          </w:tcPr>
          <w:p w14:paraId="16A6AA7F" w14:textId="77777777" w:rsidR="00115458" w:rsidRPr="00F4606C" w:rsidRDefault="00115458" w:rsidP="000C1365">
            <w:pPr>
              <w:jc w:val="center"/>
              <w:rPr>
                <w:rFonts w:cs="Arial"/>
                <w:b/>
                <w:bCs/>
                <w:color w:val="000000"/>
              </w:rPr>
            </w:pPr>
            <w:r w:rsidRPr="00F4606C">
              <w:rPr>
                <w:rFonts w:cs="Arial"/>
                <w:b/>
                <w:bCs/>
                <w:color w:val="000000"/>
              </w:rPr>
              <w:t>DIV</w:t>
            </w:r>
          </w:p>
        </w:tc>
        <w:tc>
          <w:tcPr>
            <w:tcW w:w="708" w:type="dxa"/>
            <w:shd w:val="clear" w:color="000000" w:fill="B3B3B3"/>
            <w:vAlign w:val="center"/>
            <w:hideMark/>
          </w:tcPr>
          <w:p w14:paraId="12E77838" w14:textId="77777777" w:rsidR="00115458" w:rsidRPr="00F4606C" w:rsidRDefault="00115458" w:rsidP="000C1365">
            <w:pPr>
              <w:jc w:val="center"/>
              <w:rPr>
                <w:rFonts w:cs="Arial"/>
                <w:b/>
                <w:bCs/>
                <w:color w:val="000000"/>
              </w:rPr>
            </w:pPr>
            <w:r w:rsidRPr="00F4606C">
              <w:rPr>
                <w:rFonts w:cs="Arial"/>
                <w:b/>
                <w:bCs/>
                <w:color w:val="000000"/>
              </w:rPr>
              <w:t>FMD</w:t>
            </w:r>
          </w:p>
        </w:tc>
        <w:tc>
          <w:tcPr>
            <w:tcW w:w="567" w:type="dxa"/>
            <w:shd w:val="clear" w:color="000000" w:fill="B3B3B3"/>
            <w:vAlign w:val="center"/>
            <w:hideMark/>
          </w:tcPr>
          <w:p w14:paraId="54FBCB04" w14:textId="77777777" w:rsidR="00115458" w:rsidRPr="00F4606C" w:rsidRDefault="00115458" w:rsidP="000C1365">
            <w:pPr>
              <w:jc w:val="center"/>
              <w:rPr>
                <w:rFonts w:cs="Arial"/>
                <w:b/>
                <w:bCs/>
                <w:color w:val="000000"/>
              </w:rPr>
            </w:pPr>
            <w:r w:rsidRPr="00F4606C">
              <w:rPr>
                <w:rFonts w:cs="Arial"/>
                <w:b/>
                <w:bCs/>
                <w:color w:val="000000"/>
              </w:rPr>
              <w:t>FSI</w:t>
            </w:r>
          </w:p>
        </w:tc>
        <w:tc>
          <w:tcPr>
            <w:tcW w:w="567" w:type="dxa"/>
            <w:shd w:val="clear" w:color="000000" w:fill="B3B3B3"/>
            <w:vAlign w:val="center"/>
            <w:hideMark/>
          </w:tcPr>
          <w:p w14:paraId="5AA84E04" w14:textId="77777777" w:rsidR="00115458" w:rsidRPr="00F4606C" w:rsidRDefault="00115458" w:rsidP="000C1365">
            <w:pPr>
              <w:jc w:val="center"/>
              <w:rPr>
                <w:rFonts w:cs="Arial"/>
                <w:b/>
                <w:bCs/>
                <w:color w:val="000000"/>
              </w:rPr>
            </w:pPr>
            <w:r w:rsidRPr="00F4606C">
              <w:rPr>
                <w:rFonts w:cs="Arial"/>
                <w:b/>
                <w:bCs/>
                <w:color w:val="000000"/>
              </w:rPr>
              <w:t>INT</w:t>
            </w:r>
          </w:p>
        </w:tc>
        <w:tc>
          <w:tcPr>
            <w:tcW w:w="567" w:type="dxa"/>
            <w:shd w:val="clear" w:color="000000" w:fill="B3B3B3"/>
            <w:vAlign w:val="center"/>
            <w:hideMark/>
          </w:tcPr>
          <w:p w14:paraId="05C5C912" w14:textId="77777777" w:rsidR="00115458" w:rsidRPr="00F4606C" w:rsidRDefault="00115458" w:rsidP="000C1365">
            <w:pPr>
              <w:jc w:val="center"/>
              <w:rPr>
                <w:rFonts w:cs="Arial"/>
                <w:b/>
                <w:bCs/>
                <w:color w:val="000000"/>
              </w:rPr>
            </w:pPr>
            <w:r w:rsidRPr="00F4606C">
              <w:rPr>
                <w:rFonts w:cs="Arial"/>
                <w:b/>
                <w:bCs/>
                <w:color w:val="000000"/>
              </w:rPr>
              <w:t>IRB</w:t>
            </w:r>
          </w:p>
        </w:tc>
        <w:tc>
          <w:tcPr>
            <w:tcW w:w="709" w:type="dxa"/>
            <w:shd w:val="clear" w:color="000000" w:fill="B3B3B3"/>
            <w:vAlign w:val="center"/>
            <w:hideMark/>
          </w:tcPr>
          <w:p w14:paraId="0FBF744F" w14:textId="77777777" w:rsidR="00115458" w:rsidRPr="00F4606C" w:rsidRDefault="00115458" w:rsidP="000C1365">
            <w:pPr>
              <w:jc w:val="center"/>
              <w:rPr>
                <w:rFonts w:cs="Arial"/>
                <w:b/>
                <w:bCs/>
                <w:color w:val="000000"/>
              </w:rPr>
            </w:pPr>
            <w:r w:rsidRPr="00F4606C">
              <w:rPr>
                <w:rFonts w:cs="Arial"/>
                <w:b/>
                <w:bCs/>
                <w:color w:val="000000"/>
              </w:rPr>
              <w:t>TDP</w:t>
            </w:r>
          </w:p>
        </w:tc>
        <w:tc>
          <w:tcPr>
            <w:tcW w:w="646" w:type="dxa"/>
            <w:shd w:val="clear" w:color="000000" w:fill="B3B3B3"/>
            <w:vAlign w:val="center"/>
            <w:hideMark/>
          </w:tcPr>
          <w:p w14:paraId="3EDDBA17" w14:textId="77777777" w:rsidR="00115458" w:rsidRPr="00F4606C" w:rsidRDefault="00115458" w:rsidP="000C1365">
            <w:pPr>
              <w:jc w:val="center"/>
              <w:rPr>
                <w:rFonts w:cs="Arial"/>
                <w:b/>
                <w:bCs/>
                <w:color w:val="000000"/>
              </w:rPr>
            </w:pPr>
            <w:r w:rsidRPr="00F4606C">
              <w:rPr>
                <w:rFonts w:cs="Arial"/>
                <w:b/>
                <w:bCs/>
                <w:color w:val="000000"/>
              </w:rPr>
              <w:t>UTD</w:t>
            </w:r>
          </w:p>
        </w:tc>
      </w:tr>
      <w:tr w:rsidR="008E3F77" w:rsidRPr="00B41954" w14:paraId="32254489" w14:textId="77777777" w:rsidTr="00F4606C">
        <w:trPr>
          <w:trHeight w:val="300"/>
        </w:trPr>
        <w:tc>
          <w:tcPr>
            <w:tcW w:w="2263" w:type="dxa"/>
            <w:vAlign w:val="center"/>
          </w:tcPr>
          <w:p w14:paraId="2DC84BD3" w14:textId="77777777" w:rsidR="00115458" w:rsidRPr="00F4606C" w:rsidRDefault="00115458" w:rsidP="00F4606C">
            <w:pPr>
              <w:spacing w:after="0" w:line="240" w:lineRule="auto"/>
              <w:rPr>
                <w:rFonts w:cs="Arial"/>
                <w:color w:val="000000"/>
              </w:rPr>
            </w:pPr>
            <w:r w:rsidRPr="00F4606C">
              <w:rPr>
                <w:rFonts w:cs="Arial"/>
                <w:color w:val="000000"/>
              </w:rPr>
              <w:t>TFN withholding tax deducted</w:t>
            </w:r>
          </w:p>
        </w:tc>
        <w:tc>
          <w:tcPr>
            <w:tcW w:w="1276" w:type="dxa"/>
            <w:noWrap/>
            <w:vAlign w:val="center"/>
          </w:tcPr>
          <w:p w14:paraId="78119AB7" w14:textId="77777777" w:rsidR="00115458" w:rsidRPr="00F4606C" w:rsidRDefault="00115458" w:rsidP="000C1365">
            <w:pPr>
              <w:jc w:val="center"/>
              <w:rPr>
                <w:rFonts w:cs="Arial"/>
              </w:rPr>
            </w:pPr>
            <w:r w:rsidRPr="00F4606C">
              <w:rPr>
                <w:rFonts w:cs="Arial"/>
              </w:rPr>
              <w:t>9.74</w:t>
            </w:r>
          </w:p>
        </w:tc>
        <w:tc>
          <w:tcPr>
            <w:tcW w:w="709" w:type="dxa"/>
            <w:noWrap/>
            <w:vAlign w:val="bottom"/>
          </w:tcPr>
          <w:p w14:paraId="5669601B"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2398CEF1" w14:textId="77777777" w:rsidR="00115458" w:rsidRPr="00CF056D" w:rsidRDefault="00115458" w:rsidP="000C1365">
            <w:pPr>
              <w:jc w:val="center"/>
              <w:rPr>
                <w:rFonts w:cs="Arial"/>
                <w:color w:val="000000"/>
              </w:rPr>
            </w:pPr>
            <w:r w:rsidRPr="00CF056D">
              <w:rPr>
                <w:rFonts w:ascii="Wingdings 2" w:hAnsi="Wingdings 2" w:cs="Calibri"/>
                <w:color w:val="000000"/>
              </w:rPr>
              <w:t></w:t>
            </w:r>
          </w:p>
        </w:tc>
        <w:tc>
          <w:tcPr>
            <w:tcW w:w="709" w:type="dxa"/>
            <w:noWrap/>
            <w:vAlign w:val="bottom"/>
          </w:tcPr>
          <w:p w14:paraId="3847B2F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tcPr>
          <w:p w14:paraId="31A894A7" w14:textId="77777777" w:rsidR="00115458" w:rsidRPr="00CF056D" w:rsidRDefault="00115458" w:rsidP="000C1365">
            <w:pPr>
              <w:jc w:val="center"/>
              <w:rPr>
                <w:rFonts w:cs="Arial"/>
                <w:color w:val="000000"/>
              </w:rPr>
            </w:pPr>
            <w:r w:rsidRPr="00CF056D">
              <w:rPr>
                <w:rFonts w:ascii="Wingdings 2" w:hAnsi="Wingdings 2" w:cs="Calibri"/>
                <w:color w:val="000000"/>
              </w:rPr>
              <w:t></w:t>
            </w:r>
          </w:p>
        </w:tc>
        <w:tc>
          <w:tcPr>
            <w:tcW w:w="567" w:type="dxa"/>
            <w:noWrap/>
            <w:vAlign w:val="bottom"/>
          </w:tcPr>
          <w:p w14:paraId="2B5BA0FD" w14:textId="77777777" w:rsidR="00115458" w:rsidRPr="00CF056D" w:rsidRDefault="00115458" w:rsidP="000C1365">
            <w:pPr>
              <w:jc w:val="center"/>
              <w:rPr>
                <w:rFonts w:cs="Arial"/>
                <w:color w:val="000000"/>
              </w:rPr>
            </w:pPr>
          </w:p>
        </w:tc>
        <w:tc>
          <w:tcPr>
            <w:tcW w:w="567" w:type="dxa"/>
            <w:noWrap/>
            <w:vAlign w:val="bottom"/>
          </w:tcPr>
          <w:p w14:paraId="753BC6F9"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114D4016" w14:textId="77777777" w:rsidR="00115458" w:rsidRPr="00CF056D" w:rsidRDefault="00115458" w:rsidP="000C1365">
            <w:pPr>
              <w:jc w:val="center"/>
              <w:rPr>
                <w:rFonts w:cs="Arial"/>
                <w:color w:val="000000"/>
              </w:rPr>
            </w:pPr>
            <w:r w:rsidRPr="00CF056D">
              <w:rPr>
                <w:rFonts w:ascii="Wingdings 2" w:hAnsi="Wingdings 2" w:cs="Calibri"/>
                <w:color w:val="000000"/>
              </w:rPr>
              <w:t></w:t>
            </w:r>
          </w:p>
        </w:tc>
        <w:tc>
          <w:tcPr>
            <w:tcW w:w="709" w:type="dxa"/>
            <w:noWrap/>
            <w:vAlign w:val="bottom"/>
          </w:tcPr>
          <w:p w14:paraId="5BA048C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646" w:type="dxa"/>
            <w:noWrap/>
            <w:vAlign w:val="bottom"/>
          </w:tcPr>
          <w:p w14:paraId="2F14203B"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F768584" w14:textId="77777777" w:rsidTr="00F4606C">
        <w:trPr>
          <w:trHeight w:val="300"/>
        </w:trPr>
        <w:tc>
          <w:tcPr>
            <w:tcW w:w="2263" w:type="dxa"/>
            <w:vAlign w:val="center"/>
            <w:hideMark/>
          </w:tcPr>
          <w:p w14:paraId="5AC31216" w14:textId="77777777" w:rsidR="00115458" w:rsidRPr="00F4606C" w:rsidRDefault="00115458" w:rsidP="00F4606C">
            <w:pPr>
              <w:spacing w:after="0" w:line="240" w:lineRule="auto"/>
              <w:rPr>
                <w:rFonts w:cs="Arial"/>
                <w:color w:val="000000"/>
              </w:rPr>
            </w:pPr>
            <w:r w:rsidRPr="00F4606C">
              <w:rPr>
                <w:rFonts w:cs="Arial"/>
                <w:color w:val="000000"/>
              </w:rPr>
              <w:t>Non-resident withholding amount deducted</w:t>
            </w:r>
          </w:p>
        </w:tc>
        <w:tc>
          <w:tcPr>
            <w:tcW w:w="1276" w:type="dxa"/>
            <w:noWrap/>
            <w:vAlign w:val="center"/>
            <w:hideMark/>
          </w:tcPr>
          <w:p w14:paraId="0899B96D" w14:textId="77777777" w:rsidR="00115458" w:rsidRPr="00F4606C" w:rsidRDefault="00115458" w:rsidP="000C1365">
            <w:pPr>
              <w:jc w:val="center"/>
              <w:rPr>
                <w:rFonts w:cs="Arial"/>
                <w:color w:val="000000"/>
              </w:rPr>
            </w:pPr>
            <w:r w:rsidRPr="00F4606C">
              <w:rPr>
                <w:rFonts w:cs="Arial"/>
              </w:rPr>
              <w:t>9.76</w:t>
            </w:r>
          </w:p>
        </w:tc>
        <w:tc>
          <w:tcPr>
            <w:tcW w:w="709" w:type="dxa"/>
            <w:noWrap/>
            <w:vAlign w:val="bottom"/>
            <w:hideMark/>
          </w:tcPr>
          <w:p w14:paraId="0C6B3F80"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96FCE1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1432CB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hideMark/>
          </w:tcPr>
          <w:p w14:paraId="29173DD3"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BAB9D3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1BB57D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B24CB1D"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D90D76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646" w:type="dxa"/>
            <w:noWrap/>
            <w:vAlign w:val="bottom"/>
            <w:hideMark/>
          </w:tcPr>
          <w:p w14:paraId="58A3656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8E05E3A" w14:textId="77777777" w:rsidTr="00F4606C">
        <w:trPr>
          <w:trHeight w:val="300"/>
        </w:trPr>
        <w:tc>
          <w:tcPr>
            <w:tcW w:w="2263" w:type="dxa"/>
            <w:vAlign w:val="center"/>
          </w:tcPr>
          <w:p w14:paraId="50ECC742" w14:textId="77777777" w:rsidR="00115458" w:rsidRPr="00F4606C" w:rsidRDefault="00115458" w:rsidP="00F4606C">
            <w:pPr>
              <w:spacing w:after="0" w:line="240" w:lineRule="auto"/>
              <w:rPr>
                <w:rFonts w:cs="Arial"/>
                <w:color w:val="000000"/>
              </w:rPr>
            </w:pPr>
            <w:r w:rsidRPr="00F4606C">
              <w:rPr>
                <w:rFonts w:cs="Arial"/>
                <w:color w:val="000000"/>
              </w:rPr>
              <w:t>Non-Assessable Non-Exempt (NANE) Non-trust income</w:t>
            </w:r>
          </w:p>
        </w:tc>
        <w:tc>
          <w:tcPr>
            <w:tcW w:w="1276" w:type="dxa"/>
            <w:noWrap/>
            <w:vAlign w:val="center"/>
          </w:tcPr>
          <w:p w14:paraId="26A5128F" w14:textId="77777777" w:rsidR="00115458" w:rsidRPr="00F4606C" w:rsidRDefault="00115458" w:rsidP="000C1365">
            <w:pPr>
              <w:jc w:val="center"/>
              <w:rPr>
                <w:rFonts w:cs="Arial"/>
              </w:rPr>
            </w:pPr>
            <w:r w:rsidRPr="00F4606C">
              <w:rPr>
                <w:rFonts w:cs="Arial"/>
              </w:rPr>
              <w:t>9.77</w:t>
            </w:r>
          </w:p>
        </w:tc>
        <w:tc>
          <w:tcPr>
            <w:tcW w:w="709" w:type="dxa"/>
            <w:noWrap/>
            <w:vAlign w:val="bottom"/>
          </w:tcPr>
          <w:p w14:paraId="25C5BACA" w14:textId="77777777" w:rsidR="00115458" w:rsidRPr="00CF056D" w:rsidRDefault="00115458" w:rsidP="000C1365">
            <w:pPr>
              <w:jc w:val="center"/>
              <w:rPr>
                <w:rFonts w:ascii="Wingdings 2" w:hAnsi="Wingdings 2" w:cs="Calibri" w:hint="eastAsia"/>
                <w:color w:val="000000"/>
              </w:rPr>
            </w:pPr>
          </w:p>
        </w:tc>
        <w:tc>
          <w:tcPr>
            <w:tcW w:w="567" w:type="dxa"/>
            <w:noWrap/>
            <w:vAlign w:val="bottom"/>
          </w:tcPr>
          <w:p w14:paraId="2D9B8BC2" w14:textId="77777777" w:rsidR="00115458" w:rsidRPr="00CF056D" w:rsidRDefault="00115458" w:rsidP="000C1365">
            <w:pPr>
              <w:jc w:val="center"/>
              <w:rPr>
                <w:rFonts w:cs="Arial"/>
                <w:color w:val="000000"/>
              </w:rPr>
            </w:pPr>
          </w:p>
        </w:tc>
        <w:tc>
          <w:tcPr>
            <w:tcW w:w="709" w:type="dxa"/>
            <w:noWrap/>
            <w:vAlign w:val="bottom"/>
          </w:tcPr>
          <w:p w14:paraId="434D6A0B"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tcPr>
          <w:p w14:paraId="0BE9F64D" w14:textId="77777777" w:rsidR="00115458" w:rsidRPr="00CF056D" w:rsidRDefault="00115458" w:rsidP="000C1365">
            <w:pPr>
              <w:jc w:val="center"/>
              <w:rPr>
                <w:rFonts w:cs="Arial"/>
                <w:color w:val="000000"/>
              </w:rPr>
            </w:pPr>
          </w:p>
        </w:tc>
        <w:tc>
          <w:tcPr>
            <w:tcW w:w="567" w:type="dxa"/>
            <w:noWrap/>
            <w:vAlign w:val="bottom"/>
          </w:tcPr>
          <w:p w14:paraId="299A9455" w14:textId="77777777" w:rsidR="00115458" w:rsidRPr="00CF056D" w:rsidRDefault="00115458" w:rsidP="000C1365">
            <w:pPr>
              <w:jc w:val="center"/>
              <w:rPr>
                <w:rFonts w:cs="Arial"/>
                <w:color w:val="000000"/>
              </w:rPr>
            </w:pPr>
          </w:p>
        </w:tc>
        <w:tc>
          <w:tcPr>
            <w:tcW w:w="567" w:type="dxa"/>
            <w:noWrap/>
            <w:vAlign w:val="bottom"/>
          </w:tcPr>
          <w:p w14:paraId="2A3948B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72A8358D" w14:textId="77777777" w:rsidR="00115458" w:rsidRPr="00CF056D" w:rsidRDefault="00115458" w:rsidP="000C1365">
            <w:pPr>
              <w:jc w:val="center"/>
              <w:rPr>
                <w:rFonts w:cs="Arial"/>
                <w:color w:val="000000"/>
              </w:rPr>
            </w:pPr>
          </w:p>
        </w:tc>
        <w:tc>
          <w:tcPr>
            <w:tcW w:w="709" w:type="dxa"/>
            <w:noWrap/>
            <w:vAlign w:val="bottom"/>
          </w:tcPr>
          <w:p w14:paraId="3A1B5996" w14:textId="77777777" w:rsidR="00115458" w:rsidRPr="00CF056D" w:rsidRDefault="00115458" w:rsidP="000C1365">
            <w:pPr>
              <w:jc w:val="center"/>
              <w:rPr>
                <w:rFonts w:ascii="Wingdings 2" w:hAnsi="Wingdings 2" w:cs="Calibri" w:hint="eastAsia"/>
                <w:color w:val="000000"/>
              </w:rPr>
            </w:pPr>
          </w:p>
        </w:tc>
        <w:tc>
          <w:tcPr>
            <w:tcW w:w="646" w:type="dxa"/>
            <w:noWrap/>
            <w:vAlign w:val="bottom"/>
          </w:tcPr>
          <w:p w14:paraId="4648909B" w14:textId="77777777" w:rsidR="00115458" w:rsidRPr="00CF056D" w:rsidRDefault="00115458" w:rsidP="000C1365">
            <w:pPr>
              <w:jc w:val="center"/>
              <w:rPr>
                <w:rFonts w:ascii="Wingdings 2" w:hAnsi="Wingdings 2" w:cs="Calibri" w:hint="eastAsia"/>
                <w:color w:val="000000"/>
              </w:rPr>
            </w:pPr>
          </w:p>
        </w:tc>
      </w:tr>
      <w:tr w:rsidR="008E3F77" w:rsidRPr="00B41954" w14:paraId="1D1687F4" w14:textId="77777777" w:rsidTr="00F4606C">
        <w:trPr>
          <w:trHeight w:val="570"/>
        </w:trPr>
        <w:tc>
          <w:tcPr>
            <w:tcW w:w="2263" w:type="dxa"/>
            <w:vAlign w:val="center"/>
            <w:hideMark/>
          </w:tcPr>
          <w:p w14:paraId="028BC1B3" w14:textId="77777777" w:rsidR="00115458" w:rsidRPr="00F4606C" w:rsidRDefault="00115458" w:rsidP="00F4606C">
            <w:pPr>
              <w:spacing w:after="0" w:line="240" w:lineRule="auto"/>
              <w:rPr>
                <w:rFonts w:cs="Arial"/>
                <w:color w:val="000000"/>
              </w:rPr>
            </w:pPr>
            <w:r w:rsidRPr="00F4606C">
              <w:rPr>
                <w:rFonts w:cs="Arial"/>
                <w:color w:val="000000"/>
              </w:rPr>
              <w:t>Cash or non-cash value of an investment related betting chance prize</w:t>
            </w:r>
          </w:p>
        </w:tc>
        <w:tc>
          <w:tcPr>
            <w:tcW w:w="1276" w:type="dxa"/>
            <w:noWrap/>
            <w:vAlign w:val="center"/>
            <w:hideMark/>
          </w:tcPr>
          <w:p w14:paraId="46928F59" w14:textId="77777777" w:rsidR="00115458" w:rsidRPr="00F4606C" w:rsidRDefault="00115458" w:rsidP="000C1365">
            <w:pPr>
              <w:jc w:val="center"/>
              <w:rPr>
                <w:rFonts w:cs="Arial"/>
                <w:color w:val="000000"/>
              </w:rPr>
            </w:pPr>
            <w:r w:rsidRPr="00F4606C">
              <w:rPr>
                <w:rFonts w:cs="Arial"/>
              </w:rPr>
              <w:t>9.78</w:t>
            </w:r>
          </w:p>
        </w:tc>
        <w:tc>
          <w:tcPr>
            <w:tcW w:w="709" w:type="dxa"/>
            <w:noWrap/>
            <w:vAlign w:val="bottom"/>
            <w:hideMark/>
          </w:tcPr>
          <w:p w14:paraId="7F922053"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3EEFC93"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25C66F3"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4DE6400F"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153459BE"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14637CC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7B6C55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9" w:type="dxa"/>
            <w:noWrap/>
            <w:vAlign w:val="bottom"/>
            <w:hideMark/>
          </w:tcPr>
          <w:p w14:paraId="49BCAB43"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66030653" w14:textId="77777777" w:rsidR="00115458" w:rsidRPr="00CF056D" w:rsidRDefault="00115458" w:rsidP="000C1365">
            <w:pPr>
              <w:jc w:val="center"/>
              <w:rPr>
                <w:rFonts w:cs="Arial"/>
                <w:color w:val="000000"/>
              </w:rPr>
            </w:pPr>
            <w:r w:rsidRPr="00CF056D">
              <w:rPr>
                <w:rFonts w:cs="Arial"/>
                <w:color w:val="000000"/>
              </w:rPr>
              <w:t> </w:t>
            </w:r>
          </w:p>
        </w:tc>
      </w:tr>
      <w:tr w:rsidR="008E3F77" w:rsidRPr="00B41954" w14:paraId="36B96101" w14:textId="77777777" w:rsidTr="00F4606C">
        <w:trPr>
          <w:trHeight w:val="300"/>
        </w:trPr>
        <w:tc>
          <w:tcPr>
            <w:tcW w:w="2263" w:type="dxa"/>
            <w:vAlign w:val="center"/>
            <w:hideMark/>
          </w:tcPr>
          <w:p w14:paraId="046A6167" w14:textId="77777777" w:rsidR="00115458" w:rsidRPr="00F4606C" w:rsidRDefault="00115458" w:rsidP="00F4606C">
            <w:pPr>
              <w:spacing w:after="0" w:line="240" w:lineRule="auto"/>
              <w:rPr>
                <w:rFonts w:cs="Arial"/>
                <w:color w:val="000000"/>
              </w:rPr>
            </w:pPr>
            <w:r w:rsidRPr="00F4606C">
              <w:rPr>
                <w:rFonts w:cs="Arial"/>
                <w:color w:val="000000"/>
              </w:rPr>
              <w:t xml:space="preserve">Interest </w:t>
            </w:r>
          </w:p>
        </w:tc>
        <w:tc>
          <w:tcPr>
            <w:tcW w:w="1276" w:type="dxa"/>
            <w:noWrap/>
            <w:vAlign w:val="center"/>
            <w:hideMark/>
          </w:tcPr>
          <w:p w14:paraId="00276405" w14:textId="77777777" w:rsidR="00115458" w:rsidRPr="00F4606C" w:rsidRDefault="00115458" w:rsidP="000C1365">
            <w:pPr>
              <w:jc w:val="center"/>
              <w:rPr>
                <w:rFonts w:cs="Arial"/>
                <w:color w:val="000000"/>
              </w:rPr>
            </w:pPr>
            <w:r w:rsidRPr="00F4606C">
              <w:rPr>
                <w:rFonts w:cs="Arial"/>
              </w:rPr>
              <w:t>9.79</w:t>
            </w:r>
          </w:p>
        </w:tc>
        <w:tc>
          <w:tcPr>
            <w:tcW w:w="709" w:type="dxa"/>
            <w:noWrap/>
            <w:vAlign w:val="bottom"/>
            <w:hideMark/>
          </w:tcPr>
          <w:p w14:paraId="0234BEC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3C86A8A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9" w:type="dxa"/>
            <w:noWrap/>
            <w:vAlign w:val="bottom"/>
            <w:hideMark/>
          </w:tcPr>
          <w:p w14:paraId="15014C9A"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6DE4751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06D5962"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E0AF70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5B33C60"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8202C9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646" w:type="dxa"/>
            <w:noWrap/>
            <w:vAlign w:val="bottom"/>
            <w:hideMark/>
          </w:tcPr>
          <w:p w14:paraId="055C085C"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3FEE184" w14:textId="77777777" w:rsidTr="00F4606C">
        <w:trPr>
          <w:trHeight w:val="570"/>
        </w:trPr>
        <w:tc>
          <w:tcPr>
            <w:tcW w:w="2263" w:type="dxa"/>
            <w:vAlign w:val="center"/>
            <w:hideMark/>
          </w:tcPr>
          <w:p w14:paraId="00CB23F5" w14:textId="77777777" w:rsidR="00115458" w:rsidRPr="00F4606C" w:rsidRDefault="00115458" w:rsidP="00F4606C">
            <w:pPr>
              <w:spacing w:after="0" w:line="240" w:lineRule="auto"/>
              <w:rPr>
                <w:rFonts w:cs="Arial"/>
                <w:color w:val="000000"/>
              </w:rPr>
            </w:pPr>
            <w:r w:rsidRPr="00F4606C">
              <w:rPr>
                <w:rFonts w:cs="Arial"/>
                <w:color w:val="000000"/>
              </w:rPr>
              <w:t xml:space="preserve">Unfranked dividends not declared to be conduit foreign income </w:t>
            </w:r>
          </w:p>
        </w:tc>
        <w:tc>
          <w:tcPr>
            <w:tcW w:w="1276" w:type="dxa"/>
            <w:noWrap/>
            <w:vAlign w:val="center"/>
            <w:hideMark/>
          </w:tcPr>
          <w:p w14:paraId="0C2F1126" w14:textId="77777777" w:rsidR="00115458" w:rsidRPr="00F4606C" w:rsidRDefault="00115458" w:rsidP="000C1365">
            <w:pPr>
              <w:jc w:val="center"/>
              <w:rPr>
                <w:rFonts w:cs="Arial"/>
                <w:color w:val="000000"/>
              </w:rPr>
            </w:pPr>
            <w:r w:rsidRPr="00F4606C">
              <w:rPr>
                <w:rFonts w:cs="Arial"/>
              </w:rPr>
              <w:t>9.80</w:t>
            </w:r>
          </w:p>
        </w:tc>
        <w:tc>
          <w:tcPr>
            <w:tcW w:w="709" w:type="dxa"/>
            <w:noWrap/>
            <w:vAlign w:val="bottom"/>
            <w:hideMark/>
          </w:tcPr>
          <w:p w14:paraId="04B1998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C5C84C9"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45EEAF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hideMark/>
          </w:tcPr>
          <w:p w14:paraId="786838E3"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15B6582"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A520E9C"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9073D1A"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5C004C2"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5283591F"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E8E1A00" w14:textId="77777777" w:rsidTr="00F4606C">
        <w:trPr>
          <w:trHeight w:val="300"/>
        </w:trPr>
        <w:tc>
          <w:tcPr>
            <w:tcW w:w="2263" w:type="dxa"/>
            <w:vAlign w:val="center"/>
            <w:hideMark/>
          </w:tcPr>
          <w:p w14:paraId="341E43F8" w14:textId="77777777" w:rsidR="00115458" w:rsidRPr="00F4606C" w:rsidRDefault="00115458" w:rsidP="00F4606C">
            <w:pPr>
              <w:spacing w:after="0" w:line="240" w:lineRule="auto"/>
              <w:rPr>
                <w:rFonts w:cs="Arial"/>
                <w:color w:val="000000"/>
              </w:rPr>
            </w:pPr>
            <w:r w:rsidRPr="00F4606C">
              <w:rPr>
                <w:rFonts w:cs="Arial"/>
                <w:color w:val="000000"/>
              </w:rPr>
              <w:t xml:space="preserve">Unfranked dividends declared to be conduit foreign income </w:t>
            </w:r>
          </w:p>
        </w:tc>
        <w:tc>
          <w:tcPr>
            <w:tcW w:w="1276" w:type="dxa"/>
            <w:noWrap/>
            <w:vAlign w:val="center"/>
            <w:hideMark/>
          </w:tcPr>
          <w:p w14:paraId="082251B8" w14:textId="77777777" w:rsidR="00115458" w:rsidRPr="00F4606C" w:rsidRDefault="00115458" w:rsidP="000C1365">
            <w:pPr>
              <w:jc w:val="center"/>
              <w:rPr>
                <w:rFonts w:cs="Arial"/>
                <w:color w:val="000000"/>
              </w:rPr>
            </w:pPr>
            <w:r w:rsidRPr="00F4606C">
              <w:rPr>
                <w:rFonts w:cs="Arial"/>
              </w:rPr>
              <w:t>9.81</w:t>
            </w:r>
          </w:p>
        </w:tc>
        <w:tc>
          <w:tcPr>
            <w:tcW w:w="709" w:type="dxa"/>
            <w:noWrap/>
            <w:vAlign w:val="bottom"/>
            <w:hideMark/>
          </w:tcPr>
          <w:p w14:paraId="27A5C468"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D6C84FA"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7363153"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hideMark/>
          </w:tcPr>
          <w:p w14:paraId="250F3A6F"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44182C6"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042C696"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CC94E78"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1D433AC"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4CF44C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6CB6818" w14:textId="77777777" w:rsidTr="00F4606C">
        <w:trPr>
          <w:trHeight w:val="300"/>
        </w:trPr>
        <w:tc>
          <w:tcPr>
            <w:tcW w:w="2263" w:type="dxa"/>
            <w:vAlign w:val="center"/>
            <w:hideMark/>
          </w:tcPr>
          <w:p w14:paraId="6C884312" w14:textId="77777777" w:rsidR="00115458" w:rsidRPr="00F4606C" w:rsidRDefault="00115458" w:rsidP="00F4606C">
            <w:pPr>
              <w:spacing w:after="0" w:line="240" w:lineRule="auto"/>
              <w:rPr>
                <w:rFonts w:cs="Arial"/>
                <w:color w:val="000000"/>
              </w:rPr>
            </w:pPr>
            <w:r w:rsidRPr="00F4606C">
              <w:rPr>
                <w:rFonts w:cs="Arial"/>
                <w:color w:val="000000"/>
              </w:rPr>
              <w:t xml:space="preserve">Franked dividends </w:t>
            </w:r>
          </w:p>
        </w:tc>
        <w:tc>
          <w:tcPr>
            <w:tcW w:w="1276" w:type="dxa"/>
            <w:noWrap/>
            <w:vAlign w:val="center"/>
            <w:hideMark/>
          </w:tcPr>
          <w:p w14:paraId="4281F7E9" w14:textId="77777777" w:rsidR="00115458" w:rsidRPr="00F4606C" w:rsidRDefault="00115458" w:rsidP="000C1365">
            <w:pPr>
              <w:jc w:val="center"/>
              <w:rPr>
                <w:rFonts w:cs="Arial"/>
                <w:color w:val="000000"/>
              </w:rPr>
            </w:pPr>
            <w:r w:rsidRPr="00F4606C">
              <w:rPr>
                <w:rFonts w:cs="Arial"/>
              </w:rPr>
              <w:t>9.82</w:t>
            </w:r>
          </w:p>
        </w:tc>
        <w:tc>
          <w:tcPr>
            <w:tcW w:w="709" w:type="dxa"/>
            <w:noWrap/>
            <w:vAlign w:val="bottom"/>
            <w:hideMark/>
          </w:tcPr>
          <w:p w14:paraId="0F106E8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46DE6F3"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741B5F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hideMark/>
          </w:tcPr>
          <w:p w14:paraId="7EEDCB3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399258B"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541FA06"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F217851"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211A7D8"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A61036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16D57AF" w14:textId="77777777" w:rsidTr="00F4606C">
        <w:trPr>
          <w:trHeight w:val="300"/>
        </w:trPr>
        <w:tc>
          <w:tcPr>
            <w:tcW w:w="2263" w:type="dxa"/>
            <w:vAlign w:val="center"/>
            <w:hideMark/>
          </w:tcPr>
          <w:p w14:paraId="246541FA" w14:textId="77777777" w:rsidR="00115458" w:rsidRPr="00F4606C" w:rsidRDefault="00115458" w:rsidP="00F4606C">
            <w:pPr>
              <w:spacing w:after="0" w:line="240" w:lineRule="auto"/>
              <w:rPr>
                <w:rFonts w:cs="Arial"/>
                <w:color w:val="000000"/>
              </w:rPr>
            </w:pPr>
            <w:r w:rsidRPr="00F4606C">
              <w:rPr>
                <w:rFonts w:cs="Arial"/>
                <w:color w:val="000000"/>
              </w:rPr>
              <w:t xml:space="preserve">Franking credit </w:t>
            </w:r>
          </w:p>
        </w:tc>
        <w:tc>
          <w:tcPr>
            <w:tcW w:w="1276" w:type="dxa"/>
            <w:noWrap/>
            <w:vAlign w:val="center"/>
            <w:hideMark/>
          </w:tcPr>
          <w:p w14:paraId="5BA0E4D1" w14:textId="77777777" w:rsidR="00115458" w:rsidRPr="00F4606C" w:rsidRDefault="00115458" w:rsidP="000C1365">
            <w:pPr>
              <w:jc w:val="center"/>
              <w:rPr>
                <w:rFonts w:cs="Arial"/>
                <w:color w:val="000000"/>
              </w:rPr>
            </w:pPr>
            <w:r w:rsidRPr="00F4606C">
              <w:rPr>
                <w:rFonts w:cs="Arial"/>
              </w:rPr>
              <w:t>9.83</w:t>
            </w:r>
          </w:p>
        </w:tc>
        <w:tc>
          <w:tcPr>
            <w:tcW w:w="709" w:type="dxa"/>
            <w:noWrap/>
            <w:vAlign w:val="bottom"/>
            <w:hideMark/>
          </w:tcPr>
          <w:p w14:paraId="46770D5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60471C77"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31BEFF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hideMark/>
          </w:tcPr>
          <w:p w14:paraId="01D20F22"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29B3F80"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8DFFB87"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3C13558"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36285FDD"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45F27488"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C222D27" w14:textId="77777777" w:rsidTr="00F4606C">
        <w:trPr>
          <w:trHeight w:val="300"/>
        </w:trPr>
        <w:tc>
          <w:tcPr>
            <w:tcW w:w="2263" w:type="dxa"/>
            <w:vAlign w:val="center"/>
            <w:hideMark/>
          </w:tcPr>
          <w:p w14:paraId="5AC9729F" w14:textId="77777777" w:rsidR="00115458" w:rsidRPr="00F4606C" w:rsidRDefault="00115458" w:rsidP="00F4606C">
            <w:pPr>
              <w:spacing w:after="0" w:line="240" w:lineRule="auto"/>
              <w:rPr>
                <w:rFonts w:cs="Arial"/>
                <w:color w:val="000000"/>
              </w:rPr>
            </w:pPr>
            <w:r w:rsidRPr="00F4606C">
              <w:rPr>
                <w:rFonts w:cs="Arial"/>
                <w:color w:val="000000"/>
              </w:rPr>
              <w:t xml:space="preserve">Other taxable Australian income </w:t>
            </w:r>
          </w:p>
        </w:tc>
        <w:tc>
          <w:tcPr>
            <w:tcW w:w="1276" w:type="dxa"/>
            <w:noWrap/>
            <w:vAlign w:val="center"/>
            <w:hideMark/>
          </w:tcPr>
          <w:p w14:paraId="7D3F1161" w14:textId="77777777" w:rsidR="00115458" w:rsidRPr="00F4606C" w:rsidRDefault="00115458" w:rsidP="000C1365">
            <w:pPr>
              <w:jc w:val="center"/>
              <w:rPr>
                <w:rFonts w:cs="Arial"/>
                <w:color w:val="000000"/>
              </w:rPr>
            </w:pPr>
            <w:r w:rsidRPr="00F4606C">
              <w:rPr>
                <w:rFonts w:cs="Arial"/>
              </w:rPr>
              <w:t>9.84</w:t>
            </w:r>
          </w:p>
        </w:tc>
        <w:tc>
          <w:tcPr>
            <w:tcW w:w="709" w:type="dxa"/>
            <w:noWrap/>
            <w:vAlign w:val="bottom"/>
            <w:hideMark/>
          </w:tcPr>
          <w:p w14:paraId="778AB6D0"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F943E14"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51E4A21"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460E84B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60556B0"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5DB765B"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F58416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7D2A733"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376516A3"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73CE53D" w14:textId="77777777" w:rsidTr="00F4606C">
        <w:trPr>
          <w:trHeight w:val="300"/>
        </w:trPr>
        <w:tc>
          <w:tcPr>
            <w:tcW w:w="2263" w:type="dxa"/>
            <w:vAlign w:val="center"/>
            <w:hideMark/>
          </w:tcPr>
          <w:p w14:paraId="062B0504" w14:textId="77777777" w:rsidR="00115458" w:rsidRPr="00F4606C" w:rsidRDefault="00115458" w:rsidP="00F4606C">
            <w:pPr>
              <w:spacing w:after="0" w:line="240" w:lineRule="auto"/>
              <w:rPr>
                <w:rFonts w:cs="Arial"/>
                <w:color w:val="000000"/>
              </w:rPr>
            </w:pPr>
            <w:r w:rsidRPr="00F4606C">
              <w:rPr>
                <w:rFonts w:cs="Arial"/>
                <w:color w:val="000000"/>
              </w:rPr>
              <w:t xml:space="preserve">Non-primary production income </w:t>
            </w:r>
          </w:p>
        </w:tc>
        <w:tc>
          <w:tcPr>
            <w:tcW w:w="1276" w:type="dxa"/>
            <w:noWrap/>
            <w:vAlign w:val="center"/>
            <w:hideMark/>
          </w:tcPr>
          <w:p w14:paraId="3B6C27BF" w14:textId="77777777" w:rsidR="00115458" w:rsidRPr="00F4606C" w:rsidRDefault="00115458" w:rsidP="000C1365">
            <w:pPr>
              <w:jc w:val="center"/>
              <w:rPr>
                <w:rFonts w:cs="Arial"/>
                <w:color w:val="000000"/>
              </w:rPr>
            </w:pPr>
            <w:r w:rsidRPr="00F4606C">
              <w:rPr>
                <w:rFonts w:cs="Arial"/>
              </w:rPr>
              <w:t>9.85</w:t>
            </w:r>
          </w:p>
        </w:tc>
        <w:tc>
          <w:tcPr>
            <w:tcW w:w="709" w:type="dxa"/>
            <w:noWrap/>
            <w:vAlign w:val="bottom"/>
            <w:hideMark/>
          </w:tcPr>
          <w:p w14:paraId="3F3D943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386AF26B"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9E2CBCF"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0CB1B55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1886AF3D"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1FD687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19D64A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3E2A9F07"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0423A9FC"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42DECA9" w14:textId="77777777" w:rsidTr="00F4606C">
        <w:trPr>
          <w:trHeight w:val="300"/>
        </w:trPr>
        <w:tc>
          <w:tcPr>
            <w:tcW w:w="2263" w:type="dxa"/>
            <w:vAlign w:val="center"/>
            <w:hideMark/>
          </w:tcPr>
          <w:p w14:paraId="263333F2" w14:textId="77777777" w:rsidR="00115458" w:rsidRPr="00F4606C" w:rsidRDefault="00115458" w:rsidP="00F4606C">
            <w:pPr>
              <w:spacing w:after="0" w:line="240" w:lineRule="auto"/>
              <w:rPr>
                <w:rFonts w:cs="Arial"/>
                <w:color w:val="000000"/>
              </w:rPr>
            </w:pPr>
            <w:r w:rsidRPr="00F4606C">
              <w:rPr>
                <w:rFonts w:cs="Arial"/>
                <w:color w:val="000000"/>
              </w:rPr>
              <w:t xml:space="preserve">Deductions relating to non-primary production distributions </w:t>
            </w:r>
          </w:p>
        </w:tc>
        <w:tc>
          <w:tcPr>
            <w:tcW w:w="1276" w:type="dxa"/>
            <w:noWrap/>
            <w:vAlign w:val="center"/>
            <w:hideMark/>
          </w:tcPr>
          <w:p w14:paraId="155C9C24" w14:textId="77777777" w:rsidR="00115458" w:rsidRPr="00F4606C" w:rsidRDefault="00115458" w:rsidP="000C1365">
            <w:pPr>
              <w:jc w:val="center"/>
              <w:rPr>
                <w:rFonts w:cs="Arial"/>
                <w:color w:val="000000"/>
              </w:rPr>
            </w:pPr>
            <w:r w:rsidRPr="00F4606C">
              <w:rPr>
                <w:rFonts w:cs="Arial"/>
              </w:rPr>
              <w:t>9.86</w:t>
            </w:r>
          </w:p>
        </w:tc>
        <w:tc>
          <w:tcPr>
            <w:tcW w:w="709" w:type="dxa"/>
            <w:noWrap/>
            <w:vAlign w:val="bottom"/>
            <w:hideMark/>
          </w:tcPr>
          <w:p w14:paraId="1CDEC0A9"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891D3F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D7E340C"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6D9FB7D4"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35C297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1AE9D6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2D971F4"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AF568F2"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3C7D47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18194E6" w14:textId="77777777" w:rsidTr="00F4606C">
        <w:trPr>
          <w:trHeight w:val="300"/>
        </w:trPr>
        <w:tc>
          <w:tcPr>
            <w:tcW w:w="2263" w:type="dxa"/>
            <w:vAlign w:val="center"/>
            <w:hideMark/>
          </w:tcPr>
          <w:p w14:paraId="30DCE1AB" w14:textId="77777777" w:rsidR="00115458" w:rsidRPr="00F4606C" w:rsidRDefault="00115458" w:rsidP="00F4606C">
            <w:pPr>
              <w:spacing w:after="0" w:line="240" w:lineRule="auto"/>
              <w:rPr>
                <w:rFonts w:cs="Arial"/>
                <w:color w:val="000000"/>
              </w:rPr>
            </w:pPr>
            <w:r w:rsidRPr="00F4606C">
              <w:rPr>
                <w:rFonts w:cs="Arial"/>
                <w:color w:val="000000"/>
              </w:rPr>
              <w:t>CGT concession amount or AMIT CGT gross up amount</w:t>
            </w:r>
          </w:p>
        </w:tc>
        <w:tc>
          <w:tcPr>
            <w:tcW w:w="1276" w:type="dxa"/>
            <w:noWrap/>
            <w:vAlign w:val="center"/>
            <w:hideMark/>
          </w:tcPr>
          <w:p w14:paraId="24CA2188" w14:textId="77777777" w:rsidR="00115458" w:rsidRPr="00F4606C" w:rsidRDefault="00115458" w:rsidP="000C1365">
            <w:pPr>
              <w:jc w:val="center"/>
              <w:rPr>
                <w:rFonts w:cs="Arial"/>
                <w:color w:val="000000"/>
              </w:rPr>
            </w:pPr>
            <w:r w:rsidRPr="00F4606C">
              <w:rPr>
                <w:rFonts w:cs="Arial"/>
              </w:rPr>
              <w:t>9.87</w:t>
            </w:r>
          </w:p>
        </w:tc>
        <w:tc>
          <w:tcPr>
            <w:tcW w:w="709" w:type="dxa"/>
            <w:noWrap/>
            <w:vAlign w:val="bottom"/>
            <w:hideMark/>
          </w:tcPr>
          <w:p w14:paraId="7975320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00D054B"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E90E47D"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079A6BE0"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A292965"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825EA4C"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19A40F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5BA6DDD"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7C158AF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479B366" w14:textId="77777777" w:rsidTr="00F4606C">
        <w:trPr>
          <w:trHeight w:val="300"/>
        </w:trPr>
        <w:tc>
          <w:tcPr>
            <w:tcW w:w="2263" w:type="dxa"/>
            <w:vAlign w:val="center"/>
            <w:hideMark/>
          </w:tcPr>
          <w:p w14:paraId="433A33F7" w14:textId="77777777" w:rsidR="00115458" w:rsidRPr="00F4606C" w:rsidRDefault="00115458" w:rsidP="00F4606C">
            <w:pPr>
              <w:spacing w:after="0" w:line="240" w:lineRule="auto"/>
              <w:rPr>
                <w:rFonts w:cs="Arial"/>
                <w:color w:val="000000"/>
              </w:rPr>
            </w:pPr>
            <w:r w:rsidRPr="00F4606C">
              <w:rPr>
                <w:rFonts w:cs="Arial"/>
                <w:color w:val="000000"/>
              </w:rPr>
              <w:t xml:space="preserve">Net capital gain </w:t>
            </w:r>
          </w:p>
        </w:tc>
        <w:tc>
          <w:tcPr>
            <w:tcW w:w="1276" w:type="dxa"/>
            <w:noWrap/>
            <w:vAlign w:val="center"/>
            <w:hideMark/>
          </w:tcPr>
          <w:p w14:paraId="2AE8609A" w14:textId="77777777" w:rsidR="00115458" w:rsidRPr="00F4606C" w:rsidRDefault="00115458" w:rsidP="000C1365">
            <w:pPr>
              <w:jc w:val="center"/>
              <w:rPr>
                <w:rFonts w:cs="Arial"/>
                <w:color w:val="000000"/>
              </w:rPr>
            </w:pPr>
            <w:r w:rsidRPr="00F4606C">
              <w:rPr>
                <w:rFonts w:cs="Arial"/>
              </w:rPr>
              <w:t>9.88</w:t>
            </w:r>
          </w:p>
        </w:tc>
        <w:tc>
          <w:tcPr>
            <w:tcW w:w="709" w:type="dxa"/>
            <w:noWrap/>
            <w:vAlign w:val="bottom"/>
            <w:hideMark/>
          </w:tcPr>
          <w:p w14:paraId="2FCEAD9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6E5614E"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48D2A7B4"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54789156"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06C6E2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AC9B25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6CAAE75"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893A0F6"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7292CAC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27D047B" w14:textId="77777777" w:rsidTr="00F4606C">
        <w:trPr>
          <w:trHeight w:val="300"/>
        </w:trPr>
        <w:tc>
          <w:tcPr>
            <w:tcW w:w="2263" w:type="dxa"/>
            <w:vAlign w:val="center"/>
            <w:hideMark/>
          </w:tcPr>
          <w:p w14:paraId="4BE3FCA3" w14:textId="77777777" w:rsidR="00115458" w:rsidRPr="00F4606C" w:rsidRDefault="00115458" w:rsidP="00F4606C">
            <w:pPr>
              <w:spacing w:after="0" w:line="240" w:lineRule="auto"/>
              <w:rPr>
                <w:rFonts w:cs="Arial"/>
                <w:color w:val="000000"/>
              </w:rPr>
            </w:pPr>
            <w:r w:rsidRPr="00F4606C">
              <w:rPr>
                <w:rFonts w:cs="Arial"/>
                <w:color w:val="000000"/>
              </w:rPr>
              <w:t xml:space="preserve">Total current year capital gains </w:t>
            </w:r>
          </w:p>
        </w:tc>
        <w:tc>
          <w:tcPr>
            <w:tcW w:w="1276" w:type="dxa"/>
            <w:noWrap/>
            <w:vAlign w:val="center"/>
            <w:hideMark/>
          </w:tcPr>
          <w:p w14:paraId="045FD5FB" w14:textId="77777777" w:rsidR="00115458" w:rsidRPr="00F4606C" w:rsidRDefault="00115458" w:rsidP="000C1365">
            <w:pPr>
              <w:jc w:val="center"/>
              <w:rPr>
                <w:rFonts w:cs="Arial"/>
                <w:color w:val="000000"/>
              </w:rPr>
            </w:pPr>
            <w:r w:rsidRPr="00F4606C">
              <w:rPr>
                <w:rFonts w:cs="Arial"/>
              </w:rPr>
              <w:t>9.89</w:t>
            </w:r>
          </w:p>
        </w:tc>
        <w:tc>
          <w:tcPr>
            <w:tcW w:w="709" w:type="dxa"/>
            <w:noWrap/>
            <w:vAlign w:val="bottom"/>
            <w:hideMark/>
          </w:tcPr>
          <w:p w14:paraId="6BA0ACB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E0EBA9B"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61982C8"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7BBB0E84"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228D25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3194AB7"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C54076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3EADBC3D"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A1B4043"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54D008C" w14:textId="77777777" w:rsidTr="00F4606C">
        <w:trPr>
          <w:trHeight w:val="300"/>
        </w:trPr>
        <w:tc>
          <w:tcPr>
            <w:tcW w:w="2263" w:type="dxa"/>
            <w:vAlign w:val="center"/>
            <w:hideMark/>
          </w:tcPr>
          <w:p w14:paraId="4121E116" w14:textId="77777777" w:rsidR="00115458" w:rsidRPr="00F4606C" w:rsidRDefault="00115458" w:rsidP="00F4606C">
            <w:pPr>
              <w:spacing w:after="0" w:line="240" w:lineRule="auto"/>
              <w:rPr>
                <w:rFonts w:cs="Arial"/>
                <w:color w:val="000000"/>
              </w:rPr>
            </w:pPr>
            <w:r w:rsidRPr="00F4606C">
              <w:rPr>
                <w:rFonts w:cs="Arial"/>
                <w:color w:val="000000"/>
              </w:rPr>
              <w:t xml:space="preserve">Taxable foreign capital gains </w:t>
            </w:r>
          </w:p>
        </w:tc>
        <w:tc>
          <w:tcPr>
            <w:tcW w:w="1276" w:type="dxa"/>
            <w:noWrap/>
            <w:vAlign w:val="center"/>
            <w:hideMark/>
          </w:tcPr>
          <w:p w14:paraId="4BC4F351" w14:textId="77777777" w:rsidR="00115458" w:rsidRPr="00F4606C" w:rsidRDefault="00115458" w:rsidP="000C1365">
            <w:pPr>
              <w:jc w:val="center"/>
              <w:rPr>
                <w:rFonts w:cs="Arial"/>
                <w:color w:val="000000"/>
              </w:rPr>
            </w:pPr>
            <w:r w:rsidRPr="00F4606C">
              <w:rPr>
                <w:rFonts w:cs="Arial"/>
              </w:rPr>
              <w:t>9.90</w:t>
            </w:r>
          </w:p>
        </w:tc>
        <w:tc>
          <w:tcPr>
            <w:tcW w:w="709" w:type="dxa"/>
            <w:noWrap/>
            <w:vAlign w:val="bottom"/>
            <w:hideMark/>
          </w:tcPr>
          <w:p w14:paraId="5DB73A99"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594FE70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95FFE5E"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22AE46C6"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12DDDF9E"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4D86106"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C0F1EF6"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4B239FE7"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30BA474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5CF4932" w14:textId="77777777" w:rsidTr="00F4606C">
        <w:trPr>
          <w:trHeight w:val="300"/>
        </w:trPr>
        <w:tc>
          <w:tcPr>
            <w:tcW w:w="2263" w:type="dxa"/>
            <w:vAlign w:val="center"/>
            <w:hideMark/>
          </w:tcPr>
          <w:p w14:paraId="261AFCF0" w14:textId="77777777" w:rsidR="00115458" w:rsidRPr="00F4606C" w:rsidRDefault="00115458" w:rsidP="00F4606C">
            <w:pPr>
              <w:spacing w:after="0" w:line="240" w:lineRule="auto"/>
              <w:rPr>
                <w:rFonts w:cs="Arial"/>
                <w:color w:val="000000"/>
              </w:rPr>
            </w:pPr>
            <w:r w:rsidRPr="00F4606C">
              <w:rPr>
                <w:rFonts w:cs="Arial"/>
                <w:color w:val="000000"/>
              </w:rPr>
              <w:t xml:space="preserve">Assessable foreign source income </w:t>
            </w:r>
          </w:p>
        </w:tc>
        <w:tc>
          <w:tcPr>
            <w:tcW w:w="1276" w:type="dxa"/>
            <w:noWrap/>
            <w:vAlign w:val="center"/>
            <w:hideMark/>
          </w:tcPr>
          <w:p w14:paraId="74664340" w14:textId="77777777" w:rsidR="00115458" w:rsidRPr="00F4606C" w:rsidRDefault="00115458" w:rsidP="000C1365">
            <w:pPr>
              <w:jc w:val="center"/>
              <w:rPr>
                <w:rFonts w:cs="Arial"/>
                <w:color w:val="000000"/>
              </w:rPr>
            </w:pPr>
            <w:r w:rsidRPr="00F4606C">
              <w:rPr>
                <w:rFonts w:cs="Arial"/>
              </w:rPr>
              <w:t>9.91</w:t>
            </w:r>
          </w:p>
        </w:tc>
        <w:tc>
          <w:tcPr>
            <w:tcW w:w="709" w:type="dxa"/>
            <w:noWrap/>
            <w:vAlign w:val="bottom"/>
            <w:hideMark/>
          </w:tcPr>
          <w:p w14:paraId="122ED3B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97C782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7197EBA"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181F7F43"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B61F11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476A4789"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347203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AACE3AE"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05A77F6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5CC5F45" w14:textId="77777777" w:rsidTr="00F4606C">
        <w:trPr>
          <w:trHeight w:val="300"/>
        </w:trPr>
        <w:tc>
          <w:tcPr>
            <w:tcW w:w="2263" w:type="dxa"/>
            <w:vAlign w:val="center"/>
            <w:hideMark/>
          </w:tcPr>
          <w:p w14:paraId="7C37AE2B" w14:textId="77777777" w:rsidR="00115458" w:rsidRPr="00F4606C" w:rsidRDefault="00115458" w:rsidP="00F4606C">
            <w:pPr>
              <w:spacing w:after="0" w:line="240" w:lineRule="auto"/>
              <w:rPr>
                <w:rFonts w:cs="Arial"/>
                <w:color w:val="000000"/>
              </w:rPr>
            </w:pPr>
            <w:r w:rsidRPr="00F4606C">
              <w:rPr>
                <w:rFonts w:cs="Arial"/>
                <w:color w:val="000000"/>
              </w:rPr>
              <w:t xml:space="preserve">Other net foreign source income </w:t>
            </w:r>
          </w:p>
        </w:tc>
        <w:tc>
          <w:tcPr>
            <w:tcW w:w="1276" w:type="dxa"/>
            <w:noWrap/>
            <w:vAlign w:val="center"/>
            <w:hideMark/>
          </w:tcPr>
          <w:p w14:paraId="7F21B1DC" w14:textId="77777777" w:rsidR="00115458" w:rsidRPr="00F4606C" w:rsidRDefault="00115458" w:rsidP="000C1365">
            <w:pPr>
              <w:jc w:val="center"/>
              <w:rPr>
                <w:rFonts w:cs="Arial"/>
                <w:color w:val="000000"/>
              </w:rPr>
            </w:pPr>
            <w:r w:rsidRPr="00F4606C">
              <w:rPr>
                <w:rFonts w:cs="Arial"/>
              </w:rPr>
              <w:t>9.92</w:t>
            </w:r>
          </w:p>
        </w:tc>
        <w:tc>
          <w:tcPr>
            <w:tcW w:w="709" w:type="dxa"/>
            <w:noWrap/>
            <w:vAlign w:val="bottom"/>
            <w:hideMark/>
          </w:tcPr>
          <w:p w14:paraId="4AB14A1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E7365D7"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C169FA6"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0AF7AC8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AA1747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EFD6AB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AF2FF5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373B5E63"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7BA0E05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749F1D4" w14:textId="77777777" w:rsidTr="00F4606C">
        <w:trPr>
          <w:trHeight w:val="300"/>
        </w:trPr>
        <w:tc>
          <w:tcPr>
            <w:tcW w:w="2263" w:type="dxa"/>
            <w:vAlign w:val="center"/>
            <w:hideMark/>
          </w:tcPr>
          <w:p w14:paraId="6C6FD446" w14:textId="77777777" w:rsidR="00115458" w:rsidRPr="00F4606C" w:rsidRDefault="00115458" w:rsidP="00F4606C">
            <w:pPr>
              <w:spacing w:after="0" w:line="240" w:lineRule="auto"/>
              <w:rPr>
                <w:rFonts w:cs="Arial"/>
                <w:color w:val="000000"/>
              </w:rPr>
            </w:pPr>
            <w:r w:rsidRPr="00F4606C">
              <w:rPr>
                <w:rFonts w:cs="Arial"/>
                <w:color w:val="000000"/>
              </w:rPr>
              <w:t xml:space="preserve">Foreign income tax offset </w:t>
            </w:r>
          </w:p>
        </w:tc>
        <w:tc>
          <w:tcPr>
            <w:tcW w:w="1276" w:type="dxa"/>
            <w:noWrap/>
            <w:vAlign w:val="center"/>
            <w:hideMark/>
          </w:tcPr>
          <w:p w14:paraId="192F6516" w14:textId="77777777" w:rsidR="00115458" w:rsidRPr="00F4606C" w:rsidRDefault="00115458" w:rsidP="000C1365">
            <w:pPr>
              <w:jc w:val="center"/>
              <w:rPr>
                <w:rFonts w:cs="Arial"/>
                <w:color w:val="000000"/>
              </w:rPr>
            </w:pPr>
            <w:r w:rsidRPr="00F4606C">
              <w:rPr>
                <w:rFonts w:cs="Arial"/>
              </w:rPr>
              <w:t>9.93</w:t>
            </w:r>
          </w:p>
        </w:tc>
        <w:tc>
          <w:tcPr>
            <w:tcW w:w="709" w:type="dxa"/>
            <w:noWrap/>
            <w:vAlign w:val="bottom"/>
            <w:hideMark/>
          </w:tcPr>
          <w:p w14:paraId="4A45C6F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1EE1677"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5E0CA4A"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2BBD6ADA"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1CB8EB3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D2545EB"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19F8428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41C2BB3"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7C54DE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0284648" w14:textId="77777777" w:rsidTr="00F4606C">
        <w:trPr>
          <w:trHeight w:val="570"/>
        </w:trPr>
        <w:tc>
          <w:tcPr>
            <w:tcW w:w="2263" w:type="dxa"/>
            <w:vAlign w:val="center"/>
            <w:hideMark/>
          </w:tcPr>
          <w:p w14:paraId="4ACF2F3A" w14:textId="77777777" w:rsidR="00115458" w:rsidRPr="00F4606C" w:rsidRDefault="00115458" w:rsidP="00F4606C">
            <w:pPr>
              <w:spacing w:after="0" w:line="240" w:lineRule="auto"/>
              <w:rPr>
                <w:rFonts w:cs="Arial"/>
                <w:color w:val="000000"/>
              </w:rPr>
            </w:pPr>
            <w:r w:rsidRPr="00F4606C">
              <w:rPr>
                <w:rFonts w:cs="Arial"/>
                <w:color w:val="000000"/>
              </w:rPr>
              <w:t xml:space="preserve">Australian franking credits from a New Zealand franking company </w:t>
            </w:r>
          </w:p>
        </w:tc>
        <w:tc>
          <w:tcPr>
            <w:tcW w:w="1276" w:type="dxa"/>
            <w:noWrap/>
            <w:vAlign w:val="center"/>
            <w:hideMark/>
          </w:tcPr>
          <w:p w14:paraId="09539C6A" w14:textId="77777777" w:rsidR="00115458" w:rsidRPr="00F4606C" w:rsidRDefault="00115458" w:rsidP="000C1365">
            <w:pPr>
              <w:jc w:val="center"/>
              <w:rPr>
                <w:rFonts w:cs="Arial"/>
                <w:color w:val="000000"/>
              </w:rPr>
            </w:pPr>
            <w:r w:rsidRPr="00F4606C">
              <w:rPr>
                <w:rFonts w:cs="Arial"/>
              </w:rPr>
              <w:t>9.94</w:t>
            </w:r>
          </w:p>
        </w:tc>
        <w:tc>
          <w:tcPr>
            <w:tcW w:w="709" w:type="dxa"/>
            <w:noWrap/>
            <w:vAlign w:val="bottom"/>
            <w:hideMark/>
          </w:tcPr>
          <w:p w14:paraId="67A447E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4674801"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9421519"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6730258A"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D1D079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DB8C0EA"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3CD860E"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E9CB802"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D4BCDF0"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584932C" w14:textId="77777777" w:rsidTr="00F4606C">
        <w:trPr>
          <w:trHeight w:val="300"/>
        </w:trPr>
        <w:tc>
          <w:tcPr>
            <w:tcW w:w="2263" w:type="dxa"/>
            <w:vAlign w:val="center"/>
            <w:hideMark/>
          </w:tcPr>
          <w:p w14:paraId="341D06AF" w14:textId="77777777" w:rsidR="00115458" w:rsidRPr="00F4606C" w:rsidRDefault="00115458" w:rsidP="00F4606C">
            <w:pPr>
              <w:spacing w:after="0" w:line="240" w:lineRule="auto"/>
              <w:rPr>
                <w:rFonts w:cs="Arial"/>
                <w:color w:val="000000"/>
              </w:rPr>
            </w:pPr>
            <w:r w:rsidRPr="00F4606C">
              <w:rPr>
                <w:rFonts w:cs="Arial"/>
                <w:color w:val="000000"/>
              </w:rPr>
              <w:t xml:space="preserve">Net exempt income </w:t>
            </w:r>
          </w:p>
        </w:tc>
        <w:tc>
          <w:tcPr>
            <w:tcW w:w="1276" w:type="dxa"/>
            <w:noWrap/>
            <w:vAlign w:val="center"/>
            <w:hideMark/>
          </w:tcPr>
          <w:p w14:paraId="589628D6" w14:textId="77777777" w:rsidR="00115458" w:rsidRPr="00F4606C" w:rsidRDefault="00115458" w:rsidP="000C1365">
            <w:pPr>
              <w:jc w:val="center"/>
              <w:rPr>
                <w:rFonts w:cs="Arial"/>
                <w:color w:val="000000"/>
              </w:rPr>
            </w:pPr>
            <w:r w:rsidRPr="00F4606C">
              <w:rPr>
                <w:rFonts w:cs="Arial"/>
              </w:rPr>
              <w:t>9.95</w:t>
            </w:r>
          </w:p>
        </w:tc>
        <w:tc>
          <w:tcPr>
            <w:tcW w:w="709" w:type="dxa"/>
            <w:noWrap/>
            <w:vAlign w:val="bottom"/>
            <w:hideMark/>
          </w:tcPr>
          <w:p w14:paraId="13A97B9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67F77EF6"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CCE902A"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3B7D6B35"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5586A2D3"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292158F0"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F5DB25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488EEA66"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DC33993"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856C59C" w14:textId="77777777" w:rsidTr="00F4606C">
        <w:trPr>
          <w:trHeight w:val="300"/>
        </w:trPr>
        <w:tc>
          <w:tcPr>
            <w:tcW w:w="2263" w:type="dxa"/>
            <w:vAlign w:val="center"/>
            <w:hideMark/>
          </w:tcPr>
          <w:p w14:paraId="3A0EBF80" w14:textId="77777777" w:rsidR="00115458" w:rsidRPr="00F4606C" w:rsidRDefault="00115458" w:rsidP="00F4606C">
            <w:pPr>
              <w:spacing w:after="0" w:line="240" w:lineRule="auto"/>
              <w:rPr>
                <w:rFonts w:cs="Arial"/>
                <w:color w:val="000000"/>
              </w:rPr>
            </w:pPr>
            <w:r w:rsidRPr="00F4606C">
              <w:rPr>
                <w:rFonts w:cs="Arial"/>
                <w:color w:val="000000"/>
              </w:rPr>
              <w:t xml:space="preserve">Tax-free amounts </w:t>
            </w:r>
          </w:p>
        </w:tc>
        <w:tc>
          <w:tcPr>
            <w:tcW w:w="1276" w:type="dxa"/>
            <w:noWrap/>
            <w:vAlign w:val="center"/>
            <w:hideMark/>
          </w:tcPr>
          <w:p w14:paraId="62D55409" w14:textId="77777777" w:rsidR="00115458" w:rsidRPr="00F4606C" w:rsidRDefault="00115458" w:rsidP="000C1365">
            <w:pPr>
              <w:jc w:val="center"/>
              <w:rPr>
                <w:rFonts w:cs="Arial"/>
                <w:color w:val="000000"/>
              </w:rPr>
            </w:pPr>
            <w:r w:rsidRPr="00F4606C">
              <w:rPr>
                <w:rFonts w:cs="Arial"/>
              </w:rPr>
              <w:t>9.96</w:t>
            </w:r>
          </w:p>
        </w:tc>
        <w:tc>
          <w:tcPr>
            <w:tcW w:w="709" w:type="dxa"/>
            <w:noWrap/>
            <w:vAlign w:val="bottom"/>
            <w:hideMark/>
          </w:tcPr>
          <w:p w14:paraId="2D05C280"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51036B2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B33DD3E"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5FBB4DF7"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2FAAF0A5"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4BDEC3B5"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C06C175"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A388303"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1506FE4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D1BEDEC" w14:textId="77777777" w:rsidTr="00F4606C">
        <w:trPr>
          <w:trHeight w:val="300"/>
        </w:trPr>
        <w:tc>
          <w:tcPr>
            <w:tcW w:w="2263" w:type="dxa"/>
            <w:vAlign w:val="center"/>
            <w:hideMark/>
          </w:tcPr>
          <w:p w14:paraId="43E7D241" w14:textId="77777777" w:rsidR="00115458" w:rsidRPr="00F4606C" w:rsidRDefault="00115458" w:rsidP="00F4606C">
            <w:pPr>
              <w:spacing w:after="0" w:line="240" w:lineRule="auto"/>
              <w:rPr>
                <w:rFonts w:cs="Arial"/>
                <w:color w:val="000000"/>
              </w:rPr>
            </w:pPr>
            <w:r w:rsidRPr="00F4606C">
              <w:rPr>
                <w:rFonts w:cs="Arial"/>
                <w:color w:val="000000"/>
              </w:rPr>
              <w:t xml:space="preserve">Tax-deferred amounts </w:t>
            </w:r>
          </w:p>
        </w:tc>
        <w:tc>
          <w:tcPr>
            <w:tcW w:w="1276" w:type="dxa"/>
            <w:noWrap/>
            <w:vAlign w:val="center"/>
            <w:hideMark/>
          </w:tcPr>
          <w:p w14:paraId="2F79E6A0" w14:textId="77777777" w:rsidR="00115458" w:rsidRPr="00F4606C" w:rsidRDefault="00115458" w:rsidP="000C1365">
            <w:pPr>
              <w:jc w:val="center"/>
              <w:rPr>
                <w:rFonts w:cs="Arial"/>
                <w:color w:val="000000"/>
              </w:rPr>
            </w:pPr>
            <w:r w:rsidRPr="00F4606C">
              <w:rPr>
                <w:rFonts w:cs="Arial"/>
              </w:rPr>
              <w:t>9.97</w:t>
            </w:r>
          </w:p>
        </w:tc>
        <w:tc>
          <w:tcPr>
            <w:tcW w:w="709" w:type="dxa"/>
            <w:noWrap/>
            <w:vAlign w:val="bottom"/>
            <w:hideMark/>
          </w:tcPr>
          <w:p w14:paraId="729147E3"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4A7FBF68"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1DEE102"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7E6AD699"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63B7B9B8"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1A5CB7B7"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200A239"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D5C4E22"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792E37B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82C730A" w14:textId="77777777" w:rsidTr="00F4606C">
        <w:trPr>
          <w:trHeight w:val="300"/>
        </w:trPr>
        <w:tc>
          <w:tcPr>
            <w:tcW w:w="2263" w:type="dxa"/>
            <w:vAlign w:val="center"/>
            <w:hideMark/>
          </w:tcPr>
          <w:p w14:paraId="3383688D" w14:textId="77777777" w:rsidR="00115458" w:rsidRPr="00F4606C" w:rsidRDefault="00115458" w:rsidP="00F4606C">
            <w:pPr>
              <w:spacing w:after="0" w:line="240" w:lineRule="auto"/>
              <w:rPr>
                <w:rFonts w:cs="Arial"/>
                <w:color w:val="000000"/>
              </w:rPr>
            </w:pPr>
            <w:r w:rsidRPr="00F4606C">
              <w:rPr>
                <w:rFonts w:cs="Arial"/>
                <w:color w:val="000000"/>
              </w:rPr>
              <w:t xml:space="preserve">Other allowable trust deductions </w:t>
            </w:r>
          </w:p>
        </w:tc>
        <w:tc>
          <w:tcPr>
            <w:tcW w:w="1276" w:type="dxa"/>
            <w:noWrap/>
            <w:vAlign w:val="center"/>
            <w:hideMark/>
          </w:tcPr>
          <w:p w14:paraId="534EBFC4" w14:textId="77777777" w:rsidR="00115458" w:rsidRPr="00F4606C" w:rsidRDefault="00115458" w:rsidP="000C1365">
            <w:pPr>
              <w:jc w:val="center"/>
              <w:rPr>
                <w:rFonts w:cs="Arial"/>
                <w:color w:val="000000"/>
              </w:rPr>
            </w:pPr>
            <w:r w:rsidRPr="00F4606C">
              <w:rPr>
                <w:rFonts w:cs="Arial"/>
              </w:rPr>
              <w:t>9.98</w:t>
            </w:r>
          </w:p>
        </w:tc>
        <w:tc>
          <w:tcPr>
            <w:tcW w:w="709" w:type="dxa"/>
            <w:noWrap/>
            <w:vAlign w:val="bottom"/>
            <w:hideMark/>
          </w:tcPr>
          <w:p w14:paraId="0F1F942E"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4984513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42DC1FD"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1A77FA87"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07D2CB03"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3CC2EDE2"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1D2CCEF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B0DC295"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39EEC5F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7A5FA91" w14:textId="77777777" w:rsidTr="00F4606C">
        <w:trPr>
          <w:trHeight w:val="570"/>
        </w:trPr>
        <w:tc>
          <w:tcPr>
            <w:tcW w:w="2263" w:type="dxa"/>
            <w:vAlign w:val="center"/>
            <w:hideMark/>
          </w:tcPr>
          <w:p w14:paraId="7C45FADB" w14:textId="77777777" w:rsidR="00115458" w:rsidRPr="00F4606C" w:rsidRDefault="00115458" w:rsidP="00F4606C">
            <w:pPr>
              <w:spacing w:after="0" w:line="240" w:lineRule="auto"/>
              <w:rPr>
                <w:rFonts w:cs="Arial"/>
                <w:color w:val="000000"/>
              </w:rPr>
            </w:pPr>
            <w:r w:rsidRPr="00F4606C">
              <w:rPr>
                <w:rFonts w:cs="Arial"/>
                <w:color w:val="000000"/>
              </w:rPr>
              <w:t xml:space="preserve">Share of credit for amounts withheld from foreign resident withholding </w:t>
            </w:r>
          </w:p>
        </w:tc>
        <w:tc>
          <w:tcPr>
            <w:tcW w:w="1276" w:type="dxa"/>
            <w:noWrap/>
            <w:vAlign w:val="center"/>
            <w:hideMark/>
          </w:tcPr>
          <w:p w14:paraId="23B5948D" w14:textId="77777777" w:rsidR="00115458" w:rsidRPr="00F4606C" w:rsidRDefault="00115458" w:rsidP="000C1365">
            <w:pPr>
              <w:jc w:val="center"/>
              <w:rPr>
                <w:rFonts w:cs="Arial"/>
                <w:color w:val="000000"/>
              </w:rPr>
            </w:pPr>
            <w:r w:rsidRPr="00F4606C">
              <w:rPr>
                <w:rFonts w:cs="Arial"/>
              </w:rPr>
              <w:t>9.99</w:t>
            </w:r>
          </w:p>
        </w:tc>
        <w:tc>
          <w:tcPr>
            <w:tcW w:w="709" w:type="dxa"/>
            <w:noWrap/>
            <w:vAlign w:val="bottom"/>
            <w:hideMark/>
          </w:tcPr>
          <w:p w14:paraId="0810BBC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500202E"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0DF2D3F"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3CD7ADFE"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393AB686"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1C7916F0"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C71AA0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F94111A"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4E60EE6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591815A" w14:textId="77777777" w:rsidTr="00F4606C">
        <w:trPr>
          <w:trHeight w:val="300"/>
        </w:trPr>
        <w:tc>
          <w:tcPr>
            <w:tcW w:w="2263" w:type="dxa"/>
            <w:vAlign w:val="center"/>
            <w:hideMark/>
          </w:tcPr>
          <w:p w14:paraId="358A8C21" w14:textId="77777777" w:rsidR="00115458" w:rsidRPr="00F4606C" w:rsidRDefault="00115458" w:rsidP="00F4606C">
            <w:pPr>
              <w:spacing w:after="0" w:line="240" w:lineRule="auto"/>
              <w:rPr>
                <w:rFonts w:cs="Arial"/>
                <w:color w:val="000000"/>
              </w:rPr>
            </w:pPr>
            <w:r w:rsidRPr="00F4606C">
              <w:rPr>
                <w:rFonts w:cs="Arial"/>
                <w:color w:val="000000"/>
              </w:rPr>
              <w:t xml:space="preserve">Share of credit for tax paid by trustee </w:t>
            </w:r>
          </w:p>
        </w:tc>
        <w:tc>
          <w:tcPr>
            <w:tcW w:w="1276" w:type="dxa"/>
            <w:noWrap/>
            <w:vAlign w:val="center"/>
            <w:hideMark/>
          </w:tcPr>
          <w:p w14:paraId="1F2EA6C8" w14:textId="77777777" w:rsidR="00115458" w:rsidRPr="00F4606C" w:rsidRDefault="00115458" w:rsidP="000C1365">
            <w:pPr>
              <w:jc w:val="center"/>
              <w:rPr>
                <w:rFonts w:cs="Arial"/>
                <w:color w:val="000000"/>
              </w:rPr>
            </w:pPr>
            <w:r w:rsidRPr="00F4606C">
              <w:rPr>
                <w:rFonts w:cs="Arial"/>
              </w:rPr>
              <w:t>9.100</w:t>
            </w:r>
          </w:p>
        </w:tc>
        <w:tc>
          <w:tcPr>
            <w:tcW w:w="709" w:type="dxa"/>
            <w:noWrap/>
            <w:vAlign w:val="bottom"/>
            <w:hideMark/>
          </w:tcPr>
          <w:p w14:paraId="5BC1037F"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6B00BD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AC3BFE6"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42A5D79C"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6F4D5BA7"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05C209A9"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FF952C3"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AE8EFCA"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7543D00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3F3C44B" w14:textId="77777777" w:rsidTr="00F4606C">
        <w:trPr>
          <w:trHeight w:val="300"/>
        </w:trPr>
        <w:tc>
          <w:tcPr>
            <w:tcW w:w="2263" w:type="dxa"/>
            <w:vAlign w:val="center"/>
            <w:hideMark/>
          </w:tcPr>
          <w:p w14:paraId="7A1C32A2" w14:textId="77777777" w:rsidR="00115458" w:rsidRPr="00F4606C" w:rsidRDefault="00115458" w:rsidP="00F4606C">
            <w:pPr>
              <w:spacing w:after="0" w:line="240" w:lineRule="auto"/>
              <w:rPr>
                <w:rFonts w:cs="Arial"/>
                <w:color w:val="000000"/>
              </w:rPr>
            </w:pPr>
            <w:r w:rsidRPr="00F4606C">
              <w:rPr>
                <w:rFonts w:cs="Arial"/>
                <w:color w:val="000000"/>
              </w:rPr>
              <w:t>Non-resident beneficiary ss98(3) or non-resident member ss276-105(2)(a) or (b) assessable amounts</w:t>
            </w:r>
          </w:p>
        </w:tc>
        <w:tc>
          <w:tcPr>
            <w:tcW w:w="1276" w:type="dxa"/>
            <w:noWrap/>
            <w:vAlign w:val="center"/>
            <w:hideMark/>
          </w:tcPr>
          <w:p w14:paraId="26CF61FF" w14:textId="77777777" w:rsidR="00115458" w:rsidRPr="00F4606C" w:rsidRDefault="00115458" w:rsidP="000C1365">
            <w:pPr>
              <w:jc w:val="center"/>
              <w:rPr>
                <w:rFonts w:cs="Arial"/>
                <w:color w:val="000000"/>
              </w:rPr>
            </w:pPr>
            <w:r w:rsidRPr="00F4606C">
              <w:rPr>
                <w:rFonts w:cs="Arial"/>
              </w:rPr>
              <w:t>9.101</w:t>
            </w:r>
          </w:p>
        </w:tc>
        <w:tc>
          <w:tcPr>
            <w:tcW w:w="709" w:type="dxa"/>
            <w:noWrap/>
            <w:vAlign w:val="bottom"/>
            <w:hideMark/>
          </w:tcPr>
          <w:p w14:paraId="7CEF31E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F5A4295"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44B93C0C"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1141842F"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1978C12A"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489723AD"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9407F4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A5EF7E4"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5858DBC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2BAA87FD" w14:textId="77777777" w:rsidTr="00F4606C">
        <w:trPr>
          <w:trHeight w:val="300"/>
        </w:trPr>
        <w:tc>
          <w:tcPr>
            <w:tcW w:w="2263" w:type="dxa"/>
            <w:vAlign w:val="center"/>
            <w:hideMark/>
          </w:tcPr>
          <w:p w14:paraId="19BE6623" w14:textId="77777777" w:rsidR="00115458" w:rsidRPr="00F4606C" w:rsidRDefault="00115458" w:rsidP="00F4606C">
            <w:pPr>
              <w:spacing w:after="0" w:line="240" w:lineRule="auto"/>
              <w:rPr>
                <w:rFonts w:cs="Arial"/>
                <w:color w:val="000000"/>
              </w:rPr>
            </w:pPr>
            <w:r w:rsidRPr="00F4606C">
              <w:rPr>
                <w:rFonts w:cs="Arial"/>
                <w:color w:val="000000"/>
              </w:rPr>
              <w:t>Non-resident beneficiary ss98(4) or non-resident member ss276-105(2)(c) assessable amounts</w:t>
            </w:r>
          </w:p>
        </w:tc>
        <w:tc>
          <w:tcPr>
            <w:tcW w:w="1276" w:type="dxa"/>
            <w:noWrap/>
            <w:vAlign w:val="center"/>
            <w:hideMark/>
          </w:tcPr>
          <w:p w14:paraId="38610DFA" w14:textId="77777777" w:rsidR="00115458" w:rsidRPr="00F4606C" w:rsidRDefault="00115458" w:rsidP="000C1365">
            <w:pPr>
              <w:jc w:val="center"/>
              <w:rPr>
                <w:rFonts w:cs="Arial"/>
                <w:color w:val="000000"/>
              </w:rPr>
            </w:pPr>
            <w:r w:rsidRPr="00F4606C">
              <w:rPr>
                <w:rFonts w:cs="Arial"/>
              </w:rPr>
              <w:t>9.102</w:t>
            </w:r>
          </w:p>
        </w:tc>
        <w:tc>
          <w:tcPr>
            <w:tcW w:w="709" w:type="dxa"/>
            <w:noWrap/>
            <w:vAlign w:val="bottom"/>
            <w:hideMark/>
          </w:tcPr>
          <w:p w14:paraId="7E6211AC"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34CFC3B"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B7529F2"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28D6D97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55619F0B"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1D1F49A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545971A5"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669A8F4"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1E833C3C"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4DB099A" w14:textId="77777777" w:rsidTr="00F4606C">
        <w:trPr>
          <w:trHeight w:val="300"/>
        </w:trPr>
        <w:tc>
          <w:tcPr>
            <w:tcW w:w="2263" w:type="dxa"/>
            <w:vAlign w:val="center"/>
            <w:hideMark/>
          </w:tcPr>
          <w:p w14:paraId="482FC59C" w14:textId="77777777" w:rsidR="00115458" w:rsidRPr="00F4606C" w:rsidRDefault="00115458" w:rsidP="00F4606C">
            <w:pPr>
              <w:spacing w:after="0" w:line="240" w:lineRule="auto"/>
              <w:rPr>
                <w:rFonts w:cs="Arial"/>
                <w:color w:val="000000"/>
              </w:rPr>
            </w:pPr>
            <w:r w:rsidRPr="00F4606C">
              <w:rPr>
                <w:rFonts w:cs="Arial"/>
                <w:color w:val="000000"/>
              </w:rPr>
              <w:t>Managed investment trust fund payments</w:t>
            </w:r>
          </w:p>
        </w:tc>
        <w:tc>
          <w:tcPr>
            <w:tcW w:w="1276" w:type="dxa"/>
            <w:noWrap/>
            <w:vAlign w:val="center"/>
            <w:hideMark/>
          </w:tcPr>
          <w:p w14:paraId="6BBCBD32" w14:textId="77777777" w:rsidR="00115458" w:rsidRPr="00F4606C" w:rsidRDefault="00115458" w:rsidP="000C1365">
            <w:pPr>
              <w:jc w:val="center"/>
              <w:rPr>
                <w:rFonts w:cs="Arial"/>
                <w:color w:val="000000"/>
              </w:rPr>
            </w:pPr>
            <w:r w:rsidRPr="00F4606C">
              <w:rPr>
                <w:rFonts w:cs="Arial"/>
              </w:rPr>
              <w:t>9.105</w:t>
            </w:r>
          </w:p>
        </w:tc>
        <w:tc>
          <w:tcPr>
            <w:tcW w:w="709" w:type="dxa"/>
            <w:noWrap/>
            <w:vAlign w:val="bottom"/>
            <w:hideMark/>
          </w:tcPr>
          <w:p w14:paraId="42B32AF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6E840CA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AE7964D"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017DE437"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55A8B618"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445EA5B0"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E07369D"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5C71187"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70F868D8"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6DD4873" w14:textId="77777777" w:rsidTr="00F4606C">
        <w:trPr>
          <w:trHeight w:val="570"/>
        </w:trPr>
        <w:tc>
          <w:tcPr>
            <w:tcW w:w="2263" w:type="dxa"/>
            <w:vAlign w:val="center"/>
            <w:hideMark/>
          </w:tcPr>
          <w:p w14:paraId="620C1868" w14:textId="77777777" w:rsidR="00115458" w:rsidRPr="00F4606C" w:rsidRDefault="00115458" w:rsidP="00F4606C">
            <w:pPr>
              <w:spacing w:after="0" w:line="240" w:lineRule="auto"/>
              <w:rPr>
                <w:rFonts w:cs="Arial"/>
                <w:color w:val="000000"/>
              </w:rPr>
            </w:pPr>
            <w:r w:rsidRPr="00F4606C">
              <w:rPr>
                <w:rFonts w:cs="Arial"/>
                <w:color w:val="000000"/>
              </w:rPr>
              <w:t>Amounts withheld from managed investment trust fund payments</w:t>
            </w:r>
          </w:p>
        </w:tc>
        <w:tc>
          <w:tcPr>
            <w:tcW w:w="1276" w:type="dxa"/>
            <w:noWrap/>
            <w:vAlign w:val="center"/>
            <w:hideMark/>
          </w:tcPr>
          <w:p w14:paraId="05114838" w14:textId="77777777" w:rsidR="00115458" w:rsidRPr="00F4606C" w:rsidRDefault="00115458" w:rsidP="000C1365">
            <w:pPr>
              <w:jc w:val="center"/>
              <w:rPr>
                <w:rFonts w:cs="Arial"/>
                <w:color w:val="000000"/>
              </w:rPr>
            </w:pPr>
            <w:r w:rsidRPr="00F4606C">
              <w:rPr>
                <w:rFonts w:cs="Arial"/>
              </w:rPr>
              <w:t>9.106</w:t>
            </w:r>
          </w:p>
        </w:tc>
        <w:tc>
          <w:tcPr>
            <w:tcW w:w="709" w:type="dxa"/>
            <w:noWrap/>
            <w:vAlign w:val="bottom"/>
            <w:hideMark/>
          </w:tcPr>
          <w:p w14:paraId="030C382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6D3FA28"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D3081EA" w14:textId="77777777" w:rsidR="00115458" w:rsidRPr="00CF056D" w:rsidRDefault="00115458" w:rsidP="000C1365">
            <w:pPr>
              <w:jc w:val="center"/>
              <w:rPr>
                <w:rFonts w:cs="Arial"/>
                <w:color w:val="000000"/>
              </w:rPr>
            </w:pPr>
            <w:r w:rsidRPr="00CF056D">
              <w:rPr>
                <w:rFonts w:cs="Arial"/>
                <w:color w:val="000000"/>
              </w:rPr>
              <w:t> </w:t>
            </w:r>
          </w:p>
        </w:tc>
        <w:tc>
          <w:tcPr>
            <w:tcW w:w="708" w:type="dxa"/>
            <w:noWrap/>
            <w:vAlign w:val="bottom"/>
            <w:hideMark/>
          </w:tcPr>
          <w:p w14:paraId="18F4AD04"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7D9E33D1"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3936C92B"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5D0545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44109D1"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6E2259D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CF4565E" w14:textId="77777777" w:rsidTr="00F4606C">
        <w:trPr>
          <w:trHeight w:val="300"/>
        </w:trPr>
        <w:tc>
          <w:tcPr>
            <w:tcW w:w="2263" w:type="dxa"/>
            <w:vAlign w:val="center"/>
            <w:hideMark/>
          </w:tcPr>
          <w:p w14:paraId="62313838" w14:textId="77777777" w:rsidR="00115458" w:rsidRPr="00F4606C" w:rsidRDefault="00115458" w:rsidP="00F4606C">
            <w:pPr>
              <w:spacing w:after="0" w:line="240" w:lineRule="auto"/>
              <w:rPr>
                <w:rFonts w:cs="Arial"/>
                <w:color w:val="000000"/>
              </w:rPr>
            </w:pPr>
            <w:r w:rsidRPr="00F4606C">
              <w:rPr>
                <w:rFonts w:cs="Arial"/>
                <w:color w:val="000000"/>
              </w:rPr>
              <w:t>Exploration credits</w:t>
            </w:r>
          </w:p>
        </w:tc>
        <w:tc>
          <w:tcPr>
            <w:tcW w:w="1276" w:type="dxa"/>
            <w:noWrap/>
            <w:vAlign w:val="center"/>
            <w:hideMark/>
          </w:tcPr>
          <w:p w14:paraId="1546B162" w14:textId="77777777" w:rsidR="00115458" w:rsidRPr="00F4606C" w:rsidRDefault="00115458" w:rsidP="000C1365">
            <w:pPr>
              <w:jc w:val="center"/>
              <w:rPr>
                <w:rFonts w:cs="Arial"/>
                <w:color w:val="000000"/>
              </w:rPr>
            </w:pPr>
            <w:r w:rsidRPr="00F4606C">
              <w:rPr>
                <w:rFonts w:cs="Arial"/>
              </w:rPr>
              <w:t>9.107</w:t>
            </w:r>
          </w:p>
        </w:tc>
        <w:tc>
          <w:tcPr>
            <w:tcW w:w="709" w:type="dxa"/>
            <w:noWrap/>
            <w:vAlign w:val="bottom"/>
            <w:hideMark/>
          </w:tcPr>
          <w:p w14:paraId="540FCBC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D0A5115"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FD59C20"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hideMark/>
          </w:tcPr>
          <w:p w14:paraId="10D3371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11F5416E"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08DBC4CC"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219838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7D88FF6"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A17C52F"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8AA4A8A" w14:textId="77777777" w:rsidTr="00F4606C">
        <w:trPr>
          <w:trHeight w:val="300"/>
        </w:trPr>
        <w:tc>
          <w:tcPr>
            <w:tcW w:w="2263" w:type="dxa"/>
            <w:vAlign w:val="center"/>
            <w:hideMark/>
          </w:tcPr>
          <w:p w14:paraId="74A23A1F" w14:textId="77777777" w:rsidR="00115458" w:rsidRPr="00F4606C" w:rsidRDefault="00115458" w:rsidP="00F4606C">
            <w:pPr>
              <w:spacing w:after="0" w:line="240" w:lineRule="auto"/>
              <w:rPr>
                <w:rFonts w:cs="Arial"/>
                <w:color w:val="000000"/>
              </w:rPr>
            </w:pPr>
            <w:r w:rsidRPr="00F4606C">
              <w:rPr>
                <w:rFonts w:cs="Arial"/>
                <w:color w:val="000000"/>
              </w:rPr>
              <w:t>Listed investment company capital gain amount</w:t>
            </w:r>
          </w:p>
        </w:tc>
        <w:tc>
          <w:tcPr>
            <w:tcW w:w="1276" w:type="dxa"/>
            <w:noWrap/>
            <w:vAlign w:val="center"/>
            <w:hideMark/>
          </w:tcPr>
          <w:p w14:paraId="0E9CBFB6" w14:textId="77777777" w:rsidR="00115458" w:rsidRPr="00F4606C" w:rsidRDefault="00115458" w:rsidP="000C1365">
            <w:pPr>
              <w:jc w:val="center"/>
              <w:rPr>
                <w:rFonts w:cs="Arial"/>
                <w:color w:val="000000"/>
              </w:rPr>
            </w:pPr>
            <w:r w:rsidRPr="00F4606C">
              <w:rPr>
                <w:rFonts w:cs="Arial"/>
              </w:rPr>
              <w:t>9.108</w:t>
            </w:r>
          </w:p>
        </w:tc>
        <w:tc>
          <w:tcPr>
            <w:tcW w:w="709" w:type="dxa"/>
            <w:noWrap/>
            <w:vAlign w:val="bottom"/>
            <w:hideMark/>
          </w:tcPr>
          <w:p w14:paraId="2E7353C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960D427"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32B7A91F"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708" w:type="dxa"/>
            <w:noWrap/>
            <w:vAlign w:val="bottom"/>
            <w:hideMark/>
          </w:tcPr>
          <w:p w14:paraId="4ADFD2A4"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07A0C941"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3E5576C4"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FBA00D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4DBFF8F3"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58BE540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226BB745" w14:textId="77777777" w:rsidTr="00F4606C">
        <w:trPr>
          <w:trHeight w:val="300"/>
        </w:trPr>
        <w:tc>
          <w:tcPr>
            <w:tcW w:w="2263" w:type="dxa"/>
            <w:noWrap/>
            <w:vAlign w:val="center"/>
            <w:hideMark/>
          </w:tcPr>
          <w:p w14:paraId="57FA5A3C" w14:textId="77777777" w:rsidR="00115458" w:rsidRPr="00F4606C" w:rsidRDefault="00115458" w:rsidP="00F4606C">
            <w:pPr>
              <w:spacing w:after="0" w:line="240" w:lineRule="auto"/>
              <w:rPr>
                <w:rFonts w:cs="Arial"/>
                <w:color w:val="000000"/>
              </w:rPr>
            </w:pPr>
            <w:r w:rsidRPr="00F4606C">
              <w:rPr>
                <w:rFonts w:cs="Arial"/>
                <w:color w:val="000000"/>
              </w:rPr>
              <w:t xml:space="preserve">Share of National rental affordability scheme tax offset </w:t>
            </w:r>
          </w:p>
        </w:tc>
        <w:tc>
          <w:tcPr>
            <w:tcW w:w="1276" w:type="dxa"/>
            <w:noWrap/>
            <w:vAlign w:val="center"/>
            <w:hideMark/>
          </w:tcPr>
          <w:p w14:paraId="3A64A24A" w14:textId="77777777" w:rsidR="00115458" w:rsidRPr="00F4606C" w:rsidRDefault="00115458" w:rsidP="000C1365">
            <w:pPr>
              <w:jc w:val="center"/>
              <w:rPr>
                <w:rFonts w:cs="Arial"/>
                <w:color w:val="000000"/>
              </w:rPr>
            </w:pPr>
            <w:r w:rsidRPr="00F4606C">
              <w:rPr>
                <w:rFonts w:cs="Arial"/>
              </w:rPr>
              <w:t>9.112</w:t>
            </w:r>
          </w:p>
        </w:tc>
        <w:tc>
          <w:tcPr>
            <w:tcW w:w="709" w:type="dxa"/>
            <w:noWrap/>
            <w:vAlign w:val="bottom"/>
            <w:hideMark/>
          </w:tcPr>
          <w:p w14:paraId="41B2B95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07D0AE3"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5817567E"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125E0A2D"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3CB91C97"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248AA832"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66349B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A111E72"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5DC9D13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3FEF5A4" w14:textId="77777777" w:rsidTr="00F4606C">
        <w:trPr>
          <w:trHeight w:val="300"/>
        </w:trPr>
        <w:tc>
          <w:tcPr>
            <w:tcW w:w="2263" w:type="dxa"/>
            <w:noWrap/>
            <w:vAlign w:val="center"/>
            <w:hideMark/>
          </w:tcPr>
          <w:p w14:paraId="1962A3D1" w14:textId="77777777" w:rsidR="00115458" w:rsidRPr="00F4606C" w:rsidRDefault="00115458" w:rsidP="00F4606C">
            <w:pPr>
              <w:spacing w:after="0" w:line="240" w:lineRule="auto"/>
              <w:rPr>
                <w:rFonts w:cs="Arial"/>
                <w:color w:val="000000"/>
              </w:rPr>
            </w:pPr>
            <w:r w:rsidRPr="00F4606C">
              <w:rPr>
                <w:rFonts w:cs="Arial"/>
                <w:color w:val="000000"/>
              </w:rPr>
              <w:t xml:space="preserve">Primary production income </w:t>
            </w:r>
          </w:p>
        </w:tc>
        <w:tc>
          <w:tcPr>
            <w:tcW w:w="1276" w:type="dxa"/>
            <w:noWrap/>
            <w:vAlign w:val="center"/>
            <w:hideMark/>
          </w:tcPr>
          <w:p w14:paraId="783342EB" w14:textId="77777777" w:rsidR="00115458" w:rsidRPr="00F4606C" w:rsidRDefault="00115458" w:rsidP="000C1365">
            <w:pPr>
              <w:jc w:val="center"/>
              <w:rPr>
                <w:rFonts w:cs="Arial"/>
                <w:color w:val="000000"/>
              </w:rPr>
            </w:pPr>
            <w:r w:rsidRPr="00F4606C">
              <w:rPr>
                <w:rFonts w:cs="Arial"/>
              </w:rPr>
              <w:t>9.113</w:t>
            </w:r>
          </w:p>
        </w:tc>
        <w:tc>
          <w:tcPr>
            <w:tcW w:w="709" w:type="dxa"/>
            <w:noWrap/>
            <w:vAlign w:val="bottom"/>
            <w:hideMark/>
          </w:tcPr>
          <w:p w14:paraId="619B21D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76E014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7235031F"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76C5AAC7"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18359180"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5A1BA30E"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14B3BD5"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E433BDC"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45C4CE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4512AE5" w14:textId="77777777" w:rsidTr="00F4606C">
        <w:trPr>
          <w:trHeight w:val="300"/>
        </w:trPr>
        <w:tc>
          <w:tcPr>
            <w:tcW w:w="2263" w:type="dxa"/>
            <w:noWrap/>
            <w:vAlign w:val="center"/>
            <w:hideMark/>
          </w:tcPr>
          <w:p w14:paraId="67223F23" w14:textId="77777777" w:rsidR="00115458" w:rsidRPr="00F4606C" w:rsidRDefault="00115458" w:rsidP="00F4606C">
            <w:pPr>
              <w:spacing w:after="0" w:line="240" w:lineRule="auto"/>
              <w:rPr>
                <w:rFonts w:cs="Arial"/>
                <w:color w:val="000000"/>
              </w:rPr>
            </w:pPr>
            <w:r w:rsidRPr="00F4606C">
              <w:rPr>
                <w:rFonts w:cs="Arial"/>
                <w:color w:val="000000"/>
              </w:rPr>
              <w:t xml:space="preserve">Share of credit for tax withheld where ABN not quoted </w:t>
            </w:r>
          </w:p>
        </w:tc>
        <w:tc>
          <w:tcPr>
            <w:tcW w:w="1276" w:type="dxa"/>
            <w:noWrap/>
            <w:vAlign w:val="center"/>
            <w:hideMark/>
          </w:tcPr>
          <w:p w14:paraId="27DD0226" w14:textId="77777777" w:rsidR="00115458" w:rsidRPr="00F4606C" w:rsidRDefault="00115458" w:rsidP="000C1365">
            <w:pPr>
              <w:jc w:val="center"/>
              <w:rPr>
                <w:rFonts w:cs="Arial"/>
                <w:color w:val="000000"/>
              </w:rPr>
            </w:pPr>
            <w:r w:rsidRPr="00F4606C">
              <w:rPr>
                <w:rFonts w:cs="Arial"/>
              </w:rPr>
              <w:t>9.114</w:t>
            </w:r>
          </w:p>
        </w:tc>
        <w:tc>
          <w:tcPr>
            <w:tcW w:w="709" w:type="dxa"/>
            <w:noWrap/>
            <w:vAlign w:val="bottom"/>
            <w:hideMark/>
          </w:tcPr>
          <w:p w14:paraId="64A83CE0"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5344BB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624AA737"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64FDD819"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79581F3B"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44B306B4"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315135D"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7A94A6CE"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33D02CB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FC64230" w14:textId="77777777" w:rsidTr="00F4606C">
        <w:trPr>
          <w:trHeight w:val="300"/>
        </w:trPr>
        <w:tc>
          <w:tcPr>
            <w:tcW w:w="2263" w:type="dxa"/>
            <w:noWrap/>
            <w:vAlign w:val="center"/>
            <w:hideMark/>
          </w:tcPr>
          <w:p w14:paraId="48E78408" w14:textId="77777777" w:rsidR="00115458" w:rsidRPr="00F4606C" w:rsidRDefault="00115458" w:rsidP="00F4606C">
            <w:pPr>
              <w:spacing w:after="0" w:line="240" w:lineRule="auto"/>
              <w:rPr>
                <w:rFonts w:cs="Arial"/>
                <w:color w:val="000000"/>
              </w:rPr>
            </w:pPr>
            <w:r w:rsidRPr="00F4606C">
              <w:rPr>
                <w:rFonts w:cs="Arial"/>
                <w:color w:val="000000"/>
              </w:rPr>
              <w:t xml:space="preserve">Deductions relating to distribution of primary production income </w:t>
            </w:r>
          </w:p>
        </w:tc>
        <w:tc>
          <w:tcPr>
            <w:tcW w:w="1276" w:type="dxa"/>
            <w:noWrap/>
            <w:vAlign w:val="center"/>
            <w:hideMark/>
          </w:tcPr>
          <w:p w14:paraId="74C115DF" w14:textId="77777777" w:rsidR="00115458" w:rsidRPr="00F4606C" w:rsidRDefault="00115458" w:rsidP="000C1365">
            <w:pPr>
              <w:jc w:val="center"/>
              <w:rPr>
                <w:rFonts w:cs="Arial"/>
                <w:color w:val="000000"/>
              </w:rPr>
            </w:pPr>
            <w:r w:rsidRPr="00F4606C">
              <w:rPr>
                <w:rFonts w:cs="Arial"/>
              </w:rPr>
              <w:t>9.115</w:t>
            </w:r>
          </w:p>
        </w:tc>
        <w:tc>
          <w:tcPr>
            <w:tcW w:w="709" w:type="dxa"/>
            <w:noWrap/>
            <w:vAlign w:val="bottom"/>
            <w:hideMark/>
          </w:tcPr>
          <w:p w14:paraId="2E710C9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41FCCB0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1A04D083"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45C001B0"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720D9D71"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0F5DF675"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2C4AA77"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DCC6767"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55A7C1E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B1E6635" w14:textId="77777777" w:rsidTr="00F4606C">
        <w:trPr>
          <w:trHeight w:val="300"/>
        </w:trPr>
        <w:tc>
          <w:tcPr>
            <w:tcW w:w="2263" w:type="dxa"/>
            <w:noWrap/>
            <w:vAlign w:val="center"/>
            <w:hideMark/>
          </w:tcPr>
          <w:p w14:paraId="13E5F6AB" w14:textId="77777777" w:rsidR="00115458" w:rsidRPr="00F4606C" w:rsidRDefault="00115458" w:rsidP="00F4606C">
            <w:pPr>
              <w:spacing w:after="0" w:line="240" w:lineRule="auto"/>
              <w:rPr>
                <w:rFonts w:cs="Arial"/>
                <w:color w:val="000000"/>
              </w:rPr>
            </w:pPr>
            <w:r w:rsidRPr="00F4606C">
              <w:rPr>
                <w:rFonts w:cs="Arial"/>
                <w:color w:val="000000"/>
              </w:rPr>
              <w:t xml:space="preserve">Transferor trust income </w:t>
            </w:r>
          </w:p>
        </w:tc>
        <w:tc>
          <w:tcPr>
            <w:tcW w:w="1276" w:type="dxa"/>
            <w:noWrap/>
            <w:vAlign w:val="center"/>
            <w:hideMark/>
          </w:tcPr>
          <w:p w14:paraId="7834BFAE" w14:textId="77777777" w:rsidR="00115458" w:rsidRPr="00F4606C" w:rsidRDefault="00115458" w:rsidP="000C1365">
            <w:pPr>
              <w:jc w:val="center"/>
              <w:rPr>
                <w:rFonts w:cs="Arial"/>
                <w:color w:val="000000"/>
              </w:rPr>
            </w:pPr>
            <w:r w:rsidRPr="00F4606C">
              <w:rPr>
                <w:rFonts w:cs="Arial"/>
              </w:rPr>
              <w:t>9.116</w:t>
            </w:r>
          </w:p>
        </w:tc>
        <w:tc>
          <w:tcPr>
            <w:tcW w:w="709" w:type="dxa"/>
            <w:noWrap/>
            <w:vAlign w:val="bottom"/>
            <w:hideMark/>
          </w:tcPr>
          <w:p w14:paraId="1AAA73F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82EB69A"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531FE173"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0918D8C4"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19407E78"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5A407BF6"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6E0794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C9ACFF3"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7A2867A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5C8864E" w14:textId="77777777" w:rsidTr="00F4606C">
        <w:trPr>
          <w:trHeight w:val="300"/>
        </w:trPr>
        <w:tc>
          <w:tcPr>
            <w:tcW w:w="2263" w:type="dxa"/>
            <w:noWrap/>
            <w:vAlign w:val="center"/>
            <w:hideMark/>
          </w:tcPr>
          <w:p w14:paraId="584403F3" w14:textId="77777777" w:rsidR="00115458" w:rsidRPr="00F4606C" w:rsidRDefault="00115458" w:rsidP="00F4606C">
            <w:pPr>
              <w:spacing w:after="0" w:line="240" w:lineRule="auto"/>
              <w:rPr>
                <w:rFonts w:cs="Arial"/>
                <w:color w:val="000000"/>
              </w:rPr>
            </w:pPr>
            <w:r w:rsidRPr="00F4606C">
              <w:rPr>
                <w:rFonts w:cs="Arial"/>
                <w:color w:val="000000"/>
              </w:rPr>
              <w:t xml:space="preserve">CFC income </w:t>
            </w:r>
          </w:p>
        </w:tc>
        <w:tc>
          <w:tcPr>
            <w:tcW w:w="1276" w:type="dxa"/>
            <w:noWrap/>
            <w:vAlign w:val="center"/>
            <w:hideMark/>
          </w:tcPr>
          <w:p w14:paraId="4458757E" w14:textId="77777777" w:rsidR="00115458" w:rsidRPr="00F4606C" w:rsidRDefault="00115458" w:rsidP="000C1365">
            <w:pPr>
              <w:jc w:val="center"/>
              <w:rPr>
                <w:rFonts w:cs="Arial"/>
                <w:color w:val="000000"/>
              </w:rPr>
            </w:pPr>
            <w:r w:rsidRPr="00F4606C">
              <w:rPr>
                <w:rFonts w:cs="Arial"/>
              </w:rPr>
              <w:t>9.117</w:t>
            </w:r>
          </w:p>
        </w:tc>
        <w:tc>
          <w:tcPr>
            <w:tcW w:w="709" w:type="dxa"/>
            <w:noWrap/>
            <w:vAlign w:val="bottom"/>
            <w:hideMark/>
          </w:tcPr>
          <w:p w14:paraId="10A0320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6CACD6F1"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3DBEBA8F"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5907E613"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1F1256D9"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1D9A848C"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BDBADC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45A75B21"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405FC9AB"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A503733" w14:textId="77777777" w:rsidTr="00F4606C">
        <w:trPr>
          <w:trHeight w:val="300"/>
        </w:trPr>
        <w:tc>
          <w:tcPr>
            <w:tcW w:w="2263" w:type="dxa"/>
            <w:noWrap/>
            <w:vAlign w:val="center"/>
            <w:hideMark/>
          </w:tcPr>
          <w:p w14:paraId="68D5285D" w14:textId="77777777" w:rsidR="00115458" w:rsidRPr="00F4606C" w:rsidRDefault="00115458" w:rsidP="00F4606C">
            <w:pPr>
              <w:spacing w:after="0" w:line="240" w:lineRule="auto"/>
              <w:rPr>
                <w:rFonts w:cs="Arial"/>
                <w:color w:val="000000"/>
              </w:rPr>
            </w:pPr>
            <w:r w:rsidRPr="00F4606C">
              <w:rPr>
                <w:rFonts w:cs="Arial"/>
                <w:color w:val="000000"/>
              </w:rPr>
              <w:t xml:space="preserve">Net foreign rent </w:t>
            </w:r>
          </w:p>
        </w:tc>
        <w:tc>
          <w:tcPr>
            <w:tcW w:w="1276" w:type="dxa"/>
            <w:noWrap/>
            <w:vAlign w:val="center"/>
            <w:hideMark/>
          </w:tcPr>
          <w:p w14:paraId="547A634E" w14:textId="77777777" w:rsidR="00115458" w:rsidRPr="00F4606C" w:rsidRDefault="00115458" w:rsidP="000C1365">
            <w:pPr>
              <w:jc w:val="center"/>
              <w:rPr>
                <w:rFonts w:cs="Arial"/>
                <w:color w:val="000000"/>
              </w:rPr>
            </w:pPr>
            <w:r w:rsidRPr="00F4606C">
              <w:rPr>
                <w:rFonts w:cs="Arial"/>
              </w:rPr>
              <w:t>9.118</w:t>
            </w:r>
          </w:p>
        </w:tc>
        <w:tc>
          <w:tcPr>
            <w:tcW w:w="709" w:type="dxa"/>
            <w:noWrap/>
            <w:vAlign w:val="bottom"/>
            <w:hideMark/>
          </w:tcPr>
          <w:p w14:paraId="76409A4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76B61B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5D8FC3A7"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6F51BD46"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2DD71DF1"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30A4759A"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04060A0"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30C79F23"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7530C05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AB48FD7" w14:textId="77777777" w:rsidTr="00F4606C">
        <w:trPr>
          <w:trHeight w:val="300"/>
        </w:trPr>
        <w:tc>
          <w:tcPr>
            <w:tcW w:w="2263" w:type="dxa"/>
            <w:noWrap/>
            <w:vAlign w:val="center"/>
            <w:hideMark/>
          </w:tcPr>
          <w:p w14:paraId="22629F22" w14:textId="77777777" w:rsidR="00115458" w:rsidRPr="00F4606C" w:rsidRDefault="00115458" w:rsidP="00F4606C">
            <w:pPr>
              <w:spacing w:after="0" w:line="240" w:lineRule="auto"/>
              <w:rPr>
                <w:rFonts w:cs="Arial"/>
                <w:color w:val="000000"/>
              </w:rPr>
            </w:pPr>
            <w:r w:rsidRPr="00F4606C">
              <w:rPr>
                <w:rFonts w:cs="Arial"/>
                <w:color w:val="000000"/>
              </w:rPr>
              <w:t xml:space="preserve">Unfranked distributions from trusts </w:t>
            </w:r>
          </w:p>
        </w:tc>
        <w:tc>
          <w:tcPr>
            <w:tcW w:w="1276" w:type="dxa"/>
            <w:noWrap/>
            <w:vAlign w:val="center"/>
            <w:hideMark/>
          </w:tcPr>
          <w:p w14:paraId="3C7F9BA4" w14:textId="77777777" w:rsidR="00115458" w:rsidRPr="00F4606C" w:rsidRDefault="00115458" w:rsidP="000C1365">
            <w:pPr>
              <w:jc w:val="center"/>
              <w:rPr>
                <w:rFonts w:cs="Arial"/>
                <w:color w:val="000000"/>
              </w:rPr>
            </w:pPr>
            <w:r w:rsidRPr="00F4606C">
              <w:rPr>
                <w:rFonts w:cs="Arial"/>
              </w:rPr>
              <w:t>9.119</w:t>
            </w:r>
          </w:p>
        </w:tc>
        <w:tc>
          <w:tcPr>
            <w:tcW w:w="709" w:type="dxa"/>
            <w:noWrap/>
            <w:vAlign w:val="bottom"/>
            <w:hideMark/>
          </w:tcPr>
          <w:p w14:paraId="0682B69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5FA2F0A1"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08F6386B"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68DF11DF"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50BD9045"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1354955D"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2EF2D2A6"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3487F72F"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5F22877C"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6660F7C" w14:textId="77777777" w:rsidTr="00F4606C">
        <w:trPr>
          <w:trHeight w:val="300"/>
        </w:trPr>
        <w:tc>
          <w:tcPr>
            <w:tcW w:w="2263" w:type="dxa"/>
            <w:noWrap/>
            <w:vAlign w:val="center"/>
            <w:hideMark/>
          </w:tcPr>
          <w:p w14:paraId="0BFF053F" w14:textId="77777777" w:rsidR="00115458" w:rsidRPr="00F4606C" w:rsidRDefault="00115458" w:rsidP="00F4606C">
            <w:pPr>
              <w:spacing w:after="0" w:line="240" w:lineRule="auto"/>
              <w:rPr>
                <w:rFonts w:cs="Arial"/>
                <w:color w:val="000000"/>
              </w:rPr>
            </w:pPr>
            <w:r w:rsidRPr="00F4606C">
              <w:rPr>
                <w:rFonts w:cs="Arial"/>
                <w:color w:val="000000"/>
              </w:rPr>
              <w:t xml:space="preserve">Franked distributions from trusts </w:t>
            </w:r>
          </w:p>
        </w:tc>
        <w:tc>
          <w:tcPr>
            <w:tcW w:w="1276" w:type="dxa"/>
            <w:noWrap/>
            <w:vAlign w:val="center"/>
            <w:hideMark/>
          </w:tcPr>
          <w:p w14:paraId="51790911" w14:textId="77777777" w:rsidR="00115458" w:rsidRPr="00F4606C" w:rsidRDefault="00115458" w:rsidP="000C1365">
            <w:pPr>
              <w:jc w:val="center"/>
              <w:rPr>
                <w:rFonts w:cs="Arial"/>
                <w:color w:val="000000"/>
              </w:rPr>
            </w:pPr>
            <w:r w:rsidRPr="00F4606C">
              <w:rPr>
                <w:rFonts w:cs="Arial"/>
              </w:rPr>
              <w:t>9.120</w:t>
            </w:r>
          </w:p>
        </w:tc>
        <w:tc>
          <w:tcPr>
            <w:tcW w:w="709" w:type="dxa"/>
            <w:noWrap/>
            <w:vAlign w:val="bottom"/>
            <w:hideMark/>
          </w:tcPr>
          <w:p w14:paraId="2B5DC07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46ACA523"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684813BE" w14:textId="77777777" w:rsidR="00115458" w:rsidRPr="00CF056D" w:rsidRDefault="00115458" w:rsidP="000C1365">
            <w:pPr>
              <w:jc w:val="center"/>
              <w:rPr>
                <w:rFonts w:ascii="Wingdings 2" w:hAnsi="Wingdings 2" w:cs="Calibri" w:hint="eastAsia"/>
                <w:color w:val="000000"/>
              </w:rPr>
            </w:pPr>
          </w:p>
        </w:tc>
        <w:tc>
          <w:tcPr>
            <w:tcW w:w="708" w:type="dxa"/>
            <w:noWrap/>
            <w:vAlign w:val="bottom"/>
            <w:hideMark/>
          </w:tcPr>
          <w:p w14:paraId="302A4CAC"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tcPr>
          <w:p w14:paraId="61CC247F"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6FA0F6F2"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D2EA7D0"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1E8A0D1"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646E4BF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ED5B359" w14:textId="77777777" w:rsidTr="00F4606C">
        <w:trPr>
          <w:trHeight w:val="300"/>
        </w:trPr>
        <w:tc>
          <w:tcPr>
            <w:tcW w:w="2263" w:type="dxa"/>
            <w:noWrap/>
            <w:vAlign w:val="center"/>
            <w:hideMark/>
          </w:tcPr>
          <w:p w14:paraId="446CFB70" w14:textId="77777777" w:rsidR="00115458" w:rsidRPr="00F4606C" w:rsidRDefault="00115458" w:rsidP="00F4606C">
            <w:pPr>
              <w:spacing w:after="0" w:line="240" w:lineRule="auto"/>
              <w:rPr>
                <w:rFonts w:cs="Arial"/>
                <w:color w:val="000000"/>
              </w:rPr>
            </w:pPr>
            <w:r w:rsidRPr="00F4606C">
              <w:rPr>
                <w:rFonts w:cs="Arial"/>
                <w:color w:val="000000"/>
              </w:rPr>
              <w:t>Gross cash distribution</w:t>
            </w:r>
          </w:p>
        </w:tc>
        <w:tc>
          <w:tcPr>
            <w:tcW w:w="1276" w:type="dxa"/>
            <w:noWrap/>
            <w:vAlign w:val="center"/>
            <w:hideMark/>
          </w:tcPr>
          <w:p w14:paraId="23F6C70A" w14:textId="77777777" w:rsidR="00115458" w:rsidRPr="00F4606C" w:rsidRDefault="00115458" w:rsidP="000C1365">
            <w:pPr>
              <w:jc w:val="center"/>
              <w:rPr>
                <w:rFonts w:cs="Arial"/>
                <w:color w:val="000000"/>
              </w:rPr>
            </w:pPr>
            <w:r w:rsidRPr="00F4606C">
              <w:rPr>
                <w:rFonts w:cs="Arial"/>
              </w:rPr>
              <w:t>9.121</w:t>
            </w:r>
          </w:p>
        </w:tc>
        <w:tc>
          <w:tcPr>
            <w:tcW w:w="709" w:type="dxa"/>
            <w:noWrap/>
            <w:vAlign w:val="bottom"/>
            <w:hideMark/>
          </w:tcPr>
          <w:p w14:paraId="4D3E8BD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386D22D"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1639EEDA"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478CE741" w14:textId="77777777" w:rsidR="00115458" w:rsidRPr="00CF056D" w:rsidRDefault="00115458" w:rsidP="000C1365">
            <w:pPr>
              <w:jc w:val="center"/>
              <w:rPr>
                <w:rFonts w:cs="Arial"/>
                <w:color w:val="000000"/>
              </w:rPr>
            </w:pPr>
          </w:p>
        </w:tc>
        <w:tc>
          <w:tcPr>
            <w:tcW w:w="567" w:type="dxa"/>
            <w:noWrap/>
            <w:vAlign w:val="bottom"/>
          </w:tcPr>
          <w:p w14:paraId="03907C16"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58F518CE"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DC5753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B2FC6A2"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62E3F909"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7BCF71A" w14:textId="77777777" w:rsidTr="00F4606C">
        <w:trPr>
          <w:trHeight w:val="300"/>
        </w:trPr>
        <w:tc>
          <w:tcPr>
            <w:tcW w:w="2263" w:type="dxa"/>
            <w:noWrap/>
            <w:vAlign w:val="center"/>
            <w:hideMark/>
          </w:tcPr>
          <w:p w14:paraId="474E3872" w14:textId="77777777" w:rsidR="00115458" w:rsidRPr="00F4606C" w:rsidRDefault="00115458" w:rsidP="00F4606C">
            <w:pPr>
              <w:spacing w:after="0" w:line="240" w:lineRule="auto"/>
              <w:rPr>
                <w:rFonts w:cs="Arial"/>
                <w:color w:val="000000"/>
              </w:rPr>
            </w:pPr>
            <w:r w:rsidRPr="00F4606C">
              <w:rPr>
                <w:rFonts w:cs="Arial"/>
                <w:color w:val="000000"/>
              </w:rPr>
              <w:t>Interest exempt from withholding</w:t>
            </w:r>
          </w:p>
        </w:tc>
        <w:tc>
          <w:tcPr>
            <w:tcW w:w="1276" w:type="dxa"/>
            <w:noWrap/>
            <w:vAlign w:val="center"/>
            <w:hideMark/>
          </w:tcPr>
          <w:p w14:paraId="1ED84276" w14:textId="77777777" w:rsidR="00115458" w:rsidRPr="00F4606C" w:rsidRDefault="00115458" w:rsidP="000C1365">
            <w:pPr>
              <w:jc w:val="center"/>
              <w:rPr>
                <w:rFonts w:cs="Arial"/>
                <w:color w:val="000000"/>
              </w:rPr>
            </w:pPr>
            <w:r w:rsidRPr="00F4606C">
              <w:rPr>
                <w:rFonts w:cs="Arial"/>
              </w:rPr>
              <w:t>9.122</w:t>
            </w:r>
          </w:p>
        </w:tc>
        <w:tc>
          <w:tcPr>
            <w:tcW w:w="709" w:type="dxa"/>
            <w:noWrap/>
            <w:vAlign w:val="bottom"/>
            <w:hideMark/>
          </w:tcPr>
          <w:p w14:paraId="697A628F"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172402E9"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5B905AE4"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4BFBCA26" w14:textId="77777777" w:rsidR="00115458" w:rsidRPr="00CF056D" w:rsidRDefault="00115458" w:rsidP="000C1365">
            <w:pPr>
              <w:jc w:val="center"/>
              <w:rPr>
                <w:rFonts w:cs="Arial"/>
                <w:color w:val="000000"/>
              </w:rPr>
            </w:pPr>
          </w:p>
        </w:tc>
        <w:tc>
          <w:tcPr>
            <w:tcW w:w="567" w:type="dxa"/>
            <w:noWrap/>
            <w:vAlign w:val="bottom"/>
          </w:tcPr>
          <w:p w14:paraId="1586EE2C"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746BC3B5"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53FD9A8"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D8DF93E"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A9F98F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083E7842" w14:textId="77777777" w:rsidTr="00F4606C">
        <w:trPr>
          <w:trHeight w:val="300"/>
        </w:trPr>
        <w:tc>
          <w:tcPr>
            <w:tcW w:w="2263" w:type="dxa"/>
            <w:noWrap/>
            <w:vAlign w:val="center"/>
            <w:hideMark/>
          </w:tcPr>
          <w:p w14:paraId="37608E71" w14:textId="77777777" w:rsidR="00115458" w:rsidRPr="00F4606C" w:rsidRDefault="00115458" w:rsidP="00F4606C">
            <w:pPr>
              <w:spacing w:after="0" w:line="240" w:lineRule="auto"/>
              <w:rPr>
                <w:rFonts w:cs="Arial"/>
                <w:color w:val="000000"/>
              </w:rPr>
            </w:pPr>
            <w:r w:rsidRPr="00F4606C">
              <w:rPr>
                <w:rFonts w:cs="Arial"/>
                <w:color w:val="000000"/>
              </w:rPr>
              <w:t>Capital Gains discount method – Taxable Australian property</w:t>
            </w:r>
          </w:p>
        </w:tc>
        <w:tc>
          <w:tcPr>
            <w:tcW w:w="1276" w:type="dxa"/>
            <w:noWrap/>
            <w:vAlign w:val="center"/>
            <w:hideMark/>
          </w:tcPr>
          <w:p w14:paraId="0E455168" w14:textId="77777777" w:rsidR="00115458" w:rsidRPr="00F4606C" w:rsidRDefault="00115458" w:rsidP="000C1365">
            <w:pPr>
              <w:jc w:val="center"/>
              <w:rPr>
                <w:rFonts w:cs="Arial"/>
                <w:color w:val="000000"/>
              </w:rPr>
            </w:pPr>
            <w:r w:rsidRPr="00F4606C">
              <w:rPr>
                <w:rFonts w:cs="Arial"/>
              </w:rPr>
              <w:t>9.123</w:t>
            </w:r>
          </w:p>
        </w:tc>
        <w:tc>
          <w:tcPr>
            <w:tcW w:w="709" w:type="dxa"/>
            <w:noWrap/>
            <w:vAlign w:val="bottom"/>
            <w:hideMark/>
          </w:tcPr>
          <w:p w14:paraId="1450B9C8"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7F3ED91"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63EDD18E"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358D146C" w14:textId="77777777" w:rsidR="00115458" w:rsidRPr="00CF056D" w:rsidRDefault="00115458" w:rsidP="000C1365">
            <w:pPr>
              <w:jc w:val="center"/>
              <w:rPr>
                <w:rFonts w:cs="Arial"/>
                <w:color w:val="000000"/>
              </w:rPr>
            </w:pPr>
          </w:p>
        </w:tc>
        <w:tc>
          <w:tcPr>
            <w:tcW w:w="567" w:type="dxa"/>
            <w:noWrap/>
            <w:vAlign w:val="bottom"/>
          </w:tcPr>
          <w:p w14:paraId="005532ED"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5F8F70B5"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1CE3BBF4"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7AE4C97"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4BD2B9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436D270" w14:textId="77777777" w:rsidTr="00F4606C">
        <w:trPr>
          <w:trHeight w:val="300"/>
        </w:trPr>
        <w:tc>
          <w:tcPr>
            <w:tcW w:w="2263" w:type="dxa"/>
            <w:noWrap/>
            <w:vAlign w:val="center"/>
            <w:hideMark/>
          </w:tcPr>
          <w:p w14:paraId="5F983020" w14:textId="77777777" w:rsidR="00115458" w:rsidRPr="00F4606C" w:rsidRDefault="00115458" w:rsidP="00F4606C">
            <w:pPr>
              <w:spacing w:after="0" w:line="240" w:lineRule="auto"/>
              <w:rPr>
                <w:rFonts w:cs="Arial"/>
                <w:color w:val="000000"/>
              </w:rPr>
            </w:pPr>
            <w:r w:rsidRPr="00F4606C">
              <w:rPr>
                <w:rFonts w:cs="Arial"/>
                <w:color w:val="000000"/>
              </w:rPr>
              <w:t>Capital Gains discount method – Non-Taxable Australian property</w:t>
            </w:r>
          </w:p>
        </w:tc>
        <w:tc>
          <w:tcPr>
            <w:tcW w:w="1276" w:type="dxa"/>
            <w:noWrap/>
            <w:vAlign w:val="center"/>
            <w:hideMark/>
          </w:tcPr>
          <w:p w14:paraId="6C7B25A5" w14:textId="77777777" w:rsidR="00115458" w:rsidRPr="00F4606C" w:rsidRDefault="00115458" w:rsidP="000C1365">
            <w:pPr>
              <w:jc w:val="center"/>
              <w:rPr>
                <w:rFonts w:cs="Arial"/>
                <w:color w:val="000000"/>
              </w:rPr>
            </w:pPr>
            <w:r w:rsidRPr="00F4606C">
              <w:rPr>
                <w:rFonts w:cs="Arial"/>
              </w:rPr>
              <w:t>9.124</w:t>
            </w:r>
          </w:p>
        </w:tc>
        <w:tc>
          <w:tcPr>
            <w:tcW w:w="709" w:type="dxa"/>
            <w:noWrap/>
            <w:vAlign w:val="bottom"/>
            <w:hideMark/>
          </w:tcPr>
          <w:p w14:paraId="4B602BF8"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43839AD7"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2AD80A77"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3D164156" w14:textId="77777777" w:rsidR="00115458" w:rsidRPr="00CF056D" w:rsidRDefault="00115458" w:rsidP="000C1365">
            <w:pPr>
              <w:jc w:val="center"/>
              <w:rPr>
                <w:rFonts w:cs="Arial"/>
                <w:color w:val="000000"/>
              </w:rPr>
            </w:pPr>
          </w:p>
        </w:tc>
        <w:tc>
          <w:tcPr>
            <w:tcW w:w="567" w:type="dxa"/>
            <w:noWrap/>
            <w:vAlign w:val="bottom"/>
          </w:tcPr>
          <w:p w14:paraId="19D54C5F"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26DFA0F8"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C2F165E"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57A10E7"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16E7586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FBCFC84" w14:textId="77777777" w:rsidTr="00F4606C">
        <w:trPr>
          <w:trHeight w:val="300"/>
        </w:trPr>
        <w:tc>
          <w:tcPr>
            <w:tcW w:w="2263" w:type="dxa"/>
            <w:noWrap/>
            <w:vAlign w:val="center"/>
            <w:hideMark/>
          </w:tcPr>
          <w:p w14:paraId="0633F1ED" w14:textId="77777777" w:rsidR="00115458" w:rsidRPr="00F4606C" w:rsidRDefault="00115458" w:rsidP="00F4606C">
            <w:pPr>
              <w:spacing w:after="0" w:line="240" w:lineRule="auto"/>
              <w:rPr>
                <w:rFonts w:cs="Arial"/>
                <w:color w:val="000000"/>
              </w:rPr>
            </w:pPr>
            <w:r w:rsidRPr="00F4606C">
              <w:rPr>
                <w:rFonts w:cs="Arial"/>
                <w:color w:val="000000"/>
              </w:rPr>
              <w:t>Capital gains other – Taxable Australian property</w:t>
            </w:r>
          </w:p>
        </w:tc>
        <w:tc>
          <w:tcPr>
            <w:tcW w:w="1276" w:type="dxa"/>
            <w:noWrap/>
            <w:vAlign w:val="center"/>
            <w:hideMark/>
          </w:tcPr>
          <w:p w14:paraId="11D4BF68" w14:textId="77777777" w:rsidR="00115458" w:rsidRPr="00F4606C" w:rsidRDefault="00115458" w:rsidP="000C1365">
            <w:pPr>
              <w:jc w:val="center"/>
              <w:rPr>
                <w:rFonts w:cs="Arial"/>
                <w:color w:val="000000"/>
              </w:rPr>
            </w:pPr>
            <w:r w:rsidRPr="00F4606C">
              <w:rPr>
                <w:rFonts w:cs="Arial"/>
              </w:rPr>
              <w:t>9.125</w:t>
            </w:r>
          </w:p>
        </w:tc>
        <w:tc>
          <w:tcPr>
            <w:tcW w:w="709" w:type="dxa"/>
            <w:noWrap/>
            <w:vAlign w:val="bottom"/>
            <w:hideMark/>
          </w:tcPr>
          <w:p w14:paraId="29BFB600"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3AB5E0D6"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6E7F4C7A"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24A5E340" w14:textId="77777777" w:rsidR="00115458" w:rsidRPr="00CF056D" w:rsidRDefault="00115458" w:rsidP="000C1365">
            <w:pPr>
              <w:jc w:val="center"/>
              <w:rPr>
                <w:rFonts w:cs="Arial"/>
                <w:color w:val="000000"/>
              </w:rPr>
            </w:pPr>
          </w:p>
        </w:tc>
        <w:tc>
          <w:tcPr>
            <w:tcW w:w="567" w:type="dxa"/>
            <w:noWrap/>
            <w:vAlign w:val="bottom"/>
          </w:tcPr>
          <w:p w14:paraId="0B0BDCB4"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611E9FAF"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EE0E28D"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44601D3B"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364E2A6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703FA82" w14:textId="77777777" w:rsidTr="00F4606C">
        <w:trPr>
          <w:trHeight w:val="300"/>
        </w:trPr>
        <w:tc>
          <w:tcPr>
            <w:tcW w:w="2263" w:type="dxa"/>
            <w:noWrap/>
            <w:vAlign w:val="center"/>
            <w:hideMark/>
          </w:tcPr>
          <w:p w14:paraId="40304B04" w14:textId="77777777" w:rsidR="00115458" w:rsidRPr="00F4606C" w:rsidRDefault="00115458" w:rsidP="00F4606C">
            <w:pPr>
              <w:spacing w:after="0" w:line="240" w:lineRule="auto"/>
              <w:rPr>
                <w:rFonts w:cs="Arial"/>
                <w:color w:val="000000"/>
              </w:rPr>
            </w:pPr>
            <w:r w:rsidRPr="00F4606C">
              <w:rPr>
                <w:rFonts w:cs="Arial"/>
                <w:color w:val="000000"/>
              </w:rPr>
              <w:t>Capital gains other – Non-Taxable Australian property</w:t>
            </w:r>
          </w:p>
        </w:tc>
        <w:tc>
          <w:tcPr>
            <w:tcW w:w="1276" w:type="dxa"/>
            <w:noWrap/>
            <w:vAlign w:val="center"/>
            <w:hideMark/>
          </w:tcPr>
          <w:p w14:paraId="17BAA40F" w14:textId="77777777" w:rsidR="00115458" w:rsidRPr="00F4606C" w:rsidRDefault="00115458" w:rsidP="000C1365">
            <w:pPr>
              <w:jc w:val="center"/>
              <w:rPr>
                <w:rFonts w:cs="Arial"/>
                <w:color w:val="000000"/>
              </w:rPr>
            </w:pPr>
            <w:r w:rsidRPr="00F4606C">
              <w:rPr>
                <w:rFonts w:cs="Arial"/>
              </w:rPr>
              <w:t>9.126</w:t>
            </w:r>
          </w:p>
        </w:tc>
        <w:tc>
          <w:tcPr>
            <w:tcW w:w="709" w:type="dxa"/>
            <w:noWrap/>
            <w:vAlign w:val="bottom"/>
            <w:hideMark/>
          </w:tcPr>
          <w:p w14:paraId="6E34917D"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1BE5188"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2D4AC89E"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28FF12C4" w14:textId="77777777" w:rsidR="00115458" w:rsidRPr="00CF056D" w:rsidRDefault="00115458" w:rsidP="000C1365">
            <w:pPr>
              <w:jc w:val="center"/>
              <w:rPr>
                <w:rFonts w:cs="Arial"/>
                <w:color w:val="000000"/>
              </w:rPr>
            </w:pPr>
          </w:p>
        </w:tc>
        <w:tc>
          <w:tcPr>
            <w:tcW w:w="567" w:type="dxa"/>
            <w:noWrap/>
            <w:vAlign w:val="bottom"/>
          </w:tcPr>
          <w:p w14:paraId="5C7FB9F9"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2B0E7E5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610C2BD"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2C0BBA48"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58F62C0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9735963" w14:textId="77777777" w:rsidTr="00F4606C">
        <w:trPr>
          <w:trHeight w:val="300"/>
        </w:trPr>
        <w:tc>
          <w:tcPr>
            <w:tcW w:w="2263" w:type="dxa"/>
            <w:noWrap/>
            <w:vAlign w:val="center"/>
            <w:hideMark/>
          </w:tcPr>
          <w:p w14:paraId="6EAE31A1" w14:textId="77777777" w:rsidR="00115458" w:rsidRPr="00F4606C" w:rsidRDefault="00115458" w:rsidP="00F4606C">
            <w:pPr>
              <w:spacing w:after="0" w:line="240" w:lineRule="auto"/>
              <w:rPr>
                <w:rFonts w:cs="Arial"/>
                <w:color w:val="000000"/>
              </w:rPr>
            </w:pPr>
            <w:r w:rsidRPr="00F4606C">
              <w:rPr>
                <w:rFonts w:cs="Arial"/>
                <w:color w:val="000000"/>
              </w:rPr>
              <w:t>Non-assessable non-exempt amount</w:t>
            </w:r>
          </w:p>
        </w:tc>
        <w:tc>
          <w:tcPr>
            <w:tcW w:w="1276" w:type="dxa"/>
            <w:noWrap/>
            <w:vAlign w:val="center"/>
            <w:hideMark/>
          </w:tcPr>
          <w:p w14:paraId="2BB2D69D" w14:textId="77777777" w:rsidR="00115458" w:rsidRPr="00F4606C" w:rsidRDefault="00115458" w:rsidP="000C1365">
            <w:pPr>
              <w:jc w:val="center"/>
              <w:rPr>
                <w:rFonts w:cs="Arial"/>
                <w:color w:val="000000"/>
              </w:rPr>
            </w:pPr>
            <w:r w:rsidRPr="00F4606C">
              <w:rPr>
                <w:rFonts w:cs="Arial"/>
              </w:rPr>
              <w:t>9.127</w:t>
            </w:r>
          </w:p>
        </w:tc>
        <w:tc>
          <w:tcPr>
            <w:tcW w:w="709" w:type="dxa"/>
            <w:noWrap/>
            <w:vAlign w:val="bottom"/>
            <w:hideMark/>
          </w:tcPr>
          <w:p w14:paraId="06E018E2"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5E275364"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25B7137F"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7B73C5C0" w14:textId="77777777" w:rsidR="00115458" w:rsidRPr="00CF056D" w:rsidRDefault="00115458" w:rsidP="000C1365">
            <w:pPr>
              <w:jc w:val="center"/>
              <w:rPr>
                <w:rFonts w:cs="Arial"/>
                <w:color w:val="000000"/>
              </w:rPr>
            </w:pPr>
          </w:p>
        </w:tc>
        <w:tc>
          <w:tcPr>
            <w:tcW w:w="567" w:type="dxa"/>
            <w:noWrap/>
            <w:vAlign w:val="bottom"/>
          </w:tcPr>
          <w:p w14:paraId="2376560E"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0DD021F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04B2DFA3"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5D3A35D2"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1D2FAFA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ECEB789" w14:textId="77777777" w:rsidTr="00F4606C">
        <w:trPr>
          <w:trHeight w:val="300"/>
        </w:trPr>
        <w:tc>
          <w:tcPr>
            <w:tcW w:w="2263" w:type="dxa"/>
            <w:noWrap/>
            <w:vAlign w:val="center"/>
            <w:hideMark/>
          </w:tcPr>
          <w:p w14:paraId="69390720" w14:textId="77777777" w:rsidR="00115458" w:rsidRPr="00F4606C" w:rsidRDefault="00115458" w:rsidP="00F4606C">
            <w:pPr>
              <w:spacing w:after="0" w:line="240" w:lineRule="auto"/>
              <w:rPr>
                <w:rFonts w:cs="Arial"/>
                <w:color w:val="000000"/>
              </w:rPr>
            </w:pPr>
            <w:r w:rsidRPr="00F4606C">
              <w:rPr>
                <w:rFonts w:cs="Arial"/>
                <w:color w:val="000000"/>
              </w:rPr>
              <w:t>AMIT cost base net amount – excess</w:t>
            </w:r>
          </w:p>
        </w:tc>
        <w:tc>
          <w:tcPr>
            <w:tcW w:w="1276" w:type="dxa"/>
            <w:noWrap/>
            <w:vAlign w:val="center"/>
            <w:hideMark/>
          </w:tcPr>
          <w:p w14:paraId="4BD34080" w14:textId="77777777" w:rsidR="00115458" w:rsidRPr="00F4606C" w:rsidRDefault="00115458" w:rsidP="000C1365">
            <w:pPr>
              <w:jc w:val="center"/>
              <w:rPr>
                <w:rFonts w:cs="Arial"/>
                <w:color w:val="000000"/>
              </w:rPr>
            </w:pPr>
            <w:r w:rsidRPr="00F4606C">
              <w:rPr>
                <w:rFonts w:cs="Arial"/>
              </w:rPr>
              <w:t>9.128</w:t>
            </w:r>
          </w:p>
        </w:tc>
        <w:tc>
          <w:tcPr>
            <w:tcW w:w="709" w:type="dxa"/>
            <w:noWrap/>
            <w:vAlign w:val="bottom"/>
            <w:hideMark/>
          </w:tcPr>
          <w:p w14:paraId="025E3B3B"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412F9E8"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170A3152"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7D12E0E4" w14:textId="77777777" w:rsidR="00115458" w:rsidRPr="00CF056D" w:rsidRDefault="00115458" w:rsidP="000C1365">
            <w:pPr>
              <w:jc w:val="center"/>
              <w:rPr>
                <w:rFonts w:cs="Arial"/>
                <w:color w:val="000000"/>
              </w:rPr>
            </w:pPr>
          </w:p>
        </w:tc>
        <w:tc>
          <w:tcPr>
            <w:tcW w:w="567" w:type="dxa"/>
            <w:noWrap/>
            <w:vAlign w:val="bottom"/>
          </w:tcPr>
          <w:p w14:paraId="584A7D51"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3CB67B3F"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FA2EC2A"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84ADDA6"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tcPr>
          <w:p w14:paraId="1B2613B5" w14:textId="77777777" w:rsidR="00115458" w:rsidRPr="00CF056D" w:rsidRDefault="00115458" w:rsidP="000C1365">
            <w:pPr>
              <w:jc w:val="center"/>
              <w:rPr>
                <w:rFonts w:ascii="Wingdings 2" w:hAnsi="Wingdings 2" w:cs="Calibri" w:hint="eastAsia"/>
                <w:color w:val="000000"/>
              </w:rPr>
            </w:pPr>
          </w:p>
        </w:tc>
      </w:tr>
      <w:tr w:rsidR="008E3F77" w:rsidRPr="00B41954" w14:paraId="7592D1A8" w14:textId="77777777" w:rsidTr="00F4606C">
        <w:trPr>
          <w:trHeight w:val="300"/>
        </w:trPr>
        <w:tc>
          <w:tcPr>
            <w:tcW w:w="2263" w:type="dxa"/>
            <w:noWrap/>
            <w:vAlign w:val="center"/>
            <w:hideMark/>
          </w:tcPr>
          <w:p w14:paraId="7B63BFC2" w14:textId="77777777" w:rsidR="00115458" w:rsidRPr="00F4606C" w:rsidRDefault="00115458" w:rsidP="00F4606C">
            <w:pPr>
              <w:spacing w:after="0" w:line="240" w:lineRule="auto"/>
              <w:rPr>
                <w:rFonts w:cs="Arial"/>
                <w:color w:val="000000"/>
              </w:rPr>
            </w:pPr>
            <w:r w:rsidRPr="00F4606C">
              <w:rPr>
                <w:rFonts w:cs="Arial"/>
                <w:color w:val="000000"/>
              </w:rPr>
              <w:t>AMIT cost base net amount – shortfall</w:t>
            </w:r>
          </w:p>
        </w:tc>
        <w:tc>
          <w:tcPr>
            <w:tcW w:w="1276" w:type="dxa"/>
            <w:noWrap/>
            <w:vAlign w:val="center"/>
            <w:hideMark/>
          </w:tcPr>
          <w:p w14:paraId="3CC07022" w14:textId="77777777" w:rsidR="00115458" w:rsidRPr="00F4606C" w:rsidRDefault="00115458" w:rsidP="000C1365">
            <w:pPr>
              <w:jc w:val="center"/>
              <w:rPr>
                <w:rFonts w:cs="Arial"/>
                <w:color w:val="000000"/>
              </w:rPr>
            </w:pPr>
            <w:r w:rsidRPr="00F4606C">
              <w:rPr>
                <w:rFonts w:cs="Arial"/>
              </w:rPr>
              <w:t>9.129</w:t>
            </w:r>
          </w:p>
        </w:tc>
        <w:tc>
          <w:tcPr>
            <w:tcW w:w="709" w:type="dxa"/>
            <w:noWrap/>
            <w:vAlign w:val="bottom"/>
            <w:hideMark/>
          </w:tcPr>
          <w:p w14:paraId="3D9AAF87"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724CAC73"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0280B2E3"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1E5B72BA" w14:textId="77777777" w:rsidR="00115458" w:rsidRPr="00CF056D" w:rsidRDefault="00115458" w:rsidP="000C1365">
            <w:pPr>
              <w:jc w:val="center"/>
              <w:rPr>
                <w:rFonts w:cs="Arial"/>
                <w:color w:val="000000"/>
              </w:rPr>
            </w:pPr>
          </w:p>
        </w:tc>
        <w:tc>
          <w:tcPr>
            <w:tcW w:w="567" w:type="dxa"/>
            <w:noWrap/>
            <w:vAlign w:val="bottom"/>
          </w:tcPr>
          <w:p w14:paraId="354D0F42"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684F1E9B"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E561306"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0724AA8B"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tcPr>
          <w:p w14:paraId="24AF5669" w14:textId="77777777" w:rsidR="00115458" w:rsidRPr="00CF056D" w:rsidRDefault="00115458" w:rsidP="000C1365">
            <w:pPr>
              <w:jc w:val="center"/>
              <w:rPr>
                <w:rFonts w:ascii="Wingdings 2" w:hAnsi="Wingdings 2" w:cs="Calibri" w:hint="eastAsia"/>
                <w:color w:val="000000"/>
              </w:rPr>
            </w:pPr>
          </w:p>
        </w:tc>
      </w:tr>
      <w:tr w:rsidR="008E3F77" w:rsidRPr="00B41954" w14:paraId="19743524" w14:textId="77777777" w:rsidTr="00F4606C">
        <w:trPr>
          <w:trHeight w:val="300"/>
        </w:trPr>
        <w:tc>
          <w:tcPr>
            <w:tcW w:w="2263" w:type="dxa"/>
            <w:noWrap/>
            <w:vAlign w:val="center"/>
            <w:hideMark/>
          </w:tcPr>
          <w:p w14:paraId="1C82203B" w14:textId="77777777" w:rsidR="00115458" w:rsidRPr="00F4606C" w:rsidRDefault="00115458" w:rsidP="00F4606C">
            <w:pPr>
              <w:spacing w:after="0" w:line="240" w:lineRule="auto"/>
              <w:rPr>
                <w:rFonts w:cs="Arial"/>
                <w:color w:val="000000"/>
              </w:rPr>
            </w:pPr>
            <w:r w:rsidRPr="00F4606C">
              <w:rPr>
                <w:rFonts w:cs="Arial"/>
                <w:color w:val="000000"/>
              </w:rPr>
              <w:t>Other income</w:t>
            </w:r>
          </w:p>
        </w:tc>
        <w:tc>
          <w:tcPr>
            <w:tcW w:w="1276" w:type="dxa"/>
            <w:noWrap/>
            <w:vAlign w:val="center"/>
            <w:hideMark/>
          </w:tcPr>
          <w:p w14:paraId="471B3733" w14:textId="77777777" w:rsidR="00115458" w:rsidRPr="00F4606C" w:rsidRDefault="00115458" w:rsidP="000C1365">
            <w:pPr>
              <w:jc w:val="center"/>
              <w:rPr>
                <w:rFonts w:cs="Arial"/>
                <w:color w:val="000000"/>
              </w:rPr>
            </w:pPr>
            <w:r w:rsidRPr="00F4606C">
              <w:rPr>
                <w:rFonts w:cs="Arial"/>
              </w:rPr>
              <w:t>9.130</w:t>
            </w:r>
          </w:p>
        </w:tc>
        <w:tc>
          <w:tcPr>
            <w:tcW w:w="709" w:type="dxa"/>
            <w:noWrap/>
            <w:vAlign w:val="bottom"/>
            <w:hideMark/>
          </w:tcPr>
          <w:p w14:paraId="7A21691B"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6ECA18E2"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5A297B7A"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0472EE63" w14:textId="77777777" w:rsidR="00115458" w:rsidRPr="00CF056D" w:rsidRDefault="00115458" w:rsidP="000C1365">
            <w:pPr>
              <w:jc w:val="center"/>
              <w:rPr>
                <w:rFonts w:cs="Arial"/>
                <w:color w:val="000000"/>
              </w:rPr>
            </w:pPr>
          </w:p>
        </w:tc>
        <w:tc>
          <w:tcPr>
            <w:tcW w:w="567" w:type="dxa"/>
            <w:noWrap/>
            <w:vAlign w:val="bottom"/>
          </w:tcPr>
          <w:p w14:paraId="482FF121"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72425C6C"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76E0887A"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EE0AA3B"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2BEF614B"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1B51FBAE" w14:textId="77777777" w:rsidTr="00F4606C">
        <w:trPr>
          <w:trHeight w:val="300"/>
        </w:trPr>
        <w:tc>
          <w:tcPr>
            <w:tcW w:w="2263" w:type="dxa"/>
            <w:noWrap/>
            <w:vAlign w:val="center"/>
            <w:hideMark/>
          </w:tcPr>
          <w:p w14:paraId="1A277714" w14:textId="3C634F06" w:rsidR="00115458" w:rsidRPr="00CF056D" w:rsidRDefault="00115458" w:rsidP="00F4606C">
            <w:pPr>
              <w:spacing w:after="0" w:line="240" w:lineRule="auto"/>
              <w:rPr>
                <w:rFonts w:cs="Arial"/>
                <w:color w:val="000000"/>
              </w:rPr>
            </w:pPr>
            <w:r w:rsidRPr="00CF056D">
              <w:rPr>
                <w:rFonts w:cs="Arial"/>
                <w:color w:val="000000"/>
              </w:rPr>
              <w:t>Name of AMIT class</w:t>
            </w:r>
            <w:r w:rsidR="00CF056D">
              <w:rPr>
                <w:rFonts w:cs="Arial"/>
                <w:color w:val="000000"/>
              </w:rPr>
              <w:t>*</w:t>
            </w:r>
          </w:p>
        </w:tc>
        <w:tc>
          <w:tcPr>
            <w:tcW w:w="1276" w:type="dxa"/>
            <w:noWrap/>
            <w:vAlign w:val="center"/>
            <w:hideMark/>
          </w:tcPr>
          <w:p w14:paraId="770FFB4D" w14:textId="77777777" w:rsidR="00115458" w:rsidRPr="00CF056D" w:rsidRDefault="00115458" w:rsidP="000C1365">
            <w:pPr>
              <w:jc w:val="center"/>
              <w:rPr>
                <w:rFonts w:cs="Arial"/>
                <w:color w:val="000000"/>
              </w:rPr>
            </w:pPr>
            <w:r w:rsidRPr="00CF056D">
              <w:rPr>
                <w:rFonts w:cs="Arial"/>
              </w:rPr>
              <w:t>9.131</w:t>
            </w:r>
          </w:p>
        </w:tc>
        <w:tc>
          <w:tcPr>
            <w:tcW w:w="709" w:type="dxa"/>
            <w:noWrap/>
            <w:vAlign w:val="bottom"/>
            <w:hideMark/>
          </w:tcPr>
          <w:p w14:paraId="3B28AC4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2665B57"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4BCAE4E2"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41BB887E" w14:textId="77777777" w:rsidR="00115458" w:rsidRPr="00CF056D" w:rsidRDefault="00115458" w:rsidP="000C1365">
            <w:pPr>
              <w:jc w:val="center"/>
              <w:rPr>
                <w:rFonts w:cs="Arial"/>
                <w:color w:val="000000"/>
              </w:rPr>
            </w:pPr>
          </w:p>
        </w:tc>
        <w:tc>
          <w:tcPr>
            <w:tcW w:w="567" w:type="dxa"/>
            <w:noWrap/>
            <w:vAlign w:val="bottom"/>
          </w:tcPr>
          <w:p w14:paraId="5270342C"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358E5320"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3017D5FB"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D78D27B"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tcPr>
          <w:p w14:paraId="3F2F796C" w14:textId="77777777" w:rsidR="00115458" w:rsidRPr="00CF056D" w:rsidRDefault="00115458" w:rsidP="000C1365">
            <w:pPr>
              <w:jc w:val="center"/>
              <w:rPr>
                <w:rFonts w:ascii="Wingdings 2" w:hAnsi="Wingdings 2" w:cs="Calibri" w:hint="eastAsia"/>
                <w:color w:val="000000"/>
              </w:rPr>
            </w:pPr>
          </w:p>
        </w:tc>
      </w:tr>
      <w:tr w:rsidR="008E3F77" w:rsidRPr="00B41954" w14:paraId="3591E49C" w14:textId="77777777" w:rsidTr="00F4606C">
        <w:trPr>
          <w:trHeight w:val="300"/>
        </w:trPr>
        <w:tc>
          <w:tcPr>
            <w:tcW w:w="2263" w:type="dxa"/>
            <w:noWrap/>
            <w:vAlign w:val="center"/>
            <w:hideMark/>
          </w:tcPr>
          <w:p w14:paraId="3330F4B7" w14:textId="77777777" w:rsidR="00115458" w:rsidRPr="00F4606C" w:rsidRDefault="00115458" w:rsidP="00F4606C">
            <w:pPr>
              <w:spacing w:after="0" w:line="240" w:lineRule="auto"/>
              <w:rPr>
                <w:rFonts w:cs="Arial"/>
                <w:color w:val="000000"/>
              </w:rPr>
            </w:pPr>
            <w:r w:rsidRPr="00F4606C">
              <w:rPr>
                <w:rFonts w:cs="Arial"/>
                <w:iCs/>
                <w:color w:val="000000"/>
              </w:rPr>
              <w:t>Share of Foreign Resident Capital Gains Withholding credits</w:t>
            </w:r>
          </w:p>
        </w:tc>
        <w:tc>
          <w:tcPr>
            <w:tcW w:w="1276" w:type="dxa"/>
            <w:noWrap/>
            <w:vAlign w:val="center"/>
            <w:hideMark/>
          </w:tcPr>
          <w:p w14:paraId="7828D44A" w14:textId="77777777" w:rsidR="00115458" w:rsidRPr="00F4606C" w:rsidRDefault="00115458" w:rsidP="000C1365">
            <w:pPr>
              <w:jc w:val="center"/>
              <w:rPr>
                <w:rFonts w:cs="Arial"/>
                <w:color w:val="000000"/>
              </w:rPr>
            </w:pPr>
            <w:r w:rsidRPr="00F4606C">
              <w:rPr>
                <w:rFonts w:cs="Arial"/>
              </w:rPr>
              <w:t>9.132</w:t>
            </w:r>
          </w:p>
        </w:tc>
        <w:tc>
          <w:tcPr>
            <w:tcW w:w="709" w:type="dxa"/>
            <w:noWrap/>
            <w:vAlign w:val="bottom"/>
            <w:hideMark/>
          </w:tcPr>
          <w:p w14:paraId="5165037B"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2B437567"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55FBC396"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368B4329" w14:textId="77777777" w:rsidR="00115458" w:rsidRPr="00CF056D" w:rsidRDefault="00115458" w:rsidP="000C1365">
            <w:pPr>
              <w:jc w:val="center"/>
              <w:rPr>
                <w:rFonts w:cs="Arial"/>
                <w:color w:val="000000"/>
              </w:rPr>
            </w:pPr>
          </w:p>
        </w:tc>
        <w:tc>
          <w:tcPr>
            <w:tcW w:w="567" w:type="dxa"/>
            <w:noWrap/>
            <w:vAlign w:val="bottom"/>
          </w:tcPr>
          <w:p w14:paraId="179C446E"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60F9DCD7"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C9A1CBD"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6F4D696E"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07D29B06"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BA536CA" w14:textId="77777777" w:rsidTr="00F4606C">
        <w:trPr>
          <w:trHeight w:val="300"/>
        </w:trPr>
        <w:tc>
          <w:tcPr>
            <w:tcW w:w="2263" w:type="dxa"/>
            <w:noWrap/>
            <w:vAlign w:val="center"/>
            <w:hideMark/>
          </w:tcPr>
          <w:p w14:paraId="38FC0DB0" w14:textId="77777777" w:rsidR="00115458" w:rsidRPr="00F4606C" w:rsidRDefault="00115458" w:rsidP="00F4606C">
            <w:pPr>
              <w:spacing w:after="0" w:line="240" w:lineRule="auto"/>
              <w:rPr>
                <w:rFonts w:cs="Arial"/>
                <w:color w:val="000000"/>
              </w:rPr>
            </w:pPr>
            <w:r w:rsidRPr="00F4606C">
              <w:rPr>
                <w:rFonts w:cs="Arial"/>
                <w:iCs/>
                <w:color w:val="000000"/>
              </w:rPr>
              <w:t>Share of Early Stage Investor tax offset</w:t>
            </w:r>
          </w:p>
        </w:tc>
        <w:tc>
          <w:tcPr>
            <w:tcW w:w="1276" w:type="dxa"/>
            <w:noWrap/>
            <w:vAlign w:val="center"/>
            <w:hideMark/>
          </w:tcPr>
          <w:p w14:paraId="38A5EAAF" w14:textId="77777777" w:rsidR="00115458" w:rsidRPr="00F4606C" w:rsidRDefault="00115458" w:rsidP="000C1365">
            <w:pPr>
              <w:jc w:val="center"/>
              <w:rPr>
                <w:rFonts w:cs="Arial"/>
                <w:color w:val="000000"/>
              </w:rPr>
            </w:pPr>
            <w:r w:rsidRPr="00F4606C">
              <w:rPr>
                <w:rFonts w:cs="Arial"/>
              </w:rPr>
              <w:t>9.133</w:t>
            </w:r>
          </w:p>
        </w:tc>
        <w:tc>
          <w:tcPr>
            <w:tcW w:w="709" w:type="dxa"/>
            <w:noWrap/>
            <w:vAlign w:val="bottom"/>
            <w:hideMark/>
          </w:tcPr>
          <w:p w14:paraId="50291BE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542169ED"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20E99B97"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3D02B850" w14:textId="77777777" w:rsidR="00115458" w:rsidRPr="00CF056D" w:rsidRDefault="00115458" w:rsidP="000C1365">
            <w:pPr>
              <w:jc w:val="center"/>
              <w:rPr>
                <w:rFonts w:cs="Arial"/>
                <w:color w:val="000000"/>
              </w:rPr>
            </w:pPr>
          </w:p>
        </w:tc>
        <w:tc>
          <w:tcPr>
            <w:tcW w:w="567" w:type="dxa"/>
            <w:noWrap/>
            <w:vAlign w:val="bottom"/>
          </w:tcPr>
          <w:p w14:paraId="2C65A157"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51EB5CFF"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4D5B8D09"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4C3E6969"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115EC48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5B40EFDF" w14:textId="77777777" w:rsidTr="00F4606C">
        <w:trPr>
          <w:trHeight w:val="300"/>
        </w:trPr>
        <w:tc>
          <w:tcPr>
            <w:tcW w:w="2263" w:type="dxa"/>
            <w:noWrap/>
            <w:vAlign w:val="center"/>
            <w:hideMark/>
          </w:tcPr>
          <w:p w14:paraId="0C33F0DA" w14:textId="77777777" w:rsidR="00115458" w:rsidRPr="00F4606C" w:rsidRDefault="00115458" w:rsidP="00F4606C">
            <w:pPr>
              <w:spacing w:after="0" w:line="240" w:lineRule="auto"/>
              <w:rPr>
                <w:rFonts w:cs="Arial"/>
                <w:color w:val="000000"/>
              </w:rPr>
            </w:pPr>
            <w:r w:rsidRPr="00F4606C">
              <w:rPr>
                <w:rFonts w:cs="Arial"/>
                <w:iCs/>
                <w:color w:val="000000"/>
              </w:rPr>
              <w:t>Share of ESVCLP tax offset  </w:t>
            </w:r>
          </w:p>
        </w:tc>
        <w:tc>
          <w:tcPr>
            <w:tcW w:w="1276" w:type="dxa"/>
            <w:noWrap/>
            <w:vAlign w:val="center"/>
            <w:hideMark/>
          </w:tcPr>
          <w:p w14:paraId="3FAB8C46" w14:textId="77777777" w:rsidR="00115458" w:rsidRPr="00F4606C" w:rsidRDefault="00115458" w:rsidP="000C1365">
            <w:pPr>
              <w:jc w:val="center"/>
              <w:rPr>
                <w:rFonts w:cs="Arial"/>
                <w:color w:val="000000"/>
              </w:rPr>
            </w:pPr>
            <w:r w:rsidRPr="00F4606C">
              <w:rPr>
                <w:rFonts w:cs="Arial"/>
              </w:rPr>
              <w:t>9.134</w:t>
            </w:r>
          </w:p>
        </w:tc>
        <w:tc>
          <w:tcPr>
            <w:tcW w:w="709" w:type="dxa"/>
            <w:noWrap/>
            <w:vAlign w:val="bottom"/>
            <w:hideMark/>
          </w:tcPr>
          <w:p w14:paraId="3331324C"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hideMark/>
          </w:tcPr>
          <w:p w14:paraId="0163516C"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tcPr>
          <w:p w14:paraId="5A375E78"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19301151" w14:textId="77777777" w:rsidR="00115458" w:rsidRPr="00CF056D" w:rsidRDefault="00115458" w:rsidP="000C1365">
            <w:pPr>
              <w:jc w:val="center"/>
              <w:rPr>
                <w:rFonts w:cs="Arial"/>
                <w:color w:val="000000"/>
              </w:rPr>
            </w:pPr>
          </w:p>
        </w:tc>
        <w:tc>
          <w:tcPr>
            <w:tcW w:w="567" w:type="dxa"/>
            <w:noWrap/>
            <w:vAlign w:val="bottom"/>
          </w:tcPr>
          <w:p w14:paraId="641508B2" w14:textId="77777777" w:rsidR="00115458" w:rsidRPr="00CF056D" w:rsidRDefault="00115458" w:rsidP="000C1365">
            <w:pPr>
              <w:jc w:val="center"/>
              <w:rPr>
                <w:rFonts w:ascii="Wingdings 2" w:hAnsi="Wingdings 2" w:cs="Calibri" w:hint="eastAsia"/>
                <w:color w:val="000000"/>
              </w:rPr>
            </w:pPr>
          </w:p>
        </w:tc>
        <w:tc>
          <w:tcPr>
            <w:tcW w:w="567" w:type="dxa"/>
            <w:noWrap/>
            <w:vAlign w:val="bottom"/>
            <w:hideMark/>
          </w:tcPr>
          <w:p w14:paraId="15FB7E51" w14:textId="77777777" w:rsidR="00115458" w:rsidRPr="00CF056D" w:rsidRDefault="00115458" w:rsidP="000C1365">
            <w:pPr>
              <w:jc w:val="center"/>
              <w:rPr>
                <w:rFonts w:cs="Arial"/>
                <w:color w:val="000000"/>
              </w:rPr>
            </w:pPr>
            <w:r w:rsidRPr="00CF056D">
              <w:rPr>
                <w:rFonts w:cs="Arial"/>
                <w:color w:val="000000"/>
              </w:rPr>
              <w:t> </w:t>
            </w:r>
          </w:p>
        </w:tc>
        <w:tc>
          <w:tcPr>
            <w:tcW w:w="567" w:type="dxa"/>
            <w:noWrap/>
            <w:vAlign w:val="bottom"/>
            <w:hideMark/>
          </w:tcPr>
          <w:p w14:paraId="6C29A13F" w14:textId="77777777" w:rsidR="00115458" w:rsidRPr="00CF056D" w:rsidRDefault="00115458" w:rsidP="000C1365">
            <w:pPr>
              <w:jc w:val="center"/>
              <w:rPr>
                <w:rFonts w:cs="Arial"/>
                <w:color w:val="000000"/>
              </w:rPr>
            </w:pPr>
            <w:r w:rsidRPr="00CF056D">
              <w:rPr>
                <w:rFonts w:cs="Arial"/>
                <w:color w:val="000000"/>
              </w:rPr>
              <w:t> </w:t>
            </w:r>
          </w:p>
        </w:tc>
        <w:tc>
          <w:tcPr>
            <w:tcW w:w="709" w:type="dxa"/>
            <w:noWrap/>
            <w:vAlign w:val="bottom"/>
            <w:hideMark/>
          </w:tcPr>
          <w:p w14:paraId="141BD418" w14:textId="77777777" w:rsidR="00115458" w:rsidRPr="00CF056D" w:rsidRDefault="00115458" w:rsidP="000C1365">
            <w:pPr>
              <w:jc w:val="center"/>
              <w:rPr>
                <w:rFonts w:cs="Arial"/>
                <w:color w:val="000000"/>
              </w:rPr>
            </w:pPr>
            <w:r w:rsidRPr="00CF056D">
              <w:rPr>
                <w:rFonts w:cs="Arial"/>
                <w:color w:val="000000"/>
              </w:rPr>
              <w:t> </w:t>
            </w:r>
          </w:p>
        </w:tc>
        <w:tc>
          <w:tcPr>
            <w:tcW w:w="646" w:type="dxa"/>
            <w:noWrap/>
            <w:vAlign w:val="bottom"/>
            <w:hideMark/>
          </w:tcPr>
          <w:p w14:paraId="0AA446E8"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213483FD" w14:textId="77777777" w:rsidTr="00F4606C">
        <w:trPr>
          <w:trHeight w:val="300"/>
        </w:trPr>
        <w:tc>
          <w:tcPr>
            <w:tcW w:w="2263" w:type="dxa"/>
            <w:noWrap/>
            <w:vAlign w:val="center"/>
          </w:tcPr>
          <w:p w14:paraId="653F23B0" w14:textId="77777777" w:rsidR="00115458" w:rsidRPr="00F4606C" w:rsidRDefault="00115458" w:rsidP="00F4606C">
            <w:pPr>
              <w:spacing w:after="0" w:line="240" w:lineRule="auto"/>
              <w:rPr>
                <w:rFonts w:cs="Arial"/>
                <w:iCs/>
                <w:color w:val="000000"/>
              </w:rPr>
            </w:pPr>
            <w:r w:rsidRPr="00F4606C">
              <w:rPr>
                <w:rFonts w:cs="Arial"/>
                <w:iCs/>
                <w:color w:val="000000"/>
              </w:rPr>
              <w:t>Royalties</w:t>
            </w:r>
          </w:p>
        </w:tc>
        <w:tc>
          <w:tcPr>
            <w:tcW w:w="1276" w:type="dxa"/>
            <w:noWrap/>
            <w:vAlign w:val="center"/>
          </w:tcPr>
          <w:p w14:paraId="4249036F" w14:textId="77777777" w:rsidR="00115458" w:rsidRPr="00F4606C" w:rsidRDefault="00115458" w:rsidP="000C1365">
            <w:pPr>
              <w:jc w:val="center"/>
              <w:rPr>
                <w:rFonts w:cs="Arial"/>
              </w:rPr>
            </w:pPr>
            <w:r w:rsidRPr="00F4606C">
              <w:rPr>
                <w:rFonts w:cs="Arial"/>
              </w:rPr>
              <w:t>9.135</w:t>
            </w:r>
          </w:p>
        </w:tc>
        <w:tc>
          <w:tcPr>
            <w:tcW w:w="709" w:type="dxa"/>
            <w:noWrap/>
            <w:vAlign w:val="bottom"/>
          </w:tcPr>
          <w:p w14:paraId="061593C4"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04D282E6" w14:textId="77777777" w:rsidR="00115458" w:rsidRPr="00CF056D" w:rsidRDefault="00115458" w:rsidP="000C1365">
            <w:pPr>
              <w:jc w:val="center"/>
              <w:rPr>
                <w:rFonts w:cs="Arial"/>
                <w:color w:val="000000"/>
              </w:rPr>
            </w:pPr>
          </w:p>
        </w:tc>
        <w:tc>
          <w:tcPr>
            <w:tcW w:w="709" w:type="dxa"/>
            <w:noWrap/>
            <w:vAlign w:val="bottom"/>
          </w:tcPr>
          <w:p w14:paraId="1AF469FA"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2D926D0B" w14:textId="77777777" w:rsidR="00115458" w:rsidRPr="00CF056D" w:rsidRDefault="00115458" w:rsidP="000C1365">
            <w:pPr>
              <w:jc w:val="center"/>
              <w:rPr>
                <w:rFonts w:cs="Arial"/>
                <w:color w:val="000000"/>
              </w:rPr>
            </w:pPr>
          </w:p>
        </w:tc>
        <w:tc>
          <w:tcPr>
            <w:tcW w:w="567" w:type="dxa"/>
            <w:noWrap/>
            <w:vAlign w:val="bottom"/>
          </w:tcPr>
          <w:p w14:paraId="656E14F0" w14:textId="77777777" w:rsidR="00115458" w:rsidRPr="00CF056D" w:rsidRDefault="00115458" w:rsidP="000C1365">
            <w:pPr>
              <w:jc w:val="center"/>
              <w:rPr>
                <w:rFonts w:ascii="Wingdings 2" w:hAnsi="Wingdings 2" w:cs="Calibri" w:hint="eastAsia"/>
                <w:color w:val="000000"/>
              </w:rPr>
            </w:pPr>
          </w:p>
        </w:tc>
        <w:tc>
          <w:tcPr>
            <w:tcW w:w="567" w:type="dxa"/>
            <w:noWrap/>
            <w:vAlign w:val="bottom"/>
          </w:tcPr>
          <w:p w14:paraId="4B262223" w14:textId="77777777" w:rsidR="00115458" w:rsidRPr="00CF056D" w:rsidRDefault="00115458" w:rsidP="000C1365">
            <w:pPr>
              <w:jc w:val="center"/>
              <w:rPr>
                <w:rFonts w:cs="Arial"/>
                <w:color w:val="000000"/>
              </w:rPr>
            </w:pPr>
          </w:p>
        </w:tc>
        <w:tc>
          <w:tcPr>
            <w:tcW w:w="567" w:type="dxa"/>
            <w:noWrap/>
            <w:vAlign w:val="bottom"/>
          </w:tcPr>
          <w:p w14:paraId="10F88896" w14:textId="77777777" w:rsidR="00115458" w:rsidRPr="00CF056D" w:rsidRDefault="00115458" w:rsidP="000C1365">
            <w:pPr>
              <w:jc w:val="center"/>
              <w:rPr>
                <w:rFonts w:cs="Arial"/>
                <w:color w:val="000000"/>
              </w:rPr>
            </w:pPr>
          </w:p>
        </w:tc>
        <w:tc>
          <w:tcPr>
            <w:tcW w:w="709" w:type="dxa"/>
            <w:noWrap/>
            <w:vAlign w:val="bottom"/>
          </w:tcPr>
          <w:p w14:paraId="299C9D3D" w14:textId="77777777" w:rsidR="00115458" w:rsidRPr="00CF056D" w:rsidRDefault="00115458" w:rsidP="000C1365">
            <w:pPr>
              <w:jc w:val="center"/>
              <w:rPr>
                <w:rFonts w:cs="Arial"/>
                <w:color w:val="000000"/>
              </w:rPr>
            </w:pPr>
          </w:p>
        </w:tc>
        <w:tc>
          <w:tcPr>
            <w:tcW w:w="646" w:type="dxa"/>
            <w:noWrap/>
            <w:vAlign w:val="bottom"/>
          </w:tcPr>
          <w:p w14:paraId="7848F038"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69D9CF1" w14:textId="77777777" w:rsidTr="00F4606C">
        <w:trPr>
          <w:trHeight w:val="300"/>
        </w:trPr>
        <w:tc>
          <w:tcPr>
            <w:tcW w:w="2263" w:type="dxa"/>
            <w:noWrap/>
            <w:vAlign w:val="center"/>
          </w:tcPr>
          <w:p w14:paraId="76B84D42" w14:textId="77777777" w:rsidR="00115458" w:rsidRPr="00F4606C" w:rsidRDefault="00115458" w:rsidP="00F4606C">
            <w:pPr>
              <w:spacing w:after="0" w:line="240" w:lineRule="auto"/>
              <w:rPr>
                <w:rFonts w:cs="Arial"/>
                <w:iCs/>
              </w:rPr>
            </w:pPr>
            <w:r w:rsidRPr="00F4606C">
              <w:rPr>
                <w:rFonts w:cs="Arial"/>
                <w:iCs/>
              </w:rPr>
              <w:t>NCMI – Non-primary production</w:t>
            </w:r>
          </w:p>
        </w:tc>
        <w:tc>
          <w:tcPr>
            <w:tcW w:w="1276" w:type="dxa"/>
            <w:noWrap/>
            <w:vAlign w:val="center"/>
          </w:tcPr>
          <w:p w14:paraId="1778E0B4" w14:textId="77777777" w:rsidR="00115458" w:rsidRPr="00F4606C" w:rsidRDefault="00115458" w:rsidP="000C1365">
            <w:pPr>
              <w:jc w:val="center"/>
              <w:rPr>
                <w:rFonts w:cs="Arial"/>
              </w:rPr>
            </w:pPr>
            <w:r w:rsidRPr="00F4606C">
              <w:rPr>
                <w:rFonts w:cs="Arial"/>
              </w:rPr>
              <w:t>9.136</w:t>
            </w:r>
          </w:p>
        </w:tc>
        <w:tc>
          <w:tcPr>
            <w:tcW w:w="709" w:type="dxa"/>
            <w:noWrap/>
            <w:vAlign w:val="bottom"/>
          </w:tcPr>
          <w:p w14:paraId="1351197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294A5C98" w14:textId="77777777" w:rsidR="00115458" w:rsidRPr="00CF056D" w:rsidRDefault="00115458" w:rsidP="000C1365">
            <w:pPr>
              <w:jc w:val="center"/>
              <w:rPr>
                <w:rFonts w:cs="Arial"/>
                <w:color w:val="000000"/>
              </w:rPr>
            </w:pPr>
          </w:p>
        </w:tc>
        <w:tc>
          <w:tcPr>
            <w:tcW w:w="709" w:type="dxa"/>
            <w:noWrap/>
            <w:vAlign w:val="bottom"/>
          </w:tcPr>
          <w:p w14:paraId="24CF0AD0"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35DE8E00" w14:textId="77777777" w:rsidR="00115458" w:rsidRPr="00CF056D" w:rsidRDefault="00115458" w:rsidP="000C1365">
            <w:pPr>
              <w:jc w:val="center"/>
              <w:rPr>
                <w:rFonts w:cs="Arial"/>
                <w:color w:val="000000"/>
              </w:rPr>
            </w:pPr>
          </w:p>
        </w:tc>
        <w:tc>
          <w:tcPr>
            <w:tcW w:w="567" w:type="dxa"/>
            <w:noWrap/>
            <w:vAlign w:val="bottom"/>
          </w:tcPr>
          <w:p w14:paraId="35FA77EF" w14:textId="77777777" w:rsidR="00115458" w:rsidRPr="00CF056D" w:rsidRDefault="00115458" w:rsidP="000C1365">
            <w:pPr>
              <w:jc w:val="center"/>
              <w:rPr>
                <w:rFonts w:ascii="Wingdings 2" w:hAnsi="Wingdings 2" w:cs="Calibri" w:hint="eastAsia"/>
                <w:color w:val="000000"/>
              </w:rPr>
            </w:pPr>
          </w:p>
        </w:tc>
        <w:tc>
          <w:tcPr>
            <w:tcW w:w="567" w:type="dxa"/>
            <w:noWrap/>
            <w:vAlign w:val="bottom"/>
          </w:tcPr>
          <w:p w14:paraId="64D7CECF" w14:textId="77777777" w:rsidR="00115458" w:rsidRPr="00CF056D" w:rsidRDefault="00115458" w:rsidP="000C1365">
            <w:pPr>
              <w:jc w:val="center"/>
              <w:rPr>
                <w:rFonts w:cs="Arial"/>
                <w:color w:val="000000"/>
              </w:rPr>
            </w:pPr>
          </w:p>
        </w:tc>
        <w:tc>
          <w:tcPr>
            <w:tcW w:w="567" w:type="dxa"/>
            <w:noWrap/>
            <w:vAlign w:val="bottom"/>
          </w:tcPr>
          <w:p w14:paraId="4625C3E0" w14:textId="77777777" w:rsidR="00115458" w:rsidRPr="00CF056D" w:rsidRDefault="00115458" w:rsidP="000C1365">
            <w:pPr>
              <w:jc w:val="center"/>
              <w:rPr>
                <w:rFonts w:cs="Arial"/>
                <w:color w:val="000000"/>
              </w:rPr>
            </w:pPr>
          </w:p>
        </w:tc>
        <w:tc>
          <w:tcPr>
            <w:tcW w:w="709" w:type="dxa"/>
            <w:noWrap/>
            <w:vAlign w:val="bottom"/>
          </w:tcPr>
          <w:p w14:paraId="31D838B3" w14:textId="77777777" w:rsidR="00115458" w:rsidRPr="00CF056D" w:rsidRDefault="00115458" w:rsidP="000C1365">
            <w:pPr>
              <w:jc w:val="center"/>
              <w:rPr>
                <w:rFonts w:cs="Arial"/>
                <w:color w:val="000000"/>
              </w:rPr>
            </w:pPr>
          </w:p>
        </w:tc>
        <w:tc>
          <w:tcPr>
            <w:tcW w:w="646" w:type="dxa"/>
            <w:noWrap/>
            <w:vAlign w:val="bottom"/>
          </w:tcPr>
          <w:p w14:paraId="4F03FA13"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9E23132" w14:textId="77777777" w:rsidTr="00F4606C">
        <w:trPr>
          <w:trHeight w:val="300"/>
        </w:trPr>
        <w:tc>
          <w:tcPr>
            <w:tcW w:w="2263" w:type="dxa"/>
            <w:noWrap/>
            <w:vAlign w:val="center"/>
          </w:tcPr>
          <w:p w14:paraId="479AB4EC" w14:textId="77777777" w:rsidR="00115458" w:rsidRPr="00F4606C" w:rsidRDefault="00115458" w:rsidP="00F4606C">
            <w:pPr>
              <w:spacing w:after="0" w:line="240" w:lineRule="auto"/>
              <w:rPr>
                <w:rFonts w:cs="Arial"/>
                <w:iCs/>
              </w:rPr>
            </w:pPr>
            <w:r w:rsidRPr="00F4606C">
              <w:rPr>
                <w:rFonts w:cs="Arial"/>
                <w:iCs/>
              </w:rPr>
              <w:t>NCMI – Primary production</w:t>
            </w:r>
          </w:p>
        </w:tc>
        <w:tc>
          <w:tcPr>
            <w:tcW w:w="1276" w:type="dxa"/>
            <w:noWrap/>
            <w:vAlign w:val="center"/>
          </w:tcPr>
          <w:p w14:paraId="151BA6BE" w14:textId="77777777" w:rsidR="00115458" w:rsidRPr="00F4606C" w:rsidRDefault="00115458" w:rsidP="000C1365">
            <w:pPr>
              <w:jc w:val="center"/>
              <w:rPr>
                <w:rFonts w:cs="Arial"/>
              </w:rPr>
            </w:pPr>
            <w:r w:rsidRPr="00F4606C">
              <w:rPr>
                <w:rFonts w:cs="Arial"/>
              </w:rPr>
              <w:t>9.137</w:t>
            </w:r>
          </w:p>
        </w:tc>
        <w:tc>
          <w:tcPr>
            <w:tcW w:w="709" w:type="dxa"/>
            <w:noWrap/>
            <w:vAlign w:val="bottom"/>
          </w:tcPr>
          <w:p w14:paraId="60D874CE"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6B05DC00" w14:textId="77777777" w:rsidR="00115458" w:rsidRPr="00CF056D" w:rsidRDefault="00115458" w:rsidP="000C1365">
            <w:pPr>
              <w:jc w:val="center"/>
              <w:rPr>
                <w:rFonts w:cs="Arial"/>
                <w:color w:val="000000"/>
              </w:rPr>
            </w:pPr>
          </w:p>
        </w:tc>
        <w:tc>
          <w:tcPr>
            <w:tcW w:w="709" w:type="dxa"/>
            <w:noWrap/>
            <w:vAlign w:val="bottom"/>
          </w:tcPr>
          <w:p w14:paraId="5AD5CBAF"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56F3D0C4" w14:textId="77777777" w:rsidR="00115458" w:rsidRPr="00CF056D" w:rsidRDefault="00115458" w:rsidP="000C1365">
            <w:pPr>
              <w:jc w:val="center"/>
              <w:rPr>
                <w:rFonts w:cs="Arial"/>
                <w:color w:val="000000"/>
              </w:rPr>
            </w:pPr>
          </w:p>
        </w:tc>
        <w:tc>
          <w:tcPr>
            <w:tcW w:w="567" w:type="dxa"/>
            <w:noWrap/>
            <w:vAlign w:val="bottom"/>
          </w:tcPr>
          <w:p w14:paraId="629CC106" w14:textId="77777777" w:rsidR="00115458" w:rsidRPr="00CF056D" w:rsidRDefault="00115458" w:rsidP="000C1365">
            <w:pPr>
              <w:jc w:val="center"/>
              <w:rPr>
                <w:rFonts w:ascii="Wingdings 2" w:hAnsi="Wingdings 2" w:cs="Calibri" w:hint="eastAsia"/>
                <w:color w:val="000000"/>
              </w:rPr>
            </w:pPr>
          </w:p>
        </w:tc>
        <w:tc>
          <w:tcPr>
            <w:tcW w:w="567" w:type="dxa"/>
            <w:noWrap/>
            <w:vAlign w:val="bottom"/>
          </w:tcPr>
          <w:p w14:paraId="32A5EA82" w14:textId="77777777" w:rsidR="00115458" w:rsidRPr="00CF056D" w:rsidRDefault="00115458" w:rsidP="000C1365">
            <w:pPr>
              <w:jc w:val="center"/>
              <w:rPr>
                <w:rFonts w:cs="Arial"/>
                <w:color w:val="000000"/>
              </w:rPr>
            </w:pPr>
          </w:p>
        </w:tc>
        <w:tc>
          <w:tcPr>
            <w:tcW w:w="567" w:type="dxa"/>
            <w:noWrap/>
            <w:vAlign w:val="bottom"/>
          </w:tcPr>
          <w:p w14:paraId="22224336" w14:textId="77777777" w:rsidR="00115458" w:rsidRPr="00CF056D" w:rsidRDefault="00115458" w:rsidP="000C1365">
            <w:pPr>
              <w:jc w:val="center"/>
              <w:rPr>
                <w:rFonts w:cs="Arial"/>
                <w:color w:val="000000"/>
              </w:rPr>
            </w:pPr>
          </w:p>
        </w:tc>
        <w:tc>
          <w:tcPr>
            <w:tcW w:w="709" w:type="dxa"/>
            <w:noWrap/>
            <w:vAlign w:val="bottom"/>
          </w:tcPr>
          <w:p w14:paraId="17793B1F" w14:textId="77777777" w:rsidR="00115458" w:rsidRPr="00CF056D" w:rsidRDefault="00115458" w:rsidP="000C1365">
            <w:pPr>
              <w:jc w:val="center"/>
              <w:rPr>
                <w:rFonts w:cs="Arial"/>
                <w:color w:val="000000"/>
              </w:rPr>
            </w:pPr>
          </w:p>
        </w:tc>
        <w:tc>
          <w:tcPr>
            <w:tcW w:w="646" w:type="dxa"/>
            <w:noWrap/>
            <w:vAlign w:val="bottom"/>
          </w:tcPr>
          <w:p w14:paraId="20DDD933"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32BB9303" w14:textId="77777777" w:rsidTr="00F4606C">
        <w:trPr>
          <w:trHeight w:val="300"/>
        </w:trPr>
        <w:tc>
          <w:tcPr>
            <w:tcW w:w="2263" w:type="dxa"/>
            <w:noWrap/>
            <w:vAlign w:val="center"/>
          </w:tcPr>
          <w:p w14:paraId="758649CA" w14:textId="77777777" w:rsidR="00115458" w:rsidRPr="00F4606C" w:rsidRDefault="00115458" w:rsidP="00F4606C">
            <w:pPr>
              <w:spacing w:after="0" w:line="240" w:lineRule="auto"/>
              <w:rPr>
                <w:rFonts w:cs="Arial"/>
                <w:iCs/>
              </w:rPr>
            </w:pPr>
            <w:r w:rsidRPr="00F4606C">
              <w:rPr>
                <w:rFonts w:cs="Arial"/>
                <w:iCs/>
              </w:rPr>
              <w:t>Excluded from NCMI – Non-primary production</w:t>
            </w:r>
          </w:p>
        </w:tc>
        <w:tc>
          <w:tcPr>
            <w:tcW w:w="1276" w:type="dxa"/>
            <w:noWrap/>
            <w:vAlign w:val="center"/>
          </w:tcPr>
          <w:p w14:paraId="3BC9C9B0" w14:textId="77777777" w:rsidR="00115458" w:rsidRPr="00F4606C" w:rsidRDefault="00115458" w:rsidP="000C1365">
            <w:pPr>
              <w:jc w:val="center"/>
              <w:rPr>
                <w:rFonts w:cs="Arial"/>
              </w:rPr>
            </w:pPr>
            <w:r w:rsidRPr="00F4606C">
              <w:rPr>
                <w:rFonts w:cs="Arial"/>
              </w:rPr>
              <w:t>9.138</w:t>
            </w:r>
          </w:p>
        </w:tc>
        <w:tc>
          <w:tcPr>
            <w:tcW w:w="709" w:type="dxa"/>
            <w:noWrap/>
            <w:vAlign w:val="bottom"/>
          </w:tcPr>
          <w:p w14:paraId="474B2FCA"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2A7543D5" w14:textId="77777777" w:rsidR="00115458" w:rsidRPr="00CF056D" w:rsidRDefault="00115458" w:rsidP="000C1365">
            <w:pPr>
              <w:jc w:val="center"/>
              <w:rPr>
                <w:rFonts w:cs="Arial"/>
                <w:color w:val="000000"/>
              </w:rPr>
            </w:pPr>
          </w:p>
        </w:tc>
        <w:tc>
          <w:tcPr>
            <w:tcW w:w="709" w:type="dxa"/>
            <w:noWrap/>
            <w:vAlign w:val="bottom"/>
          </w:tcPr>
          <w:p w14:paraId="6FB807FC"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021744F0" w14:textId="77777777" w:rsidR="00115458" w:rsidRPr="00CF056D" w:rsidRDefault="00115458" w:rsidP="000C1365">
            <w:pPr>
              <w:jc w:val="center"/>
              <w:rPr>
                <w:rFonts w:cs="Arial"/>
                <w:color w:val="000000"/>
              </w:rPr>
            </w:pPr>
          </w:p>
        </w:tc>
        <w:tc>
          <w:tcPr>
            <w:tcW w:w="567" w:type="dxa"/>
            <w:noWrap/>
            <w:vAlign w:val="bottom"/>
          </w:tcPr>
          <w:p w14:paraId="51BC5E5D" w14:textId="77777777" w:rsidR="00115458" w:rsidRPr="00CF056D" w:rsidRDefault="00115458" w:rsidP="000C1365">
            <w:pPr>
              <w:jc w:val="center"/>
              <w:rPr>
                <w:rFonts w:ascii="Wingdings 2" w:hAnsi="Wingdings 2" w:cs="Calibri" w:hint="eastAsia"/>
                <w:color w:val="000000"/>
              </w:rPr>
            </w:pPr>
          </w:p>
        </w:tc>
        <w:tc>
          <w:tcPr>
            <w:tcW w:w="567" w:type="dxa"/>
            <w:noWrap/>
            <w:vAlign w:val="bottom"/>
          </w:tcPr>
          <w:p w14:paraId="427CF1F3" w14:textId="77777777" w:rsidR="00115458" w:rsidRPr="00CF056D" w:rsidRDefault="00115458" w:rsidP="000C1365">
            <w:pPr>
              <w:jc w:val="center"/>
              <w:rPr>
                <w:rFonts w:cs="Arial"/>
                <w:color w:val="000000"/>
              </w:rPr>
            </w:pPr>
          </w:p>
        </w:tc>
        <w:tc>
          <w:tcPr>
            <w:tcW w:w="567" w:type="dxa"/>
            <w:noWrap/>
            <w:vAlign w:val="bottom"/>
          </w:tcPr>
          <w:p w14:paraId="4E5AD1CA" w14:textId="77777777" w:rsidR="00115458" w:rsidRPr="00CF056D" w:rsidRDefault="00115458" w:rsidP="000C1365">
            <w:pPr>
              <w:jc w:val="center"/>
              <w:rPr>
                <w:rFonts w:cs="Arial"/>
                <w:color w:val="000000"/>
              </w:rPr>
            </w:pPr>
          </w:p>
        </w:tc>
        <w:tc>
          <w:tcPr>
            <w:tcW w:w="709" w:type="dxa"/>
            <w:noWrap/>
            <w:vAlign w:val="bottom"/>
          </w:tcPr>
          <w:p w14:paraId="0D2F1C69" w14:textId="77777777" w:rsidR="00115458" w:rsidRPr="00CF056D" w:rsidRDefault="00115458" w:rsidP="000C1365">
            <w:pPr>
              <w:jc w:val="center"/>
              <w:rPr>
                <w:rFonts w:cs="Arial"/>
                <w:color w:val="000000"/>
              </w:rPr>
            </w:pPr>
          </w:p>
        </w:tc>
        <w:tc>
          <w:tcPr>
            <w:tcW w:w="646" w:type="dxa"/>
            <w:noWrap/>
            <w:vAlign w:val="bottom"/>
          </w:tcPr>
          <w:p w14:paraId="63619C71"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60FC1943" w14:textId="77777777" w:rsidTr="00F4606C">
        <w:trPr>
          <w:trHeight w:val="300"/>
        </w:trPr>
        <w:tc>
          <w:tcPr>
            <w:tcW w:w="2263" w:type="dxa"/>
            <w:noWrap/>
            <w:vAlign w:val="center"/>
          </w:tcPr>
          <w:p w14:paraId="6103AC82" w14:textId="77777777" w:rsidR="00115458" w:rsidRPr="00F4606C" w:rsidRDefault="00115458" w:rsidP="00F4606C">
            <w:pPr>
              <w:spacing w:after="0" w:line="240" w:lineRule="auto"/>
              <w:rPr>
                <w:rFonts w:cs="Arial"/>
                <w:iCs/>
              </w:rPr>
            </w:pPr>
            <w:r w:rsidRPr="00F4606C">
              <w:rPr>
                <w:rFonts w:cs="Arial"/>
                <w:iCs/>
              </w:rPr>
              <w:t>Excluded from NCMI – Primary production</w:t>
            </w:r>
          </w:p>
        </w:tc>
        <w:tc>
          <w:tcPr>
            <w:tcW w:w="1276" w:type="dxa"/>
            <w:noWrap/>
            <w:vAlign w:val="center"/>
          </w:tcPr>
          <w:p w14:paraId="64FDEFEF" w14:textId="77777777" w:rsidR="00115458" w:rsidRPr="00F4606C" w:rsidRDefault="00115458" w:rsidP="000C1365">
            <w:pPr>
              <w:jc w:val="center"/>
              <w:rPr>
                <w:rFonts w:cs="Arial"/>
              </w:rPr>
            </w:pPr>
            <w:r w:rsidRPr="00F4606C">
              <w:rPr>
                <w:rFonts w:cs="Arial"/>
              </w:rPr>
              <w:t>9.139</w:t>
            </w:r>
          </w:p>
        </w:tc>
        <w:tc>
          <w:tcPr>
            <w:tcW w:w="709" w:type="dxa"/>
            <w:noWrap/>
            <w:vAlign w:val="bottom"/>
          </w:tcPr>
          <w:p w14:paraId="7CEA9590"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4E78AB2D" w14:textId="77777777" w:rsidR="00115458" w:rsidRPr="00CF056D" w:rsidRDefault="00115458" w:rsidP="000C1365">
            <w:pPr>
              <w:jc w:val="center"/>
              <w:rPr>
                <w:rFonts w:cs="Arial"/>
                <w:color w:val="000000"/>
              </w:rPr>
            </w:pPr>
          </w:p>
        </w:tc>
        <w:tc>
          <w:tcPr>
            <w:tcW w:w="709" w:type="dxa"/>
            <w:noWrap/>
            <w:vAlign w:val="bottom"/>
          </w:tcPr>
          <w:p w14:paraId="064BAC8D"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2027507A" w14:textId="77777777" w:rsidR="00115458" w:rsidRPr="00CF056D" w:rsidRDefault="00115458" w:rsidP="000C1365">
            <w:pPr>
              <w:jc w:val="center"/>
              <w:rPr>
                <w:rFonts w:cs="Arial"/>
                <w:color w:val="000000"/>
              </w:rPr>
            </w:pPr>
          </w:p>
        </w:tc>
        <w:tc>
          <w:tcPr>
            <w:tcW w:w="567" w:type="dxa"/>
            <w:noWrap/>
            <w:vAlign w:val="bottom"/>
          </w:tcPr>
          <w:p w14:paraId="1F471517" w14:textId="77777777" w:rsidR="00115458" w:rsidRPr="00CF056D" w:rsidRDefault="00115458" w:rsidP="000C1365">
            <w:pPr>
              <w:jc w:val="center"/>
              <w:rPr>
                <w:rFonts w:ascii="Wingdings 2" w:hAnsi="Wingdings 2" w:cs="Calibri" w:hint="eastAsia"/>
                <w:color w:val="000000"/>
              </w:rPr>
            </w:pPr>
          </w:p>
        </w:tc>
        <w:tc>
          <w:tcPr>
            <w:tcW w:w="567" w:type="dxa"/>
            <w:noWrap/>
            <w:vAlign w:val="bottom"/>
          </w:tcPr>
          <w:p w14:paraId="0500D2C0" w14:textId="77777777" w:rsidR="00115458" w:rsidRPr="00CF056D" w:rsidRDefault="00115458" w:rsidP="000C1365">
            <w:pPr>
              <w:jc w:val="center"/>
              <w:rPr>
                <w:rFonts w:cs="Arial"/>
                <w:color w:val="000000"/>
              </w:rPr>
            </w:pPr>
          </w:p>
        </w:tc>
        <w:tc>
          <w:tcPr>
            <w:tcW w:w="567" w:type="dxa"/>
            <w:noWrap/>
            <w:vAlign w:val="bottom"/>
          </w:tcPr>
          <w:p w14:paraId="0BA1B67E" w14:textId="77777777" w:rsidR="00115458" w:rsidRPr="00CF056D" w:rsidRDefault="00115458" w:rsidP="000C1365">
            <w:pPr>
              <w:jc w:val="center"/>
              <w:rPr>
                <w:rFonts w:cs="Arial"/>
                <w:color w:val="000000"/>
              </w:rPr>
            </w:pPr>
          </w:p>
        </w:tc>
        <w:tc>
          <w:tcPr>
            <w:tcW w:w="709" w:type="dxa"/>
            <w:noWrap/>
            <w:vAlign w:val="bottom"/>
          </w:tcPr>
          <w:p w14:paraId="55E2AFBA" w14:textId="77777777" w:rsidR="00115458" w:rsidRPr="00CF056D" w:rsidRDefault="00115458" w:rsidP="000C1365">
            <w:pPr>
              <w:jc w:val="center"/>
              <w:rPr>
                <w:rFonts w:cs="Arial"/>
                <w:color w:val="000000"/>
              </w:rPr>
            </w:pPr>
          </w:p>
        </w:tc>
        <w:tc>
          <w:tcPr>
            <w:tcW w:w="646" w:type="dxa"/>
            <w:noWrap/>
            <w:vAlign w:val="bottom"/>
          </w:tcPr>
          <w:p w14:paraId="747C55FF"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7AA0431B" w14:textId="77777777" w:rsidTr="00F4606C">
        <w:trPr>
          <w:trHeight w:val="300"/>
        </w:trPr>
        <w:tc>
          <w:tcPr>
            <w:tcW w:w="2263" w:type="dxa"/>
            <w:noWrap/>
            <w:vAlign w:val="center"/>
          </w:tcPr>
          <w:p w14:paraId="42620278" w14:textId="77777777" w:rsidR="00115458" w:rsidRPr="00F4606C" w:rsidRDefault="00115458" w:rsidP="00F4606C">
            <w:pPr>
              <w:spacing w:after="0" w:line="240" w:lineRule="auto"/>
              <w:rPr>
                <w:rFonts w:cs="Arial"/>
                <w:iCs/>
              </w:rPr>
            </w:pPr>
            <w:r w:rsidRPr="00F4606C">
              <w:rPr>
                <w:rFonts w:cs="Arial"/>
                <w:iCs/>
              </w:rPr>
              <w:t>NCMI Capital Gains</w:t>
            </w:r>
          </w:p>
        </w:tc>
        <w:tc>
          <w:tcPr>
            <w:tcW w:w="1276" w:type="dxa"/>
            <w:noWrap/>
            <w:vAlign w:val="center"/>
          </w:tcPr>
          <w:p w14:paraId="45059B59" w14:textId="77777777" w:rsidR="00115458" w:rsidRPr="00F4606C" w:rsidRDefault="00115458" w:rsidP="000C1365">
            <w:pPr>
              <w:jc w:val="center"/>
              <w:rPr>
                <w:rFonts w:cs="Arial"/>
              </w:rPr>
            </w:pPr>
            <w:r w:rsidRPr="00F4606C">
              <w:rPr>
                <w:rFonts w:cs="Arial"/>
              </w:rPr>
              <w:t>9.140</w:t>
            </w:r>
          </w:p>
        </w:tc>
        <w:tc>
          <w:tcPr>
            <w:tcW w:w="709" w:type="dxa"/>
            <w:noWrap/>
            <w:vAlign w:val="bottom"/>
          </w:tcPr>
          <w:p w14:paraId="03257270"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4EA3E2A4" w14:textId="77777777" w:rsidR="00115458" w:rsidRPr="00CF056D" w:rsidRDefault="00115458" w:rsidP="000C1365">
            <w:pPr>
              <w:jc w:val="center"/>
              <w:rPr>
                <w:rFonts w:cs="Arial"/>
                <w:color w:val="000000"/>
              </w:rPr>
            </w:pPr>
          </w:p>
        </w:tc>
        <w:tc>
          <w:tcPr>
            <w:tcW w:w="709" w:type="dxa"/>
            <w:noWrap/>
            <w:vAlign w:val="bottom"/>
          </w:tcPr>
          <w:p w14:paraId="003A9104"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61D9EBFE" w14:textId="77777777" w:rsidR="00115458" w:rsidRPr="00CF056D" w:rsidRDefault="00115458" w:rsidP="000C1365">
            <w:pPr>
              <w:jc w:val="center"/>
              <w:rPr>
                <w:rFonts w:cs="Arial"/>
                <w:color w:val="000000"/>
              </w:rPr>
            </w:pPr>
          </w:p>
        </w:tc>
        <w:tc>
          <w:tcPr>
            <w:tcW w:w="567" w:type="dxa"/>
            <w:noWrap/>
            <w:vAlign w:val="bottom"/>
          </w:tcPr>
          <w:p w14:paraId="003F4931" w14:textId="77777777" w:rsidR="00115458" w:rsidRPr="00CF056D" w:rsidRDefault="00115458" w:rsidP="000C1365">
            <w:pPr>
              <w:jc w:val="center"/>
              <w:rPr>
                <w:rFonts w:ascii="Wingdings 2" w:hAnsi="Wingdings 2" w:cs="Calibri" w:hint="eastAsia"/>
                <w:color w:val="000000"/>
              </w:rPr>
            </w:pPr>
          </w:p>
        </w:tc>
        <w:tc>
          <w:tcPr>
            <w:tcW w:w="567" w:type="dxa"/>
            <w:noWrap/>
            <w:vAlign w:val="bottom"/>
          </w:tcPr>
          <w:p w14:paraId="16E79D77" w14:textId="77777777" w:rsidR="00115458" w:rsidRPr="00CF056D" w:rsidRDefault="00115458" w:rsidP="000C1365">
            <w:pPr>
              <w:jc w:val="center"/>
              <w:rPr>
                <w:rFonts w:cs="Arial"/>
                <w:color w:val="000000"/>
              </w:rPr>
            </w:pPr>
          </w:p>
        </w:tc>
        <w:tc>
          <w:tcPr>
            <w:tcW w:w="567" w:type="dxa"/>
            <w:noWrap/>
            <w:vAlign w:val="bottom"/>
          </w:tcPr>
          <w:p w14:paraId="4E90AEB4" w14:textId="77777777" w:rsidR="00115458" w:rsidRPr="00CF056D" w:rsidRDefault="00115458" w:rsidP="000C1365">
            <w:pPr>
              <w:jc w:val="center"/>
              <w:rPr>
                <w:rFonts w:cs="Arial"/>
                <w:color w:val="000000"/>
              </w:rPr>
            </w:pPr>
          </w:p>
        </w:tc>
        <w:tc>
          <w:tcPr>
            <w:tcW w:w="709" w:type="dxa"/>
            <w:noWrap/>
            <w:vAlign w:val="bottom"/>
          </w:tcPr>
          <w:p w14:paraId="1F8B1ABF" w14:textId="77777777" w:rsidR="00115458" w:rsidRPr="00CF056D" w:rsidRDefault="00115458" w:rsidP="000C1365">
            <w:pPr>
              <w:jc w:val="center"/>
              <w:rPr>
                <w:rFonts w:cs="Arial"/>
                <w:color w:val="000000"/>
              </w:rPr>
            </w:pPr>
          </w:p>
        </w:tc>
        <w:tc>
          <w:tcPr>
            <w:tcW w:w="646" w:type="dxa"/>
            <w:noWrap/>
            <w:vAlign w:val="bottom"/>
          </w:tcPr>
          <w:p w14:paraId="368DD7E5"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8E3F77" w:rsidRPr="00B41954" w14:paraId="40D0090B" w14:textId="77777777" w:rsidTr="00F4606C">
        <w:trPr>
          <w:trHeight w:val="300"/>
        </w:trPr>
        <w:tc>
          <w:tcPr>
            <w:tcW w:w="2263" w:type="dxa"/>
            <w:noWrap/>
            <w:vAlign w:val="center"/>
          </w:tcPr>
          <w:p w14:paraId="713B579E" w14:textId="77777777" w:rsidR="00115458" w:rsidRPr="00F4606C" w:rsidRDefault="00115458" w:rsidP="00F4606C">
            <w:pPr>
              <w:spacing w:after="0" w:line="240" w:lineRule="auto"/>
              <w:rPr>
                <w:rFonts w:cs="Arial"/>
                <w:iCs/>
              </w:rPr>
            </w:pPr>
            <w:r w:rsidRPr="00F4606C">
              <w:rPr>
                <w:rFonts w:cs="Arial"/>
                <w:iCs/>
              </w:rPr>
              <w:t>Excluded from NCMI Capital Gains</w:t>
            </w:r>
          </w:p>
        </w:tc>
        <w:tc>
          <w:tcPr>
            <w:tcW w:w="1276" w:type="dxa"/>
            <w:noWrap/>
            <w:vAlign w:val="center"/>
          </w:tcPr>
          <w:p w14:paraId="0C9D4F7F" w14:textId="77777777" w:rsidR="00115458" w:rsidRPr="00F4606C" w:rsidRDefault="00115458" w:rsidP="000C1365">
            <w:pPr>
              <w:jc w:val="center"/>
              <w:rPr>
                <w:rFonts w:cs="Arial"/>
              </w:rPr>
            </w:pPr>
            <w:r w:rsidRPr="00F4606C">
              <w:rPr>
                <w:rFonts w:cs="Arial"/>
              </w:rPr>
              <w:t>9.141</w:t>
            </w:r>
          </w:p>
        </w:tc>
        <w:tc>
          <w:tcPr>
            <w:tcW w:w="709" w:type="dxa"/>
            <w:noWrap/>
            <w:vAlign w:val="bottom"/>
          </w:tcPr>
          <w:p w14:paraId="09FF81CC"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2A232D9A" w14:textId="77777777" w:rsidR="00115458" w:rsidRPr="00CF056D" w:rsidRDefault="00115458" w:rsidP="000C1365">
            <w:pPr>
              <w:jc w:val="center"/>
              <w:rPr>
                <w:rFonts w:cs="Arial"/>
                <w:color w:val="000000"/>
              </w:rPr>
            </w:pPr>
          </w:p>
        </w:tc>
        <w:tc>
          <w:tcPr>
            <w:tcW w:w="709" w:type="dxa"/>
            <w:noWrap/>
            <w:vAlign w:val="bottom"/>
          </w:tcPr>
          <w:p w14:paraId="22993328" w14:textId="77777777" w:rsidR="00115458" w:rsidRPr="00CF056D" w:rsidRDefault="00115458" w:rsidP="000C1365">
            <w:pPr>
              <w:jc w:val="center"/>
              <w:rPr>
                <w:rFonts w:ascii="Wingdings 2" w:hAnsi="Wingdings 2" w:cs="Calibri" w:hint="eastAsia"/>
                <w:color w:val="000000"/>
              </w:rPr>
            </w:pPr>
          </w:p>
        </w:tc>
        <w:tc>
          <w:tcPr>
            <w:tcW w:w="708" w:type="dxa"/>
            <w:noWrap/>
            <w:vAlign w:val="bottom"/>
          </w:tcPr>
          <w:p w14:paraId="6A4C4093" w14:textId="77777777" w:rsidR="00115458" w:rsidRPr="00CF056D" w:rsidRDefault="00115458" w:rsidP="000C1365">
            <w:pPr>
              <w:jc w:val="center"/>
              <w:rPr>
                <w:rFonts w:cs="Arial"/>
                <w:color w:val="000000"/>
              </w:rPr>
            </w:pPr>
          </w:p>
        </w:tc>
        <w:tc>
          <w:tcPr>
            <w:tcW w:w="567" w:type="dxa"/>
            <w:noWrap/>
            <w:vAlign w:val="bottom"/>
          </w:tcPr>
          <w:p w14:paraId="0A562657" w14:textId="77777777" w:rsidR="00115458" w:rsidRPr="00CF056D" w:rsidRDefault="00115458" w:rsidP="000C1365">
            <w:pPr>
              <w:jc w:val="center"/>
              <w:rPr>
                <w:rFonts w:ascii="Wingdings 2" w:hAnsi="Wingdings 2" w:cs="Calibri" w:hint="eastAsia"/>
                <w:color w:val="000000"/>
              </w:rPr>
            </w:pPr>
          </w:p>
        </w:tc>
        <w:tc>
          <w:tcPr>
            <w:tcW w:w="567" w:type="dxa"/>
            <w:noWrap/>
            <w:vAlign w:val="bottom"/>
          </w:tcPr>
          <w:p w14:paraId="26099067" w14:textId="77777777" w:rsidR="00115458" w:rsidRPr="00CF056D" w:rsidRDefault="00115458" w:rsidP="000C1365">
            <w:pPr>
              <w:jc w:val="center"/>
              <w:rPr>
                <w:rFonts w:cs="Arial"/>
                <w:color w:val="000000"/>
              </w:rPr>
            </w:pPr>
          </w:p>
        </w:tc>
        <w:tc>
          <w:tcPr>
            <w:tcW w:w="567" w:type="dxa"/>
            <w:noWrap/>
            <w:vAlign w:val="bottom"/>
          </w:tcPr>
          <w:p w14:paraId="57F58D1E" w14:textId="77777777" w:rsidR="00115458" w:rsidRPr="00CF056D" w:rsidRDefault="00115458" w:rsidP="000C1365">
            <w:pPr>
              <w:jc w:val="center"/>
              <w:rPr>
                <w:rFonts w:cs="Arial"/>
                <w:color w:val="000000"/>
              </w:rPr>
            </w:pPr>
          </w:p>
        </w:tc>
        <w:tc>
          <w:tcPr>
            <w:tcW w:w="709" w:type="dxa"/>
            <w:noWrap/>
            <w:vAlign w:val="bottom"/>
          </w:tcPr>
          <w:p w14:paraId="02339F9A" w14:textId="77777777" w:rsidR="00115458" w:rsidRPr="00CF056D" w:rsidRDefault="00115458" w:rsidP="000C1365">
            <w:pPr>
              <w:jc w:val="center"/>
              <w:rPr>
                <w:rFonts w:cs="Arial"/>
                <w:color w:val="000000"/>
              </w:rPr>
            </w:pPr>
          </w:p>
        </w:tc>
        <w:tc>
          <w:tcPr>
            <w:tcW w:w="646" w:type="dxa"/>
            <w:noWrap/>
            <w:vAlign w:val="bottom"/>
          </w:tcPr>
          <w:p w14:paraId="117E9969" w14:textId="77777777" w:rsidR="00115458" w:rsidRPr="00CF056D" w:rsidRDefault="00115458" w:rsidP="000C1365">
            <w:pPr>
              <w:jc w:val="center"/>
              <w:rPr>
                <w:rFonts w:ascii="Wingdings 2" w:hAnsi="Wingdings 2" w:cs="Calibri" w:hint="eastAsia"/>
                <w:color w:val="000000"/>
              </w:rPr>
            </w:pPr>
            <w:r w:rsidRPr="00CF056D">
              <w:rPr>
                <w:rFonts w:ascii="Wingdings 2" w:hAnsi="Wingdings 2" w:cs="Calibri"/>
                <w:color w:val="000000"/>
              </w:rPr>
              <w:t></w:t>
            </w:r>
          </w:p>
        </w:tc>
      </w:tr>
      <w:tr w:rsidR="00906E33" w:rsidRPr="00B41954" w14:paraId="6762B5AA" w14:textId="77777777" w:rsidTr="00F4606C">
        <w:trPr>
          <w:trHeight w:val="300"/>
        </w:trPr>
        <w:tc>
          <w:tcPr>
            <w:tcW w:w="2263" w:type="dxa"/>
            <w:noWrap/>
            <w:vAlign w:val="center"/>
          </w:tcPr>
          <w:p w14:paraId="2962345E" w14:textId="43DA8E4D" w:rsidR="00906E33" w:rsidRPr="00F4606C" w:rsidRDefault="001D58DC" w:rsidP="00F4606C">
            <w:pPr>
              <w:spacing w:after="0" w:line="240" w:lineRule="auto"/>
              <w:rPr>
                <w:rFonts w:cs="Arial"/>
                <w:iCs/>
              </w:rPr>
            </w:pPr>
            <w:r w:rsidRPr="001D58DC">
              <w:rPr>
                <w:rFonts w:cs="Arial"/>
                <w:iCs/>
              </w:rPr>
              <w:t>BTR entity or payment recipient</w:t>
            </w:r>
          </w:p>
        </w:tc>
        <w:tc>
          <w:tcPr>
            <w:tcW w:w="1276" w:type="dxa"/>
            <w:noWrap/>
            <w:vAlign w:val="center"/>
          </w:tcPr>
          <w:p w14:paraId="377FC766" w14:textId="3006564D" w:rsidR="00906E33" w:rsidRPr="00F4606C" w:rsidRDefault="001D58DC" w:rsidP="000C1365">
            <w:pPr>
              <w:jc w:val="center"/>
              <w:rPr>
                <w:rFonts w:cs="Arial"/>
              </w:rPr>
            </w:pPr>
            <w:r w:rsidRPr="001D58DC">
              <w:rPr>
                <w:rFonts w:cs="Arial"/>
              </w:rPr>
              <w:t>9.142</w:t>
            </w:r>
          </w:p>
        </w:tc>
        <w:tc>
          <w:tcPr>
            <w:tcW w:w="709" w:type="dxa"/>
            <w:noWrap/>
            <w:vAlign w:val="bottom"/>
          </w:tcPr>
          <w:p w14:paraId="3C11784F" w14:textId="5E28EDB4" w:rsidR="00906E33" w:rsidRPr="00CF056D" w:rsidRDefault="001D58DC"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054149E4" w14:textId="77777777" w:rsidR="00906E33" w:rsidRPr="00CF056D" w:rsidRDefault="00906E33" w:rsidP="000C1365">
            <w:pPr>
              <w:jc w:val="center"/>
              <w:rPr>
                <w:rFonts w:cs="Arial"/>
                <w:color w:val="000000"/>
              </w:rPr>
            </w:pPr>
          </w:p>
        </w:tc>
        <w:tc>
          <w:tcPr>
            <w:tcW w:w="709" w:type="dxa"/>
            <w:noWrap/>
            <w:vAlign w:val="bottom"/>
          </w:tcPr>
          <w:p w14:paraId="34BC657A" w14:textId="77777777" w:rsidR="00906E33" w:rsidRPr="00CF056D" w:rsidRDefault="00906E33" w:rsidP="000C1365">
            <w:pPr>
              <w:jc w:val="center"/>
              <w:rPr>
                <w:rFonts w:ascii="Wingdings 2" w:hAnsi="Wingdings 2" w:cs="Calibri" w:hint="eastAsia"/>
                <w:color w:val="000000"/>
              </w:rPr>
            </w:pPr>
          </w:p>
        </w:tc>
        <w:tc>
          <w:tcPr>
            <w:tcW w:w="708" w:type="dxa"/>
            <w:noWrap/>
            <w:vAlign w:val="bottom"/>
          </w:tcPr>
          <w:p w14:paraId="3A8DD542" w14:textId="77777777" w:rsidR="00906E33" w:rsidRPr="00CF056D" w:rsidRDefault="00906E33" w:rsidP="000C1365">
            <w:pPr>
              <w:jc w:val="center"/>
              <w:rPr>
                <w:rFonts w:cs="Arial"/>
                <w:color w:val="000000"/>
              </w:rPr>
            </w:pPr>
          </w:p>
        </w:tc>
        <w:tc>
          <w:tcPr>
            <w:tcW w:w="567" w:type="dxa"/>
            <w:noWrap/>
            <w:vAlign w:val="bottom"/>
          </w:tcPr>
          <w:p w14:paraId="6E3B19F1" w14:textId="77777777" w:rsidR="00906E33" w:rsidRPr="00CF056D" w:rsidRDefault="00906E33" w:rsidP="000C1365">
            <w:pPr>
              <w:jc w:val="center"/>
              <w:rPr>
                <w:rFonts w:ascii="Wingdings 2" w:hAnsi="Wingdings 2" w:cs="Calibri" w:hint="eastAsia"/>
                <w:color w:val="000000"/>
              </w:rPr>
            </w:pPr>
          </w:p>
        </w:tc>
        <w:tc>
          <w:tcPr>
            <w:tcW w:w="567" w:type="dxa"/>
            <w:noWrap/>
            <w:vAlign w:val="bottom"/>
          </w:tcPr>
          <w:p w14:paraId="6C5F3200" w14:textId="77777777" w:rsidR="00906E33" w:rsidRPr="00CF056D" w:rsidRDefault="00906E33" w:rsidP="000C1365">
            <w:pPr>
              <w:jc w:val="center"/>
              <w:rPr>
                <w:rFonts w:cs="Arial"/>
                <w:color w:val="000000"/>
              </w:rPr>
            </w:pPr>
          </w:p>
        </w:tc>
        <w:tc>
          <w:tcPr>
            <w:tcW w:w="567" w:type="dxa"/>
            <w:noWrap/>
            <w:vAlign w:val="bottom"/>
          </w:tcPr>
          <w:p w14:paraId="1B0E2928" w14:textId="77777777" w:rsidR="00906E33" w:rsidRPr="00CF056D" w:rsidRDefault="00906E33" w:rsidP="000C1365">
            <w:pPr>
              <w:jc w:val="center"/>
              <w:rPr>
                <w:rFonts w:cs="Arial"/>
                <w:color w:val="000000"/>
              </w:rPr>
            </w:pPr>
          </w:p>
        </w:tc>
        <w:tc>
          <w:tcPr>
            <w:tcW w:w="709" w:type="dxa"/>
            <w:noWrap/>
            <w:vAlign w:val="bottom"/>
          </w:tcPr>
          <w:p w14:paraId="094DA074" w14:textId="77777777" w:rsidR="00906E33" w:rsidRPr="00CF056D" w:rsidRDefault="00906E33" w:rsidP="000C1365">
            <w:pPr>
              <w:jc w:val="center"/>
              <w:rPr>
                <w:rFonts w:cs="Arial"/>
                <w:color w:val="000000"/>
              </w:rPr>
            </w:pPr>
          </w:p>
        </w:tc>
        <w:tc>
          <w:tcPr>
            <w:tcW w:w="646" w:type="dxa"/>
            <w:noWrap/>
            <w:vAlign w:val="bottom"/>
          </w:tcPr>
          <w:p w14:paraId="0211291C" w14:textId="5D622725" w:rsidR="00906E33" w:rsidRPr="00CF056D" w:rsidRDefault="001D58DC" w:rsidP="000C1365">
            <w:pPr>
              <w:jc w:val="center"/>
              <w:rPr>
                <w:rFonts w:ascii="Wingdings 2" w:hAnsi="Wingdings 2" w:cs="Calibri" w:hint="eastAsia"/>
                <w:color w:val="000000"/>
              </w:rPr>
            </w:pPr>
            <w:r w:rsidRPr="00CF056D">
              <w:rPr>
                <w:rFonts w:ascii="Wingdings 2" w:hAnsi="Wingdings 2" w:cs="Calibri"/>
                <w:color w:val="000000"/>
              </w:rPr>
              <w:t></w:t>
            </w:r>
          </w:p>
        </w:tc>
      </w:tr>
      <w:tr w:rsidR="00906E33" w:rsidRPr="00B41954" w14:paraId="3CFCABE2" w14:textId="77777777" w:rsidTr="00F4606C">
        <w:trPr>
          <w:trHeight w:val="300"/>
        </w:trPr>
        <w:tc>
          <w:tcPr>
            <w:tcW w:w="2263" w:type="dxa"/>
            <w:noWrap/>
            <w:vAlign w:val="center"/>
          </w:tcPr>
          <w:p w14:paraId="07612F61" w14:textId="760BC4DA" w:rsidR="00906E33" w:rsidRPr="00F4606C" w:rsidRDefault="00037045" w:rsidP="00F4606C">
            <w:pPr>
              <w:spacing w:after="0" w:line="240" w:lineRule="auto"/>
              <w:rPr>
                <w:rFonts w:cs="Arial"/>
                <w:iCs/>
              </w:rPr>
            </w:pPr>
            <w:r w:rsidRPr="00037045">
              <w:rPr>
                <w:rFonts w:cs="Arial"/>
                <w:iCs/>
              </w:rPr>
              <w:t>ATO BTR development ID</w:t>
            </w:r>
          </w:p>
        </w:tc>
        <w:tc>
          <w:tcPr>
            <w:tcW w:w="1276" w:type="dxa"/>
            <w:noWrap/>
            <w:vAlign w:val="center"/>
          </w:tcPr>
          <w:p w14:paraId="36635BC7" w14:textId="0415EEED" w:rsidR="00906E33" w:rsidRPr="00F4606C" w:rsidRDefault="00037045" w:rsidP="000C1365">
            <w:pPr>
              <w:jc w:val="center"/>
              <w:rPr>
                <w:rFonts w:cs="Arial"/>
              </w:rPr>
            </w:pPr>
            <w:r>
              <w:rPr>
                <w:rFonts w:cs="Arial"/>
              </w:rPr>
              <w:t>9.143</w:t>
            </w:r>
          </w:p>
        </w:tc>
        <w:tc>
          <w:tcPr>
            <w:tcW w:w="709" w:type="dxa"/>
            <w:noWrap/>
            <w:vAlign w:val="bottom"/>
          </w:tcPr>
          <w:p w14:paraId="1CC4BC55" w14:textId="73DA0A95" w:rsidR="00906E33" w:rsidRPr="00CF056D" w:rsidRDefault="00037045"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4279D6F4" w14:textId="77777777" w:rsidR="00906E33" w:rsidRPr="00CF056D" w:rsidRDefault="00906E33" w:rsidP="000C1365">
            <w:pPr>
              <w:jc w:val="center"/>
              <w:rPr>
                <w:rFonts w:cs="Arial"/>
                <w:color w:val="000000"/>
              </w:rPr>
            </w:pPr>
          </w:p>
        </w:tc>
        <w:tc>
          <w:tcPr>
            <w:tcW w:w="709" w:type="dxa"/>
            <w:noWrap/>
            <w:vAlign w:val="bottom"/>
          </w:tcPr>
          <w:p w14:paraId="573832D2" w14:textId="77777777" w:rsidR="00906E33" w:rsidRPr="00CF056D" w:rsidRDefault="00906E33" w:rsidP="000C1365">
            <w:pPr>
              <w:jc w:val="center"/>
              <w:rPr>
                <w:rFonts w:ascii="Wingdings 2" w:hAnsi="Wingdings 2" w:cs="Calibri" w:hint="eastAsia"/>
                <w:color w:val="000000"/>
              </w:rPr>
            </w:pPr>
          </w:p>
        </w:tc>
        <w:tc>
          <w:tcPr>
            <w:tcW w:w="708" w:type="dxa"/>
            <w:noWrap/>
            <w:vAlign w:val="bottom"/>
          </w:tcPr>
          <w:p w14:paraId="22027683" w14:textId="77777777" w:rsidR="00906E33" w:rsidRPr="00CF056D" w:rsidRDefault="00906E33" w:rsidP="000C1365">
            <w:pPr>
              <w:jc w:val="center"/>
              <w:rPr>
                <w:rFonts w:cs="Arial"/>
                <w:color w:val="000000"/>
              </w:rPr>
            </w:pPr>
          </w:p>
        </w:tc>
        <w:tc>
          <w:tcPr>
            <w:tcW w:w="567" w:type="dxa"/>
            <w:noWrap/>
            <w:vAlign w:val="bottom"/>
          </w:tcPr>
          <w:p w14:paraId="5389395C" w14:textId="77777777" w:rsidR="00906E33" w:rsidRPr="00CF056D" w:rsidRDefault="00906E33" w:rsidP="000C1365">
            <w:pPr>
              <w:jc w:val="center"/>
              <w:rPr>
                <w:rFonts w:ascii="Wingdings 2" w:hAnsi="Wingdings 2" w:cs="Calibri" w:hint="eastAsia"/>
                <w:color w:val="000000"/>
              </w:rPr>
            </w:pPr>
          </w:p>
        </w:tc>
        <w:tc>
          <w:tcPr>
            <w:tcW w:w="567" w:type="dxa"/>
            <w:noWrap/>
            <w:vAlign w:val="bottom"/>
          </w:tcPr>
          <w:p w14:paraId="526A59FC" w14:textId="77777777" w:rsidR="00906E33" w:rsidRPr="00CF056D" w:rsidRDefault="00906E33" w:rsidP="000C1365">
            <w:pPr>
              <w:jc w:val="center"/>
              <w:rPr>
                <w:rFonts w:cs="Arial"/>
                <w:color w:val="000000"/>
              </w:rPr>
            </w:pPr>
          </w:p>
        </w:tc>
        <w:tc>
          <w:tcPr>
            <w:tcW w:w="567" w:type="dxa"/>
            <w:noWrap/>
            <w:vAlign w:val="bottom"/>
          </w:tcPr>
          <w:p w14:paraId="550AF109" w14:textId="77777777" w:rsidR="00906E33" w:rsidRPr="00CF056D" w:rsidRDefault="00906E33" w:rsidP="000C1365">
            <w:pPr>
              <w:jc w:val="center"/>
              <w:rPr>
                <w:rFonts w:cs="Arial"/>
                <w:color w:val="000000"/>
              </w:rPr>
            </w:pPr>
          </w:p>
        </w:tc>
        <w:tc>
          <w:tcPr>
            <w:tcW w:w="709" w:type="dxa"/>
            <w:noWrap/>
            <w:vAlign w:val="bottom"/>
          </w:tcPr>
          <w:p w14:paraId="1FCDD3F8" w14:textId="77777777" w:rsidR="00906E33" w:rsidRPr="00CF056D" w:rsidRDefault="00906E33" w:rsidP="000C1365">
            <w:pPr>
              <w:jc w:val="center"/>
              <w:rPr>
                <w:rFonts w:cs="Arial"/>
                <w:color w:val="000000"/>
              </w:rPr>
            </w:pPr>
          </w:p>
        </w:tc>
        <w:tc>
          <w:tcPr>
            <w:tcW w:w="646" w:type="dxa"/>
            <w:noWrap/>
            <w:vAlign w:val="bottom"/>
          </w:tcPr>
          <w:p w14:paraId="36498193" w14:textId="5BF788D6" w:rsidR="00906E33" w:rsidRPr="00CF056D" w:rsidRDefault="00037045" w:rsidP="000C1365">
            <w:pPr>
              <w:jc w:val="center"/>
              <w:rPr>
                <w:rFonts w:ascii="Wingdings 2" w:hAnsi="Wingdings 2" w:cs="Calibri" w:hint="eastAsia"/>
                <w:color w:val="000000"/>
              </w:rPr>
            </w:pPr>
            <w:r w:rsidRPr="00CF056D">
              <w:rPr>
                <w:rFonts w:ascii="Wingdings 2" w:hAnsi="Wingdings 2" w:cs="Calibri"/>
                <w:color w:val="000000"/>
              </w:rPr>
              <w:t></w:t>
            </w:r>
          </w:p>
        </w:tc>
      </w:tr>
      <w:tr w:rsidR="001D58DC" w:rsidRPr="00B41954" w14:paraId="14358BCD" w14:textId="77777777" w:rsidTr="00F4606C">
        <w:trPr>
          <w:trHeight w:val="300"/>
        </w:trPr>
        <w:tc>
          <w:tcPr>
            <w:tcW w:w="2263" w:type="dxa"/>
            <w:noWrap/>
            <w:vAlign w:val="center"/>
          </w:tcPr>
          <w:p w14:paraId="0365E3FE" w14:textId="28ED7A41" w:rsidR="001D58DC" w:rsidRPr="00F4606C" w:rsidRDefault="00050AFE" w:rsidP="00F4606C">
            <w:pPr>
              <w:spacing w:after="0" w:line="240" w:lineRule="auto"/>
              <w:rPr>
                <w:rFonts w:cs="Arial"/>
                <w:iCs/>
              </w:rPr>
            </w:pPr>
            <w:r w:rsidRPr="00050AFE">
              <w:rPr>
                <w:rFonts w:cs="Arial"/>
                <w:iCs/>
              </w:rPr>
              <w:t>BTR excluded from NCMI – non primary production</w:t>
            </w:r>
          </w:p>
        </w:tc>
        <w:tc>
          <w:tcPr>
            <w:tcW w:w="1276" w:type="dxa"/>
            <w:noWrap/>
            <w:vAlign w:val="center"/>
          </w:tcPr>
          <w:p w14:paraId="76E844F0" w14:textId="74E8BA44" w:rsidR="001D58DC" w:rsidRPr="00F4606C" w:rsidRDefault="00050AFE" w:rsidP="000C1365">
            <w:pPr>
              <w:jc w:val="center"/>
              <w:rPr>
                <w:rFonts w:cs="Arial"/>
              </w:rPr>
            </w:pPr>
            <w:r>
              <w:rPr>
                <w:rFonts w:cs="Arial"/>
              </w:rPr>
              <w:t>9.144</w:t>
            </w:r>
          </w:p>
        </w:tc>
        <w:tc>
          <w:tcPr>
            <w:tcW w:w="709" w:type="dxa"/>
            <w:noWrap/>
            <w:vAlign w:val="bottom"/>
          </w:tcPr>
          <w:p w14:paraId="47A997D5" w14:textId="1AD9BF16" w:rsidR="001D58DC" w:rsidRPr="00CF056D" w:rsidRDefault="00050AFE" w:rsidP="000C1365">
            <w:pPr>
              <w:jc w:val="center"/>
              <w:rPr>
                <w:rFonts w:ascii="Wingdings 2" w:hAnsi="Wingdings 2" w:cs="Calibri" w:hint="eastAsia"/>
                <w:color w:val="000000"/>
              </w:rPr>
            </w:pPr>
            <w:r w:rsidRPr="00050AFE">
              <w:rPr>
                <w:rFonts w:ascii="Wingdings 2" w:hAnsi="Wingdings 2" w:cs="Calibri"/>
                <w:color w:val="000000"/>
              </w:rPr>
              <w:t></w:t>
            </w:r>
          </w:p>
        </w:tc>
        <w:tc>
          <w:tcPr>
            <w:tcW w:w="567" w:type="dxa"/>
            <w:noWrap/>
            <w:vAlign w:val="bottom"/>
          </w:tcPr>
          <w:p w14:paraId="5032AEE7" w14:textId="77777777" w:rsidR="001D58DC" w:rsidRPr="00CF056D" w:rsidRDefault="001D58DC" w:rsidP="000C1365">
            <w:pPr>
              <w:jc w:val="center"/>
              <w:rPr>
                <w:rFonts w:cs="Arial"/>
                <w:color w:val="000000"/>
              </w:rPr>
            </w:pPr>
          </w:p>
        </w:tc>
        <w:tc>
          <w:tcPr>
            <w:tcW w:w="709" w:type="dxa"/>
            <w:noWrap/>
            <w:vAlign w:val="bottom"/>
          </w:tcPr>
          <w:p w14:paraId="436CBCAB" w14:textId="77777777" w:rsidR="001D58DC" w:rsidRPr="00CF056D" w:rsidRDefault="001D58DC" w:rsidP="000C1365">
            <w:pPr>
              <w:jc w:val="center"/>
              <w:rPr>
                <w:rFonts w:ascii="Wingdings 2" w:hAnsi="Wingdings 2" w:cs="Calibri" w:hint="eastAsia"/>
                <w:color w:val="000000"/>
              </w:rPr>
            </w:pPr>
          </w:p>
        </w:tc>
        <w:tc>
          <w:tcPr>
            <w:tcW w:w="708" w:type="dxa"/>
            <w:noWrap/>
            <w:vAlign w:val="bottom"/>
          </w:tcPr>
          <w:p w14:paraId="3D8EC36A" w14:textId="77777777" w:rsidR="001D58DC" w:rsidRPr="00CF056D" w:rsidRDefault="001D58DC" w:rsidP="000C1365">
            <w:pPr>
              <w:jc w:val="center"/>
              <w:rPr>
                <w:rFonts w:cs="Arial"/>
                <w:color w:val="000000"/>
              </w:rPr>
            </w:pPr>
          </w:p>
        </w:tc>
        <w:tc>
          <w:tcPr>
            <w:tcW w:w="567" w:type="dxa"/>
            <w:noWrap/>
            <w:vAlign w:val="bottom"/>
          </w:tcPr>
          <w:p w14:paraId="28EB8470" w14:textId="77777777" w:rsidR="001D58DC" w:rsidRPr="00CF056D" w:rsidRDefault="001D58DC" w:rsidP="000C1365">
            <w:pPr>
              <w:jc w:val="center"/>
              <w:rPr>
                <w:rFonts w:ascii="Wingdings 2" w:hAnsi="Wingdings 2" w:cs="Calibri" w:hint="eastAsia"/>
                <w:color w:val="000000"/>
              </w:rPr>
            </w:pPr>
          </w:p>
        </w:tc>
        <w:tc>
          <w:tcPr>
            <w:tcW w:w="567" w:type="dxa"/>
            <w:noWrap/>
            <w:vAlign w:val="bottom"/>
          </w:tcPr>
          <w:p w14:paraId="6E4488BD" w14:textId="77777777" w:rsidR="001D58DC" w:rsidRPr="00CF056D" w:rsidRDefault="001D58DC" w:rsidP="000C1365">
            <w:pPr>
              <w:jc w:val="center"/>
              <w:rPr>
                <w:rFonts w:cs="Arial"/>
                <w:color w:val="000000"/>
              </w:rPr>
            </w:pPr>
          </w:p>
        </w:tc>
        <w:tc>
          <w:tcPr>
            <w:tcW w:w="567" w:type="dxa"/>
            <w:noWrap/>
            <w:vAlign w:val="bottom"/>
          </w:tcPr>
          <w:p w14:paraId="563EA282" w14:textId="77777777" w:rsidR="001D58DC" w:rsidRPr="00CF056D" w:rsidRDefault="001D58DC" w:rsidP="000C1365">
            <w:pPr>
              <w:jc w:val="center"/>
              <w:rPr>
                <w:rFonts w:cs="Arial"/>
                <w:color w:val="000000"/>
              </w:rPr>
            </w:pPr>
          </w:p>
        </w:tc>
        <w:tc>
          <w:tcPr>
            <w:tcW w:w="709" w:type="dxa"/>
            <w:noWrap/>
            <w:vAlign w:val="bottom"/>
          </w:tcPr>
          <w:p w14:paraId="3BED4C23" w14:textId="77777777" w:rsidR="001D58DC" w:rsidRPr="00CF056D" w:rsidRDefault="001D58DC" w:rsidP="000C1365">
            <w:pPr>
              <w:jc w:val="center"/>
              <w:rPr>
                <w:rFonts w:cs="Arial"/>
                <w:color w:val="000000"/>
              </w:rPr>
            </w:pPr>
          </w:p>
        </w:tc>
        <w:tc>
          <w:tcPr>
            <w:tcW w:w="646" w:type="dxa"/>
            <w:noWrap/>
            <w:vAlign w:val="bottom"/>
          </w:tcPr>
          <w:p w14:paraId="198EBEAC" w14:textId="3B76CA71" w:rsidR="001D58DC" w:rsidRPr="00CF056D" w:rsidRDefault="00050AFE" w:rsidP="000C1365">
            <w:pPr>
              <w:jc w:val="center"/>
              <w:rPr>
                <w:rFonts w:ascii="Wingdings 2" w:hAnsi="Wingdings 2" w:cs="Calibri" w:hint="eastAsia"/>
                <w:color w:val="000000"/>
              </w:rPr>
            </w:pPr>
            <w:r w:rsidRPr="00050AFE">
              <w:rPr>
                <w:rFonts w:ascii="Wingdings 2" w:hAnsi="Wingdings 2" w:cs="Calibri"/>
                <w:color w:val="000000"/>
              </w:rPr>
              <w:t></w:t>
            </w:r>
          </w:p>
        </w:tc>
      </w:tr>
      <w:tr w:rsidR="001D58DC" w:rsidRPr="00B41954" w14:paraId="2F7C3C74" w14:textId="77777777" w:rsidTr="00F4606C">
        <w:trPr>
          <w:trHeight w:val="300"/>
        </w:trPr>
        <w:tc>
          <w:tcPr>
            <w:tcW w:w="2263" w:type="dxa"/>
            <w:noWrap/>
            <w:vAlign w:val="center"/>
          </w:tcPr>
          <w:p w14:paraId="6540FD9B" w14:textId="6273F554" w:rsidR="001D58DC" w:rsidRPr="00F4606C" w:rsidRDefault="00050AFE" w:rsidP="00F4606C">
            <w:pPr>
              <w:spacing w:after="0" w:line="240" w:lineRule="auto"/>
              <w:rPr>
                <w:rFonts w:cs="Arial"/>
                <w:iCs/>
              </w:rPr>
            </w:pPr>
            <w:r w:rsidRPr="00050AFE">
              <w:rPr>
                <w:rFonts w:cs="Arial"/>
                <w:iCs/>
              </w:rPr>
              <w:t>BTR excluded from NCMI capital gains</w:t>
            </w:r>
          </w:p>
        </w:tc>
        <w:tc>
          <w:tcPr>
            <w:tcW w:w="1276" w:type="dxa"/>
            <w:noWrap/>
            <w:vAlign w:val="center"/>
          </w:tcPr>
          <w:p w14:paraId="094DFDC0" w14:textId="53495749" w:rsidR="001D58DC" w:rsidRPr="00F4606C" w:rsidRDefault="00050AFE" w:rsidP="000C1365">
            <w:pPr>
              <w:jc w:val="center"/>
              <w:rPr>
                <w:rFonts w:cs="Arial"/>
              </w:rPr>
            </w:pPr>
            <w:r w:rsidRPr="00050AFE">
              <w:rPr>
                <w:rFonts w:cs="Arial"/>
              </w:rPr>
              <w:t>9.145</w:t>
            </w:r>
          </w:p>
        </w:tc>
        <w:tc>
          <w:tcPr>
            <w:tcW w:w="709" w:type="dxa"/>
            <w:noWrap/>
            <w:vAlign w:val="bottom"/>
          </w:tcPr>
          <w:p w14:paraId="100C6B72" w14:textId="3A336375" w:rsidR="001D58DC" w:rsidRPr="00CF056D" w:rsidRDefault="00050AFE"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4782ACD6" w14:textId="77777777" w:rsidR="001D58DC" w:rsidRPr="00CF056D" w:rsidRDefault="001D58DC" w:rsidP="000C1365">
            <w:pPr>
              <w:jc w:val="center"/>
              <w:rPr>
                <w:rFonts w:cs="Arial"/>
                <w:color w:val="000000"/>
              </w:rPr>
            </w:pPr>
          </w:p>
        </w:tc>
        <w:tc>
          <w:tcPr>
            <w:tcW w:w="709" w:type="dxa"/>
            <w:noWrap/>
            <w:vAlign w:val="bottom"/>
          </w:tcPr>
          <w:p w14:paraId="7B2D5EF6" w14:textId="77777777" w:rsidR="001D58DC" w:rsidRPr="00CF056D" w:rsidRDefault="001D58DC" w:rsidP="000C1365">
            <w:pPr>
              <w:jc w:val="center"/>
              <w:rPr>
                <w:rFonts w:ascii="Wingdings 2" w:hAnsi="Wingdings 2" w:cs="Calibri" w:hint="eastAsia"/>
                <w:color w:val="000000"/>
              </w:rPr>
            </w:pPr>
          </w:p>
        </w:tc>
        <w:tc>
          <w:tcPr>
            <w:tcW w:w="708" w:type="dxa"/>
            <w:noWrap/>
            <w:vAlign w:val="bottom"/>
          </w:tcPr>
          <w:p w14:paraId="16A0FFAD" w14:textId="77777777" w:rsidR="001D58DC" w:rsidRPr="00CF056D" w:rsidRDefault="001D58DC" w:rsidP="000C1365">
            <w:pPr>
              <w:jc w:val="center"/>
              <w:rPr>
                <w:rFonts w:cs="Arial"/>
                <w:color w:val="000000"/>
              </w:rPr>
            </w:pPr>
          </w:p>
        </w:tc>
        <w:tc>
          <w:tcPr>
            <w:tcW w:w="567" w:type="dxa"/>
            <w:noWrap/>
            <w:vAlign w:val="bottom"/>
          </w:tcPr>
          <w:p w14:paraId="397D5083" w14:textId="77777777" w:rsidR="001D58DC" w:rsidRPr="00CF056D" w:rsidRDefault="001D58DC" w:rsidP="000C1365">
            <w:pPr>
              <w:jc w:val="center"/>
              <w:rPr>
                <w:rFonts w:ascii="Wingdings 2" w:hAnsi="Wingdings 2" w:cs="Calibri" w:hint="eastAsia"/>
                <w:color w:val="000000"/>
              </w:rPr>
            </w:pPr>
          </w:p>
        </w:tc>
        <w:tc>
          <w:tcPr>
            <w:tcW w:w="567" w:type="dxa"/>
            <w:noWrap/>
            <w:vAlign w:val="bottom"/>
          </w:tcPr>
          <w:p w14:paraId="17868211" w14:textId="77777777" w:rsidR="001D58DC" w:rsidRPr="00CF056D" w:rsidRDefault="001D58DC" w:rsidP="000C1365">
            <w:pPr>
              <w:jc w:val="center"/>
              <w:rPr>
                <w:rFonts w:cs="Arial"/>
                <w:color w:val="000000"/>
              </w:rPr>
            </w:pPr>
          </w:p>
        </w:tc>
        <w:tc>
          <w:tcPr>
            <w:tcW w:w="567" w:type="dxa"/>
            <w:noWrap/>
            <w:vAlign w:val="bottom"/>
          </w:tcPr>
          <w:p w14:paraId="1E387CCD" w14:textId="77777777" w:rsidR="001D58DC" w:rsidRPr="00CF056D" w:rsidRDefault="001D58DC" w:rsidP="000C1365">
            <w:pPr>
              <w:jc w:val="center"/>
              <w:rPr>
                <w:rFonts w:cs="Arial"/>
                <w:color w:val="000000"/>
              </w:rPr>
            </w:pPr>
          </w:p>
        </w:tc>
        <w:tc>
          <w:tcPr>
            <w:tcW w:w="709" w:type="dxa"/>
            <w:noWrap/>
            <w:vAlign w:val="bottom"/>
          </w:tcPr>
          <w:p w14:paraId="781887E8" w14:textId="77777777" w:rsidR="001D58DC" w:rsidRPr="00CF056D" w:rsidRDefault="001D58DC" w:rsidP="000C1365">
            <w:pPr>
              <w:jc w:val="center"/>
              <w:rPr>
                <w:rFonts w:cs="Arial"/>
                <w:color w:val="000000"/>
              </w:rPr>
            </w:pPr>
          </w:p>
        </w:tc>
        <w:tc>
          <w:tcPr>
            <w:tcW w:w="646" w:type="dxa"/>
            <w:noWrap/>
            <w:vAlign w:val="bottom"/>
          </w:tcPr>
          <w:p w14:paraId="6022BB67" w14:textId="435D2C46" w:rsidR="001D58DC" w:rsidRPr="00CF056D" w:rsidRDefault="00050AFE" w:rsidP="000C1365">
            <w:pPr>
              <w:jc w:val="center"/>
              <w:rPr>
                <w:rFonts w:ascii="Wingdings 2" w:hAnsi="Wingdings 2" w:cs="Calibri" w:hint="eastAsia"/>
                <w:color w:val="000000"/>
              </w:rPr>
            </w:pPr>
            <w:r w:rsidRPr="00CF056D">
              <w:rPr>
                <w:rFonts w:ascii="Wingdings 2" w:hAnsi="Wingdings 2" w:cs="Calibri"/>
                <w:color w:val="000000"/>
              </w:rPr>
              <w:t></w:t>
            </w:r>
          </w:p>
        </w:tc>
      </w:tr>
      <w:tr w:rsidR="001D58DC" w:rsidRPr="00B41954" w14:paraId="3B658442" w14:textId="77777777" w:rsidTr="00F4606C">
        <w:trPr>
          <w:trHeight w:val="300"/>
        </w:trPr>
        <w:tc>
          <w:tcPr>
            <w:tcW w:w="2263" w:type="dxa"/>
            <w:noWrap/>
            <w:vAlign w:val="center"/>
          </w:tcPr>
          <w:p w14:paraId="4C280668" w14:textId="24F3BA61" w:rsidR="001D58DC" w:rsidRPr="00F4606C" w:rsidRDefault="003D3435" w:rsidP="00F4606C">
            <w:pPr>
              <w:spacing w:after="0" w:line="240" w:lineRule="auto"/>
              <w:rPr>
                <w:rFonts w:cs="Arial"/>
              </w:rPr>
            </w:pPr>
            <w:r w:rsidRPr="003D3435">
              <w:t>Active BTR withholding</w:t>
            </w:r>
          </w:p>
        </w:tc>
        <w:tc>
          <w:tcPr>
            <w:tcW w:w="1276" w:type="dxa"/>
            <w:noWrap/>
            <w:vAlign w:val="center"/>
          </w:tcPr>
          <w:p w14:paraId="368A9C92" w14:textId="6EA5E011" w:rsidR="001D58DC" w:rsidRPr="00F4606C" w:rsidRDefault="003D3435" w:rsidP="000C1365">
            <w:pPr>
              <w:jc w:val="center"/>
              <w:rPr>
                <w:rFonts w:cs="Arial"/>
              </w:rPr>
            </w:pPr>
            <w:r>
              <w:rPr>
                <w:rFonts w:cs="Arial"/>
              </w:rPr>
              <w:t>9.146</w:t>
            </w:r>
          </w:p>
        </w:tc>
        <w:tc>
          <w:tcPr>
            <w:tcW w:w="709" w:type="dxa"/>
            <w:noWrap/>
            <w:vAlign w:val="bottom"/>
          </w:tcPr>
          <w:p w14:paraId="7EA5703E" w14:textId="7AD89BC9" w:rsidR="001D58DC" w:rsidRPr="00CF056D" w:rsidRDefault="00050AFE" w:rsidP="000C1365">
            <w:pPr>
              <w:jc w:val="center"/>
              <w:rPr>
                <w:rFonts w:ascii="Wingdings 2" w:hAnsi="Wingdings 2" w:cs="Calibri" w:hint="eastAsia"/>
                <w:color w:val="000000"/>
              </w:rPr>
            </w:pPr>
            <w:r w:rsidRPr="00CF056D">
              <w:rPr>
                <w:rFonts w:ascii="Wingdings 2" w:hAnsi="Wingdings 2" w:cs="Calibri"/>
                <w:color w:val="000000"/>
              </w:rPr>
              <w:t></w:t>
            </w:r>
          </w:p>
        </w:tc>
        <w:tc>
          <w:tcPr>
            <w:tcW w:w="567" w:type="dxa"/>
            <w:noWrap/>
            <w:vAlign w:val="bottom"/>
          </w:tcPr>
          <w:p w14:paraId="2BCFE73F" w14:textId="77777777" w:rsidR="001D58DC" w:rsidRPr="00CF056D" w:rsidRDefault="001D58DC" w:rsidP="000C1365">
            <w:pPr>
              <w:jc w:val="center"/>
              <w:rPr>
                <w:rFonts w:cs="Arial"/>
                <w:color w:val="000000"/>
              </w:rPr>
            </w:pPr>
          </w:p>
        </w:tc>
        <w:tc>
          <w:tcPr>
            <w:tcW w:w="709" w:type="dxa"/>
            <w:noWrap/>
            <w:vAlign w:val="bottom"/>
          </w:tcPr>
          <w:p w14:paraId="61E724F1" w14:textId="77777777" w:rsidR="001D58DC" w:rsidRPr="00CF056D" w:rsidRDefault="001D58DC" w:rsidP="000C1365">
            <w:pPr>
              <w:jc w:val="center"/>
              <w:rPr>
                <w:rFonts w:ascii="Wingdings 2" w:hAnsi="Wingdings 2" w:cs="Calibri" w:hint="eastAsia"/>
                <w:color w:val="000000"/>
              </w:rPr>
            </w:pPr>
          </w:p>
        </w:tc>
        <w:tc>
          <w:tcPr>
            <w:tcW w:w="708" w:type="dxa"/>
            <w:noWrap/>
            <w:vAlign w:val="bottom"/>
          </w:tcPr>
          <w:p w14:paraId="7B810F35" w14:textId="77777777" w:rsidR="001D58DC" w:rsidRPr="00CF056D" w:rsidRDefault="001D58DC" w:rsidP="000C1365">
            <w:pPr>
              <w:jc w:val="center"/>
              <w:rPr>
                <w:rFonts w:cs="Arial"/>
                <w:color w:val="000000"/>
              </w:rPr>
            </w:pPr>
          </w:p>
        </w:tc>
        <w:tc>
          <w:tcPr>
            <w:tcW w:w="567" w:type="dxa"/>
            <w:noWrap/>
            <w:vAlign w:val="bottom"/>
          </w:tcPr>
          <w:p w14:paraId="21316668" w14:textId="77777777" w:rsidR="001D58DC" w:rsidRPr="00CF056D" w:rsidRDefault="001D58DC" w:rsidP="000C1365">
            <w:pPr>
              <w:jc w:val="center"/>
              <w:rPr>
                <w:rFonts w:ascii="Wingdings 2" w:hAnsi="Wingdings 2" w:cs="Calibri" w:hint="eastAsia"/>
                <w:color w:val="000000"/>
              </w:rPr>
            </w:pPr>
          </w:p>
        </w:tc>
        <w:tc>
          <w:tcPr>
            <w:tcW w:w="567" w:type="dxa"/>
            <w:noWrap/>
            <w:vAlign w:val="bottom"/>
          </w:tcPr>
          <w:p w14:paraId="7F326AE2" w14:textId="77777777" w:rsidR="001D58DC" w:rsidRPr="00CF056D" w:rsidRDefault="001D58DC" w:rsidP="000C1365">
            <w:pPr>
              <w:jc w:val="center"/>
              <w:rPr>
                <w:rFonts w:cs="Arial"/>
                <w:color w:val="000000"/>
              </w:rPr>
            </w:pPr>
          </w:p>
        </w:tc>
        <w:tc>
          <w:tcPr>
            <w:tcW w:w="567" w:type="dxa"/>
            <w:noWrap/>
            <w:vAlign w:val="bottom"/>
          </w:tcPr>
          <w:p w14:paraId="4C3B6EC4" w14:textId="77777777" w:rsidR="001D58DC" w:rsidRPr="00CF056D" w:rsidRDefault="001D58DC" w:rsidP="000C1365">
            <w:pPr>
              <w:jc w:val="center"/>
              <w:rPr>
                <w:rFonts w:cs="Arial"/>
                <w:color w:val="000000"/>
              </w:rPr>
            </w:pPr>
          </w:p>
        </w:tc>
        <w:tc>
          <w:tcPr>
            <w:tcW w:w="709" w:type="dxa"/>
            <w:noWrap/>
            <w:vAlign w:val="bottom"/>
          </w:tcPr>
          <w:p w14:paraId="1F15290D" w14:textId="77777777" w:rsidR="001D58DC" w:rsidRPr="00CF056D" w:rsidRDefault="001D58DC" w:rsidP="000C1365">
            <w:pPr>
              <w:jc w:val="center"/>
              <w:rPr>
                <w:rFonts w:cs="Arial"/>
                <w:color w:val="000000"/>
              </w:rPr>
            </w:pPr>
          </w:p>
        </w:tc>
        <w:tc>
          <w:tcPr>
            <w:tcW w:w="646" w:type="dxa"/>
            <w:noWrap/>
            <w:vAlign w:val="bottom"/>
          </w:tcPr>
          <w:p w14:paraId="09D49505" w14:textId="5E86DF1A" w:rsidR="001D58DC" w:rsidRPr="00CF056D" w:rsidRDefault="00050AFE" w:rsidP="000C1365">
            <w:pPr>
              <w:jc w:val="center"/>
              <w:rPr>
                <w:rFonts w:ascii="Wingdings 2" w:hAnsi="Wingdings 2" w:cs="Calibri" w:hint="eastAsia"/>
                <w:color w:val="000000"/>
              </w:rPr>
            </w:pPr>
            <w:r w:rsidRPr="00CF056D">
              <w:rPr>
                <w:rFonts w:ascii="Wingdings 2" w:hAnsi="Wingdings 2" w:cs="Calibri"/>
                <w:color w:val="000000"/>
              </w:rPr>
              <w:t></w:t>
            </w:r>
          </w:p>
        </w:tc>
      </w:tr>
    </w:tbl>
    <w:p w14:paraId="3286328C" w14:textId="77777777" w:rsidR="00CF056D" w:rsidRPr="00410524" w:rsidRDefault="00CF056D" w:rsidP="00CF056D">
      <w:r w:rsidRPr="006E3058">
        <w:t>*This field does not apply to CCIV sub-fund trusts</w:t>
      </w:r>
    </w:p>
    <w:p w14:paraId="47DF708F" w14:textId="77777777" w:rsidR="00115458" w:rsidRDefault="00115458" w:rsidP="00115458">
      <w:pPr>
        <w:pStyle w:val="Heading2"/>
      </w:pPr>
      <w:bookmarkStart w:id="612" w:name="_Toc232191324"/>
      <w:r>
        <w:t>Reporting for deceased investors</w:t>
      </w:r>
      <w:bookmarkEnd w:id="612"/>
    </w:p>
    <w:p w14:paraId="61EE031A" w14:textId="77777777" w:rsidR="00115458" w:rsidRPr="00F4606C" w:rsidRDefault="00115458" w:rsidP="00115458">
      <w:pPr>
        <w:pStyle w:val="Maintext"/>
        <w:rPr>
          <w:rFonts w:asciiTheme="minorHAnsi" w:hAnsiTheme="minorHAnsi"/>
          <w:sz w:val="20"/>
          <w:szCs w:val="20"/>
        </w:rPr>
      </w:pPr>
      <w:r w:rsidRPr="00F4606C">
        <w:rPr>
          <w:rFonts w:asciiTheme="minorHAnsi" w:hAnsiTheme="minorHAnsi"/>
          <w:sz w:val="20"/>
          <w:szCs w:val="20"/>
        </w:rPr>
        <w:t xml:space="preserve">When an individual investor has died during the reporting period, it is important that the correct account changes are reported and that reporting for an individual or individuals (where the account was jointly held) is adjusted to correctly report the income that belongs to the investors during the financial year of income. The income paid or credited up to the date of death and after the date of death should be reported in the proportions according to the ownership of the account at the date the payment is made or credited.  </w:t>
      </w:r>
    </w:p>
    <w:p w14:paraId="02F9DE88" w14:textId="77777777" w:rsidR="00115458" w:rsidRPr="00F4606C" w:rsidRDefault="00115458" w:rsidP="00115458">
      <w:pPr>
        <w:pStyle w:val="Maintext"/>
        <w:rPr>
          <w:rFonts w:asciiTheme="minorHAnsi" w:hAnsiTheme="minorHAnsi"/>
          <w:sz w:val="20"/>
          <w:szCs w:val="20"/>
        </w:rPr>
      </w:pPr>
    </w:p>
    <w:p w14:paraId="46DAB1F7" w14:textId="77777777" w:rsidR="00115458" w:rsidRPr="00F4606C" w:rsidRDefault="00115458" w:rsidP="00115458">
      <w:pPr>
        <w:pStyle w:val="Maintext"/>
        <w:rPr>
          <w:rFonts w:asciiTheme="minorHAnsi" w:hAnsiTheme="minorHAnsi"/>
          <w:sz w:val="20"/>
          <w:szCs w:val="20"/>
        </w:rPr>
      </w:pPr>
      <w:r w:rsidRPr="00F4606C">
        <w:rPr>
          <w:rFonts w:asciiTheme="minorHAnsi" w:hAnsiTheme="minorHAnsi"/>
          <w:sz w:val="20"/>
          <w:szCs w:val="20"/>
        </w:rPr>
        <w:t>For example, as at the date of death, ownership of the investor’s investment account is treated as follows.</w:t>
      </w:r>
    </w:p>
    <w:p w14:paraId="4EEA312A" w14:textId="77777777" w:rsidR="00115458" w:rsidRPr="00F4606C" w:rsidRDefault="00115458" w:rsidP="00115458">
      <w:pPr>
        <w:pStyle w:val="Maintext"/>
        <w:rPr>
          <w:rFonts w:asciiTheme="minorHAnsi" w:hAnsiTheme="minorHAnsi"/>
          <w:sz w:val="20"/>
          <w:szCs w:val="20"/>
        </w:rPr>
      </w:pPr>
    </w:p>
    <w:p w14:paraId="096D0056" w14:textId="77777777" w:rsidR="00115458" w:rsidRPr="00F4606C" w:rsidRDefault="00115458" w:rsidP="001601AF">
      <w:pPr>
        <w:pStyle w:val="Maintext"/>
        <w:numPr>
          <w:ilvl w:val="0"/>
          <w:numId w:val="44"/>
        </w:numPr>
        <w:rPr>
          <w:rFonts w:asciiTheme="minorHAnsi" w:hAnsiTheme="minorHAnsi"/>
          <w:sz w:val="20"/>
          <w:szCs w:val="20"/>
        </w:rPr>
      </w:pPr>
      <w:r w:rsidRPr="00F4606C">
        <w:rPr>
          <w:rFonts w:asciiTheme="minorHAnsi" w:hAnsiTheme="minorHAnsi"/>
          <w:sz w:val="20"/>
          <w:szCs w:val="20"/>
        </w:rPr>
        <w:t>Individual account holder’s ownership reverts to the deceased estate</w:t>
      </w:r>
    </w:p>
    <w:p w14:paraId="35B2A22F" w14:textId="77777777" w:rsidR="00115458" w:rsidRPr="00F4606C" w:rsidRDefault="00115458" w:rsidP="001601AF">
      <w:pPr>
        <w:pStyle w:val="Maintext"/>
        <w:numPr>
          <w:ilvl w:val="0"/>
          <w:numId w:val="45"/>
        </w:numPr>
        <w:rPr>
          <w:rFonts w:asciiTheme="minorHAnsi" w:hAnsiTheme="minorHAnsi"/>
          <w:sz w:val="20"/>
          <w:szCs w:val="20"/>
        </w:rPr>
      </w:pPr>
      <w:r w:rsidRPr="00F4606C">
        <w:rPr>
          <w:rFonts w:asciiTheme="minorHAnsi" w:hAnsiTheme="minorHAnsi"/>
          <w:sz w:val="20"/>
          <w:szCs w:val="20"/>
        </w:rPr>
        <w:t>Joint account holders</w:t>
      </w:r>
    </w:p>
    <w:p w14:paraId="2104AEBB" w14:textId="3766A208" w:rsidR="00115458" w:rsidRPr="00F4606C" w:rsidRDefault="00115458" w:rsidP="001601AF">
      <w:pPr>
        <w:pStyle w:val="Maintext"/>
        <w:numPr>
          <w:ilvl w:val="0"/>
          <w:numId w:val="46"/>
        </w:numPr>
        <w:rPr>
          <w:rFonts w:asciiTheme="minorHAnsi" w:hAnsiTheme="minorHAnsi"/>
          <w:sz w:val="20"/>
          <w:szCs w:val="20"/>
        </w:rPr>
      </w:pPr>
      <w:r w:rsidRPr="00F4606C">
        <w:rPr>
          <w:rFonts w:asciiTheme="minorHAnsi" w:hAnsiTheme="minorHAnsi"/>
          <w:sz w:val="20"/>
          <w:szCs w:val="20"/>
        </w:rPr>
        <w:t>held as joint tenants, the deceased’s ownership is extinguished</w:t>
      </w:r>
      <w:r w:rsidR="00B5777A">
        <w:rPr>
          <w:rFonts w:asciiTheme="minorHAnsi" w:hAnsiTheme="minorHAnsi"/>
          <w:sz w:val="20"/>
          <w:szCs w:val="20"/>
        </w:rPr>
        <w:t>,</w:t>
      </w:r>
      <w:r w:rsidRPr="00F4606C">
        <w:rPr>
          <w:rFonts w:asciiTheme="minorHAnsi" w:hAnsiTheme="minorHAnsi"/>
          <w:sz w:val="20"/>
          <w:szCs w:val="20"/>
        </w:rPr>
        <w:t xml:space="preserve"> and ownership is passed to the surviving account holder</w:t>
      </w:r>
    </w:p>
    <w:p w14:paraId="4BB0049D" w14:textId="77777777" w:rsidR="00115458" w:rsidRPr="00F4606C" w:rsidRDefault="00115458" w:rsidP="001601AF">
      <w:pPr>
        <w:pStyle w:val="Maintext"/>
        <w:numPr>
          <w:ilvl w:val="0"/>
          <w:numId w:val="47"/>
        </w:numPr>
        <w:rPr>
          <w:rFonts w:asciiTheme="minorHAnsi" w:hAnsiTheme="minorHAnsi"/>
          <w:sz w:val="20"/>
          <w:szCs w:val="20"/>
        </w:rPr>
      </w:pPr>
      <w:r w:rsidRPr="00F4606C">
        <w:rPr>
          <w:rFonts w:asciiTheme="minorHAnsi" w:hAnsiTheme="minorHAnsi"/>
          <w:sz w:val="20"/>
          <w:szCs w:val="20"/>
        </w:rPr>
        <w:t>held as tenants in common, the deceased’s share reverts to the deceased’s estate.</w:t>
      </w:r>
    </w:p>
    <w:p w14:paraId="3AADDC38" w14:textId="77777777" w:rsidR="00115458" w:rsidRPr="00F4606C" w:rsidRDefault="00115458" w:rsidP="00115458">
      <w:pPr>
        <w:pStyle w:val="Maintext"/>
        <w:rPr>
          <w:rFonts w:asciiTheme="minorHAnsi" w:hAnsiTheme="minorHAnsi"/>
          <w:sz w:val="20"/>
          <w:szCs w:val="20"/>
        </w:rPr>
      </w:pPr>
    </w:p>
    <w:p w14:paraId="3AE61A60" w14:textId="24F8FAAA" w:rsidR="00115458" w:rsidRPr="00F4606C" w:rsidRDefault="00115458" w:rsidP="007C1681">
      <w:pPr>
        <w:pStyle w:val="Maintext"/>
        <w:rPr>
          <w:rFonts w:asciiTheme="minorHAnsi" w:hAnsiTheme="minorHAnsi"/>
          <w:sz w:val="20"/>
          <w:szCs w:val="20"/>
        </w:rPr>
      </w:pPr>
      <w:r w:rsidRPr="00F4606C">
        <w:rPr>
          <w:rFonts w:asciiTheme="minorHAnsi" w:hAnsiTheme="minorHAnsi"/>
          <w:sz w:val="20"/>
          <w:szCs w:val="20"/>
        </w:rPr>
        <w:t>There is no requirement to apportion income that has not been paid or credited prior to the date of death.  If the remaining account holder chooses not to change the account name, the income should be 100% attributed to that account holder.</w:t>
      </w:r>
    </w:p>
    <w:p w14:paraId="288E9A09" w14:textId="77777777" w:rsidR="00115458" w:rsidRPr="00CF056D" w:rsidRDefault="00115458" w:rsidP="00F4606C">
      <w:pPr>
        <w:spacing w:after="0" w:line="240" w:lineRule="auto"/>
        <w:rPr>
          <w:rFonts w:cs="Arial"/>
        </w:rPr>
      </w:pPr>
    </w:p>
    <w:p w14:paraId="01B817DA" w14:textId="77777777" w:rsidR="00115458" w:rsidRPr="00EB65FE" w:rsidRDefault="00115458" w:rsidP="00F4606C">
      <w:pPr>
        <w:spacing w:after="0" w:line="240" w:lineRule="auto"/>
      </w:pPr>
      <w:r w:rsidRPr="00CF056D">
        <w:t>For the purpose of the examples below mandatory fields and those not relevant to the specific circumstances of the example have not been included.</w:t>
      </w:r>
    </w:p>
    <w:p w14:paraId="0E77ABBD" w14:textId="77777777" w:rsidR="00115458" w:rsidRPr="00EB65FE" w:rsidRDefault="00115458" w:rsidP="00115458">
      <w:pPr>
        <w:keepNext/>
        <w:spacing w:before="280" w:after="220"/>
        <w:outlineLvl w:val="3"/>
        <w:rPr>
          <w:rFonts w:cs="Arial"/>
          <w:b/>
          <w:szCs w:val="22"/>
        </w:rPr>
      </w:pPr>
      <w:r w:rsidRPr="00EB65FE">
        <w:rPr>
          <w:rFonts w:cs="Arial"/>
          <w:b/>
          <w:szCs w:val="22"/>
        </w:rPr>
        <w:t xml:space="preserve">Example </w:t>
      </w:r>
      <w:r>
        <w:rPr>
          <w:rFonts w:cs="Arial"/>
          <w:b/>
          <w:szCs w:val="22"/>
        </w:rPr>
        <w:t>4.7</w:t>
      </w:r>
      <w:r w:rsidRPr="00EB65FE">
        <w:rPr>
          <w:rFonts w:cs="Arial"/>
          <w:b/>
          <w:szCs w:val="22"/>
        </w:rPr>
        <w:t xml:space="preserve"> – Single account when a formal trust has been established – interest paid after date of death</w:t>
      </w:r>
    </w:p>
    <w:p w14:paraId="20042537" w14:textId="2BCABB85" w:rsidR="00115458" w:rsidRPr="00EB65FE" w:rsidRDefault="00115458" w:rsidP="00F4606C">
      <w:pPr>
        <w:spacing w:after="0" w:line="240" w:lineRule="auto"/>
        <w:rPr>
          <w:rFonts w:cs="Arial"/>
        </w:rPr>
      </w:pPr>
      <w:r w:rsidRPr="09243AA8">
        <w:rPr>
          <w:rFonts w:cs="Arial"/>
        </w:rPr>
        <w:t>The Southbank Credit Union was notified of the death of Katy Regan-Jones on 1 March 202</w:t>
      </w:r>
      <w:r w:rsidR="00A76C76">
        <w:rPr>
          <w:rFonts w:cs="Arial"/>
        </w:rPr>
        <w:t>6</w:t>
      </w:r>
      <w:r w:rsidRPr="09243AA8">
        <w:rPr>
          <w:rFonts w:cs="Arial"/>
        </w:rPr>
        <w:t>. Interest of $130.00 was paid on 1 June 202</w:t>
      </w:r>
      <w:r w:rsidR="00A76C76">
        <w:rPr>
          <w:rFonts w:cs="Arial"/>
        </w:rPr>
        <w:t>6</w:t>
      </w:r>
      <w:r w:rsidRPr="09243AA8">
        <w:rPr>
          <w:rFonts w:cs="Arial"/>
        </w:rPr>
        <w:t xml:space="preserve">. A formal trust, Katy Regan-Jones Trust, TFN 965477891, was established to administer the estate. Southbank Credit Union does not report an </w:t>
      </w:r>
      <w:r w:rsidRPr="09243AA8">
        <w:rPr>
          <w:rFonts w:cs="Arial"/>
          <w:i/>
          <w:iCs/>
        </w:rPr>
        <w:t xml:space="preserve">Investment account data record </w:t>
      </w:r>
      <w:r w:rsidRPr="09243AA8">
        <w:rPr>
          <w:rFonts w:cs="Arial"/>
        </w:rPr>
        <w:t xml:space="preserve">or </w:t>
      </w:r>
      <w:r w:rsidRPr="09243AA8">
        <w:rPr>
          <w:rFonts w:cs="Arial"/>
          <w:i/>
          <w:iCs/>
        </w:rPr>
        <w:t xml:space="preserve">Investor data record </w:t>
      </w:r>
      <w:r w:rsidRPr="09243AA8">
        <w:rPr>
          <w:rFonts w:cs="Arial"/>
        </w:rPr>
        <w:t xml:space="preserve">for Katy Jones.  </w:t>
      </w:r>
    </w:p>
    <w:p w14:paraId="5A147842" w14:textId="77777777" w:rsidR="00115458" w:rsidRPr="00EB65FE" w:rsidRDefault="00115458" w:rsidP="00115458">
      <w:pPr>
        <w:rPr>
          <w:rFonts w:cs="Arial"/>
          <w:szCs w:val="22"/>
        </w:rPr>
      </w:pPr>
    </w:p>
    <w:p w14:paraId="71E198B1" w14:textId="77777777" w:rsidR="00037647" w:rsidRDefault="00037647" w:rsidP="00F4606C">
      <w:pPr>
        <w:spacing w:after="0" w:line="240" w:lineRule="auto"/>
        <w:rPr>
          <w:rFonts w:cs="Arial"/>
          <w:b/>
          <w:smallCaps/>
        </w:rPr>
      </w:pPr>
    </w:p>
    <w:p w14:paraId="257ABFD2" w14:textId="77777777" w:rsidR="00037647" w:rsidRDefault="00037647" w:rsidP="00F4606C">
      <w:pPr>
        <w:spacing w:after="0" w:line="240" w:lineRule="auto"/>
        <w:rPr>
          <w:rFonts w:cs="Arial"/>
          <w:b/>
          <w:smallCaps/>
        </w:rPr>
      </w:pPr>
    </w:p>
    <w:p w14:paraId="7D6F7DEB" w14:textId="77777777" w:rsidR="00037647" w:rsidRDefault="00037647" w:rsidP="00F4606C">
      <w:pPr>
        <w:spacing w:after="0" w:line="240" w:lineRule="auto"/>
        <w:rPr>
          <w:rFonts w:cs="Arial"/>
          <w:b/>
          <w:smallCaps/>
        </w:rPr>
      </w:pPr>
    </w:p>
    <w:p w14:paraId="3075E49B" w14:textId="77777777" w:rsidR="00037647" w:rsidRDefault="00037647" w:rsidP="00F4606C">
      <w:pPr>
        <w:spacing w:after="0" w:line="240" w:lineRule="auto"/>
        <w:rPr>
          <w:rFonts w:cs="Arial"/>
          <w:b/>
          <w:smallCaps/>
        </w:rPr>
      </w:pPr>
    </w:p>
    <w:p w14:paraId="5E566E8A" w14:textId="11CAE9BE" w:rsidR="00115458" w:rsidRPr="00773D41" w:rsidRDefault="00115458" w:rsidP="00F4606C">
      <w:pPr>
        <w:spacing w:after="0" w:line="240" w:lineRule="auto"/>
        <w:rPr>
          <w:rFonts w:cs="Arial"/>
        </w:rPr>
      </w:pPr>
      <w:r w:rsidRPr="00773D41">
        <w:rPr>
          <w:rFonts w:cs="Arial"/>
          <w:b/>
          <w:smallCaps/>
        </w:rPr>
        <w:t xml:space="preserve">investment account data record </w:t>
      </w:r>
      <w:r w:rsidRPr="00773D41">
        <w:rPr>
          <w:rFonts w:cs="Arial"/>
        </w:rPr>
        <w:t>(</w:t>
      </w:r>
      <w:r w:rsidRPr="00773D41">
        <w:rPr>
          <w:rFonts w:cs="Arial"/>
          <w:smallCaps/>
        </w:rPr>
        <w:t>extract</w:t>
      </w:r>
      <w:r w:rsidRPr="00773D41">
        <w:rPr>
          <w:rFonts w:cs="Arial"/>
        </w:rPr>
        <w:t>)</w:t>
      </w:r>
    </w:p>
    <w:p w14:paraId="34DB99EC"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3"/>
        <w:gridCol w:w="2852"/>
      </w:tblGrid>
      <w:tr w:rsidR="00115458" w:rsidRPr="00773D41" w14:paraId="532F229E" w14:textId="77777777" w:rsidTr="000C1365">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67ACBAE3"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688A9398"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274D1519"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504AE89D"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524FECA0" w14:textId="77777777" w:rsidR="00115458" w:rsidRPr="00F4606C" w:rsidRDefault="00115458" w:rsidP="00F4606C">
            <w:pPr>
              <w:spacing w:after="0" w:line="240" w:lineRule="auto"/>
              <w:rPr>
                <w:rFonts w:cs="Arial"/>
              </w:rPr>
            </w:pPr>
            <w:r w:rsidRPr="00F4606C">
              <w:rPr>
                <w:rFonts w:cs="Arial"/>
              </w:rPr>
              <w:t>9.67</w:t>
            </w:r>
          </w:p>
        </w:tc>
        <w:tc>
          <w:tcPr>
            <w:tcW w:w="2848" w:type="pct"/>
            <w:tcBorders>
              <w:top w:val="nil"/>
              <w:left w:val="nil"/>
              <w:bottom w:val="single" w:sz="8" w:space="0" w:color="auto"/>
              <w:right w:val="single" w:sz="8" w:space="0" w:color="auto"/>
            </w:tcBorders>
            <w:vAlign w:val="center"/>
          </w:tcPr>
          <w:p w14:paraId="5F359F2C" w14:textId="77777777" w:rsidR="00115458" w:rsidRPr="00F4606C" w:rsidRDefault="00115458" w:rsidP="00F4606C">
            <w:pPr>
              <w:spacing w:after="0" w:line="240" w:lineRule="auto"/>
              <w:rPr>
                <w:rFonts w:cs="Arial"/>
              </w:rPr>
            </w:pPr>
            <w:r w:rsidRPr="00F4606C">
              <w:rPr>
                <w:rFonts w:cs="Arial"/>
              </w:rPr>
              <w:t>Account name</w:t>
            </w:r>
          </w:p>
        </w:tc>
        <w:tc>
          <w:tcPr>
            <w:tcW w:w="1581" w:type="pct"/>
            <w:tcBorders>
              <w:top w:val="nil"/>
              <w:left w:val="nil"/>
              <w:bottom w:val="single" w:sz="8" w:space="0" w:color="auto"/>
              <w:right w:val="single" w:sz="8" w:space="0" w:color="auto"/>
            </w:tcBorders>
            <w:vAlign w:val="center"/>
          </w:tcPr>
          <w:p w14:paraId="27284E27" w14:textId="77777777" w:rsidR="00115458" w:rsidRPr="00F4606C" w:rsidRDefault="00115458" w:rsidP="00F4606C">
            <w:pPr>
              <w:spacing w:after="0" w:line="240" w:lineRule="auto"/>
              <w:rPr>
                <w:rFonts w:cs="Arial"/>
              </w:rPr>
            </w:pPr>
            <w:r w:rsidRPr="00F4606C">
              <w:rPr>
                <w:rFonts w:cs="Arial"/>
              </w:rPr>
              <w:t>KATY REGAN-JONES TRUST</w:t>
            </w:r>
          </w:p>
        </w:tc>
      </w:tr>
      <w:tr w:rsidR="00115458" w:rsidRPr="00773D41" w14:paraId="35CE26B9"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64CA9C96" w14:textId="77777777" w:rsidR="00115458" w:rsidRPr="00F4606C" w:rsidRDefault="00115458" w:rsidP="00F4606C">
            <w:pPr>
              <w:spacing w:after="0" w:line="240" w:lineRule="auto"/>
              <w:rPr>
                <w:rFonts w:cs="Arial"/>
              </w:rPr>
            </w:pPr>
            <w:r w:rsidRPr="00F4606C">
              <w:rPr>
                <w:rFonts w:cs="Arial"/>
              </w:rPr>
              <w:t>9.70</w:t>
            </w:r>
          </w:p>
        </w:tc>
        <w:tc>
          <w:tcPr>
            <w:tcW w:w="2848" w:type="pct"/>
            <w:tcBorders>
              <w:top w:val="nil"/>
              <w:left w:val="nil"/>
              <w:bottom w:val="single" w:sz="8" w:space="0" w:color="auto"/>
              <w:right w:val="single" w:sz="8" w:space="0" w:color="auto"/>
            </w:tcBorders>
            <w:vAlign w:val="center"/>
          </w:tcPr>
          <w:p w14:paraId="4BE60042" w14:textId="77777777" w:rsidR="00115458" w:rsidRPr="00F4606C" w:rsidRDefault="00115458" w:rsidP="00F4606C">
            <w:pPr>
              <w:spacing w:after="0" w:line="240" w:lineRule="auto"/>
              <w:rPr>
                <w:rFonts w:cs="Arial"/>
              </w:rPr>
            </w:pPr>
            <w:r w:rsidRPr="00F4606C">
              <w:rPr>
                <w:rFonts w:cs="Arial"/>
              </w:rPr>
              <w:t>Date of payment (DDMMCCYY)</w:t>
            </w:r>
          </w:p>
        </w:tc>
        <w:tc>
          <w:tcPr>
            <w:tcW w:w="1581" w:type="pct"/>
            <w:tcBorders>
              <w:top w:val="nil"/>
              <w:left w:val="nil"/>
              <w:bottom w:val="single" w:sz="8" w:space="0" w:color="auto"/>
              <w:right w:val="single" w:sz="8" w:space="0" w:color="auto"/>
            </w:tcBorders>
            <w:vAlign w:val="center"/>
          </w:tcPr>
          <w:p w14:paraId="51A4AEAE" w14:textId="4EA1A8D8" w:rsidR="00115458" w:rsidRPr="00F4606C" w:rsidRDefault="00115458" w:rsidP="00F4606C">
            <w:pPr>
              <w:spacing w:after="0" w:line="240" w:lineRule="auto"/>
              <w:rPr>
                <w:rFonts w:cs="Arial"/>
              </w:rPr>
            </w:pPr>
            <w:r w:rsidRPr="00F4606C">
              <w:rPr>
                <w:rFonts w:cs="Arial"/>
              </w:rPr>
              <w:t>0106202</w:t>
            </w:r>
            <w:r w:rsidR="00A76C76">
              <w:rPr>
                <w:rFonts w:cs="Arial"/>
              </w:rPr>
              <w:t>6</w:t>
            </w:r>
          </w:p>
        </w:tc>
      </w:tr>
      <w:tr w:rsidR="00115458" w:rsidRPr="00773D41" w14:paraId="62A26064"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40B0550F" w14:textId="77777777" w:rsidR="00115458" w:rsidRPr="00F4606C" w:rsidRDefault="00115458" w:rsidP="00F4606C">
            <w:pPr>
              <w:spacing w:after="0" w:line="240" w:lineRule="auto"/>
              <w:rPr>
                <w:rFonts w:cs="Arial"/>
              </w:rPr>
            </w:pPr>
            <w:r w:rsidRPr="00F4606C">
              <w:rPr>
                <w:rFonts w:cs="Arial"/>
              </w:rPr>
              <w:t>9.72</w:t>
            </w:r>
          </w:p>
        </w:tc>
        <w:tc>
          <w:tcPr>
            <w:tcW w:w="2848" w:type="pct"/>
            <w:tcBorders>
              <w:top w:val="nil"/>
              <w:left w:val="nil"/>
              <w:bottom w:val="single" w:sz="8" w:space="0" w:color="auto"/>
              <w:right w:val="single" w:sz="8" w:space="0" w:color="auto"/>
            </w:tcBorders>
            <w:vAlign w:val="center"/>
          </w:tcPr>
          <w:p w14:paraId="47BBEFB9" w14:textId="77777777" w:rsidR="00115458" w:rsidRPr="00F4606C" w:rsidRDefault="00115458" w:rsidP="00F4606C">
            <w:pPr>
              <w:spacing w:after="0" w:line="240" w:lineRule="auto"/>
              <w:rPr>
                <w:rFonts w:cs="Arial"/>
              </w:rPr>
            </w:pPr>
            <w:r w:rsidRPr="00F4606C">
              <w:rPr>
                <w:rFonts w:cs="Arial"/>
              </w:rPr>
              <w:t>Type of payment</w:t>
            </w:r>
          </w:p>
        </w:tc>
        <w:tc>
          <w:tcPr>
            <w:tcW w:w="1581" w:type="pct"/>
            <w:tcBorders>
              <w:top w:val="nil"/>
              <w:left w:val="nil"/>
              <w:bottom w:val="single" w:sz="8" w:space="0" w:color="auto"/>
              <w:right w:val="single" w:sz="8" w:space="0" w:color="auto"/>
            </w:tcBorders>
            <w:vAlign w:val="center"/>
          </w:tcPr>
          <w:p w14:paraId="0FE86CCB" w14:textId="77777777" w:rsidR="00115458" w:rsidRPr="00F4606C" w:rsidRDefault="00115458" w:rsidP="00F4606C">
            <w:pPr>
              <w:spacing w:after="0" w:line="240" w:lineRule="auto"/>
              <w:rPr>
                <w:rFonts w:cs="Arial"/>
              </w:rPr>
            </w:pPr>
            <w:r w:rsidRPr="00F4606C">
              <w:rPr>
                <w:rFonts w:cs="Arial"/>
              </w:rPr>
              <w:t>INT</w:t>
            </w:r>
          </w:p>
        </w:tc>
      </w:tr>
      <w:tr w:rsidR="00115458" w:rsidRPr="00773D41" w14:paraId="1E8EC3B2"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0A58C276" w14:textId="77777777" w:rsidR="00115458" w:rsidRPr="00F4606C" w:rsidRDefault="00115458" w:rsidP="00F4606C">
            <w:pPr>
              <w:spacing w:after="0" w:line="240" w:lineRule="auto"/>
              <w:rPr>
                <w:rFonts w:cs="Arial"/>
              </w:rPr>
            </w:pPr>
            <w:r w:rsidRPr="00F4606C">
              <w:rPr>
                <w:rFonts w:cs="Arial"/>
              </w:rPr>
              <w:t>9.79</w:t>
            </w:r>
          </w:p>
        </w:tc>
        <w:tc>
          <w:tcPr>
            <w:tcW w:w="2848" w:type="pct"/>
            <w:tcBorders>
              <w:top w:val="nil"/>
              <w:left w:val="nil"/>
              <w:bottom w:val="single" w:sz="8" w:space="0" w:color="auto"/>
              <w:right w:val="single" w:sz="8" w:space="0" w:color="auto"/>
            </w:tcBorders>
            <w:vAlign w:val="center"/>
          </w:tcPr>
          <w:p w14:paraId="0A28CC16" w14:textId="77777777" w:rsidR="00115458" w:rsidRPr="00F4606C" w:rsidRDefault="00115458" w:rsidP="00F4606C">
            <w:pPr>
              <w:spacing w:after="0" w:line="240" w:lineRule="auto"/>
              <w:rPr>
                <w:rFonts w:cs="Arial"/>
              </w:rPr>
            </w:pPr>
            <w:r w:rsidRPr="00F4606C">
              <w:rPr>
                <w:rFonts w:cs="Arial"/>
              </w:rPr>
              <w:t>Interest (cents)</w:t>
            </w:r>
          </w:p>
        </w:tc>
        <w:tc>
          <w:tcPr>
            <w:tcW w:w="1581" w:type="pct"/>
            <w:tcBorders>
              <w:top w:val="nil"/>
              <w:left w:val="nil"/>
              <w:bottom w:val="single" w:sz="8" w:space="0" w:color="auto"/>
              <w:right w:val="single" w:sz="8" w:space="0" w:color="auto"/>
            </w:tcBorders>
            <w:vAlign w:val="center"/>
          </w:tcPr>
          <w:p w14:paraId="5A2A29B4" w14:textId="77777777" w:rsidR="00115458" w:rsidRPr="00F4606C" w:rsidRDefault="00115458" w:rsidP="00F4606C">
            <w:pPr>
              <w:spacing w:after="0" w:line="240" w:lineRule="auto"/>
              <w:rPr>
                <w:rFonts w:cs="Arial"/>
              </w:rPr>
            </w:pPr>
            <w:r w:rsidRPr="00F4606C">
              <w:rPr>
                <w:rFonts w:cs="Arial"/>
              </w:rPr>
              <w:t>000000013000</w:t>
            </w:r>
          </w:p>
        </w:tc>
      </w:tr>
    </w:tbl>
    <w:p w14:paraId="65F64D51" w14:textId="77777777" w:rsidR="00115458" w:rsidRPr="00773D41" w:rsidRDefault="00115458" w:rsidP="00F4606C">
      <w:pPr>
        <w:spacing w:after="0" w:line="240" w:lineRule="auto"/>
        <w:rPr>
          <w:rFonts w:cs="Arial"/>
          <w:b/>
          <w:smallCaps/>
        </w:rPr>
      </w:pPr>
    </w:p>
    <w:p w14:paraId="35010B78" w14:textId="77777777" w:rsidR="00115458" w:rsidRPr="00773D41" w:rsidRDefault="00115458" w:rsidP="00F4606C">
      <w:pPr>
        <w:spacing w:after="0" w:line="240" w:lineRule="auto"/>
        <w:rPr>
          <w:rFonts w:cs="Arial"/>
        </w:rPr>
      </w:pPr>
      <w:r w:rsidRPr="00773D41">
        <w:rPr>
          <w:rFonts w:cs="Arial"/>
          <w:b/>
          <w:smallCaps/>
        </w:rPr>
        <w:t>investor data record</w:t>
      </w:r>
      <w:r w:rsidRPr="00773D41">
        <w:rPr>
          <w:rFonts w:cs="Arial"/>
        </w:rPr>
        <w:t xml:space="preserve"> </w:t>
      </w:r>
      <w:r w:rsidRPr="00773D41">
        <w:rPr>
          <w:rFonts w:cs="Arial"/>
          <w:smallCaps/>
        </w:rPr>
        <w:t>(extract)</w:t>
      </w:r>
    </w:p>
    <w:p w14:paraId="0421DBC8"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3"/>
        <w:gridCol w:w="2852"/>
      </w:tblGrid>
      <w:tr w:rsidR="00115458" w:rsidRPr="00773D41" w14:paraId="535DD8A1" w14:textId="77777777" w:rsidTr="000C1365">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21F92B53"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6EFFD44F"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780CDA3"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3EF7AD29"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524C8057" w14:textId="3E602B93" w:rsidR="00115458" w:rsidRPr="00F4606C" w:rsidRDefault="00115458" w:rsidP="00F4606C">
            <w:pPr>
              <w:spacing w:after="0" w:line="240" w:lineRule="auto"/>
              <w:rPr>
                <w:rFonts w:cs="Arial"/>
              </w:rPr>
            </w:pPr>
            <w:r w:rsidRPr="00F4606C">
              <w:rPr>
                <w:rFonts w:cs="Arial"/>
              </w:rPr>
              <w:t>9.19</w:t>
            </w:r>
            <w:r w:rsidR="00EF7F9D">
              <w:rPr>
                <w:rFonts w:cs="Arial"/>
              </w:rPr>
              <w:t>7</w:t>
            </w:r>
          </w:p>
        </w:tc>
        <w:tc>
          <w:tcPr>
            <w:tcW w:w="2848" w:type="pct"/>
            <w:tcBorders>
              <w:top w:val="nil"/>
              <w:left w:val="nil"/>
              <w:bottom w:val="single" w:sz="8" w:space="0" w:color="auto"/>
              <w:right w:val="single" w:sz="8" w:space="0" w:color="auto"/>
            </w:tcBorders>
            <w:vAlign w:val="center"/>
          </w:tcPr>
          <w:p w14:paraId="5BE45A01" w14:textId="77777777" w:rsidR="00115458" w:rsidRPr="00F4606C" w:rsidRDefault="00115458" w:rsidP="00F4606C">
            <w:pPr>
              <w:spacing w:after="0" w:line="240" w:lineRule="auto"/>
              <w:rPr>
                <w:rFonts w:cs="Arial"/>
              </w:rPr>
            </w:pPr>
            <w:r w:rsidRPr="00F4606C">
              <w:rPr>
                <w:rFonts w:cs="Arial"/>
              </w:rPr>
              <w:t>Investor entity type</w:t>
            </w:r>
          </w:p>
        </w:tc>
        <w:tc>
          <w:tcPr>
            <w:tcW w:w="1581" w:type="pct"/>
            <w:tcBorders>
              <w:top w:val="nil"/>
              <w:left w:val="nil"/>
              <w:bottom w:val="single" w:sz="8" w:space="0" w:color="auto"/>
              <w:right w:val="single" w:sz="8" w:space="0" w:color="auto"/>
            </w:tcBorders>
            <w:vAlign w:val="center"/>
          </w:tcPr>
          <w:p w14:paraId="625DAE61" w14:textId="77777777" w:rsidR="00115458" w:rsidRPr="00F4606C" w:rsidRDefault="00115458" w:rsidP="00F4606C">
            <w:pPr>
              <w:spacing w:after="0" w:line="240" w:lineRule="auto"/>
              <w:rPr>
                <w:rFonts w:cs="Arial"/>
              </w:rPr>
            </w:pPr>
            <w:r w:rsidRPr="00F4606C">
              <w:rPr>
                <w:rFonts w:cs="Arial"/>
              </w:rPr>
              <w:t>T</w:t>
            </w:r>
          </w:p>
        </w:tc>
      </w:tr>
      <w:tr w:rsidR="00115458" w:rsidRPr="00773D41" w14:paraId="23F0CAEB"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3EBAC347" w14:textId="26700B06" w:rsidR="00115458" w:rsidRPr="00F4606C" w:rsidRDefault="00115458" w:rsidP="00F4606C">
            <w:pPr>
              <w:spacing w:after="0" w:line="240" w:lineRule="auto"/>
              <w:rPr>
                <w:rFonts w:cs="Arial"/>
              </w:rPr>
            </w:pPr>
            <w:r w:rsidRPr="00F4606C">
              <w:rPr>
                <w:rFonts w:cs="Arial"/>
              </w:rPr>
              <w:t>9.19</w:t>
            </w:r>
            <w:r w:rsidR="00EF7F9D">
              <w:rPr>
                <w:rFonts w:cs="Arial"/>
              </w:rPr>
              <w:t>8</w:t>
            </w:r>
          </w:p>
        </w:tc>
        <w:tc>
          <w:tcPr>
            <w:tcW w:w="2848" w:type="pct"/>
            <w:tcBorders>
              <w:top w:val="nil"/>
              <w:left w:val="nil"/>
              <w:bottom w:val="single" w:sz="8" w:space="0" w:color="auto"/>
              <w:right w:val="single" w:sz="8" w:space="0" w:color="auto"/>
            </w:tcBorders>
            <w:vAlign w:val="center"/>
          </w:tcPr>
          <w:p w14:paraId="1DE25C47" w14:textId="77777777" w:rsidR="00115458" w:rsidRPr="00F4606C" w:rsidRDefault="00115458" w:rsidP="00F4606C">
            <w:pPr>
              <w:spacing w:after="0" w:line="240" w:lineRule="auto"/>
              <w:rPr>
                <w:rFonts w:cs="Arial"/>
              </w:rPr>
            </w:pPr>
            <w:r w:rsidRPr="00F4606C">
              <w:rPr>
                <w:rFonts w:cs="Arial"/>
              </w:rPr>
              <w:t>Investor tax file number</w:t>
            </w:r>
          </w:p>
        </w:tc>
        <w:tc>
          <w:tcPr>
            <w:tcW w:w="1581" w:type="pct"/>
            <w:tcBorders>
              <w:top w:val="nil"/>
              <w:left w:val="nil"/>
              <w:bottom w:val="single" w:sz="8" w:space="0" w:color="auto"/>
              <w:right w:val="single" w:sz="8" w:space="0" w:color="auto"/>
            </w:tcBorders>
            <w:vAlign w:val="center"/>
          </w:tcPr>
          <w:p w14:paraId="0FFACF56" w14:textId="77777777" w:rsidR="00115458" w:rsidRPr="00F4606C" w:rsidRDefault="00115458" w:rsidP="00F4606C">
            <w:pPr>
              <w:spacing w:after="0" w:line="240" w:lineRule="auto"/>
              <w:rPr>
                <w:rFonts w:cs="Arial"/>
              </w:rPr>
            </w:pPr>
            <w:r w:rsidRPr="00F4606C">
              <w:rPr>
                <w:rFonts w:cs="Arial"/>
              </w:rPr>
              <w:t>965477891</w:t>
            </w:r>
          </w:p>
        </w:tc>
      </w:tr>
      <w:tr w:rsidR="00115458" w:rsidRPr="00773D41" w14:paraId="161F7BD3"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67A56772" w14:textId="43F3C1ED" w:rsidR="00115458" w:rsidRPr="00F4606C" w:rsidRDefault="00115458" w:rsidP="00F4606C">
            <w:pPr>
              <w:spacing w:after="0" w:line="240" w:lineRule="auto"/>
              <w:rPr>
                <w:rFonts w:cs="Arial"/>
              </w:rPr>
            </w:pPr>
            <w:r w:rsidRPr="00F4606C">
              <w:rPr>
                <w:rFonts w:cs="Arial"/>
              </w:rPr>
              <w:t>9.</w:t>
            </w:r>
            <w:r w:rsidR="00EF7F9D">
              <w:rPr>
                <w:rFonts w:cs="Arial"/>
              </w:rPr>
              <w:t>201</w:t>
            </w:r>
          </w:p>
        </w:tc>
        <w:tc>
          <w:tcPr>
            <w:tcW w:w="2848" w:type="pct"/>
            <w:tcBorders>
              <w:top w:val="nil"/>
              <w:left w:val="nil"/>
              <w:bottom w:val="single" w:sz="8" w:space="0" w:color="auto"/>
              <w:right w:val="single" w:sz="8" w:space="0" w:color="auto"/>
            </w:tcBorders>
            <w:vAlign w:val="center"/>
          </w:tcPr>
          <w:p w14:paraId="4F7E6498" w14:textId="77777777" w:rsidR="00115458" w:rsidRPr="00F4606C" w:rsidRDefault="00115458" w:rsidP="00F4606C">
            <w:pPr>
              <w:spacing w:after="0" w:line="240" w:lineRule="auto"/>
              <w:rPr>
                <w:rFonts w:cs="Arial"/>
              </w:rPr>
            </w:pPr>
            <w:r w:rsidRPr="00F4606C">
              <w:rPr>
                <w:rFonts w:cs="Arial"/>
              </w:rPr>
              <w:t>Individual investor surname</w:t>
            </w:r>
          </w:p>
        </w:tc>
        <w:tc>
          <w:tcPr>
            <w:tcW w:w="1581" w:type="pct"/>
            <w:tcBorders>
              <w:top w:val="nil"/>
              <w:left w:val="nil"/>
              <w:bottom w:val="single" w:sz="8" w:space="0" w:color="auto"/>
              <w:right w:val="single" w:sz="8" w:space="0" w:color="auto"/>
            </w:tcBorders>
            <w:vAlign w:val="center"/>
          </w:tcPr>
          <w:p w14:paraId="3EE5EF70"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21733DE9"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50DE02DA" w14:textId="1200186F" w:rsidR="00115458" w:rsidRPr="00F4606C" w:rsidRDefault="00115458" w:rsidP="00F4606C">
            <w:pPr>
              <w:spacing w:after="0" w:line="240" w:lineRule="auto"/>
              <w:rPr>
                <w:rFonts w:cs="Arial"/>
              </w:rPr>
            </w:pPr>
            <w:r w:rsidRPr="00F4606C">
              <w:rPr>
                <w:rFonts w:cs="Arial"/>
              </w:rPr>
              <w:t>9.</w:t>
            </w:r>
            <w:r w:rsidR="00EF7F9D">
              <w:rPr>
                <w:rFonts w:cs="Arial"/>
              </w:rPr>
              <w:t>202</w:t>
            </w:r>
          </w:p>
        </w:tc>
        <w:tc>
          <w:tcPr>
            <w:tcW w:w="2848" w:type="pct"/>
            <w:tcBorders>
              <w:top w:val="nil"/>
              <w:left w:val="nil"/>
              <w:bottom w:val="single" w:sz="8" w:space="0" w:color="auto"/>
              <w:right w:val="single" w:sz="8" w:space="0" w:color="auto"/>
            </w:tcBorders>
            <w:vAlign w:val="center"/>
          </w:tcPr>
          <w:p w14:paraId="70203DAF"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81" w:type="pct"/>
            <w:tcBorders>
              <w:top w:val="nil"/>
              <w:left w:val="nil"/>
              <w:bottom w:val="single" w:sz="8" w:space="0" w:color="auto"/>
              <w:right w:val="single" w:sz="8" w:space="0" w:color="auto"/>
            </w:tcBorders>
            <w:vAlign w:val="center"/>
          </w:tcPr>
          <w:p w14:paraId="1FEB5046"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1667FD59"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5D1ADB20" w14:textId="7E992FC5" w:rsidR="00115458" w:rsidRPr="00F4606C" w:rsidRDefault="00115458" w:rsidP="00F4606C">
            <w:pPr>
              <w:spacing w:after="0" w:line="240" w:lineRule="auto"/>
              <w:rPr>
                <w:rFonts w:cs="Arial"/>
              </w:rPr>
            </w:pPr>
            <w:r w:rsidRPr="00F4606C">
              <w:rPr>
                <w:rFonts w:cs="Arial"/>
              </w:rPr>
              <w:t>9.</w:t>
            </w:r>
            <w:r w:rsidR="00EF7F9D">
              <w:rPr>
                <w:rFonts w:cs="Arial"/>
              </w:rPr>
              <w:t>203</w:t>
            </w:r>
          </w:p>
        </w:tc>
        <w:tc>
          <w:tcPr>
            <w:tcW w:w="2848" w:type="pct"/>
            <w:tcBorders>
              <w:top w:val="nil"/>
              <w:left w:val="nil"/>
              <w:bottom w:val="single" w:sz="8" w:space="0" w:color="auto"/>
              <w:right w:val="single" w:sz="8" w:space="0" w:color="auto"/>
            </w:tcBorders>
            <w:vAlign w:val="center"/>
          </w:tcPr>
          <w:p w14:paraId="6A553F67"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81" w:type="pct"/>
            <w:tcBorders>
              <w:top w:val="nil"/>
              <w:left w:val="nil"/>
              <w:bottom w:val="single" w:sz="8" w:space="0" w:color="auto"/>
              <w:right w:val="single" w:sz="8" w:space="0" w:color="auto"/>
            </w:tcBorders>
            <w:vAlign w:val="center"/>
          </w:tcPr>
          <w:p w14:paraId="636E3805"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106E6E6C"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2E6EF788" w14:textId="401732BE" w:rsidR="00115458" w:rsidRPr="00F4606C" w:rsidRDefault="00115458" w:rsidP="00F4606C">
            <w:pPr>
              <w:spacing w:after="0" w:line="240" w:lineRule="auto"/>
              <w:rPr>
                <w:rFonts w:cs="Arial"/>
              </w:rPr>
            </w:pPr>
            <w:r w:rsidRPr="00F4606C">
              <w:rPr>
                <w:rFonts w:cs="Arial"/>
              </w:rPr>
              <w:t>9.20</w:t>
            </w:r>
            <w:r w:rsidR="00EF7F9D">
              <w:rPr>
                <w:rFonts w:cs="Arial"/>
              </w:rPr>
              <w:t>6</w:t>
            </w:r>
          </w:p>
        </w:tc>
        <w:tc>
          <w:tcPr>
            <w:tcW w:w="2848" w:type="pct"/>
            <w:tcBorders>
              <w:top w:val="nil"/>
              <w:left w:val="nil"/>
              <w:bottom w:val="single" w:sz="8" w:space="0" w:color="auto"/>
              <w:right w:val="single" w:sz="8" w:space="0" w:color="auto"/>
            </w:tcBorders>
            <w:vAlign w:val="center"/>
          </w:tcPr>
          <w:p w14:paraId="721AD8B9" w14:textId="77777777" w:rsidR="00115458" w:rsidRPr="00F4606C" w:rsidRDefault="00115458" w:rsidP="00F4606C">
            <w:pPr>
              <w:spacing w:after="0" w:line="240" w:lineRule="auto"/>
              <w:rPr>
                <w:rFonts w:cs="Arial"/>
              </w:rPr>
            </w:pPr>
            <w:r w:rsidRPr="00F4606C">
              <w:rPr>
                <w:rFonts w:cs="Arial"/>
              </w:rPr>
              <w:t>Non-individual investor name</w:t>
            </w:r>
          </w:p>
        </w:tc>
        <w:tc>
          <w:tcPr>
            <w:tcW w:w="1581" w:type="pct"/>
            <w:tcBorders>
              <w:top w:val="nil"/>
              <w:left w:val="nil"/>
              <w:bottom w:val="single" w:sz="8" w:space="0" w:color="auto"/>
              <w:right w:val="single" w:sz="8" w:space="0" w:color="auto"/>
            </w:tcBorders>
            <w:vAlign w:val="center"/>
          </w:tcPr>
          <w:p w14:paraId="0AF91384" w14:textId="77777777" w:rsidR="00115458" w:rsidRPr="00F4606C" w:rsidRDefault="00115458" w:rsidP="00F4606C">
            <w:pPr>
              <w:spacing w:after="0" w:line="240" w:lineRule="auto"/>
              <w:rPr>
                <w:rFonts w:cs="Arial"/>
                <w:caps/>
              </w:rPr>
            </w:pPr>
            <w:r w:rsidRPr="00F4606C">
              <w:rPr>
                <w:rFonts w:cs="Arial"/>
                <w:caps/>
              </w:rPr>
              <w:t>Katy Regan-Jones Trust</w:t>
            </w:r>
          </w:p>
        </w:tc>
      </w:tr>
    </w:tbl>
    <w:p w14:paraId="10C6FAD7" w14:textId="77777777" w:rsidR="00773D41" w:rsidRDefault="00773D41" w:rsidP="00A002E5"/>
    <w:p w14:paraId="778ED2F0" w14:textId="1D6B120E" w:rsidR="00115458" w:rsidRPr="00773D41" w:rsidRDefault="00115458" w:rsidP="00F4606C">
      <w:pPr>
        <w:keepNext/>
        <w:spacing w:after="0" w:line="240" w:lineRule="auto"/>
        <w:outlineLvl w:val="3"/>
        <w:rPr>
          <w:rFonts w:cs="Arial"/>
          <w:b/>
        </w:rPr>
      </w:pPr>
      <w:r w:rsidRPr="00773D41">
        <w:rPr>
          <w:rFonts w:cs="Arial"/>
          <w:b/>
        </w:rPr>
        <w:t xml:space="preserve">Example 4.8 – Joint account when one investor dies </w:t>
      </w:r>
      <w:r w:rsidR="00773D41">
        <w:rPr>
          <w:rFonts w:cs="Arial"/>
          <w:b/>
        </w:rPr>
        <w:t>–</w:t>
      </w:r>
      <w:r w:rsidRPr="00773D41">
        <w:rPr>
          <w:rFonts w:cs="Arial"/>
          <w:b/>
        </w:rPr>
        <w:t xml:space="preserve"> no interest paid before date of death</w:t>
      </w:r>
    </w:p>
    <w:p w14:paraId="40C37839" w14:textId="77777777" w:rsidR="00773D41" w:rsidRDefault="00773D41" w:rsidP="00773D41">
      <w:pPr>
        <w:spacing w:after="0" w:line="240" w:lineRule="auto"/>
        <w:rPr>
          <w:rFonts w:cs="Arial"/>
        </w:rPr>
      </w:pPr>
    </w:p>
    <w:p w14:paraId="3D3F39BF" w14:textId="761B2AC3" w:rsidR="00115458" w:rsidRPr="00773D41" w:rsidRDefault="00115458" w:rsidP="00F4606C">
      <w:pPr>
        <w:spacing w:after="0" w:line="240" w:lineRule="auto"/>
        <w:rPr>
          <w:rFonts w:cs="Arial"/>
        </w:rPr>
      </w:pPr>
      <w:r w:rsidRPr="00773D41">
        <w:rPr>
          <w:rFonts w:cs="Arial"/>
        </w:rPr>
        <w:t>Joint account is held by resident individuals Maxwell &amp; Leonie Mansworthy. An interest payment of $97.00 is paid on 1 December 20</w:t>
      </w:r>
      <w:r w:rsidR="00A76C76">
        <w:rPr>
          <w:rFonts w:cs="Arial"/>
        </w:rPr>
        <w:t>25</w:t>
      </w:r>
      <w:r w:rsidRPr="00773D41">
        <w:rPr>
          <w:rFonts w:cs="Arial"/>
        </w:rPr>
        <w:t>. Leonie Manning died in October 20</w:t>
      </w:r>
      <w:r w:rsidR="00A76C76">
        <w:rPr>
          <w:rFonts w:cs="Arial"/>
        </w:rPr>
        <w:t>25</w:t>
      </w:r>
      <w:r w:rsidRPr="00773D41">
        <w:rPr>
          <w:rFonts w:cs="Arial"/>
        </w:rPr>
        <w:t xml:space="preserve">. </w:t>
      </w:r>
    </w:p>
    <w:p w14:paraId="3D973844" w14:textId="77777777" w:rsidR="00115458" w:rsidRPr="00773D41" w:rsidRDefault="00115458" w:rsidP="00F4606C">
      <w:pPr>
        <w:spacing w:after="0" w:line="240" w:lineRule="auto"/>
        <w:rPr>
          <w:rFonts w:cs="Arial"/>
        </w:rPr>
      </w:pPr>
    </w:p>
    <w:p w14:paraId="6D566769" w14:textId="77777777" w:rsidR="00115458" w:rsidRPr="00773D41" w:rsidRDefault="00115458" w:rsidP="00F4606C">
      <w:pPr>
        <w:spacing w:after="0" w:line="240" w:lineRule="auto"/>
        <w:rPr>
          <w:rFonts w:cs="Arial"/>
        </w:rPr>
      </w:pPr>
      <w:r w:rsidRPr="00773D41">
        <w:rPr>
          <w:rFonts w:cs="Arial"/>
          <w:b/>
          <w:smallCaps/>
        </w:rPr>
        <w:t xml:space="preserve">investment account data record </w:t>
      </w:r>
      <w:r w:rsidRPr="00773D41">
        <w:rPr>
          <w:rFonts w:cs="Arial"/>
        </w:rPr>
        <w:t>(</w:t>
      </w:r>
      <w:r w:rsidRPr="00773D41">
        <w:rPr>
          <w:rFonts w:cs="Arial"/>
          <w:smallCaps/>
        </w:rPr>
        <w:t>extract</w:t>
      </w:r>
      <w:r w:rsidRPr="00773D41">
        <w:rPr>
          <w:rFonts w:cs="Arial"/>
        </w:rPr>
        <w:t>)</w:t>
      </w:r>
    </w:p>
    <w:p w14:paraId="26CA17C3" w14:textId="77777777" w:rsidR="00115458" w:rsidRPr="00773D41" w:rsidRDefault="00115458" w:rsidP="00F4606C">
      <w:pPr>
        <w:spacing w:after="0" w:line="240" w:lineRule="auto"/>
        <w:rPr>
          <w:rFonts w:cs="Arial"/>
        </w:rPr>
      </w:pPr>
    </w:p>
    <w:tbl>
      <w:tblPr>
        <w:tblW w:w="5000" w:type="pct"/>
        <w:tblLook w:val="0000" w:firstRow="0" w:lastRow="0" w:firstColumn="0" w:lastColumn="0" w:noHBand="0" w:noVBand="0"/>
      </w:tblPr>
      <w:tblGrid>
        <w:gridCol w:w="1227"/>
        <w:gridCol w:w="5203"/>
        <w:gridCol w:w="2852"/>
      </w:tblGrid>
      <w:tr w:rsidR="00115458" w:rsidRPr="00773D41" w14:paraId="317090D0" w14:textId="77777777" w:rsidTr="000C1365">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31FE6DFB"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08CDFD5F"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17DC80D"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58E6925F"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4670393A" w14:textId="77777777" w:rsidR="00115458" w:rsidRPr="00F4606C" w:rsidRDefault="00115458" w:rsidP="00F4606C">
            <w:pPr>
              <w:spacing w:after="0" w:line="240" w:lineRule="auto"/>
              <w:rPr>
                <w:rFonts w:cs="Arial"/>
              </w:rPr>
            </w:pPr>
            <w:r w:rsidRPr="00F4606C">
              <w:rPr>
                <w:rFonts w:cs="Arial"/>
              </w:rPr>
              <w:t>9.67</w:t>
            </w:r>
          </w:p>
        </w:tc>
        <w:tc>
          <w:tcPr>
            <w:tcW w:w="2848" w:type="pct"/>
            <w:tcBorders>
              <w:top w:val="nil"/>
              <w:left w:val="nil"/>
              <w:bottom w:val="single" w:sz="8" w:space="0" w:color="auto"/>
              <w:right w:val="single" w:sz="8" w:space="0" w:color="auto"/>
            </w:tcBorders>
            <w:vAlign w:val="center"/>
          </w:tcPr>
          <w:p w14:paraId="5A5052B7" w14:textId="77777777" w:rsidR="00115458" w:rsidRPr="00F4606C" w:rsidRDefault="00115458" w:rsidP="00F4606C">
            <w:pPr>
              <w:spacing w:after="0" w:line="240" w:lineRule="auto"/>
              <w:rPr>
                <w:rFonts w:cs="Arial"/>
              </w:rPr>
            </w:pPr>
            <w:r w:rsidRPr="00F4606C">
              <w:rPr>
                <w:rFonts w:cs="Arial"/>
              </w:rPr>
              <w:t>Account name</w:t>
            </w:r>
          </w:p>
        </w:tc>
        <w:tc>
          <w:tcPr>
            <w:tcW w:w="1581" w:type="pct"/>
            <w:tcBorders>
              <w:top w:val="nil"/>
              <w:left w:val="nil"/>
              <w:bottom w:val="single" w:sz="8" w:space="0" w:color="auto"/>
              <w:right w:val="single" w:sz="8" w:space="0" w:color="auto"/>
            </w:tcBorders>
            <w:vAlign w:val="center"/>
          </w:tcPr>
          <w:p w14:paraId="56821EDB" w14:textId="77777777" w:rsidR="00115458" w:rsidRPr="00F4606C" w:rsidRDefault="00115458" w:rsidP="00F4606C">
            <w:pPr>
              <w:spacing w:after="0" w:line="240" w:lineRule="auto"/>
              <w:rPr>
                <w:rFonts w:cs="Arial"/>
                <w:caps/>
              </w:rPr>
            </w:pPr>
            <w:r w:rsidRPr="00F4606C">
              <w:rPr>
                <w:rFonts w:cs="Arial"/>
                <w:caps/>
              </w:rPr>
              <w:t>Maxwell &amp; Leonie Mansworthy</w:t>
            </w:r>
          </w:p>
        </w:tc>
      </w:tr>
      <w:tr w:rsidR="00115458" w:rsidRPr="00773D41" w14:paraId="3EFBFCD8"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208A260C" w14:textId="77777777" w:rsidR="00115458" w:rsidRPr="00F4606C" w:rsidRDefault="00115458" w:rsidP="00F4606C">
            <w:pPr>
              <w:spacing w:after="0" w:line="240" w:lineRule="auto"/>
              <w:rPr>
                <w:rFonts w:cs="Arial"/>
              </w:rPr>
            </w:pPr>
            <w:r w:rsidRPr="00F4606C">
              <w:rPr>
                <w:rFonts w:cs="Arial"/>
              </w:rPr>
              <w:t>9.70</w:t>
            </w:r>
          </w:p>
        </w:tc>
        <w:tc>
          <w:tcPr>
            <w:tcW w:w="2848" w:type="pct"/>
            <w:tcBorders>
              <w:top w:val="nil"/>
              <w:left w:val="nil"/>
              <w:bottom w:val="single" w:sz="8" w:space="0" w:color="auto"/>
              <w:right w:val="single" w:sz="8" w:space="0" w:color="auto"/>
            </w:tcBorders>
            <w:vAlign w:val="center"/>
          </w:tcPr>
          <w:p w14:paraId="6EE26489" w14:textId="77777777" w:rsidR="00115458" w:rsidRPr="00F4606C" w:rsidRDefault="00115458" w:rsidP="00F4606C">
            <w:pPr>
              <w:spacing w:after="0" w:line="240" w:lineRule="auto"/>
              <w:rPr>
                <w:rFonts w:cs="Arial"/>
              </w:rPr>
            </w:pPr>
            <w:r w:rsidRPr="00F4606C">
              <w:rPr>
                <w:rFonts w:cs="Arial"/>
              </w:rPr>
              <w:t>Date of payment (DDMMCCYY)</w:t>
            </w:r>
          </w:p>
        </w:tc>
        <w:tc>
          <w:tcPr>
            <w:tcW w:w="1581" w:type="pct"/>
            <w:tcBorders>
              <w:top w:val="nil"/>
              <w:left w:val="nil"/>
              <w:bottom w:val="single" w:sz="8" w:space="0" w:color="auto"/>
              <w:right w:val="single" w:sz="8" w:space="0" w:color="auto"/>
            </w:tcBorders>
            <w:vAlign w:val="center"/>
          </w:tcPr>
          <w:p w14:paraId="7E37D53A" w14:textId="089BED4B" w:rsidR="00115458" w:rsidRPr="00F4606C" w:rsidRDefault="00115458" w:rsidP="00F4606C">
            <w:pPr>
              <w:spacing w:after="0" w:line="240" w:lineRule="auto"/>
              <w:rPr>
                <w:rFonts w:cs="Arial"/>
              </w:rPr>
            </w:pPr>
            <w:r w:rsidRPr="00F4606C">
              <w:rPr>
                <w:rFonts w:cs="Arial"/>
              </w:rPr>
              <w:t>011220</w:t>
            </w:r>
            <w:r w:rsidR="00A76C76">
              <w:rPr>
                <w:rFonts w:cs="Arial"/>
              </w:rPr>
              <w:t>25</w:t>
            </w:r>
          </w:p>
        </w:tc>
      </w:tr>
      <w:tr w:rsidR="00115458" w:rsidRPr="00773D41" w14:paraId="0ED51885"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641FBE29" w14:textId="77777777" w:rsidR="00115458" w:rsidRPr="00F4606C" w:rsidRDefault="00115458" w:rsidP="00F4606C">
            <w:pPr>
              <w:spacing w:after="0" w:line="240" w:lineRule="auto"/>
              <w:rPr>
                <w:rFonts w:cs="Arial"/>
              </w:rPr>
            </w:pPr>
            <w:r w:rsidRPr="00F4606C">
              <w:rPr>
                <w:rFonts w:cs="Arial"/>
              </w:rPr>
              <w:t>9.72</w:t>
            </w:r>
          </w:p>
        </w:tc>
        <w:tc>
          <w:tcPr>
            <w:tcW w:w="2848" w:type="pct"/>
            <w:tcBorders>
              <w:top w:val="nil"/>
              <w:left w:val="nil"/>
              <w:bottom w:val="single" w:sz="8" w:space="0" w:color="auto"/>
              <w:right w:val="single" w:sz="8" w:space="0" w:color="auto"/>
            </w:tcBorders>
            <w:vAlign w:val="center"/>
          </w:tcPr>
          <w:p w14:paraId="30CF26FA" w14:textId="77777777" w:rsidR="00115458" w:rsidRPr="00F4606C" w:rsidRDefault="00115458" w:rsidP="00F4606C">
            <w:pPr>
              <w:spacing w:after="0" w:line="240" w:lineRule="auto"/>
              <w:rPr>
                <w:rFonts w:cs="Arial"/>
              </w:rPr>
            </w:pPr>
            <w:r w:rsidRPr="00F4606C">
              <w:rPr>
                <w:rFonts w:cs="Arial"/>
              </w:rPr>
              <w:t>Type of payment</w:t>
            </w:r>
          </w:p>
        </w:tc>
        <w:tc>
          <w:tcPr>
            <w:tcW w:w="1581" w:type="pct"/>
            <w:tcBorders>
              <w:top w:val="nil"/>
              <w:left w:val="nil"/>
              <w:bottom w:val="single" w:sz="8" w:space="0" w:color="auto"/>
              <w:right w:val="single" w:sz="8" w:space="0" w:color="auto"/>
            </w:tcBorders>
            <w:vAlign w:val="center"/>
          </w:tcPr>
          <w:p w14:paraId="161716DF" w14:textId="77777777" w:rsidR="00115458" w:rsidRPr="00F4606C" w:rsidRDefault="00115458" w:rsidP="00F4606C">
            <w:pPr>
              <w:spacing w:after="0" w:line="240" w:lineRule="auto"/>
              <w:rPr>
                <w:rFonts w:cs="Arial"/>
              </w:rPr>
            </w:pPr>
            <w:r w:rsidRPr="00F4606C">
              <w:rPr>
                <w:rFonts w:cs="Arial"/>
              </w:rPr>
              <w:t>INT</w:t>
            </w:r>
          </w:p>
        </w:tc>
      </w:tr>
      <w:tr w:rsidR="00115458" w:rsidRPr="00773D41" w14:paraId="219A4532"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201A5FF0" w14:textId="77777777" w:rsidR="00115458" w:rsidRPr="00F4606C" w:rsidRDefault="00115458" w:rsidP="00F4606C">
            <w:pPr>
              <w:spacing w:after="0" w:line="240" w:lineRule="auto"/>
              <w:rPr>
                <w:rFonts w:cs="Arial"/>
              </w:rPr>
            </w:pPr>
            <w:r w:rsidRPr="00F4606C">
              <w:rPr>
                <w:rFonts w:cs="Arial"/>
              </w:rPr>
              <w:t>9.79</w:t>
            </w:r>
          </w:p>
        </w:tc>
        <w:tc>
          <w:tcPr>
            <w:tcW w:w="2848" w:type="pct"/>
            <w:tcBorders>
              <w:top w:val="nil"/>
              <w:left w:val="nil"/>
              <w:bottom w:val="single" w:sz="8" w:space="0" w:color="auto"/>
              <w:right w:val="single" w:sz="8" w:space="0" w:color="auto"/>
            </w:tcBorders>
            <w:vAlign w:val="center"/>
          </w:tcPr>
          <w:p w14:paraId="2EDF47D1" w14:textId="77777777" w:rsidR="00115458" w:rsidRPr="00F4606C" w:rsidRDefault="00115458" w:rsidP="00F4606C">
            <w:pPr>
              <w:spacing w:after="0" w:line="240" w:lineRule="auto"/>
              <w:rPr>
                <w:rFonts w:cs="Arial"/>
              </w:rPr>
            </w:pPr>
            <w:r w:rsidRPr="00F4606C">
              <w:rPr>
                <w:rFonts w:cs="Arial"/>
              </w:rPr>
              <w:t>Interest (cents)</w:t>
            </w:r>
          </w:p>
        </w:tc>
        <w:tc>
          <w:tcPr>
            <w:tcW w:w="1581" w:type="pct"/>
            <w:tcBorders>
              <w:top w:val="nil"/>
              <w:left w:val="nil"/>
              <w:bottom w:val="single" w:sz="8" w:space="0" w:color="auto"/>
              <w:right w:val="single" w:sz="8" w:space="0" w:color="auto"/>
            </w:tcBorders>
            <w:vAlign w:val="center"/>
          </w:tcPr>
          <w:p w14:paraId="46D2D74B" w14:textId="77777777" w:rsidR="00115458" w:rsidRPr="00F4606C" w:rsidRDefault="00115458" w:rsidP="00F4606C">
            <w:pPr>
              <w:spacing w:after="0" w:line="240" w:lineRule="auto"/>
              <w:rPr>
                <w:rFonts w:cs="Arial"/>
              </w:rPr>
            </w:pPr>
            <w:r w:rsidRPr="00F4606C">
              <w:rPr>
                <w:rFonts w:cs="Arial"/>
              </w:rPr>
              <w:t>000000009700</w:t>
            </w:r>
          </w:p>
        </w:tc>
      </w:tr>
    </w:tbl>
    <w:p w14:paraId="365D46B0" w14:textId="77777777" w:rsidR="00115458" w:rsidRPr="00773D41" w:rsidRDefault="00115458" w:rsidP="00115458">
      <w:pPr>
        <w:rPr>
          <w:rFonts w:cs="Arial"/>
        </w:rPr>
      </w:pPr>
    </w:p>
    <w:p w14:paraId="0E7749BD" w14:textId="7C6DE2BB" w:rsidR="00115458" w:rsidRPr="00773D41" w:rsidRDefault="00115458" w:rsidP="00F4606C">
      <w:pPr>
        <w:spacing w:after="0" w:line="240" w:lineRule="auto"/>
        <w:rPr>
          <w:rFonts w:cs="Arial"/>
        </w:rPr>
      </w:pPr>
      <w:r w:rsidRPr="00773D41">
        <w:rPr>
          <w:rFonts w:cs="Arial"/>
          <w:b/>
          <w:smallCaps/>
        </w:rPr>
        <w:t>investor data record</w:t>
      </w:r>
      <w:r w:rsidRPr="00773D41">
        <w:rPr>
          <w:rFonts w:cs="Arial"/>
        </w:rPr>
        <w:t xml:space="preserve"> </w:t>
      </w:r>
      <w:r w:rsidRPr="00773D41">
        <w:rPr>
          <w:rFonts w:cs="Arial"/>
          <w:smallCaps/>
        </w:rPr>
        <w:t>(extract)</w:t>
      </w:r>
    </w:p>
    <w:tbl>
      <w:tblPr>
        <w:tblW w:w="5000" w:type="pct"/>
        <w:tblLook w:val="0000" w:firstRow="0" w:lastRow="0" w:firstColumn="0" w:lastColumn="0" w:noHBand="0" w:noVBand="0"/>
      </w:tblPr>
      <w:tblGrid>
        <w:gridCol w:w="1227"/>
        <w:gridCol w:w="5203"/>
        <w:gridCol w:w="2852"/>
      </w:tblGrid>
      <w:tr w:rsidR="00115458" w:rsidRPr="00773D41" w14:paraId="06A8529B" w14:textId="77777777" w:rsidTr="000C1365">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115493C1" w14:textId="77777777" w:rsidR="00115458" w:rsidRPr="00F4606C" w:rsidRDefault="00115458" w:rsidP="000C1365">
            <w:pPr>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74B52083" w14:textId="77777777" w:rsidR="00115458" w:rsidRPr="00F4606C" w:rsidRDefault="00115458" w:rsidP="000C1365">
            <w:pPr>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63AD33C7" w14:textId="77777777" w:rsidR="00115458" w:rsidRPr="00F4606C" w:rsidRDefault="00115458" w:rsidP="000C1365">
            <w:pPr>
              <w:rPr>
                <w:rFonts w:cs="Arial"/>
                <w:b/>
                <w:bCs/>
              </w:rPr>
            </w:pPr>
            <w:r w:rsidRPr="00F4606C">
              <w:rPr>
                <w:rFonts w:cs="Arial"/>
                <w:b/>
                <w:bCs/>
              </w:rPr>
              <w:t>Content</w:t>
            </w:r>
          </w:p>
        </w:tc>
      </w:tr>
      <w:tr w:rsidR="00115458" w:rsidRPr="00773D41" w14:paraId="415A2983"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0275BAB6" w14:textId="785F77AC" w:rsidR="00115458" w:rsidRPr="00F4606C" w:rsidRDefault="00115458" w:rsidP="00F4606C">
            <w:pPr>
              <w:spacing w:after="0" w:line="240" w:lineRule="auto"/>
              <w:rPr>
                <w:rFonts w:cs="Arial"/>
              </w:rPr>
            </w:pPr>
            <w:r w:rsidRPr="00F4606C">
              <w:rPr>
                <w:rFonts w:cs="Arial"/>
              </w:rPr>
              <w:t>9.19</w:t>
            </w:r>
            <w:r w:rsidR="00EF7F9D">
              <w:rPr>
                <w:rFonts w:cs="Arial"/>
              </w:rPr>
              <w:t>7</w:t>
            </w:r>
          </w:p>
        </w:tc>
        <w:tc>
          <w:tcPr>
            <w:tcW w:w="2848" w:type="pct"/>
            <w:tcBorders>
              <w:top w:val="nil"/>
              <w:left w:val="nil"/>
              <w:bottom w:val="single" w:sz="8" w:space="0" w:color="auto"/>
              <w:right w:val="single" w:sz="8" w:space="0" w:color="auto"/>
            </w:tcBorders>
            <w:vAlign w:val="center"/>
          </w:tcPr>
          <w:p w14:paraId="798886A5" w14:textId="77777777" w:rsidR="00115458" w:rsidRPr="00F4606C" w:rsidRDefault="00115458" w:rsidP="00F4606C">
            <w:pPr>
              <w:spacing w:after="0" w:line="240" w:lineRule="auto"/>
              <w:rPr>
                <w:rFonts w:cs="Arial"/>
              </w:rPr>
            </w:pPr>
            <w:r w:rsidRPr="00F4606C">
              <w:rPr>
                <w:rFonts w:cs="Arial"/>
              </w:rPr>
              <w:t>Investor entity type</w:t>
            </w:r>
          </w:p>
        </w:tc>
        <w:tc>
          <w:tcPr>
            <w:tcW w:w="1581" w:type="pct"/>
            <w:tcBorders>
              <w:top w:val="nil"/>
              <w:left w:val="nil"/>
              <w:bottom w:val="single" w:sz="8" w:space="0" w:color="auto"/>
              <w:right w:val="single" w:sz="8" w:space="0" w:color="auto"/>
            </w:tcBorders>
            <w:vAlign w:val="center"/>
          </w:tcPr>
          <w:p w14:paraId="05A2606F" w14:textId="77777777" w:rsidR="00115458" w:rsidRPr="00F4606C" w:rsidRDefault="00115458" w:rsidP="00F4606C">
            <w:pPr>
              <w:spacing w:after="0" w:line="240" w:lineRule="auto"/>
              <w:rPr>
                <w:rFonts w:cs="Arial"/>
              </w:rPr>
            </w:pPr>
            <w:r w:rsidRPr="00F4606C">
              <w:rPr>
                <w:rFonts w:cs="Arial"/>
              </w:rPr>
              <w:t>I</w:t>
            </w:r>
          </w:p>
        </w:tc>
      </w:tr>
      <w:tr w:rsidR="00115458" w:rsidRPr="00773D41" w14:paraId="5FB5BD8B"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3AF7605B" w14:textId="7A9E2824" w:rsidR="00115458" w:rsidRPr="00F4606C" w:rsidRDefault="00115458" w:rsidP="00F4606C">
            <w:pPr>
              <w:spacing w:after="0" w:line="240" w:lineRule="auto"/>
              <w:rPr>
                <w:rFonts w:cs="Arial"/>
              </w:rPr>
            </w:pPr>
            <w:r w:rsidRPr="00F4606C">
              <w:rPr>
                <w:rFonts w:cs="Arial"/>
              </w:rPr>
              <w:t>9.19</w:t>
            </w:r>
            <w:r w:rsidR="00EF7F9D">
              <w:rPr>
                <w:rFonts w:cs="Arial"/>
              </w:rPr>
              <w:t>8</w:t>
            </w:r>
          </w:p>
        </w:tc>
        <w:tc>
          <w:tcPr>
            <w:tcW w:w="2848" w:type="pct"/>
            <w:tcBorders>
              <w:top w:val="nil"/>
              <w:left w:val="nil"/>
              <w:bottom w:val="single" w:sz="8" w:space="0" w:color="auto"/>
              <w:right w:val="single" w:sz="8" w:space="0" w:color="auto"/>
            </w:tcBorders>
            <w:vAlign w:val="center"/>
          </w:tcPr>
          <w:p w14:paraId="3F384DC3" w14:textId="77777777" w:rsidR="00115458" w:rsidRPr="00F4606C" w:rsidRDefault="00115458" w:rsidP="00F4606C">
            <w:pPr>
              <w:spacing w:after="0" w:line="240" w:lineRule="auto"/>
              <w:rPr>
                <w:rFonts w:cs="Arial"/>
              </w:rPr>
            </w:pPr>
            <w:r w:rsidRPr="00F4606C">
              <w:rPr>
                <w:rFonts w:cs="Arial"/>
              </w:rPr>
              <w:t>Investor tax file number</w:t>
            </w:r>
          </w:p>
        </w:tc>
        <w:tc>
          <w:tcPr>
            <w:tcW w:w="1581" w:type="pct"/>
            <w:tcBorders>
              <w:top w:val="nil"/>
              <w:left w:val="nil"/>
              <w:bottom w:val="single" w:sz="8" w:space="0" w:color="auto"/>
              <w:right w:val="single" w:sz="8" w:space="0" w:color="auto"/>
            </w:tcBorders>
            <w:vAlign w:val="center"/>
          </w:tcPr>
          <w:p w14:paraId="6E0C0F59" w14:textId="77777777" w:rsidR="00115458" w:rsidRPr="00F4606C" w:rsidRDefault="00115458" w:rsidP="00F4606C">
            <w:pPr>
              <w:spacing w:after="0" w:line="240" w:lineRule="auto"/>
              <w:rPr>
                <w:rFonts w:cs="Arial"/>
              </w:rPr>
            </w:pPr>
            <w:r w:rsidRPr="00F4606C">
              <w:rPr>
                <w:rFonts w:cs="Arial"/>
              </w:rPr>
              <w:t>456123789</w:t>
            </w:r>
          </w:p>
        </w:tc>
      </w:tr>
      <w:tr w:rsidR="00115458" w:rsidRPr="00773D41" w14:paraId="1439ABB6"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5A357335" w14:textId="5C6819B2" w:rsidR="00115458" w:rsidRPr="00F4606C" w:rsidRDefault="00115458" w:rsidP="00F4606C">
            <w:pPr>
              <w:spacing w:after="0" w:line="240" w:lineRule="auto"/>
              <w:rPr>
                <w:rFonts w:cs="Arial"/>
              </w:rPr>
            </w:pPr>
            <w:r w:rsidRPr="00F4606C">
              <w:rPr>
                <w:rFonts w:cs="Arial"/>
              </w:rPr>
              <w:t>9.</w:t>
            </w:r>
            <w:r w:rsidR="00EF7F9D">
              <w:rPr>
                <w:rFonts w:cs="Arial"/>
              </w:rPr>
              <w:t>201</w:t>
            </w:r>
          </w:p>
        </w:tc>
        <w:tc>
          <w:tcPr>
            <w:tcW w:w="2848" w:type="pct"/>
            <w:tcBorders>
              <w:top w:val="nil"/>
              <w:left w:val="nil"/>
              <w:bottom w:val="single" w:sz="8" w:space="0" w:color="auto"/>
              <w:right w:val="single" w:sz="8" w:space="0" w:color="auto"/>
            </w:tcBorders>
            <w:vAlign w:val="center"/>
          </w:tcPr>
          <w:p w14:paraId="4F919FCE" w14:textId="77777777" w:rsidR="00115458" w:rsidRPr="00F4606C" w:rsidRDefault="00115458" w:rsidP="00F4606C">
            <w:pPr>
              <w:spacing w:after="0" w:line="240" w:lineRule="auto"/>
              <w:rPr>
                <w:rFonts w:cs="Arial"/>
              </w:rPr>
            </w:pPr>
            <w:r w:rsidRPr="00F4606C">
              <w:rPr>
                <w:rFonts w:cs="Arial"/>
              </w:rPr>
              <w:t>Individual investor surname</w:t>
            </w:r>
          </w:p>
        </w:tc>
        <w:tc>
          <w:tcPr>
            <w:tcW w:w="1581" w:type="pct"/>
            <w:tcBorders>
              <w:top w:val="nil"/>
              <w:left w:val="nil"/>
              <w:bottom w:val="single" w:sz="8" w:space="0" w:color="auto"/>
              <w:right w:val="single" w:sz="8" w:space="0" w:color="auto"/>
            </w:tcBorders>
            <w:vAlign w:val="center"/>
          </w:tcPr>
          <w:p w14:paraId="20AC7CBA" w14:textId="77777777" w:rsidR="00115458" w:rsidRPr="00F4606C" w:rsidRDefault="00115458" w:rsidP="00F4606C">
            <w:pPr>
              <w:spacing w:after="0" w:line="240" w:lineRule="auto"/>
              <w:rPr>
                <w:rFonts w:cs="Arial"/>
                <w:caps/>
              </w:rPr>
            </w:pPr>
            <w:r w:rsidRPr="00F4606C">
              <w:rPr>
                <w:rFonts w:cs="Arial"/>
                <w:caps/>
              </w:rPr>
              <w:t>Mansworthy</w:t>
            </w:r>
          </w:p>
        </w:tc>
      </w:tr>
      <w:tr w:rsidR="00115458" w:rsidRPr="00773D41" w14:paraId="3A0B28EE"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037D2B2E" w14:textId="3605394D" w:rsidR="00115458" w:rsidRPr="00F4606C" w:rsidRDefault="00115458" w:rsidP="00F4606C">
            <w:pPr>
              <w:spacing w:after="0" w:line="240" w:lineRule="auto"/>
              <w:rPr>
                <w:rFonts w:cs="Arial"/>
              </w:rPr>
            </w:pPr>
            <w:r w:rsidRPr="00F4606C">
              <w:rPr>
                <w:rFonts w:cs="Arial"/>
              </w:rPr>
              <w:t>9.</w:t>
            </w:r>
            <w:r w:rsidR="00EF7F9D">
              <w:rPr>
                <w:rFonts w:cs="Arial"/>
              </w:rPr>
              <w:t>202</w:t>
            </w:r>
          </w:p>
        </w:tc>
        <w:tc>
          <w:tcPr>
            <w:tcW w:w="2848" w:type="pct"/>
            <w:tcBorders>
              <w:top w:val="nil"/>
              <w:left w:val="nil"/>
              <w:bottom w:val="single" w:sz="8" w:space="0" w:color="auto"/>
              <w:right w:val="single" w:sz="8" w:space="0" w:color="auto"/>
            </w:tcBorders>
            <w:vAlign w:val="center"/>
          </w:tcPr>
          <w:p w14:paraId="73EE30D1"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81" w:type="pct"/>
            <w:tcBorders>
              <w:top w:val="nil"/>
              <w:left w:val="nil"/>
              <w:bottom w:val="single" w:sz="8" w:space="0" w:color="auto"/>
              <w:right w:val="single" w:sz="8" w:space="0" w:color="auto"/>
            </w:tcBorders>
            <w:vAlign w:val="center"/>
          </w:tcPr>
          <w:p w14:paraId="13D3A91B" w14:textId="77777777" w:rsidR="00115458" w:rsidRPr="00F4606C" w:rsidRDefault="00115458" w:rsidP="00F4606C">
            <w:pPr>
              <w:spacing w:after="0" w:line="240" w:lineRule="auto"/>
              <w:rPr>
                <w:rFonts w:cs="Arial"/>
                <w:caps/>
              </w:rPr>
            </w:pPr>
            <w:r w:rsidRPr="00F4606C">
              <w:rPr>
                <w:rFonts w:cs="Arial"/>
                <w:caps/>
              </w:rPr>
              <w:t>Maxwell</w:t>
            </w:r>
          </w:p>
        </w:tc>
      </w:tr>
      <w:tr w:rsidR="00115458" w:rsidRPr="00773D41" w14:paraId="1F9A762D"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592E0E2C" w14:textId="5AAD2124" w:rsidR="00115458" w:rsidRPr="00F4606C" w:rsidRDefault="00115458" w:rsidP="00F4606C">
            <w:pPr>
              <w:spacing w:after="0" w:line="240" w:lineRule="auto"/>
              <w:rPr>
                <w:rFonts w:cs="Arial"/>
              </w:rPr>
            </w:pPr>
            <w:r w:rsidRPr="00F4606C">
              <w:rPr>
                <w:rFonts w:cs="Arial"/>
              </w:rPr>
              <w:t>9.</w:t>
            </w:r>
            <w:r w:rsidR="00EF7F9D">
              <w:rPr>
                <w:rFonts w:cs="Arial"/>
              </w:rPr>
              <w:t>203</w:t>
            </w:r>
          </w:p>
        </w:tc>
        <w:tc>
          <w:tcPr>
            <w:tcW w:w="2848" w:type="pct"/>
            <w:tcBorders>
              <w:top w:val="nil"/>
              <w:left w:val="nil"/>
              <w:bottom w:val="single" w:sz="8" w:space="0" w:color="auto"/>
              <w:right w:val="single" w:sz="8" w:space="0" w:color="auto"/>
            </w:tcBorders>
            <w:vAlign w:val="center"/>
          </w:tcPr>
          <w:p w14:paraId="56E29469"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81" w:type="pct"/>
            <w:tcBorders>
              <w:top w:val="nil"/>
              <w:left w:val="nil"/>
              <w:bottom w:val="single" w:sz="8" w:space="0" w:color="auto"/>
              <w:right w:val="single" w:sz="8" w:space="0" w:color="auto"/>
            </w:tcBorders>
            <w:vAlign w:val="center"/>
          </w:tcPr>
          <w:p w14:paraId="4D646599"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308AD5CD"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03B45CCA" w14:textId="5EDBDF52" w:rsidR="00115458" w:rsidRPr="00F4606C" w:rsidRDefault="00115458" w:rsidP="00F4606C">
            <w:pPr>
              <w:spacing w:after="0" w:line="240" w:lineRule="auto"/>
              <w:rPr>
                <w:rFonts w:cs="Arial"/>
              </w:rPr>
            </w:pPr>
            <w:r w:rsidRPr="00F4606C">
              <w:rPr>
                <w:rFonts w:cs="Arial"/>
              </w:rPr>
              <w:t>9.20</w:t>
            </w:r>
            <w:r w:rsidR="00EF7F9D">
              <w:rPr>
                <w:rFonts w:cs="Arial"/>
              </w:rPr>
              <w:t>6</w:t>
            </w:r>
          </w:p>
        </w:tc>
        <w:tc>
          <w:tcPr>
            <w:tcW w:w="2848" w:type="pct"/>
            <w:tcBorders>
              <w:top w:val="nil"/>
              <w:left w:val="nil"/>
              <w:bottom w:val="single" w:sz="8" w:space="0" w:color="auto"/>
              <w:right w:val="single" w:sz="8" w:space="0" w:color="auto"/>
            </w:tcBorders>
            <w:vAlign w:val="center"/>
          </w:tcPr>
          <w:p w14:paraId="39586CF4" w14:textId="77777777" w:rsidR="00115458" w:rsidRPr="00F4606C" w:rsidRDefault="00115458" w:rsidP="00F4606C">
            <w:pPr>
              <w:spacing w:after="0" w:line="240" w:lineRule="auto"/>
              <w:rPr>
                <w:rFonts w:cs="Arial"/>
              </w:rPr>
            </w:pPr>
            <w:r w:rsidRPr="00F4606C">
              <w:rPr>
                <w:rFonts w:cs="Arial"/>
              </w:rPr>
              <w:t>Non-individual investor name</w:t>
            </w:r>
          </w:p>
        </w:tc>
        <w:tc>
          <w:tcPr>
            <w:tcW w:w="1581" w:type="pct"/>
            <w:tcBorders>
              <w:top w:val="nil"/>
              <w:left w:val="nil"/>
              <w:bottom w:val="single" w:sz="8" w:space="0" w:color="auto"/>
              <w:right w:val="single" w:sz="8" w:space="0" w:color="auto"/>
            </w:tcBorders>
            <w:vAlign w:val="center"/>
          </w:tcPr>
          <w:p w14:paraId="10588FA1" w14:textId="77777777" w:rsidR="00115458" w:rsidRPr="00F4606C" w:rsidRDefault="00115458" w:rsidP="00F4606C">
            <w:pPr>
              <w:spacing w:after="0" w:line="240" w:lineRule="auto"/>
              <w:rPr>
                <w:rFonts w:cs="Arial"/>
              </w:rPr>
            </w:pPr>
            <w:r w:rsidRPr="00F4606C">
              <w:rPr>
                <w:rFonts w:cs="Arial"/>
              </w:rPr>
              <w:t>Blank fill</w:t>
            </w:r>
          </w:p>
        </w:tc>
      </w:tr>
    </w:tbl>
    <w:p w14:paraId="5938E9CB" w14:textId="77777777" w:rsidR="00115458" w:rsidRPr="00773D41" w:rsidRDefault="00115458" w:rsidP="00115458">
      <w:pPr>
        <w:keepNext/>
        <w:spacing w:before="280" w:after="220"/>
        <w:outlineLvl w:val="3"/>
        <w:rPr>
          <w:rFonts w:cs="Arial"/>
          <w:b/>
        </w:rPr>
      </w:pPr>
      <w:r w:rsidRPr="00773D41">
        <w:rPr>
          <w:rFonts w:cs="Arial"/>
          <w:b/>
        </w:rPr>
        <w:t>Example 4.9 – Joint account when one investor dies - interest paid before and after date of death</w:t>
      </w:r>
    </w:p>
    <w:p w14:paraId="776E0628" w14:textId="171D4A96" w:rsidR="00115458" w:rsidRPr="00773D41" w:rsidRDefault="00115458" w:rsidP="00F4606C">
      <w:pPr>
        <w:spacing w:after="0" w:line="240" w:lineRule="auto"/>
        <w:rPr>
          <w:rFonts w:cs="Arial"/>
        </w:rPr>
      </w:pPr>
      <w:r w:rsidRPr="00773D41">
        <w:rPr>
          <w:rFonts w:cs="Arial"/>
        </w:rPr>
        <w:t>Joint account is held by resident individuals Jon and Gretel Harris. Interest is paid bi-annually on 1 December 202</w:t>
      </w:r>
      <w:r w:rsidR="0095250B">
        <w:rPr>
          <w:rFonts w:cs="Arial"/>
        </w:rPr>
        <w:t>5</w:t>
      </w:r>
      <w:r w:rsidRPr="00773D41">
        <w:rPr>
          <w:rFonts w:cs="Arial"/>
        </w:rPr>
        <w:t xml:space="preserve"> and 1 June 202</w:t>
      </w:r>
      <w:r w:rsidR="0095250B">
        <w:rPr>
          <w:rFonts w:cs="Arial"/>
        </w:rPr>
        <w:t>6</w:t>
      </w:r>
      <w:r w:rsidRPr="00773D41">
        <w:rPr>
          <w:rFonts w:cs="Arial"/>
        </w:rPr>
        <w:t>. A statement of account with an interest payment of $200.00 was issued on 5 December 20</w:t>
      </w:r>
      <w:r w:rsidR="0095250B">
        <w:rPr>
          <w:rFonts w:cs="Arial"/>
        </w:rPr>
        <w:t>25</w:t>
      </w:r>
      <w:r w:rsidRPr="00773D41">
        <w:rPr>
          <w:rFonts w:cs="Arial"/>
        </w:rPr>
        <w:t>. Jon Harris, TFN 987654321, died in March 202</w:t>
      </w:r>
      <w:r w:rsidR="000F2F36">
        <w:rPr>
          <w:rFonts w:cs="Arial"/>
        </w:rPr>
        <w:t>6</w:t>
      </w:r>
      <w:r w:rsidRPr="00773D41">
        <w:rPr>
          <w:rFonts w:cs="Arial"/>
        </w:rPr>
        <w:t>. On 1 June 202</w:t>
      </w:r>
      <w:r w:rsidR="000F2F36">
        <w:rPr>
          <w:rFonts w:cs="Arial"/>
        </w:rPr>
        <w:t>6</w:t>
      </w:r>
      <w:r w:rsidRPr="00773D41">
        <w:rPr>
          <w:rFonts w:cs="Arial"/>
        </w:rPr>
        <w:t xml:space="preserve"> another $200.00 was credited to the account. Gretel, TFN 187123655, does not open a new account or change the account name.</w:t>
      </w:r>
    </w:p>
    <w:p w14:paraId="52EF1E92" w14:textId="77777777" w:rsidR="00115458" w:rsidRPr="00773D41" w:rsidRDefault="00115458" w:rsidP="00F4606C">
      <w:pPr>
        <w:spacing w:after="0" w:line="240" w:lineRule="auto"/>
        <w:rPr>
          <w:rFonts w:cs="Arial"/>
        </w:rPr>
      </w:pPr>
    </w:p>
    <w:p w14:paraId="3A74B290" w14:textId="77777777" w:rsidR="00115458" w:rsidRPr="00773D41" w:rsidRDefault="00115458" w:rsidP="00F4606C">
      <w:pPr>
        <w:spacing w:after="0" w:line="240" w:lineRule="auto"/>
        <w:rPr>
          <w:rFonts w:cs="Arial"/>
        </w:rPr>
      </w:pPr>
      <w:r w:rsidRPr="00773D41">
        <w:rPr>
          <w:rFonts w:cs="Arial"/>
        </w:rPr>
        <w:t xml:space="preserve">Two </w:t>
      </w:r>
      <w:r w:rsidRPr="00773D41">
        <w:rPr>
          <w:rFonts w:cs="Arial"/>
          <w:i/>
        </w:rPr>
        <w:t xml:space="preserve">Investment account data records </w:t>
      </w:r>
      <w:r w:rsidRPr="00773D41">
        <w:rPr>
          <w:rFonts w:cs="Arial"/>
        </w:rPr>
        <w:t xml:space="preserve">and three </w:t>
      </w:r>
      <w:r w:rsidRPr="00773D41">
        <w:rPr>
          <w:rFonts w:cs="Arial"/>
          <w:i/>
        </w:rPr>
        <w:t>Investor data records</w:t>
      </w:r>
      <w:r w:rsidRPr="00773D41">
        <w:rPr>
          <w:rFonts w:cs="Arial"/>
        </w:rPr>
        <w:t xml:space="preserve"> are required:</w:t>
      </w:r>
    </w:p>
    <w:p w14:paraId="29F30AE4" w14:textId="77777777" w:rsidR="00115458" w:rsidRPr="00773D41" w:rsidRDefault="00115458" w:rsidP="00F4606C">
      <w:pPr>
        <w:spacing w:after="0" w:line="240" w:lineRule="auto"/>
        <w:rPr>
          <w:rFonts w:cs="Arial"/>
        </w:rPr>
      </w:pPr>
      <w:r w:rsidRPr="00773D41">
        <w:rPr>
          <w:rFonts w:cs="Arial"/>
        </w:rPr>
        <w:t xml:space="preserve">The first </w:t>
      </w:r>
      <w:r w:rsidRPr="00773D41">
        <w:rPr>
          <w:rFonts w:cs="Arial"/>
          <w:i/>
        </w:rPr>
        <w:t xml:space="preserve">Investment account data record </w:t>
      </w:r>
      <w:r w:rsidRPr="00773D41">
        <w:rPr>
          <w:rFonts w:cs="Arial"/>
        </w:rPr>
        <w:t xml:space="preserve">would report the payment of interest before the date of death accompanied by two </w:t>
      </w:r>
      <w:r w:rsidRPr="00773D41">
        <w:rPr>
          <w:rFonts w:cs="Arial"/>
          <w:i/>
        </w:rPr>
        <w:t>Investor data records</w:t>
      </w:r>
      <w:r w:rsidRPr="00773D41">
        <w:rPr>
          <w:rFonts w:cs="Arial"/>
        </w:rPr>
        <w:t>:</w:t>
      </w:r>
    </w:p>
    <w:p w14:paraId="6BF598BA" w14:textId="77777777" w:rsidR="00115458" w:rsidRPr="00773D41" w:rsidRDefault="00115458" w:rsidP="00F4606C">
      <w:pPr>
        <w:spacing w:after="0" w:line="240" w:lineRule="auto"/>
        <w:rPr>
          <w:rFonts w:cs="Arial"/>
        </w:rPr>
      </w:pPr>
    </w:p>
    <w:p w14:paraId="47F117D9" w14:textId="77777777" w:rsidR="00115458" w:rsidRPr="00773D41" w:rsidRDefault="00115458" w:rsidP="00115458">
      <w:pPr>
        <w:rPr>
          <w:rFonts w:cs="Arial"/>
          <w:bCs/>
          <w:smallCaps/>
        </w:rPr>
      </w:pPr>
      <w:r w:rsidRPr="00773D41">
        <w:rPr>
          <w:rFonts w:cs="Arial"/>
          <w:b/>
          <w:smallCaps/>
        </w:rPr>
        <w:t xml:space="preserve">investment account data record 1 </w:t>
      </w:r>
      <w:r w:rsidRPr="00F4606C">
        <w:rPr>
          <w:rFonts w:cs="Arial"/>
          <w:bCs/>
          <w:smallCaps/>
        </w:rPr>
        <w:t>(extract)</w:t>
      </w:r>
      <w:r w:rsidRPr="00773D41">
        <w:rPr>
          <w:rFonts w:cs="Arial"/>
          <w:b/>
          <w:smallCaps/>
        </w:rPr>
        <w:t xml:space="preserve"> - </w:t>
      </w:r>
      <w:r w:rsidRPr="00773D41">
        <w:rPr>
          <w:rFonts w:cs="Arial"/>
        </w:rPr>
        <w:t>reporting payment before date of death</w:t>
      </w:r>
    </w:p>
    <w:p w14:paraId="072CB87A"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3"/>
        <w:gridCol w:w="2852"/>
      </w:tblGrid>
      <w:tr w:rsidR="00115458" w:rsidRPr="00773D41" w14:paraId="3BFEA237" w14:textId="77777777" w:rsidTr="000C1365">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59ADCF39"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7BF3B2AB"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4F1A38B7"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08D24CD6"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32A1FABD" w14:textId="77777777" w:rsidR="00115458" w:rsidRPr="00F4606C" w:rsidRDefault="00115458" w:rsidP="00F4606C">
            <w:pPr>
              <w:spacing w:after="0" w:line="240" w:lineRule="auto"/>
              <w:rPr>
                <w:rFonts w:cs="Arial"/>
              </w:rPr>
            </w:pPr>
            <w:r w:rsidRPr="00F4606C">
              <w:rPr>
                <w:rFonts w:cs="Arial"/>
              </w:rPr>
              <w:t>9.67</w:t>
            </w:r>
          </w:p>
        </w:tc>
        <w:tc>
          <w:tcPr>
            <w:tcW w:w="2848" w:type="pct"/>
            <w:tcBorders>
              <w:top w:val="nil"/>
              <w:left w:val="nil"/>
              <w:bottom w:val="single" w:sz="8" w:space="0" w:color="auto"/>
              <w:right w:val="single" w:sz="8" w:space="0" w:color="auto"/>
            </w:tcBorders>
            <w:vAlign w:val="center"/>
          </w:tcPr>
          <w:p w14:paraId="0B1CE793" w14:textId="77777777" w:rsidR="00115458" w:rsidRPr="00F4606C" w:rsidRDefault="00115458" w:rsidP="00F4606C">
            <w:pPr>
              <w:spacing w:after="0" w:line="240" w:lineRule="auto"/>
              <w:rPr>
                <w:rFonts w:cs="Arial"/>
              </w:rPr>
            </w:pPr>
            <w:r w:rsidRPr="00F4606C">
              <w:rPr>
                <w:rFonts w:cs="Arial"/>
              </w:rPr>
              <w:t>Account name</w:t>
            </w:r>
          </w:p>
        </w:tc>
        <w:tc>
          <w:tcPr>
            <w:tcW w:w="1581" w:type="pct"/>
            <w:tcBorders>
              <w:top w:val="nil"/>
              <w:left w:val="nil"/>
              <w:bottom w:val="single" w:sz="8" w:space="0" w:color="auto"/>
              <w:right w:val="single" w:sz="8" w:space="0" w:color="auto"/>
            </w:tcBorders>
            <w:vAlign w:val="center"/>
          </w:tcPr>
          <w:p w14:paraId="6EECADBE" w14:textId="77777777" w:rsidR="00115458" w:rsidRPr="00F4606C" w:rsidRDefault="00115458" w:rsidP="00F4606C">
            <w:pPr>
              <w:spacing w:after="0" w:line="240" w:lineRule="auto"/>
              <w:rPr>
                <w:rFonts w:cs="Arial"/>
              </w:rPr>
            </w:pPr>
            <w:r w:rsidRPr="00F4606C">
              <w:rPr>
                <w:rFonts w:cs="Arial"/>
              </w:rPr>
              <w:t>J &amp; G HARRIS</w:t>
            </w:r>
          </w:p>
        </w:tc>
      </w:tr>
      <w:tr w:rsidR="00115458" w:rsidRPr="00773D41" w14:paraId="6D6E83AF"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06DA5622" w14:textId="4545210A" w:rsidR="00115458" w:rsidRPr="00F4606C" w:rsidRDefault="00115458" w:rsidP="00F4606C">
            <w:pPr>
              <w:spacing w:after="0" w:line="240" w:lineRule="auto"/>
              <w:rPr>
                <w:rFonts w:cs="Arial"/>
              </w:rPr>
            </w:pPr>
            <w:r w:rsidRPr="00F4606C">
              <w:rPr>
                <w:rFonts w:cs="Arial"/>
              </w:rPr>
              <w:t>9.</w:t>
            </w:r>
            <w:r w:rsidR="00DE5486">
              <w:rPr>
                <w:rFonts w:cs="Arial"/>
              </w:rPr>
              <w:t>70</w:t>
            </w:r>
          </w:p>
        </w:tc>
        <w:tc>
          <w:tcPr>
            <w:tcW w:w="2848" w:type="pct"/>
            <w:tcBorders>
              <w:top w:val="nil"/>
              <w:left w:val="nil"/>
              <w:bottom w:val="single" w:sz="8" w:space="0" w:color="auto"/>
              <w:right w:val="single" w:sz="8" w:space="0" w:color="auto"/>
            </w:tcBorders>
            <w:vAlign w:val="center"/>
          </w:tcPr>
          <w:p w14:paraId="01270629" w14:textId="77777777" w:rsidR="00115458" w:rsidRPr="00F4606C" w:rsidRDefault="00115458" w:rsidP="00F4606C">
            <w:pPr>
              <w:spacing w:after="0" w:line="240" w:lineRule="auto"/>
              <w:rPr>
                <w:rFonts w:cs="Arial"/>
              </w:rPr>
            </w:pPr>
            <w:r w:rsidRPr="00F4606C">
              <w:rPr>
                <w:rFonts w:cs="Arial"/>
              </w:rPr>
              <w:t>Date of payment (DDMMCCYY)</w:t>
            </w:r>
          </w:p>
        </w:tc>
        <w:tc>
          <w:tcPr>
            <w:tcW w:w="1581" w:type="pct"/>
            <w:tcBorders>
              <w:top w:val="nil"/>
              <w:left w:val="nil"/>
              <w:bottom w:val="single" w:sz="8" w:space="0" w:color="auto"/>
              <w:right w:val="single" w:sz="8" w:space="0" w:color="auto"/>
            </w:tcBorders>
            <w:vAlign w:val="center"/>
          </w:tcPr>
          <w:p w14:paraId="51240206" w14:textId="68253EDA" w:rsidR="00115458" w:rsidRPr="00F4606C" w:rsidRDefault="00115458" w:rsidP="00F4606C">
            <w:pPr>
              <w:spacing w:after="0" w:line="240" w:lineRule="auto"/>
              <w:rPr>
                <w:rFonts w:cs="Arial"/>
              </w:rPr>
            </w:pPr>
            <w:r w:rsidRPr="00F4606C">
              <w:rPr>
                <w:rFonts w:cs="Arial"/>
              </w:rPr>
              <w:t>011220</w:t>
            </w:r>
            <w:r w:rsidR="000F2F36">
              <w:rPr>
                <w:rFonts w:cs="Arial"/>
              </w:rPr>
              <w:t>25</w:t>
            </w:r>
          </w:p>
        </w:tc>
      </w:tr>
      <w:tr w:rsidR="00115458" w:rsidRPr="00773D41" w14:paraId="75666567"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43BEBE45" w14:textId="0DB8B2B0" w:rsidR="00115458" w:rsidRPr="00F4606C" w:rsidRDefault="00115458" w:rsidP="00F4606C">
            <w:pPr>
              <w:spacing w:after="0" w:line="240" w:lineRule="auto"/>
              <w:rPr>
                <w:rFonts w:cs="Arial"/>
              </w:rPr>
            </w:pPr>
            <w:r w:rsidRPr="00F4606C">
              <w:rPr>
                <w:rFonts w:cs="Arial"/>
              </w:rPr>
              <w:t>9.</w:t>
            </w:r>
            <w:r w:rsidR="003F21DA">
              <w:rPr>
                <w:rFonts w:cs="Arial"/>
              </w:rPr>
              <w:t>72</w:t>
            </w:r>
          </w:p>
        </w:tc>
        <w:tc>
          <w:tcPr>
            <w:tcW w:w="2848" w:type="pct"/>
            <w:tcBorders>
              <w:top w:val="nil"/>
              <w:left w:val="nil"/>
              <w:bottom w:val="single" w:sz="8" w:space="0" w:color="auto"/>
              <w:right w:val="single" w:sz="8" w:space="0" w:color="auto"/>
            </w:tcBorders>
            <w:vAlign w:val="center"/>
          </w:tcPr>
          <w:p w14:paraId="079633E9" w14:textId="77777777" w:rsidR="00115458" w:rsidRPr="00F4606C" w:rsidRDefault="00115458" w:rsidP="00F4606C">
            <w:pPr>
              <w:spacing w:after="0" w:line="240" w:lineRule="auto"/>
              <w:rPr>
                <w:rFonts w:cs="Arial"/>
              </w:rPr>
            </w:pPr>
            <w:r w:rsidRPr="00F4606C">
              <w:rPr>
                <w:rFonts w:cs="Arial"/>
              </w:rPr>
              <w:t>Type of payment</w:t>
            </w:r>
          </w:p>
        </w:tc>
        <w:tc>
          <w:tcPr>
            <w:tcW w:w="1581" w:type="pct"/>
            <w:tcBorders>
              <w:top w:val="nil"/>
              <w:left w:val="nil"/>
              <w:bottom w:val="single" w:sz="8" w:space="0" w:color="auto"/>
              <w:right w:val="single" w:sz="8" w:space="0" w:color="auto"/>
            </w:tcBorders>
            <w:vAlign w:val="center"/>
          </w:tcPr>
          <w:p w14:paraId="28523921" w14:textId="77777777" w:rsidR="00115458" w:rsidRPr="00F4606C" w:rsidRDefault="00115458" w:rsidP="00F4606C">
            <w:pPr>
              <w:spacing w:after="0" w:line="240" w:lineRule="auto"/>
              <w:rPr>
                <w:rFonts w:cs="Arial"/>
              </w:rPr>
            </w:pPr>
            <w:r w:rsidRPr="00F4606C">
              <w:rPr>
                <w:rFonts w:cs="Arial"/>
              </w:rPr>
              <w:t>INT</w:t>
            </w:r>
          </w:p>
        </w:tc>
      </w:tr>
      <w:tr w:rsidR="00115458" w:rsidRPr="00773D41" w14:paraId="2167BE99"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744D0605" w14:textId="77777777" w:rsidR="00115458" w:rsidRPr="00F4606C" w:rsidRDefault="00115458" w:rsidP="00F4606C">
            <w:pPr>
              <w:spacing w:after="0" w:line="240" w:lineRule="auto"/>
              <w:rPr>
                <w:rFonts w:cs="Arial"/>
              </w:rPr>
            </w:pPr>
            <w:r w:rsidRPr="00F4606C">
              <w:rPr>
                <w:rFonts w:cs="Arial"/>
              </w:rPr>
              <w:t>9.79</w:t>
            </w:r>
          </w:p>
        </w:tc>
        <w:tc>
          <w:tcPr>
            <w:tcW w:w="2848" w:type="pct"/>
            <w:tcBorders>
              <w:top w:val="nil"/>
              <w:left w:val="nil"/>
              <w:bottom w:val="single" w:sz="8" w:space="0" w:color="auto"/>
              <w:right w:val="single" w:sz="8" w:space="0" w:color="auto"/>
            </w:tcBorders>
            <w:vAlign w:val="center"/>
          </w:tcPr>
          <w:p w14:paraId="49ECD358" w14:textId="77777777" w:rsidR="00115458" w:rsidRPr="00F4606C" w:rsidRDefault="00115458" w:rsidP="00F4606C">
            <w:pPr>
              <w:spacing w:after="0" w:line="240" w:lineRule="auto"/>
              <w:rPr>
                <w:rFonts w:cs="Arial"/>
              </w:rPr>
            </w:pPr>
            <w:r w:rsidRPr="00F4606C">
              <w:rPr>
                <w:rFonts w:cs="Arial"/>
              </w:rPr>
              <w:t>Interest (cents)</w:t>
            </w:r>
          </w:p>
        </w:tc>
        <w:tc>
          <w:tcPr>
            <w:tcW w:w="1581" w:type="pct"/>
            <w:tcBorders>
              <w:top w:val="nil"/>
              <w:left w:val="nil"/>
              <w:bottom w:val="single" w:sz="8" w:space="0" w:color="auto"/>
              <w:right w:val="single" w:sz="8" w:space="0" w:color="auto"/>
            </w:tcBorders>
            <w:vAlign w:val="center"/>
          </w:tcPr>
          <w:p w14:paraId="1D74B59B" w14:textId="77777777" w:rsidR="00115458" w:rsidRPr="00F4606C" w:rsidRDefault="00115458" w:rsidP="00F4606C">
            <w:pPr>
              <w:spacing w:after="0" w:line="240" w:lineRule="auto"/>
              <w:rPr>
                <w:rFonts w:cs="Arial"/>
              </w:rPr>
            </w:pPr>
            <w:r w:rsidRPr="00F4606C">
              <w:rPr>
                <w:rFonts w:cs="Arial"/>
              </w:rPr>
              <w:t>000000020000</w:t>
            </w:r>
          </w:p>
        </w:tc>
      </w:tr>
    </w:tbl>
    <w:p w14:paraId="2407AB68" w14:textId="77777777" w:rsidR="00115458" w:rsidRPr="00773D41" w:rsidRDefault="00115458" w:rsidP="00115458">
      <w:pPr>
        <w:rPr>
          <w:rFonts w:cs="Arial"/>
          <w:b/>
          <w:smallCaps/>
        </w:rPr>
      </w:pPr>
    </w:p>
    <w:p w14:paraId="5547749F" w14:textId="77777777" w:rsidR="00115458" w:rsidRPr="00773D41" w:rsidRDefault="00115458" w:rsidP="00F4606C">
      <w:pPr>
        <w:spacing w:after="0" w:line="240" w:lineRule="auto"/>
        <w:rPr>
          <w:rFonts w:cs="Arial"/>
          <w:bCs/>
          <w:smallCaps/>
        </w:rPr>
      </w:pPr>
      <w:r w:rsidRPr="00773D41">
        <w:rPr>
          <w:rFonts w:cs="Arial"/>
          <w:b/>
          <w:smallCaps/>
        </w:rPr>
        <w:t>investor data record 1</w:t>
      </w:r>
      <w:r w:rsidRPr="00773D41">
        <w:rPr>
          <w:rFonts w:cs="Arial"/>
          <w:bCs/>
          <w:smallCaps/>
        </w:rPr>
        <w:t xml:space="preserve">(EXTRACT) </w:t>
      </w:r>
    </w:p>
    <w:p w14:paraId="3151C850" w14:textId="77777777" w:rsidR="00115458" w:rsidRPr="00773D41" w:rsidRDefault="00115458" w:rsidP="00115458">
      <w:pPr>
        <w:rPr>
          <w:rFonts w:cs="Arial"/>
          <w:b/>
          <w:smallCaps/>
        </w:rPr>
      </w:pPr>
    </w:p>
    <w:tbl>
      <w:tblPr>
        <w:tblW w:w="5000" w:type="pct"/>
        <w:tblLook w:val="0000" w:firstRow="0" w:lastRow="0" w:firstColumn="0" w:lastColumn="0" w:noHBand="0" w:noVBand="0"/>
      </w:tblPr>
      <w:tblGrid>
        <w:gridCol w:w="1227"/>
        <w:gridCol w:w="5231"/>
        <w:gridCol w:w="2824"/>
      </w:tblGrid>
      <w:tr w:rsidR="00115458" w:rsidRPr="00773D41" w14:paraId="09CD11AC" w14:textId="77777777" w:rsidTr="000C1365">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297E62A8" w14:textId="77777777" w:rsidR="00115458" w:rsidRPr="00F4606C" w:rsidRDefault="00115458" w:rsidP="00F4606C">
            <w:pPr>
              <w:spacing w:after="0" w:line="240" w:lineRule="auto"/>
              <w:rPr>
                <w:rFonts w:cs="Arial"/>
                <w:b/>
                <w:bCs/>
              </w:rPr>
            </w:pPr>
            <w:r w:rsidRPr="00F4606C">
              <w:rPr>
                <w:rFonts w:cs="Arial"/>
                <w:b/>
                <w:bCs/>
              </w:rPr>
              <w:t>Reference number</w:t>
            </w:r>
          </w:p>
        </w:tc>
        <w:tc>
          <w:tcPr>
            <w:tcW w:w="2863" w:type="pct"/>
            <w:tcBorders>
              <w:top w:val="single" w:sz="6" w:space="0" w:color="auto"/>
              <w:left w:val="single" w:sz="6" w:space="0" w:color="auto"/>
              <w:bottom w:val="single" w:sz="6" w:space="0" w:color="auto"/>
              <w:right w:val="single" w:sz="6" w:space="0" w:color="auto"/>
            </w:tcBorders>
            <w:shd w:val="clear" w:color="auto" w:fill="B3B3B3"/>
            <w:vAlign w:val="center"/>
          </w:tcPr>
          <w:p w14:paraId="709B8658" w14:textId="77777777" w:rsidR="00115458" w:rsidRPr="00F4606C" w:rsidRDefault="00115458" w:rsidP="00F4606C">
            <w:pPr>
              <w:spacing w:after="0" w:line="240" w:lineRule="auto"/>
              <w:rPr>
                <w:rFonts w:cs="Arial"/>
                <w:b/>
                <w:bCs/>
              </w:rPr>
            </w:pPr>
            <w:r w:rsidRPr="00F4606C">
              <w:rPr>
                <w:rFonts w:cs="Arial"/>
                <w:b/>
                <w:bCs/>
              </w:rPr>
              <w:t>Field name</w:t>
            </w:r>
          </w:p>
        </w:tc>
        <w:tc>
          <w:tcPr>
            <w:tcW w:w="1566" w:type="pct"/>
            <w:tcBorders>
              <w:top w:val="single" w:sz="6" w:space="0" w:color="auto"/>
              <w:left w:val="single" w:sz="6" w:space="0" w:color="auto"/>
              <w:bottom w:val="single" w:sz="6" w:space="0" w:color="auto"/>
              <w:right w:val="single" w:sz="6" w:space="0" w:color="auto"/>
            </w:tcBorders>
            <w:shd w:val="clear" w:color="auto" w:fill="B3B3B3"/>
            <w:vAlign w:val="center"/>
          </w:tcPr>
          <w:p w14:paraId="197DCA78"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32E43759"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1B2BB02E" w14:textId="12118CB1" w:rsidR="00115458" w:rsidRPr="00F4606C" w:rsidRDefault="00115458" w:rsidP="00F4606C">
            <w:pPr>
              <w:spacing w:after="0" w:line="240" w:lineRule="auto"/>
              <w:rPr>
                <w:rFonts w:cs="Arial"/>
              </w:rPr>
            </w:pPr>
            <w:r w:rsidRPr="00F4606C">
              <w:rPr>
                <w:rFonts w:cs="Arial"/>
              </w:rPr>
              <w:t>9.19</w:t>
            </w:r>
            <w:r w:rsidR="00C57897">
              <w:rPr>
                <w:rFonts w:cs="Arial"/>
              </w:rPr>
              <w:t>7</w:t>
            </w:r>
          </w:p>
        </w:tc>
        <w:tc>
          <w:tcPr>
            <w:tcW w:w="2863" w:type="pct"/>
            <w:tcBorders>
              <w:top w:val="nil"/>
              <w:left w:val="nil"/>
              <w:bottom w:val="single" w:sz="8" w:space="0" w:color="auto"/>
              <w:right w:val="single" w:sz="8" w:space="0" w:color="auto"/>
            </w:tcBorders>
            <w:vAlign w:val="center"/>
          </w:tcPr>
          <w:p w14:paraId="76128D21" w14:textId="77777777" w:rsidR="00115458" w:rsidRPr="00F4606C" w:rsidRDefault="00115458" w:rsidP="00F4606C">
            <w:pPr>
              <w:spacing w:after="0" w:line="240" w:lineRule="auto"/>
              <w:rPr>
                <w:rFonts w:cs="Arial"/>
              </w:rPr>
            </w:pPr>
            <w:r w:rsidRPr="00F4606C">
              <w:rPr>
                <w:rFonts w:cs="Arial"/>
              </w:rPr>
              <w:t>Investor entity type</w:t>
            </w:r>
          </w:p>
        </w:tc>
        <w:tc>
          <w:tcPr>
            <w:tcW w:w="1566" w:type="pct"/>
            <w:tcBorders>
              <w:top w:val="nil"/>
              <w:left w:val="nil"/>
              <w:bottom w:val="single" w:sz="8" w:space="0" w:color="auto"/>
              <w:right w:val="single" w:sz="8" w:space="0" w:color="auto"/>
            </w:tcBorders>
            <w:vAlign w:val="center"/>
          </w:tcPr>
          <w:p w14:paraId="40BD2293" w14:textId="77777777" w:rsidR="00115458" w:rsidRPr="00F4606C" w:rsidRDefault="00115458" w:rsidP="00F4606C">
            <w:pPr>
              <w:spacing w:after="0" w:line="240" w:lineRule="auto"/>
              <w:rPr>
                <w:rFonts w:cs="Arial"/>
              </w:rPr>
            </w:pPr>
            <w:r w:rsidRPr="00F4606C">
              <w:rPr>
                <w:rFonts w:cs="Arial"/>
              </w:rPr>
              <w:t>D</w:t>
            </w:r>
          </w:p>
        </w:tc>
      </w:tr>
      <w:tr w:rsidR="00115458" w:rsidRPr="00773D41" w14:paraId="7E95BEFF"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782C11EB" w14:textId="0274BFD5" w:rsidR="00115458" w:rsidRPr="00F4606C" w:rsidRDefault="00115458" w:rsidP="00F4606C">
            <w:pPr>
              <w:spacing w:after="0" w:line="240" w:lineRule="auto"/>
              <w:rPr>
                <w:rFonts w:cs="Arial"/>
              </w:rPr>
            </w:pPr>
            <w:r w:rsidRPr="00F4606C">
              <w:rPr>
                <w:rFonts w:cs="Arial"/>
              </w:rPr>
              <w:t>9.19</w:t>
            </w:r>
            <w:r w:rsidR="00C57897">
              <w:rPr>
                <w:rFonts w:cs="Arial"/>
              </w:rPr>
              <w:t>8</w:t>
            </w:r>
          </w:p>
        </w:tc>
        <w:tc>
          <w:tcPr>
            <w:tcW w:w="2863" w:type="pct"/>
            <w:tcBorders>
              <w:top w:val="nil"/>
              <w:left w:val="nil"/>
              <w:bottom w:val="single" w:sz="8" w:space="0" w:color="auto"/>
              <w:right w:val="single" w:sz="8" w:space="0" w:color="auto"/>
            </w:tcBorders>
            <w:vAlign w:val="center"/>
          </w:tcPr>
          <w:p w14:paraId="4DB8543D" w14:textId="77777777" w:rsidR="00115458" w:rsidRPr="00F4606C" w:rsidRDefault="00115458" w:rsidP="00F4606C">
            <w:pPr>
              <w:spacing w:after="0" w:line="240" w:lineRule="auto"/>
              <w:rPr>
                <w:rFonts w:cs="Arial"/>
              </w:rPr>
            </w:pPr>
            <w:r w:rsidRPr="00F4606C">
              <w:rPr>
                <w:rFonts w:cs="Arial"/>
              </w:rPr>
              <w:t>Investor tax file number</w:t>
            </w:r>
          </w:p>
        </w:tc>
        <w:tc>
          <w:tcPr>
            <w:tcW w:w="1566" w:type="pct"/>
            <w:tcBorders>
              <w:top w:val="nil"/>
              <w:left w:val="nil"/>
              <w:bottom w:val="single" w:sz="8" w:space="0" w:color="auto"/>
              <w:right w:val="single" w:sz="8" w:space="0" w:color="auto"/>
            </w:tcBorders>
            <w:vAlign w:val="center"/>
          </w:tcPr>
          <w:p w14:paraId="33848958" w14:textId="77777777" w:rsidR="00115458" w:rsidRPr="00F4606C" w:rsidRDefault="00115458" w:rsidP="00F4606C">
            <w:pPr>
              <w:spacing w:after="0" w:line="240" w:lineRule="auto"/>
              <w:rPr>
                <w:rFonts w:cs="Arial"/>
              </w:rPr>
            </w:pPr>
            <w:r w:rsidRPr="00F4606C">
              <w:rPr>
                <w:rFonts w:cs="Arial"/>
              </w:rPr>
              <w:t>987654321</w:t>
            </w:r>
          </w:p>
        </w:tc>
      </w:tr>
      <w:tr w:rsidR="00115458" w:rsidRPr="00773D41" w14:paraId="5FEC55BA"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51CD2828" w14:textId="06DB2E84" w:rsidR="00115458" w:rsidRPr="00F4606C" w:rsidRDefault="00115458" w:rsidP="00F4606C">
            <w:pPr>
              <w:spacing w:after="0" w:line="240" w:lineRule="auto"/>
              <w:rPr>
                <w:rFonts w:cs="Arial"/>
              </w:rPr>
            </w:pPr>
            <w:r w:rsidRPr="00F4606C">
              <w:rPr>
                <w:rFonts w:cs="Arial"/>
              </w:rPr>
              <w:t>9.</w:t>
            </w:r>
            <w:r w:rsidR="00C57897">
              <w:rPr>
                <w:rFonts w:cs="Arial"/>
              </w:rPr>
              <w:t>201</w:t>
            </w:r>
          </w:p>
        </w:tc>
        <w:tc>
          <w:tcPr>
            <w:tcW w:w="2863" w:type="pct"/>
            <w:tcBorders>
              <w:top w:val="nil"/>
              <w:left w:val="nil"/>
              <w:bottom w:val="single" w:sz="8" w:space="0" w:color="auto"/>
              <w:right w:val="single" w:sz="8" w:space="0" w:color="auto"/>
            </w:tcBorders>
            <w:vAlign w:val="center"/>
          </w:tcPr>
          <w:p w14:paraId="468A798C" w14:textId="77777777" w:rsidR="00115458" w:rsidRPr="00F4606C" w:rsidRDefault="00115458" w:rsidP="00F4606C">
            <w:pPr>
              <w:spacing w:after="0" w:line="240" w:lineRule="auto"/>
              <w:rPr>
                <w:rFonts w:cs="Arial"/>
              </w:rPr>
            </w:pPr>
            <w:r w:rsidRPr="00F4606C">
              <w:rPr>
                <w:rFonts w:cs="Arial"/>
              </w:rPr>
              <w:t>Individual investor surname</w:t>
            </w:r>
          </w:p>
        </w:tc>
        <w:tc>
          <w:tcPr>
            <w:tcW w:w="1566" w:type="pct"/>
            <w:tcBorders>
              <w:top w:val="nil"/>
              <w:left w:val="nil"/>
              <w:bottom w:val="single" w:sz="8" w:space="0" w:color="auto"/>
              <w:right w:val="single" w:sz="8" w:space="0" w:color="auto"/>
            </w:tcBorders>
            <w:vAlign w:val="center"/>
          </w:tcPr>
          <w:p w14:paraId="4965C2BB" w14:textId="77777777" w:rsidR="00115458" w:rsidRPr="00F4606C" w:rsidRDefault="00115458" w:rsidP="00F4606C">
            <w:pPr>
              <w:spacing w:after="0" w:line="240" w:lineRule="auto"/>
              <w:rPr>
                <w:rFonts w:cs="Arial"/>
              </w:rPr>
            </w:pPr>
            <w:r w:rsidRPr="00F4606C">
              <w:rPr>
                <w:rFonts w:cs="Arial"/>
              </w:rPr>
              <w:t>HARRIS</w:t>
            </w:r>
          </w:p>
        </w:tc>
      </w:tr>
      <w:tr w:rsidR="00115458" w:rsidRPr="00773D41" w14:paraId="4E3AD56C"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08A19997" w14:textId="19A5AE43" w:rsidR="00115458" w:rsidRPr="00F4606C" w:rsidRDefault="00115458" w:rsidP="00F4606C">
            <w:pPr>
              <w:spacing w:after="0" w:line="240" w:lineRule="auto"/>
              <w:rPr>
                <w:rFonts w:cs="Arial"/>
              </w:rPr>
            </w:pPr>
            <w:r w:rsidRPr="00F4606C">
              <w:rPr>
                <w:rFonts w:cs="Arial"/>
              </w:rPr>
              <w:t>9.</w:t>
            </w:r>
            <w:r w:rsidR="00C57897">
              <w:rPr>
                <w:rFonts w:cs="Arial"/>
              </w:rPr>
              <w:t>202</w:t>
            </w:r>
          </w:p>
        </w:tc>
        <w:tc>
          <w:tcPr>
            <w:tcW w:w="2863" w:type="pct"/>
            <w:tcBorders>
              <w:top w:val="nil"/>
              <w:left w:val="nil"/>
              <w:bottom w:val="single" w:sz="8" w:space="0" w:color="auto"/>
              <w:right w:val="single" w:sz="8" w:space="0" w:color="auto"/>
            </w:tcBorders>
            <w:vAlign w:val="center"/>
          </w:tcPr>
          <w:p w14:paraId="3A8DE13D"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66" w:type="pct"/>
            <w:tcBorders>
              <w:top w:val="nil"/>
              <w:left w:val="nil"/>
              <w:bottom w:val="single" w:sz="8" w:space="0" w:color="auto"/>
              <w:right w:val="single" w:sz="8" w:space="0" w:color="auto"/>
            </w:tcBorders>
            <w:vAlign w:val="center"/>
          </w:tcPr>
          <w:p w14:paraId="7006C184" w14:textId="77777777" w:rsidR="00115458" w:rsidRPr="00F4606C" w:rsidRDefault="00115458" w:rsidP="00F4606C">
            <w:pPr>
              <w:spacing w:after="0" w:line="240" w:lineRule="auto"/>
              <w:rPr>
                <w:rFonts w:cs="Arial"/>
              </w:rPr>
            </w:pPr>
            <w:r w:rsidRPr="00F4606C">
              <w:rPr>
                <w:rFonts w:cs="Arial"/>
              </w:rPr>
              <w:t>Jon</w:t>
            </w:r>
          </w:p>
        </w:tc>
      </w:tr>
      <w:tr w:rsidR="00115458" w:rsidRPr="00773D41" w14:paraId="3CF82111"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421A5C70" w14:textId="1223713C" w:rsidR="00115458" w:rsidRPr="00F4606C" w:rsidRDefault="00115458" w:rsidP="00F4606C">
            <w:pPr>
              <w:spacing w:after="0" w:line="240" w:lineRule="auto"/>
              <w:rPr>
                <w:rFonts w:cs="Arial"/>
              </w:rPr>
            </w:pPr>
            <w:r w:rsidRPr="00F4606C">
              <w:rPr>
                <w:rFonts w:cs="Arial"/>
              </w:rPr>
              <w:t>9.</w:t>
            </w:r>
            <w:r w:rsidR="00C57897">
              <w:rPr>
                <w:rFonts w:cs="Arial"/>
              </w:rPr>
              <w:t>203</w:t>
            </w:r>
          </w:p>
        </w:tc>
        <w:tc>
          <w:tcPr>
            <w:tcW w:w="2863" w:type="pct"/>
            <w:tcBorders>
              <w:top w:val="nil"/>
              <w:left w:val="nil"/>
              <w:bottom w:val="single" w:sz="8" w:space="0" w:color="auto"/>
              <w:right w:val="single" w:sz="8" w:space="0" w:color="auto"/>
            </w:tcBorders>
            <w:vAlign w:val="center"/>
          </w:tcPr>
          <w:p w14:paraId="0859041D"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66" w:type="pct"/>
            <w:tcBorders>
              <w:top w:val="nil"/>
              <w:left w:val="nil"/>
              <w:bottom w:val="single" w:sz="8" w:space="0" w:color="auto"/>
              <w:right w:val="single" w:sz="8" w:space="0" w:color="auto"/>
            </w:tcBorders>
            <w:vAlign w:val="center"/>
          </w:tcPr>
          <w:p w14:paraId="59FF94B1"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2431CDF6"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1619700E" w14:textId="5BD3FC6A" w:rsidR="00115458" w:rsidRPr="00F4606C" w:rsidRDefault="00115458" w:rsidP="00F4606C">
            <w:pPr>
              <w:spacing w:after="0" w:line="240" w:lineRule="auto"/>
              <w:rPr>
                <w:rFonts w:cs="Arial"/>
              </w:rPr>
            </w:pPr>
            <w:r w:rsidRPr="00F4606C">
              <w:rPr>
                <w:rFonts w:cs="Arial"/>
              </w:rPr>
              <w:t>9.20</w:t>
            </w:r>
            <w:r w:rsidR="00EF7F9D">
              <w:rPr>
                <w:rFonts w:cs="Arial"/>
              </w:rPr>
              <w:t>6</w:t>
            </w:r>
          </w:p>
        </w:tc>
        <w:tc>
          <w:tcPr>
            <w:tcW w:w="2863" w:type="pct"/>
            <w:tcBorders>
              <w:top w:val="nil"/>
              <w:left w:val="nil"/>
              <w:bottom w:val="single" w:sz="8" w:space="0" w:color="auto"/>
              <w:right w:val="single" w:sz="8" w:space="0" w:color="auto"/>
            </w:tcBorders>
            <w:vAlign w:val="center"/>
          </w:tcPr>
          <w:p w14:paraId="68EC8B9F" w14:textId="77777777" w:rsidR="00115458" w:rsidRPr="00F4606C" w:rsidRDefault="00115458" w:rsidP="00F4606C">
            <w:pPr>
              <w:spacing w:after="0" w:line="240" w:lineRule="auto"/>
              <w:rPr>
                <w:rFonts w:cs="Arial"/>
              </w:rPr>
            </w:pPr>
            <w:r w:rsidRPr="00F4606C">
              <w:rPr>
                <w:rFonts w:cs="Arial"/>
              </w:rPr>
              <w:t>Non-individual investor name</w:t>
            </w:r>
          </w:p>
        </w:tc>
        <w:tc>
          <w:tcPr>
            <w:tcW w:w="1566" w:type="pct"/>
            <w:tcBorders>
              <w:top w:val="nil"/>
              <w:left w:val="nil"/>
              <w:bottom w:val="single" w:sz="8" w:space="0" w:color="auto"/>
              <w:right w:val="single" w:sz="8" w:space="0" w:color="auto"/>
            </w:tcBorders>
            <w:vAlign w:val="center"/>
          </w:tcPr>
          <w:p w14:paraId="55B537FD" w14:textId="77777777" w:rsidR="00115458" w:rsidRPr="00F4606C" w:rsidRDefault="00115458" w:rsidP="00F4606C">
            <w:pPr>
              <w:spacing w:after="0" w:line="240" w:lineRule="auto"/>
              <w:rPr>
                <w:rFonts w:cs="Arial"/>
              </w:rPr>
            </w:pPr>
            <w:r w:rsidRPr="00F4606C">
              <w:rPr>
                <w:rFonts w:cs="Arial"/>
              </w:rPr>
              <w:t>Blank fill</w:t>
            </w:r>
          </w:p>
        </w:tc>
      </w:tr>
    </w:tbl>
    <w:p w14:paraId="25B7232C" w14:textId="77777777" w:rsidR="00115458" w:rsidRPr="00773D41" w:rsidRDefault="00115458" w:rsidP="00115458">
      <w:pPr>
        <w:rPr>
          <w:rFonts w:cs="Arial"/>
        </w:rPr>
      </w:pPr>
    </w:p>
    <w:p w14:paraId="7DCD096D" w14:textId="77777777" w:rsidR="00115458" w:rsidRPr="00773D41" w:rsidRDefault="00115458" w:rsidP="00115458">
      <w:pPr>
        <w:rPr>
          <w:rFonts w:cs="Arial"/>
        </w:rPr>
      </w:pPr>
      <w:r w:rsidRPr="00773D41">
        <w:rPr>
          <w:rFonts w:cs="Arial"/>
          <w:b/>
          <w:smallCaps/>
        </w:rPr>
        <w:t>investor data record 2</w:t>
      </w:r>
      <w:r w:rsidRPr="00773D41">
        <w:rPr>
          <w:rFonts w:cs="Arial"/>
        </w:rPr>
        <w:t xml:space="preserve"> </w:t>
      </w:r>
      <w:r w:rsidRPr="00773D41">
        <w:rPr>
          <w:rFonts w:cs="Arial"/>
          <w:smallCaps/>
        </w:rPr>
        <w:t>(extract)</w:t>
      </w:r>
      <w:r w:rsidRPr="00773D41">
        <w:rPr>
          <w:rFonts w:cs="Arial"/>
        </w:rPr>
        <w:t xml:space="preserve"> </w:t>
      </w:r>
    </w:p>
    <w:p w14:paraId="3DEF8E83" w14:textId="77777777" w:rsidR="00115458" w:rsidRPr="00773D41" w:rsidRDefault="00115458" w:rsidP="00115458">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5205"/>
        <w:gridCol w:w="2856"/>
      </w:tblGrid>
      <w:tr w:rsidR="00115458" w:rsidRPr="00773D41" w14:paraId="549C82BF" w14:textId="77777777" w:rsidTr="000C1365">
        <w:trPr>
          <w:cantSplit/>
          <w:trHeight w:val="495"/>
          <w:tblHeader/>
        </w:trPr>
        <w:tc>
          <w:tcPr>
            <w:tcW w:w="571" w:type="pct"/>
            <w:shd w:val="clear" w:color="auto" w:fill="B3B3B3"/>
            <w:vAlign w:val="center"/>
          </w:tcPr>
          <w:p w14:paraId="2A3B116E" w14:textId="77777777" w:rsidR="00115458" w:rsidRPr="00F4606C" w:rsidRDefault="00115458" w:rsidP="000C1365">
            <w:pPr>
              <w:rPr>
                <w:rFonts w:cs="Arial"/>
                <w:b/>
                <w:bCs/>
              </w:rPr>
            </w:pPr>
            <w:r w:rsidRPr="00F4606C">
              <w:rPr>
                <w:rFonts w:cs="Arial"/>
                <w:b/>
                <w:bCs/>
              </w:rPr>
              <w:t>Reference number</w:t>
            </w:r>
          </w:p>
        </w:tc>
        <w:tc>
          <w:tcPr>
            <w:tcW w:w="2847" w:type="pct"/>
            <w:shd w:val="clear" w:color="auto" w:fill="B3B3B3"/>
            <w:vAlign w:val="center"/>
          </w:tcPr>
          <w:p w14:paraId="37187AA2" w14:textId="77777777" w:rsidR="00115458" w:rsidRPr="00F4606C" w:rsidRDefault="00115458" w:rsidP="000C1365">
            <w:pPr>
              <w:rPr>
                <w:rFonts w:cs="Arial"/>
                <w:b/>
                <w:bCs/>
              </w:rPr>
            </w:pPr>
            <w:r w:rsidRPr="00F4606C">
              <w:rPr>
                <w:rFonts w:cs="Arial"/>
                <w:b/>
                <w:bCs/>
              </w:rPr>
              <w:t>Field name</w:t>
            </w:r>
          </w:p>
        </w:tc>
        <w:tc>
          <w:tcPr>
            <w:tcW w:w="1582" w:type="pct"/>
            <w:shd w:val="clear" w:color="auto" w:fill="B3B3B3"/>
            <w:vAlign w:val="center"/>
          </w:tcPr>
          <w:p w14:paraId="4125723E" w14:textId="77777777" w:rsidR="00115458" w:rsidRPr="00F4606C" w:rsidRDefault="00115458" w:rsidP="000C1365">
            <w:pPr>
              <w:rPr>
                <w:rFonts w:cs="Arial"/>
                <w:b/>
                <w:bCs/>
              </w:rPr>
            </w:pPr>
            <w:r w:rsidRPr="00F4606C">
              <w:rPr>
                <w:rFonts w:cs="Arial"/>
                <w:b/>
                <w:bCs/>
              </w:rPr>
              <w:t>Content</w:t>
            </w:r>
          </w:p>
        </w:tc>
      </w:tr>
      <w:tr w:rsidR="00115458" w:rsidRPr="00773D41" w14:paraId="60298D6D" w14:textId="77777777" w:rsidTr="00427C84">
        <w:trPr>
          <w:cantSplit/>
          <w:trHeight w:val="270"/>
        </w:trPr>
        <w:tc>
          <w:tcPr>
            <w:tcW w:w="571" w:type="pct"/>
            <w:vAlign w:val="center"/>
          </w:tcPr>
          <w:p w14:paraId="1350CB81" w14:textId="7E668782" w:rsidR="00115458" w:rsidRPr="00F4606C" w:rsidRDefault="00115458" w:rsidP="00F4606C">
            <w:pPr>
              <w:spacing w:after="0" w:line="240" w:lineRule="auto"/>
              <w:rPr>
                <w:rFonts w:cs="Arial"/>
              </w:rPr>
            </w:pPr>
            <w:r w:rsidRPr="00F4606C">
              <w:rPr>
                <w:rFonts w:cs="Arial"/>
              </w:rPr>
              <w:t>9.19</w:t>
            </w:r>
            <w:r w:rsidR="001002E7">
              <w:rPr>
                <w:rFonts w:cs="Arial"/>
              </w:rPr>
              <w:t>7</w:t>
            </w:r>
          </w:p>
        </w:tc>
        <w:tc>
          <w:tcPr>
            <w:tcW w:w="2847" w:type="pct"/>
            <w:vAlign w:val="center"/>
          </w:tcPr>
          <w:p w14:paraId="1D9BDFD8" w14:textId="77777777" w:rsidR="00115458" w:rsidRPr="00F4606C" w:rsidRDefault="00115458" w:rsidP="00F4606C">
            <w:pPr>
              <w:spacing w:after="0" w:line="240" w:lineRule="auto"/>
              <w:rPr>
                <w:rFonts w:cs="Arial"/>
              </w:rPr>
            </w:pPr>
            <w:r w:rsidRPr="00F4606C">
              <w:rPr>
                <w:rFonts w:cs="Arial"/>
              </w:rPr>
              <w:t>Investor entity type</w:t>
            </w:r>
          </w:p>
        </w:tc>
        <w:tc>
          <w:tcPr>
            <w:tcW w:w="1582" w:type="pct"/>
            <w:vAlign w:val="center"/>
          </w:tcPr>
          <w:p w14:paraId="7FE71BFC" w14:textId="77777777" w:rsidR="00115458" w:rsidRPr="00F4606C" w:rsidRDefault="00115458" w:rsidP="00F4606C">
            <w:pPr>
              <w:spacing w:after="0" w:line="240" w:lineRule="auto"/>
              <w:rPr>
                <w:rFonts w:cs="Arial"/>
              </w:rPr>
            </w:pPr>
            <w:r w:rsidRPr="00F4606C">
              <w:rPr>
                <w:rFonts w:cs="Arial"/>
              </w:rPr>
              <w:t>I</w:t>
            </w:r>
          </w:p>
        </w:tc>
      </w:tr>
      <w:tr w:rsidR="00115458" w:rsidRPr="00773D41" w14:paraId="3DB4A240" w14:textId="77777777" w:rsidTr="00427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71" w:type="pct"/>
            <w:tcBorders>
              <w:top w:val="nil"/>
              <w:left w:val="single" w:sz="8" w:space="0" w:color="auto"/>
              <w:bottom w:val="single" w:sz="8" w:space="0" w:color="auto"/>
              <w:right w:val="single" w:sz="8" w:space="0" w:color="auto"/>
            </w:tcBorders>
            <w:vAlign w:val="center"/>
          </w:tcPr>
          <w:p w14:paraId="35238A9B" w14:textId="633454A8" w:rsidR="00115458" w:rsidRPr="00F4606C" w:rsidRDefault="00115458" w:rsidP="00F4606C">
            <w:pPr>
              <w:spacing w:after="0" w:line="240" w:lineRule="auto"/>
              <w:rPr>
                <w:rFonts w:cs="Arial"/>
              </w:rPr>
            </w:pPr>
            <w:r w:rsidRPr="00F4606C">
              <w:rPr>
                <w:rFonts w:cs="Arial"/>
              </w:rPr>
              <w:t>9.19</w:t>
            </w:r>
            <w:r w:rsidR="001002E7">
              <w:rPr>
                <w:rFonts w:cs="Arial"/>
              </w:rPr>
              <w:t>8</w:t>
            </w:r>
          </w:p>
        </w:tc>
        <w:tc>
          <w:tcPr>
            <w:tcW w:w="2847" w:type="pct"/>
            <w:tcBorders>
              <w:top w:val="nil"/>
              <w:left w:val="nil"/>
              <w:bottom w:val="single" w:sz="8" w:space="0" w:color="auto"/>
              <w:right w:val="single" w:sz="8" w:space="0" w:color="auto"/>
            </w:tcBorders>
            <w:vAlign w:val="center"/>
          </w:tcPr>
          <w:p w14:paraId="2F892763" w14:textId="77777777" w:rsidR="00115458" w:rsidRPr="00F4606C" w:rsidRDefault="00115458" w:rsidP="00F4606C">
            <w:pPr>
              <w:spacing w:after="0" w:line="240" w:lineRule="auto"/>
              <w:rPr>
                <w:rFonts w:cs="Arial"/>
              </w:rPr>
            </w:pPr>
            <w:r w:rsidRPr="00F4606C">
              <w:rPr>
                <w:rFonts w:cs="Arial"/>
              </w:rPr>
              <w:t>Investor tax file number</w:t>
            </w:r>
          </w:p>
        </w:tc>
        <w:tc>
          <w:tcPr>
            <w:tcW w:w="1582" w:type="pct"/>
            <w:tcBorders>
              <w:top w:val="nil"/>
              <w:left w:val="nil"/>
              <w:bottom w:val="single" w:sz="8" w:space="0" w:color="auto"/>
              <w:right w:val="single" w:sz="8" w:space="0" w:color="auto"/>
            </w:tcBorders>
            <w:vAlign w:val="center"/>
          </w:tcPr>
          <w:p w14:paraId="3BB8DAF4" w14:textId="77777777" w:rsidR="00115458" w:rsidRPr="00F4606C" w:rsidRDefault="00115458" w:rsidP="00F4606C">
            <w:pPr>
              <w:spacing w:after="0" w:line="240" w:lineRule="auto"/>
              <w:rPr>
                <w:rFonts w:cs="Arial"/>
              </w:rPr>
            </w:pPr>
            <w:r w:rsidRPr="00F4606C">
              <w:rPr>
                <w:rFonts w:cs="Arial"/>
              </w:rPr>
              <w:t>187123655</w:t>
            </w:r>
          </w:p>
        </w:tc>
      </w:tr>
      <w:tr w:rsidR="00115458" w:rsidRPr="00773D41" w14:paraId="7EFE539A" w14:textId="77777777" w:rsidTr="00427C84">
        <w:trPr>
          <w:cantSplit/>
          <w:trHeight w:val="270"/>
        </w:trPr>
        <w:tc>
          <w:tcPr>
            <w:tcW w:w="571" w:type="pct"/>
            <w:vAlign w:val="center"/>
          </w:tcPr>
          <w:p w14:paraId="55C14265" w14:textId="00E60B16" w:rsidR="00115458" w:rsidRPr="00F4606C" w:rsidRDefault="00115458" w:rsidP="00F4606C">
            <w:pPr>
              <w:spacing w:after="0" w:line="240" w:lineRule="auto"/>
              <w:rPr>
                <w:rFonts w:cs="Arial"/>
              </w:rPr>
            </w:pPr>
            <w:r w:rsidRPr="00F4606C">
              <w:rPr>
                <w:rFonts w:cs="Arial"/>
              </w:rPr>
              <w:t>9.</w:t>
            </w:r>
            <w:r w:rsidR="001002E7">
              <w:rPr>
                <w:rFonts w:cs="Arial"/>
              </w:rPr>
              <w:t>201</w:t>
            </w:r>
          </w:p>
        </w:tc>
        <w:tc>
          <w:tcPr>
            <w:tcW w:w="2847" w:type="pct"/>
            <w:vAlign w:val="center"/>
          </w:tcPr>
          <w:p w14:paraId="721D1207" w14:textId="77777777" w:rsidR="00115458" w:rsidRPr="00F4606C" w:rsidRDefault="00115458" w:rsidP="00F4606C">
            <w:pPr>
              <w:spacing w:after="0" w:line="240" w:lineRule="auto"/>
              <w:rPr>
                <w:rFonts w:cs="Arial"/>
              </w:rPr>
            </w:pPr>
            <w:r w:rsidRPr="00F4606C">
              <w:rPr>
                <w:rFonts w:cs="Arial"/>
              </w:rPr>
              <w:t>Individual investor surname</w:t>
            </w:r>
          </w:p>
        </w:tc>
        <w:tc>
          <w:tcPr>
            <w:tcW w:w="1582" w:type="pct"/>
            <w:vAlign w:val="center"/>
          </w:tcPr>
          <w:p w14:paraId="6049819D" w14:textId="77777777" w:rsidR="00115458" w:rsidRPr="00F4606C" w:rsidRDefault="00115458" w:rsidP="00F4606C">
            <w:pPr>
              <w:spacing w:after="0" w:line="240" w:lineRule="auto"/>
              <w:rPr>
                <w:rFonts w:cs="Arial"/>
              </w:rPr>
            </w:pPr>
            <w:r w:rsidRPr="00F4606C">
              <w:rPr>
                <w:rFonts w:cs="Arial"/>
              </w:rPr>
              <w:t>HARRIS</w:t>
            </w:r>
          </w:p>
        </w:tc>
      </w:tr>
      <w:tr w:rsidR="00115458" w:rsidRPr="00773D41" w14:paraId="4700CB74" w14:textId="77777777" w:rsidTr="00427C84">
        <w:trPr>
          <w:cantSplit/>
          <w:trHeight w:val="270"/>
        </w:trPr>
        <w:tc>
          <w:tcPr>
            <w:tcW w:w="571" w:type="pct"/>
            <w:vAlign w:val="center"/>
          </w:tcPr>
          <w:p w14:paraId="7DDA268A" w14:textId="6BAA1384" w:rsidR="00115458" w:rsidRPr="00F4606C" w:rsidRDefault="00115458" w:rsidP="00F4606C">
            <w:pPr>
              <w:spacing w:after="0" w:line="240" w:lineRule="auto"/>
              <w:rPr>
                <w:rFonts w:cs="Arial"/>
              </w:rPr>
            </w:pPr>
            <w:r w:rsidRPr="00F4606C">
              <w:rPr>
                <w:rFonts w:cs="Arial"/>
              </w:rPr>
              <w:t>9.</w:t>
            </w:r>
            <w:r w:rsidR="001002E7">
              <w:rPr>
                <w:rFonts w:cs="Arial"/>
              </w:rPr>
              <w:t>202</w:t>
            </w:r>
          </w:p>
        </w:tc>
        <w:tc>
          <w:tcPr>
            <w:tcW w:w="2847" w:type="pct"/>
            <w:vAlign w:val="center"/>
          </w:tcPr>
          <w:p w14:paraId="3505760B"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82" w:type="pct"/>
            <w:vAlign w:val="center"/>
          </w:tcPr>
          <w:p w14:paraId="2D8E4BDB" w14:textId="77777777" w:rsidR="00115458" w:rsidRPr="00F4606C" w:rsidRDefault="00115458" w:rsidP="00F4606C">
            <w:pPr>
              <w:spacing w:after="0" w:line="240" w:lineRule="auto"/>
              <w:rPr>
                <w:rFonts w:cs="Arial"/>
                <w:caps/>
              </w:rPr>
            </w:pPr>
            <w:r w:rsidRPr="00F4606C">
              <w:rPr>
                <w:rFonts w:cs="Arial"/>
                <w:caps/>
              </w:rPr>
              <w:t>Gretel</w:t>
            </w:r>
          </w:p>
        </w:tc>
      </w:tr>
      <w:tr w:rsidR="00115458" w:rsidRPr="00773D41" w14:paraId="54A74293" w14:textId="77777777" w:rsidTr="00427C84">
        <w:trPr>
          <w:cantSplit/>
          <w:trHeight w:val="270"/>
        </w:trPr>
        <w:tc>
          <w:tcPr>
            <w:tcW w:w="571" w:type="pct"/>
            <w:vAlign w:val="center"/>
          </w:tcPr>
          <w:p w14:paraId="0489F224" w14:textId="503126E1" w:rsidR="00115458" w:rsidRPr="00F4606C" w:rsidRDefault="00115458" w:rsidP="00F4606C">
            <w:pPr>
              <w:spacing w:after="0" w:line="240" w:lineRule="auto"/>
              <w:rPr>
                <w:rFonts w:cs="Arial"/>
              </w:rPr>
            </w:pPr>
            <w:r w:rsidRPr="00F4606C">
              <w:rPr>
                <w:rFonts w:cs="Arial"/>
              </w:rPr>
              <w:t>9.</w:t>
            </w:r>
            <w:r w:rsidR="001002E7">
              <w:rPr>
                <w:rFonts w:cs="Arial"/>
              </w:rPr>
              <w:t>203</w:t>
            </w:r>
          </w:p>
        </w:tc>
        <w:tc>
          <w:tcPr>
            <w:tcW w:w="2847" w:type="pct"/>
            <w:vAlign w:val="center"/>
          </w:tcPr>
          <w:p w14:paraId="3B1B101E"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82" w:type="pct"/>
            <w:vAlign w:val="center"/>
          </w:tcPr>
          <w:p w14:paraId="18461BDA"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64FB8411" w14:textId="77777777" w:rsidTr="00427C84">
        <w:trPr>
          <w:cantSplit/>
          <w:trHeight w:val="270"/>
        </w:trPr>
        <w:tc>
          <w:tcPr>
            <w:tcW w:w="571" w:type="pct"/>
            <w:vAlign w:val="center"/>
          </w:tcPr>
          <w:p w14:paraId="2FB1ED13" w14:textId="53BD621A" w:rsidR="00115458" w:rsidRPr="00F4606C" w:rsidRDefault="00115458" w:rsidP="00F4606C">
            <w:pPr>
              <w:spacing w:after="0" w:line="240" w:lineRule="auto"/>
              <w:rPr>
                <w:rFonts w:cs="Arial"/>
              </w:rPr>
            </w:pPr>
            <w:r w:rsidRPr="00F4606C">
              <w:rPr>
                <w:rFonts w:cs="Arial"/>
              </w:rPr>
              <w:t>9.</w:t>
            </w:r>
            <w:r w:rsidR="001219AC">
              <w:rPr>
                <w:rFonts w:cs="Arial"/>
              </w:rPr>
              <w:t>204</w:t>
            </w:r>
          </w:p>
        </w:tc>
        <w:tc>
          <w:tcPr>
            <w:tcW w:w="2847" w:type="pct"/>
            <w:vAlign w:val="center"/>
          </w:tcPr>
          <w:p w14:paraId="57E0CC6A" w14:textId="77777777" w:rsidR="00115458" w:rsidRPr="00F4606C" w:rsidRDefault="00115458" w:rsidP="00F4606C">
            <w:pPr>
              <w:spacing w:after="0" w:line="240" w:lineRule="auto"/>
              <w:rPr>
                <w:rFonts w:cs="Arial"/>
              </w:rPr>
            </w:pPr>
            <w:r w:rsidRPr="00F4606C">
              <w:rPr>
                <w:rFonts w:cs="Arial"/>
              </w:rPr>
              <w:t>Individual investor date of birth (DDMMCCYY)</w:t>
            </w:r>
          </w:p>
        </w:tc>
        <w:tc>
          <w:tcPr>
            <w:tcW w:w="1582" w:type="pct"/>
            <w:vAlign w:val="center"/>
          </w:tcPr>
          <w:p w14:paraId="660EE888" w14:textId="77777777" w:rsidR="00115458" w:rsidRPr="00F4606C" w:rsidRDefault="00115458" w:rsidP="00F4606C">
            <w:pPr>
              <w:spacing w:after="0" w:line="240" w:lineRule="auto"/>
              <w:rPr>
                <w:rFonts w:cs="Arial"/>
              </w:rPr>
            </w:pPr>
            <w:r w:rsidRPr="00F4606C">
              <w:rPr>
                <w:rFonts w:cs="Arial"/>
              </w:rPr>
              <w:t>27101962</w:t>
            </w:r>
          </w:p>
        </w:tc>
      </w:tr>
      <w:tr w:rsidR="00115458" w:rsidRPr="00773D41" w14:paraId="7BC20F30" w14:textId="77777777" w:rsidTr="00427C84">
        <w:trPr>
          <w:cantSplit/>
          <w:trHeight w:val="270"/>
        </w:trPr>
        <w:tc>
          <w:tcPr>
            <w:tcW w:w="571" w:type="pct"/>
            <w:vAlign w:val="center"/>
          </w:tcPr>
          <w:p w14:paraId="20067823" w14:textId="72D1D7CC" w:rsidR="00115458" w:rsidRPr="00F4606C" w:rsidRDefault="00115458" w:rsidP="00F4606C">
            <w:pPr>
              <w:spacing w:after="0" w:line="240" w:lineRule="auto"/>
              <w:rPr>
                <w:rFonts w:cs="Arial"/>
              </w:rPr>
            </w:pPr>
            <w:r w:rsidRPr="00F4606C">
              <w:rPr>
                <w:rFonts w:cs="Arial"/>
              </w:rPr>
              <w:t>9.20</w:t>
            </w:r>
            <w:r w:rsidR="001219AC">
              <w:rPr>
                <w:rFonts w:cs="Arial"/>
              </w:rPr>
              <w:t>6</w:t>
            </w:r>
          </w:p>
        </w:tc>
        <w:tc>
          <w:tcPr>
            <w:tcW w:w="2847" w:type="pct"/>
            <w:vAlign w:val="center"/>
          </w:tcPr>
          <w:p w14:paraId="333BA923" w14:textId="77777777" w:rsidR="00115458" w:rsidRPr="00F4606C" w:rsidRDefault="00115458" w:rsidP="00F4606C">
            <w:pPr>
              <w:spacing w:after="0" w:line="240" w:lineRule="auto"/>
              <w:rPr>
                <w:rFonts w:cs="Arial"/>
              </w:rPr>
            </w:pPr>
            <w:r w:rsidRPr="00F4606C">
              <w:rPr>
                <w:rFonts w:cs="Arial"/>
              </w:rPr>
              <w:t>Non-individual investor name</w:t>
            </w:r>
          </w:p>
        </w:tc>
        <w:tc>
          <w:tcPr>
            <w:tcW w:w="1582" w:type="pct"/>
            <w:vAlign w:val="center"/>
          </w:tcPr>
          <w:p w14:paraId="12D47610" w14:textId="77777777" w:rsidR="00115458" w:rsidRPr="00F4606C" w:rsidRDefault="00115458" w:rsidP="00F4606C">
            <w:pPr>
              <w:spacing w:after="0" w:line="240" w:lineRule="auto"/>
              <w:rPr>
                <w:rFonts w:cs="Arial"/>
              </w:rPr>
            </w:pPr>
            <w:r w:rsidRPr="00F4606C">
              <w:rPr>
                <w:rFonts w:cs="Arial"/>
              </w:rPr>
              <w:t>Blank fill</w:t>
            </w:r>
          </w:p>
        </w:tc>
      </w:tr>
    </w:tbl>
    <w:p w14:paraId="5ECD9A4C" w14:textId="77777777" w:rsidR="00115458" w:rsidRPr="00773D41" w:rsidRDefault="00115458" w:rsidP="00115458">
      <w:pPr>
        <w:rPr>
          <w:rFonts w:cs="Arial"/>
        </w:rPr>
      </w:pPr>
    </w:p>
    <w:p w14:paraId="10A54B2D" w14:textId="77777777" w:rsidR="00115458" w:rsidRPr="00773D41" w:rsidRDefault="00115458" w:rsidP="00F94DFB">
      <w:pPr>
        <w:spacing w:after="0" w:line="240" w:lineRule="auto"/>
        <w:rPr>
          <w:rFonts w:cs="Arial"/>
        </w:rPr>
      </w:pPr>
      <w:r w:rsidRPr="00773D41">
        <w:rPr>
          <w:rFonts w:cs="Arial"/>
        </w:rPr>
        <w:t xml:space="preserve">The second would report the payment after the date of death accompanied by one </w:t>
      </w:r>
      <w:r w:rsidRPr="00773D41">
        <w:rPr>
          <w:rFonts w:cs="Arial"/>
          <w:i/>
        </w:rPr>
        <w:t>Investor data record</w:t>
      </w:r>
      <w:r w:rsidRPr="00773D41">
        <w:rPr>
          <w:rFonts w:cs="Arial"/>
        </w:rPr>
        <w:t>:</w:t>
      </w:r>
    </w:p>
    <w:p w14:paraId="3041B09A" w14:textId="77777777" w:rsidR="00115458" w:rsidRPr="00773D41" w:rsidRDefault="00115458" w:rsidP="00115458">
      <w:pPr>
        <w:rPr>
          <w:rFonts w:cs="Arial"/>
        </w:rPr>
      </w:pPr>
    </w:p>
    <w:p w14:paraId="6320C0B6" w14:textId="77777777" w:rsidR="00115458" w:rsidRPr="00773D41" w:rsidRDefault="00115458" w:rsidP="00115458">
      <w:pPr>
        <w:rPr>
          <w:rFonts w:cs="Arial"/>
        </w:rPr>
      </w:pPr>
      <w:r w:rsidRPr="00773D41">
        <w:rPr>
          <w:rFonts w:cs="Arial"/>
          <w:b/>
          <w:smallCaps/>
        </w:rPr>
        <w:t>investment account data record 2</w:t>
      </w:r>
      <w:r w:rsidRPr="00773D41">
        <w:rPr>
          <w:rFonts w:cs="Arial"/>
          <w:b/>
        </w:rPr>
        <w:t xml:space="preserve"> </w:t>
      </w:r>
      <w:r w:rsidRPr="00773D41">
        <w:rPr>
          <w:rFonts w:cs="Arial"/>
        </w:rPr>
        <w:t>(</w:t>
      </w:r>
      <w:r w:rsidRPr="00773D41">
        <w:rPr>
          <w:rFonts w:cs="Arial"/>
          <w:smallCaps/>
        </w:rPr>
        <w:t>extract)</w:t>
      </w:r>
      <w:r w:rsidRPr="00773D41">
        <w:rPr>
          <w:rFonts w:cs="Arial"/>
        </w:rPr>
        <w:t xml:space="preserve"> – reporting payment after date of death</w:t>
      </w:r>
    </w:p>
    <w:p w14:paraId="7A8DEBDE"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3"/>
        <w:gridCol w:w="2852"/>
      </w:tblGrid>
      <w:tr w:rsidR="00115458" w:rsidRPr="00773D41" w14:paraId="408FE647" w14:textId="77777777" w:rsidTr="000C1365">
        <w:trPr>
          <w:cantSplit/>
          <w:trHeight w:val="495"/>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319E971D" w14:textId="77777777" w:rsidR="00115458" w:rsidRPr="00F4606C" w:rsidRDefault="00115458" w:rsidP="00F4606C">
            <w:pPr>
              <w:spacing w:after="0" w:line="240" w:lineRule="auto"/>
              <w:rPr>
                <w:rFonts w:cs="Arial"/>
                <w:b/>
                <w:bCs/>
              </w:rPr>
            </w:pPr>
            <w:r w:rsidRPr="00F4606C">
              <w:rPr>
                <w:rFonts w:cs="Arial"/>
                <w:b/>
                <w:bCs/>
              </w:rPr>
              <w:t>Reference 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2C1809EE" w14:textId="77777777" w:rsidR="00115458" w:rsidRPr="00F4606C" w:rsidRDefault="00115458" w:rsidP="00F4606C">
            <w:pPr>
              <w:spacing w:after="0" w:line="240" w:lineRule="auto"/>
              <w:rPr>
                <w:rFonts w:cs="Arial"/>
                <w:b/>
                <w:bCs/>
              </w:rPr>
            </w:pPr>
            <w:r w:rsidRPr="00F4606C">
              <w:rPr>
                <w:rFonts w:cs="Arial"/>
                <w:b/>
                <w:bCs/>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3141B37F" w14:textId="77777777" w:rsidR="00115458" w:rsidRPr="00F4606C" w:rsidRDefault="00115458" w:rsidP="00F4606C">
            <w:pPr>
              <w:spacing w:after="0" w:line="240" w:lineRule="auto"/>
              <w:rPr>
                <w:rFonts w:cs="Arial"/>
                <w:b/>
                <w:bCs/>
              </w:rPr>
            </w:pPr>
            <w:r w:rsidRPr="00F4606C">
              <w:rPr>
                <w:rFonts w:cs="Arial"/>
                <w:b/>
                <w:bCs/>
              </w:rPr>
              <w:t>Content</w:t>
            </w:r>
          </w:p>
        </w:tc>
      </w:tr>
      <w:tr w:rsidR="00115458" w:rsidRPr="00773D41" w14:paraId="5A32AF76"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6B821525" w14:textId="77777777" w:rsidR="00115458" w:rsidRPr="00F4606C" w:rsidRDefault="00115458" w:rsidP="00F4606C">
            <w:pPr>
              <w:spacing w:after="0" w:line="240" w:lineRule="auto"/>
              <w:rPr>
                <w:rFonts w:cs="Arial"/>
              </w:rPr>
            </w:pPr>
            <w:r w:rsidRPr="00F4606C">
              <w:rPr>
                <w:rFonts w:cs="Arial"/>
              </w:rPr>
              <w:t>9.67</w:t>
            </w:r>
          </w:p>
        </w:tc>
        <w:tc>
          <w:tcPr>
            <w:tcW w:w="2848" w:type="pct"/>
            <w:tcBorders>
              <w:top w:val="nil"/>
              <w:left w:val="nil"/>
              <w:bottom w:val="single" w:sz="8" w:space="0" w:color="auto"/>
              <w:right w:val="single" w:sz="8" w:space="0" w:color="auto"/>
            </w:tcBorders>
            <w:vAlign w:val="center"/>
          </w:tcPr>
          <w:p w14:paraId="78722719" w14:textId="77777777" w:rsidR="00115458" w:rsidRPr="00F4606C" w:rsidRDefault="00115458" w:rsidP="00F4606C">
            <w:pPr>
              <w:spacing w:after="0" w:line="240" w:lineRule="auto"/>
              <w:rPr>
                <w:rFonts w:cs="Arial"/>
              </w:rPr>
            </w:pPr>
            <w:r w:rsidRPr="00F4606C">
              <w:rPr>
                <w:rFonts w:cs="Arial"/>
              </w:rPr>
              <w:t>Account name</w:t>
            </w:r>
          </w:p>
        </w:tc>
        <w:tc>
          <w:tcPr>
            <w:tcW w:w="1581" w:type="pct"/>
            <w:tcBorders>
              <w:top w:val="nil"/>
              <w:left w:val="nil"/>
              <w:bottom w:val="single" w:sz="8" w:space="0" w:color="auto"/>
              <w:right w:val="single" w:sz="8" w:space="0" w:color="auto"/>
            </w:tcBorders>
            <w:vAlign w:val="center"/>
          </w:tcPr>
          <w:p w14:paraId="4E52D142" w14:textId="77777777" w:rsidR="00115458" w:rsidRPr="00F4606C" w:rsidRDefault="00115458" w:rsidP="00F4606C">
            <w:pPr>
              <w:spacing w:after="0" w:line="240" w:lineRule="auto"/>
              <w:rPr>
                <w:rFonts w:cs="Arial"/>
              </w:rPr>
            </w:pPr>
            <w:r w:rsidRPr="00F4606C">
              <w:rPr>
                <w:rFonts w:cs="Arial"/>
              </w:rPr>
              <w:t>J &amp; G HARRIS</w:t>
            </w:r>
          </w:p>
        </w:tc>
      </w:tr>
      <w:tr w:rsidR="00115458" w:rsidRPr="00773D41" w14:paraId="1C000335"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65821D94" w14:textId="77777777" w:rsidR="00115458" w:rsidRPr="00F4606C" w:rsidRDefault="00115458" w:rsidP="00F4606C">
            <w:pPr>
              <w:spacing w:after="0" w:line="240" w:lineRule="auto"/>
              <w:rPr>
                <w:rFonts w:cs="Arial"/>
              </w:rPr>
            </w:pPr>
            <w:r w:rsidRPr="00F4606C">
              <w:rPr>
                <w:rFonts w:cs="Arial"/>
              </w:rPr>
              <w:t>9.70</w:t>
            </w:r>
          </w:p>
        </w:tc>
        <w:tc>
          <w:tcPr>
            <w:tcW w:w="2848" w:type="pct"/>
            <w:tcBorders>
              <w:top w:val="nil"/>
              <w:left w:val="nil"/>
              <w:bottom w:val="single" w:sz="8" w:space="0" w:color="auto"/>
              <w:right w:val="single" w:sz="8" w:space="0" w:color="auto"/>
            </w:tcBorders>
            <w:vAlign w:val="center"/>
          </w:tcPr>
          <w:p w14:paraId="4BB59D31" w14:textId="77777777" w:rsidR="00115458" w:rsidRPr="00F4606C" w:rsidRDefault="00115458" w:rsidP="00F4606C">
            <w:pPr>
              <w:spacing w:after="0" w:line="240" w:lineRule="auto"/>
              <w:rPr>
                <w:rFonts w:cs="Arial"/>
              </w:rPr>
            </w:pPr>
            <w:r w:rsidRPr="00F4606C">
              <w:rPr>
                <w:rFonts w:cs="Arial"/>
              </w:rPr>
              <w:t>Date of payment (DDMMCCYY)</w:t>
            </w:r>
          </w:p>
        </w:tc>
        <w:tc>
          <w:tcPr>
            <w:tcW w:w="1581" w:type="pct"/>
            <w:tcBorders>
              <w:top w:val="nil"/>
              <w:left w:val="nil"/>
              <w:bottom w:val="single" w:sz="8" w:space="0" w:color="auto"/>
              <w:right w:val="single" w:sz="8" w:space="0" w:color="auto"/>
            </w:tcBorders>
            <w:vAlign w:val="center"/>
          </w:tcPr>
          <w:p w14:paraId="115C4642" w14:textId="52E4E1A4" w:rsidR="00115458" w:rsidRPr="00F4606C" w:rsidRDefault="00115458" w:rsidP="00F4606C">
            <w:pPr>
              <w:spacing w:after="0" w:line="240" w:lineRule="auto"/>
              <w:rPr>
                <w:rFonts w:cs="Arial"/>
              </w:rPr>
            </w:pPr>
            <w:r w:rsidRPr="00F4606C">
              <w:rPr>
                <w:rFonts w:cs="Arial"/>
              </w:rPr>
              <w:t>0106202</w:t>
            </w:r>
            <w:r w:rsidR="00E76CB8">
              <w:rPr>
                <w:rFonts w:cs="Arial"/>
              </w:rPr>
              <w:t>6</w:t>
            </w:r>
          </w:p>
        </w:tc>
      </w:tr>
      <w:tr w:rsidR="00115458" w:rsidRPr="00773D41" w14:paraId="00313156"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4787C8B1" w14:textId="32862BF3" w:rsidR="00115458" w:rsidRPr="00F4606C" w:rsidRDefault="00115458" w:rsidP="00F4606C">
            <w:pPr>
              <w:spacing w:after="0" w:line="240" w:lineRule="auto"/>
              <w:rPr>
                <w:rFonts w:cs="Arial"/>
              </w:rPr>
            </w:pPr>
            <w:r w:rsidRPr="00F4606C">
              <w:rPr>
                <w:rFonts w:cs="Arial"/>
              </w:rPr>
              <w:t>9.7</w:t>
            </w:r>
            <w:r w:rsidR="003F21DA">
              <w:rPr>
                <w:rFonts w:cs="Arial"/>
              </w:rPr>
              <w:t>2</w:t>
            </w:r>
          </w:p>
        </w:tc>
        <w:tc>
          <w:tcPr>
            <w:tcW w:w="2848" w:type="pct"/>
            <w:tcBorders>
              <w:top w:val="nil"/>
              <w:left w:val="nil"/>
              <w:bottom w:val="single" w:sz="8" w:space="0" w:color="auto"/>
              <w:right w:val="single" w:sz="8" w:space="0" w:color="auto"/>
            </w:tcBorders>
            <w:vAlign w:val="center"/>
          </w:tcPr>
          <w:p w14:paraId="3F2B103C" w14:textId="77777777" w:rsidR="00115458" w:rsidRPr="00F4606C" w:rsidRDefault="00115458" w:rsidP="00F4606C">
            <w:pPr>
              <w:spacing w:after="0" w:line="240" w:lineRule="auto"/>
              <w:rPr>
                <w:rFonts w:cs="Arial"/>
              </w:rPr>
            </w:pPr>
            <w:r w:rsidRPr="00F4606C">
              <w:rPr>
                <w:rFonts w:cs="Arial"/>
              </w:rPr>
              <w:t>Type of payment</w:t>
            </w:r>
          </w:p>
        </w:tc>
        <w:tc>
          <w:tcPr>
            <w:tcW w:w="1581" w:type="pct"/>
            <w:tcBorders>
              <w:top w:val="nil"/>
              <w:left w:val="nil"/>
              <w:bottom w:val="single" w:sz="8" w:space="0" w:color="auto"/>
              <w:right w:val="single" w:sz="8" w:space="0" w:color="auto"/>
            </w:tcBorders>
            <w:vAlign w:val="center"/>
          </w:tcPr>
          <w:p w14:paraId="721A90C8" w14:textId="77777777" w:rsidR="00115458" w:rsidRPr="00F4606C" w:rsidRDefault="00115458" w:rsidP="00F4606C">
            <w:pPr>
              <w:spacing w:after="0" w:line="240" w:lineRule="auto"/>
              <w:rPr>
                <w:rFonts w:cs="Arial"/>
              </w:rPr>
            </w:pPr>
            <w:r w:rsidRPr="00F4606C">
              <w:rPr>
                <w:rFonts w:cs="Arial"/>
              </w:rPr>
              <w:t>INT</w:t>
            </w:r>
          </w:p>
        </w:tc>
      </w:tr>
      <w:tr w:rsidR="00115458" w:rsidRPr="00773D41" w14:paraId="2A8D5BD1"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7A3E5A46" w14:textId="77777777" w:rsidR="00115458" w:rsidRPr="00F4606C" w:rsidRDefault="00115458" w:rsidP="00F4606C">
            <w:pPr>
              <w:spacing w:after="0" w:line="240" w:lineRule="auto"/>
              <w:rPr>
                <w:rFonts w:cs="Arial"/>
              </w:rPr>
            </w:pPr>
            <w:r w:rsidRPr="00F4606C">
              <w:rPr>
                <w:rFonts w:cs="Arial"/>
              </w:rPr>
              <w:t>9.79</w:t>
            </w:r>
          </w:p>
        </w:tc>
        <w:tc>
          <w:tcPr>
            <w:tcW w:w="2848" w:type="pct"/>
            <w:tcBorders>
              <w:top w:val="nil"/>
              <w:left w:val="nil"/>
              <w:bottom w:val="single" w:sz="8" w:space="0" w:color="auto"/>
              <w:right w:val="single" w:sz="8" w:space="0" w:color="auto"/>
            </w:tcBorders>
            <w:vAlign w:val="center"/>
          </w:tcPr>
          <w:p w14:paraId="451A2BD0" w14:textId="77777777" w:rsidR="00115458" w:rsidRPr="00F4606C" w:rsidRDefault="00115458" w:rsidP="00F4606C">
            <w:pPr>
              <w:spacing w:after="0" w:line="240" w:lineRule="auto"/>
              <w:rPr>
                <w:rFonts w:cs="Arial"/>
              </w:rPr>
            </w:pPr>
            <w:r w:rsidRPr="00F4606C">
              <w:rPr>
                <w:rFonts w:cs="Arial"/>
              </w:rPr>
              <w:t>Interest (cents)</w:t>
            </w:r>
          </w:p>
        </w:tc>
        <w:tc>
          <w:tcPr>
            <w:tcW w:w="1581" w:type="pct"/>
            <w:tcBorders>
              <w:top w:val="nil"/>
              <w:left w:val="nil"/>
              <w:bottom w:val="single" w:sz="8" w:space="0" w:color="auto"/>
              <w:right w:val="single" w:sz="8" w:space="0" w:color="auto"/>
            </w:tcBorders>
            <w:vAlign w:val="center"/>
          </w:tcPr>
          <w:p w14:paraId="180FA082" w14:textId="77777777" w:rsidR="00115458" w:rsidRPr="00F4606C" w:rsidRDefault="00115458" w:rsidP="00F4606C">
            <w:pPr>
              <w:spacing w:after="0" w:line="240" w:lineRule="auto"/>
              <w:rPr>
                <w:rFonts w:cs="Arial"/>
              </w:rPr>
            </w:pPr>
            <w:r w:rsidRPr="00F4606C">
              <w:rPr>
                <w:rFonts w:cs="Arial"/>
              </w:rPr>
              <w:t>000000020000</w:t>
            </w:r>
          </w:p>
        </w:tc>
      </w:tr>
    </w:tbl>
    <w:p w14:paraId="0C082A6F" w14:textId="77777777" w:rsidR="00115458" w:rsidRPr="00773D41" w:rsidRDefault="00115458" w:rsidP="00115458">
      <w:pPr>
        <w:rPr>
          <w:rFonts w:cs="Arial"/>
        </w:rPr>
      </w:pPr>
    </w:p>
    <w:p w14:paraId="30509F12" w14:textId="77777777" w:rsidR="00115458" w:rsidRPr="00773D41" w:rsidRDefault="00115458" w:rsidP="00115458">
      <w:pPr>
        <w:rPr>
          <w:rFonts w:cs="Arial"/>
        </w:rPr>
      </w:pPr>
      <w:r w:rsidRPr="00773D41">
        <w:rPr>
          <w:rFonts w:cs="Arial"/>
          <w:b/>
          <w:smallCaps/>
        </w:rPr>
        <w:t xml:space="preserve">investor data record </w:t>
      </w:r>
      <w:r w:rsidRPr="00773D41">
        <w:rPr>
          <w:rFonts w:cs="Arial"/>
          <w:b/>
        </w:rPr>
        <w:t xml:space="preserve">1 </w:t>
      </w:r>
      <w:r w:rsidRPr="00773D41">
        <w:rPr>
          <w:rFonts w:cs="Arial"/>
          <w:smallCaps/>
        </w:rPr>
        <w:t>(extract)</w:t>
      </w:r>
      <w:r w:rsidRPr="00773D41">
        <w:rPr>
          <w:rFonts w:cs="Arial"/>
        </w:rPr>
        <w:t xml:space="preserve"> </w:t>
      </w:r>
    </w:p>
    <w:p w14:paraId="1FF3389A" w14:textId="77777777" w:rsidR="00115458" w:rsidRPr="00773D41" w:rsidRDefault="00115458" w:rsidP="00115458">
      <w:pPr>
        <w:rPr>
          <w:rFonts w:cs="Arial"/>
        </w:rPr>
      </w:pPr>
    </w:p>
    <w:tbl>
      <w:tblPr>
        <w:tblW w:w="5000" w:type="pct"/>
        <w:tblLook w:val="0000" w:firstRow="0" w:lastRow="0" w:firstColumn="0" w:lastColumn="0" w:noHBand="0" w:noVBand="0"/>
      </w:tblPr>
      <w:tblGrid>
        <w:gridCol w:w="1227"/>
        <w:gridCol w:w="5201"/>
        <w:gridCol w:w="2850"/>
      </w:tblGrid>
      <w:tr w:rsidR="00115458" w:rsidRPr="00773D41" w14:paraId="708863B6" w14:textId="77777777" w:rsidTr="000C1365">
        <w:trPr>
          <w:cantSplit/>
          <w:trHeight w:val="495"/>
          <w:tblHeader/>
        </w:trPr>
        <w:tc>
          <w:tcPr>
            <w:tcW w:w="571" w:type="pct"/>
            <w:tcBorders>
              <w:top w:val="single" w:sz="8" w:space="0" w:color="auto"/>
              <w:left w:val="single" w:sz="8" w:space="0" w:color="auto"/>
              <w:bottom w:val="single" w:sz="8" w:space="0" w:color="auto"/>
              <w:right w:val="single" w:sz="8" w:space="0" w:color="auto"/>
            </w:tcBorders>
            <w:shd w:val="clear" w:color="auto" w:fill="B3B3B3"/>
            <w:vAlign w:val="center"/>
          </w:tcPr>
          <w:p w14:paraId="50CF3539" w14:textId="77777777" w:rsidR="00115458" w:rsidRPr="00F4606C" w:rsidRDefault="00115458" w:rsidP="000C1365">
            <w:pPr>
              <w:rPr>
                <w:rFonts w:cs="Arial"/>
                <w:b/>
                <w:bCs/>
              </w:rPr>
            </w:pPr>
            <w:r w:rsidRPr="00F4606C">
              <w:rPr>
                <w:rFonts w:cs="Arial"/>
                <w:b/>
                <w:bCs/>
              </w:rPr>
              <w:t>Reference number</w:t>
            </w:r>
          </w:p>
        </w:tc>
        <w:tc>
          <w:tcPr>
            <w:tcW w:w="2848" w:type="pct"/>
            <w:tcBorders>
              <w:top w:val="single" w:sz="8" w:space="0" w:color="auto"/>
              <w:left w:val="nil"/>
              <w:bottom w:val="single" w:sz="8" w:space="0" w:color="auto"/>
              <w:right w:val="single" w:sz="8" w:space="0" w:color="auto"/>
            </w:tcBorders>
            <w:shd w:val="clear" w:color="auto" w:fill="B3B3B3"/>
            <w:vAlign w:val="center"/>
          </w:tcPr>
          <w:p w14:paraId="3839BE46" w14:textId="77777777" w:rsidR="00115458" w:rsidRPr="00F4606C" w:rsidRDefault="00115458" w:rsidP="000C1365">
            <w:pPr>
              <w:rPr>
                <w:rFonts w:cs="Arial"/>
                <w:b/>
                <w:bCs/>
              </w:rPr>
            </w:pPr>
            <w:r w:rsidRPr="00F4606C">
              <w:rPr>
                <w:rFonts w:cs="Arial"/>
                <w:b/>
                <w:bCs/>
              </w:rPr>
              <w:t>Field name</w:t>
            </w:r>
          </w:p>
        </w:tc>
        <w:tc>
          <w:tcPr>
            <w:tcW w:w="1581" w:type="pct"/>
            <w:tcBorders>
              <w:top w:val="single" w:sz="8" w:space="0" w:color="auto"/>
              <w:left w:val="nil"/>
              <w:bottom w:val="single" w:sz="8" w:space="0" w:color="auto"/>
              <w:right w:val="single" w:sz="8" w:space="0" w:color="auto"/>
            </w:tcBorders>
            <w:shd w:val="clear" w:color="auto" w:fill="B3B3B3"/>
            <w:vAlign w:val="center"/>
          </w:tcPr>
          <w:p w14:paraId="1A4552DB" w14:textId="77777777" w:rsidR="00115458" w:rsidRPr="00F4606C" w:rsidRDefault="00115458" w:rsidP="000C1365">
            <w:pPr>
              <w:rPr>
                <w:rFonts w:cs="Arial"/>
                <w:b/>
                <w:bCs/>
              </w:rPr>
            </w:pPr>
            <w:r w:rsidRPr="00F4606C">
              <w:rPr>
                <w:rFonts w:cs="Arial"/>
                <w:b/>
                <w:bCs/>
              </w:rPr>
              <w:t>Content</w:t>
            </w:r>
          </w:p>
        </w:tc>
      </w:tr>
      <w:tr w:rsidR="00115458" w:rsidRPr="00773D41" w14:paraId="16FE79AC"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3B663A40" w14:textId="64DFB521" w:rsidR="00115458" w:rsidRPr="00F4606C" w:rsidRDefault="00115458" w:rsidP="00F4606C">
            <w:pPr>
              <w:spacing w:after="0" w:line="240" w:lineRule="auto"/>
              <w:rPr>
                <w:rFonts w:cs="Arial"/>
              </w:rPr>
            </w:pPr>
            <w:r w:rsidRPr="00F4606C">
              <w:rPr>
                <w:rFonts w:cs="Arial"/>
              </w:rPr>
              <w:t>9.19</w:t>
            </w:r>
            <w:r w:rsidR="001219AC">
              <w:rPr>
                <w:rFonts w:cs="Arial"/>
              </w:rPr>
              <w:t>7</w:t>
            </w:r>
          </w:p>
        </w:tc>
        <w:tc>
          <w:tcPr>
            <w:tcW w:w="2848" w:type="pct"/>
            <w:tcBorders>
              <w:top w:val="nil"/>
              <w:left w:val="nil"/>
              <w:bottom w:val="single" w:sz="8" w:space="0" w:color="auto"/>
              <w:right w:val="single" w:sz="8" w:space="0" w:color="auto"/>
            </w:tcBorders>
            <w:vAlign w:val="center"/>
          </w:tcPr>
          <w:p w14:paraId="5BD569E9" w14:textId="77777777" w:rsidR="00115458" w:rsidRPr="00F4606C" w:rsidRDefault="00115458" w:rsidP="00F4606C">
            <w:pPr>
              <w:spacing w:after="0" w:line="240" w:lineRule="auto"/>
              <w:rPr>
                <w:rFonts w:cs="Arial"/>
              </w:rPr>
            </w:pPr>
            <w:r w:rsidRPr="00F4606C">
              <w:rPr>
                <w:rFonts w:cs="Arial"/>
              </w:rPr>
              <w:t>Investor entity type</w:t>
            </w:r>
          </w:p>
        </w:tc>
        <w:tc>
          <w:tcPr>
            <w:tcW w:w="1581" w:type="pct"/>
            <w:tcBorders>
              <w:top w:val="nil"/>
              <w:left w:val="nil"/>
              <w:bottom w:val="single" w:sz="8" w:space="0" w:color="auto"/>
              <w:right w:val="single" w:sz="8" w:space="0" w:color="auto"/>
            </w:tcBorders>
            <w:vAlign w:val="center"/>
          </w:tcPr>
          <w:p w14:paraId="254D067C" w14:textId="77777777" w:rsidR="00115458" w:rsidRPr="00F4606C" w:rsidRDefault="00115458" w:rsidP="00F4606C">
            <w:pPr>
              <w:spacing w:after="0" w:line="240" w:lineRule="auto"/>
              <w:rPr>
                <w:rFonts w:cs="Arial"/>
              </w:rPr>
            </w:pPr>
            <w:r w:rsidRPr="00F4606C">
              <w:rPr>
                <w:rFonts w:cs="Arial"/>
              </w:rPr>
              <w:t>I</w:t>
            </w:r>
          </w:p>
        </w:tc>
      </w:tr>
      <w:tr w:rsidR="00115458" w:rsidRPr="00773D41" w14:paraId="01E65199"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3B8E7EEC" w14:textId="282D864D" w:rsidR="00115458" w:rsidRPr="00F4606C" w:rsidRDefault="00115458" w:rsidP="00F4606C">
            <w:pPr>
              <w:spacing w:after="0" w:line="240" w:lineRule="auto"/>
              <w:rPr>
                <w:rFonts w:cs="Arial"/>
              </w:rPr>
            </w:pPr>
            <w:r w:rsidRPr="00F4606C">
              <w:rPr>
                <w:rFonts w:cs="Arial"/>
              </w:rPr>
              <w:t>9.19</w:t>
            </w:r>
            <w:r w:rsidR="001219AC">
              <w:rPr>
                <w:rFonts w:cs="Arial"/>
              </w:rPr>
              <w:t>8</w:t>
            </w:r>
          </w:p>
        </w:tc>
        <w:tc>
          <w:tcPr>
            <w:tcW w:w="2848" w:type="pct"/>
            <w:tcBorders>
              <w:top w:val="nil"/>
              <w:left w:val="nil"/>
              <w:bottom w:val="single" w:sz="8" w:space="0" w:color="auto"/>
              <w:right w:val="single" w:sz="8" w:space="0" w:color="auto"/>
            </w:tcBorders>
            <w:vAlign w:val="center"/>
          </w:tcPr>
          <w:p w14:paraId="64A7E97E" w14:textId="77777777" w:rsidR="00115458" w:rsidRPr="00F4606C" w:rsidRDefault="00115458" w:rsidP="00F4606C">
            <w:pPr>
              <w:spacing w:after="0" w:line="240" w:lineRule="auto"/>
              <w:rPr>
                <w:rFonts w:cs="Arial"/>
              </w:rPr>
            </w:pPr>
            <w:r w:rsidRPr="00F4606C">
              <w:rPr>
                <w:rFonts w:cs="Arial"/>
              </w:rPr>
              <w:t>Investor tax file number</w:t>
            </w:r>
          </w:p>
        </w:tc>
        <w:tc>
          <w:tcPr>
            <w:tcW w:w="1581" w:type="pct"/>
            <w:tcBorders>
              <w:top w:val="nil"/>
              <w:left w:val="nil"/>
              <w:bottom w:val="single" w:sz="8" w:space="0" w:color="auto"/>
              <w:right w:val="single" w:sz="8" w:space="0" w:color="auto"/>
            </w:tcBorders>
            <w:vAlign w:val="center"/>
          </w:tcPr>
          <w:p w14:paraId="18B564BC" w14:textId="77777777" w:rsidR="00115458" w:rsidRPr="00F4606C" w:rsidRDefault="00115458" w:rsidP="00F4606C">
            <w:pPr>
              <w:spacing w:after="0" w:line="240" w:lineRule="auto"/>
              <w:rPr>
                <w:rFonts w:cs="Arial"/>
              </w:rPr>
            </w:pPr>
            <w:r w:rsidRPr="00F4606C">
              <w:rPr>
                <w:rFonts w:cs="Arial"/>
              </w:rPr>
              <w:t>187123655</w:t>
            </w:r>
          </w:p>
        </w:tc>
      </w:tr>
      <w:tr w:rsidR="00115458" w:rsidRPr="00773D41" w14:paraId="095A8A82"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7BD51120" w14:textId="5DF1BDF5" w:rsidR="00115458" w:rsidRPr="00F4606C" w:rsidRDefault="00115458" w:rsidP="00F4606C">
            <w:pPr>
              <w:spacing w:after="0" w:line="240" w:lineRule="auto"/>
              <w:rPr>
                <w:rFonts w:cs="Arial"/>
              </w:rPr>
            </w:pPr>
            <w:r w:rsidRPr="00F4606C">
              <w:rPr>
                <w:rFonts w:cs="Arial"/>
              </w:rPr>
              <w:t>9.</w:t>
            </w:r>
            <w:r w:rsidR="00197F9B">
              <w:rPr>
                <w:rFonts w:cs="Arial"/>
              </w:rPr>
              <w:t>201</w:t>
            </w:r>
          </w:p>
        </w:tc>
        <w:tc>
          <w:tcPr>
            <w:tcW w:w="2848" w:type="pct"/>
            <w:tcBorders>
              <w:top w:val="nil"/>
              <w:left w:val="nil"/>
              <w:bottom w:val="single" w:sz="8" w:space="0" w:color="auto"/>
              <w:right w:val="single" w:sz="8" w:space="0" w:color="auto"/>
            </w:tcBorders>
            <w:vAlign w:val="center"/>
          </w:tcPr>
          <w:p w14:paraId="37FF01D2" w14:textId="77777777" w:rsidR="00115458" w:rsidRPr="00F4606C" w:rsidRDefault="00115458" w:rsidP="00F4606C">
            <w:pPr>
              <w:spacing w:after="0" w:line="240" w:lineRule="auto"/>
              <w:rPr>
                <w:rFonts w:cs="Arial"/>
              </w:rPr>
            </w:pPr>
            <w:r w:rsidRPr="00F4606C">
              <w:rPr>
                <w:rFonts w:cs="Arial"/>
              </w:rPr>
              <w:t>Individual investor surname</w:t>
            </w:r>
          </w:p>
        </w:tc>
        <w:tc>
          <w:tcPr>
            <w:tcW w:w="1581" w:type="pct"/>
            <w:tcBorders>
              <w:top w:val="nil"/>
              <w:left w:val="nil"/>
              <w:bottom w:val="single" w:sz="8" w:space="0" w:color="auto"/>
              <w:right w:val="single" w:sz="8" w:space="0" w:color="auto"/>
            </w:tcBorders>
            <w:vAlign w:val="center"/>
          </w:tcPr>
          <w:p w14:paraId="4CF5B62C" w14:textId="77777777" w:rsidR="00115458" w:rsidRPr="00F4606C" w:rsidRDefault="00115458" w:rsidP="00F4606C">
            <w:pPr>
              <w:spacing w:after="0" w:line="240" w:lineRule="auto"/>
              <w:rPr>
                <w:rFonts w:cs="Arial"/>
              </w:rPr>
            </w:pPr>
            <w:r w:rsidRPr="00F4606C">
              <w:rPr>
                <w:rFonts w:cs="Arial"/>
              </w:rPr>
              <w:t>HARRIS</w:t>
            </w:r>
          </w:p>
        </w:tc>
      </w:tr>
      <w:tr w:rsidR="00115458" w:rsidRPr="00773D41" w14:paraId="086BA382"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71804C81" w14:textId="7108A93D" w:rsidR="00115458" w:rsidRPr="00F4606C" w:rsidRDefault="00115458" w:rsidP="00F4606C">
            <w:pPr>
              <w:spacing w:after="0" w:line="240" w:lineRule="auto"/>
              <w:rPr>
                <w:rFonts w:cs="Arial"/>
              </w:rPr>
            </w:pPr>
            <w:r w:rsidRPr="00F4606C">
              <w:rPr>
                <w:rFonts w:cs="Arial"/>
              </w:rPr>
              <w:t>9.</w:t>
            </w:r>
            <w:r w:rsidR="00BB54E8">
              <w:rPr>
                <w:rFonts w:cs="Arial"/>
              </w:rPr>
              <w:t>202</w:t>
            </w:r>
          </w:p>
        </w:tc>
        <w:tc>
          <w:tcPr>
            <w:tcW w:w="2848" w:type="pct"/>
            <w:tcBorders>
              <w:top w:val="nil"/>
              <w:left w:val="nil"/>
              <w:bottom w:val="single" w:sz="8" w:space="0" w:color="auto"/>
              <w:right w:val="single" w:sz="8" w:space="0" w:color="auto"/>
            </w:tcBorders>
            <w:vAlign w:val="center"/>
          </w:tcPr>
          <w:p w14:paraId="6203E24E" w14:textId="77777777" w:rsidR="00115458" w:rsidRPr="00F4606C" w:rsidRDefault="00115458" w:rsidP="00F4606C">
            <w:pPr>
              <w:spacing w:after="0" w:line="240" w:lineRule="auto"/>
              <w:rPr>
                <w:rFonts w:cs="Arial"/>
              </w:rPr>
            </w:pPr>
            <w:r w:rsidRPr="00F4606C">
              <w:rPr>
                <w:rFonts w:cs="Arial"/>
              </w:rPr>
              <w:t>Individual investor first given name</w:t>
            </w:r>
          </w:p>
        </w:tc>
        <w:tc>
          <w:tcPr>
            <w:tcW w:w="1581" w:type="pct"/>
            <w:tcBorders>
              <w:top w:val="nil"/>
              <w:left w:val="nil"/>
              <w:bottom w:val="single" w:sz="8" w:space="0" w:color="auto"/>
              <w:right w:val="single" w:sz="8" w:space="0" w:color="auto"/>
            </w:tcBorders>
            <w:vAlign w:val="center"/>
          </w:tcPr>
          <w:p w14:paraId="4A0DA479" w14:textId="77777777" w:rsidR="00115458" w:rsidRPr="00F4606C" w:rsidRDefault="00115458" w:rsidP="00F4606C">
            <w:pPr>
              <w:spacing w:after="0" w:line="240" w:lineRule="auto"/>
              <w:rPr>
                <w:rFonts w:cs="Arial"/>
                <w:caps/>
              </w:rPr>
            </w:pPr>
            <w:r w:rsidRPr="00F4606C">
              <w:rPr>
                <w:rFonts w:cs="Arial"/>
                <w:caps/>
              </w:rPr>
              <w:t>Gretel</w:t>
            </w:r>
          </w:p>
        </w:tc>
      </w:tr>
      <w:tr w:rsidR="00115458" w:rsidRPr="00773D41" w14:paraId="15BD0A5E"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246C54C5" w14:textId="5785F5FF" w:rsidR="00115458" w:rsidRPr="00F4606C" w:rsidRDefault="00115458" w:rsidP="00F4606C">
            <w:pPr>
              <w:spacing w:after="0" w:line="240" w:lineRule="auto"/>
              <w:rPr>
                <w:rFonts w:cs="Arial"/>
              </w:rPr>
            </w:pPr>
            <w:r w:rsidRPr="00F4606C">
              <w:rPr>
                <w:rFonts w:cs="Arial"/>
              </w:rPr>
              <w:t>9.</w:t>
            </w:r>
            <w:r w:rsidR="00BB54E8">
              <w:rPr>
                <w:rFonts w:cs="Arial"/>
              </w:rPr>
              <w:t>203</w:t>
            </w:r>
          </w:p>
        </w:tc>
        <w:tc>
          <w:tcPr>
            <w:tcW w:w="2848" w:type="pct"/>
            <w:tcBorders>
              <w:top w:val="nil"/>
              <w:left w:val="nil"/>
              <w:bottom w:val="single" w:sz="8" w:space="0" w:color="auto"/>
              <w:right w:val="single" w:sz="8" w:space="0" w:color="auto"/>
            </w:tcBorders>
            <w:vAlign w:val="center"/>
          </w:tcPr>
          <w:p w14:paraId="6AFCD94A" w14:textId="77777777" w:rsidR="00115458" w:rsidRPr="00F4606C" w:rsidRDefault="00115458" w:rsidP="00F4606C">
            <w:pPr>
              <w:spacing w:after="0" w:line="240" w:lineRule="auto"/>
              <w:rPr>
                <w:rFonts w:cs="Arial"/>
              </w:rPr>
            </w:pPr>
            <w:r w:rsidRPr="00F4606C">
              <w:rPr>
                <w:rFonts w:cs="Arial"/>
              </w:rPr>
              <w:t>Individual investor second given name</w:t>
            </w:r>
          </w:p>
        </w:tc>
        <w:tc>
          <w:tcPr>
            <w:tcW w:w="1581" w:type="pct"/>
            <w:tcBorders>
              <w:top w:val="nil"/>
              <w:left w:val="nil"/>
              <w:bottom w:val="single" w:sz="8" w:space="0" w:color="auto"/>
              <w:right w:val="single" w:sz="8" w:space="0" w:color="auto"/>
            </w:tcBorders>
            <w:vAlign w:val="center"/>
          </w:tcPr>
          <w:p w14:paraId="0128CFEB" w14:textId="77777777" w:rsidR="00115458" w:rsidRPr="00F4606C" w:rsidRDefault="00115458" w:rsidP="00F4606C">
            <w:pPr>
              <w:spacing w:after="0" w:line="240" w:lineRule="auto"/>
              <w:rPr>
                <w:rFonts w:cs="Arial"/>
              </w:rPr>
            </w:pPr>
            <w:r w:rsidRPr="00F4606C">
              <w:rPr>
                <w:rFonts w:cs="Arial"/>
              </w:rPr>
              <w:t>Blank fill</w:t>
            </w:r>
          </w:p>
        </w:tc>
      </w:tr>
      <w:tr w:rsidR="00115458" w:rsidRPr="00773D41" w14:paraId="5A39BE22"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10438122" w14:textId="2A05A839" w:rsidR="00115458" w:rsidRPr="00F4606C" w:rsidRDefault="00115458" w:rsidP="00F4606C">
            <w:pPr>
              <w:spacing w:after="0" w:line="240" w:lineRule="auto"/>
              <w:rPr>
                <w:rFonts w:cs="Arial"/>
              </w:rPr>
            </w:pPr>
            <w:r w:rsidRPr="00F4606C">
              <w:rPr>
                <w:rFonts w:cs="Arial"/>
              </w:rPr>
              <w:t>9.</w:t>
            </w:r>
            <w:r w:rsidR="00BB54E8">
              <w:rPr>
                <w:rFonts w:cs="Arial"/>
              </w:rPr>
              <w:t>204</w:t>
            </w:r>
          </w:p>
        </w:tc>
        <w:tc>
          <w:tcPr>
            <w:tcW w:w="2848" w:type="pct"/>
            <w:tcBorders>
              <w:top w:val="nil"/>
              <w:left w:val="nil"/>
              <w:bottom w:val="single" w:sz="8" w:space="0" w:color="auto"/>
              <w:right w:val="single" w:sz="8" w:space="0" w:color="auto"/>
            </w:tcBorders>
            <w:vAlign w:val="center"/>
          </w:tcPr>
          <w:p w14:paraId="08BDB12F" w14:textId="77777777" w:rsidR="00115458" w:rsidRPr="00F4606C" w:rsidRDefault="00115458" w:rsidP="00F4606C">
            <w:pPr>
              <w:spacing w:after="0" w:line="240" w:lineRule="auto"/>
              <w:rPr>
                <w:rFonts w:cs="Arial"/>
              </w:rPr>
            </w:pPr>
            <w:r w:rsidRPr="00F4606C">
              <w:rPr>
                <w:rFonts w:cs="Arial"/>
              </w:rPr>
              <w:t>Individual investor date of birth  (DDMMCCYY)</w:t>
            </w:r>
          </w:p>
        </w:tc>
        <w:tc>
          <w:tcPr>
            <w:tcW w:w="1581" w:type="pct"/>
            <w:tcBorders>
              <w:top w:val="nil"/>
              <w:left w:val="nil"/>
              <w:bottom w:val="single" w:sz="8" w:space="0" w:color="auto"/>
              <w:right w:val="single" w:sz="8" w:space="0" w:color="auto"/>
            </w:tcBorders>
            <w:vAlign w:val="center"/>
          </w:tcPr>
          <w:p w14:paraId="70432044" w14:textId="77777777" w:rsidR="00115458" w:rsidRPr="00F4606C" w:rsidRDefault="00115458" w:rsidP="00F4606C">
            <w:pPr>
              <w:spacing w:after="0" w:line="240" w:lineRule="auto"/>
              <w:rPr>
                <w:rFonts w:cs="Arial"/>
              </w:rPr>
            </w:pPr>
            <w:r w:rsidRPr="00F4606C">
              <w:rPr>
                <w:rFonts w:cs="Arial"/>
              </w:rPr>
              <w:t>27101962</w:t>
            </w:r>
          </w:p>
        </w:tc>
      </w:tr>
      <w:tr w:rsidR="00115458" w:rsidRPr="00773D41" w14:paraId="262AAE38" w14:textId="77777777" w:rsidTr="00427C84">
        <w:trPr>
          <w:cantSplit/>
          <w:trHeight w:val="270"/>
        </w:trPr>
        <w:tc>
          <w:tcPr>
            <w:tcW w:w="571" w:type="pct"/>
            <w:tcBorders>
              <w:top w:val="nil"/>
              <w:left w:val="single" w:sz="8" w:space="0" w:color="auto"/>
              <w:bottom w:val="single" w:sz="8" w:space="0" w:color="auto"/>
              <w:right w:val="single" w:sz="8" w:space="0" w:color="auto"/>
            </w:tcBorders>
            <w:vAlign w:val="center"/>
          </w:tcPr>
          <w:p w14:paraId="74401675" w14:textId="39EA3ACF" w:rsidR="00115458" w:rsidRPr="00F4606C" w:rsidRDefault="00115458" w:rsidP="00F4606C">
            <w:pPr>
              <w:spacing w:after="0" w:line="240" w:lineRule="auto"/>
              <w:rPr>
                <w:rFonts w:cs="Arial"/>
              </w:rPr>
            </w:pPr>
            <w:r w:rsidRPr="00F4606C">
              <w:rPr>
                <w:rFonts w:cs="Arial"/>
              </w:rPr>
              <w:t>9.20</w:t>
            </w:r>
            <w:r w:rsidR="00BB54E8">
              <w:rPr>
                <w:rFonts w:cs="Arial"/>
              </w:rPr>
              <w:t>6</w:t>
            </w:r>
          </w:p>
        </w:tc>
        <w:tc>
          <w:tcPr>
            <w:tcW w:w="2848" w:type="pct"/>
            <w:tcBorders>
              <w:top w:val="nil"/>
              <w:left w:val="nil"/>
              <w:bottom w:val="single" w:sz="8" w:space="0" w:color="auto"/>
              <w:right w:val="single" w:sz="8" w:space="0" w:color="auto"/>
            </w:tcBorders>
            <w:vAlign w:val="center"/>
          </w:tcPr>
          <w:p w14:paraId="59AA8D39" w14:textId="77777777" w:rsidR="00115458" w:rsidRPr="00F4606C" w:rsidRDefault="00115458" w:rsidP="00F4606C">
            <w:pPr>
              <w:spacing w:after="0" w:line="240" w:lineRule="auto"/>
              <w:rPr>
                <w:rFonts w:cs="Arial"/>
              </w:rPr>
            </w:pPr>
            <w:r w:rsidRPr="00F4606C">
              <w:rPr>
                <w:rFonts w:cs="Arial"/>
              </w:rPr>
              <w:t>Non-individual investor name</w:t>
            </w:r>
          </w:p>
        </w:tc>
        <w:tc>
          <w:tcPr>
            <w:tcW w:w="1581" w:type="pct"/>
            <w:tcBorders>
              <w:top w:val="nil"/>
              <w:left w:val="nil"/>
              <w:bottom w:val="single" w:sz="8" w:space="0" w:color="auto"/>
              <w:right w:val="single" w:sz="8" w:space="0" w:color="auto"/>
            </w:tcBorders>
            <w:vAlign w:val="center"/>
          </w:tcPr>
          <w:p w14:paraId="7EF8B452" w14:textId="77777777" w:rsidR="00115458" w:rsidRPr="00F4606C" w:rsidRDefault="00115458" w:rsidP="00F4606C">
            <w:pPr>
              <w:spacing w:after="0" w:line="240" w:lineRule="auto"/>
              <w:rPr>
                <w:rFonts w:cs="Arial"/>
              </w:rPr>
            </w:pPr>
            <w:r w:rsidRPr="00F4606C">
              <w:rPr>
                <w:rFonts w:cs="Arial"/>
              </w:rPr>
              <w:t>Blank fill</w:t>
            </w:r>
          </w:p>
        </w:tc>
      </w:tr>
    </w:tbl>
    <w:p w14:paraId="4E6A5AB5" w14:textId="77777777" w:rsidR="00115458" w:rsidRPr="00F4606C" w:rsidRDefault="00115458" w:rsidP="00115458">
      <w:pPr>
        <w:pStyle w:val="Maintext"/>
        <w:rPr>
          <w:rFonts w:asciiTheme="minorHAnsi" w:hAnsiTheme="minorHAnsi"/>
          <w:sz w:val="20"/>
          <w:szCs w:val="20"/>
        </w:rPr>
      </w:pPr>
    </w:p>
    <w:p w14:paraId="6126ACB7" w14:textId="77777777" w:rsidR="00115458" w:rsidRDefault="00115458" w:rsidP="00115458">
      <w:pPr>
        <w:pStyle w:val="Heading2"/>
      </w:pPr>
      <w:bookmarkStart w:id="613" w:name="_Toc362243822"/>
      <w:bookmarkStart w:id="614" w:name="_Toc5192681"/>
      <w:bookmarkStart w:id="615" w:name="_Toc232191325"/>
      <w:bookmarkEnd w:id="603"/>
      <w:bookmarkEnd w:id="604"/>
      <w:r>
        <w:t>Reporting for Non-Residents</w:t>
      </w:r>
      <w:bookmarkEnd w:id="615"/>
    </w:p>
    <w:p w14:paraId="23BCD5F4"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A non-resident for tax purposes is a foreign or non-resident investor who has an Australian investment. </w:t>
      </w:r>
    </w:p>
    <w:p w14:paraId="1E68B394" w14:textId="77777777" w:rsidR="00115458" w:rsidRPr="00F4606C" w:rsidRDefault="00115458" w:rsidP="00773D41">
      <w:pPr>
        <w:pStyle w:val="Maintext"/>
        <w:rPr>
          <w:rFonts w:asciiTheme="minorHAnsi" w:hAnsiTheme="minorHAnsi" w:cs="Arial"/>
          <w:sz w:val="20"/>
          <w:szCs w:val="20"/>
        </w:rPr>
      </w:pPr>
    </w:p>
    <w:p w14:paraId="31BE089D"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Information reported on non-residents is used for compliance purposes and is also exchanged with more than 45 countries with which Australia has a Double Tax Agreement in accordance with OECD guidelines. </w:t>
      </w:r>
      <w:r w:rsidRPr="00F4606C">
        <w:rPr>
          <w:rFonts w:asciiTheme="minorHAnsi" w:hAnsiTheme="minorHAnsi"/>
          <w:color w:val="000000"/>
          <w:sz w:val="20"/>
          <w:szCs w:val="20"/>
        </w:rPr>
        <w:t xml:space="preserve">For further information go to </w:t>
      </w:r>
      <w:hyperlink r:id="rId29" w:history="1">
        <w:r w:rsidRPr="00F4606C">
          <w:rPr>
            <w:rStyle w:val="Hyperlink"/>
            <w:rFonts w:asciiTheme="minorHAnsi" w:hAnsiTheme="minorHAnsi"/>
            <w:szCs w:val="20"/>
          </w:rPr>
          <w:t>International tax agreements | Australian Taxation Office (ato.gov.au)</w:t>
        </w:r>
      </w:hyperlink>
    </w:p>
    <w:p w14:paraId="625D2C53" w14:textId="77777777" w:rsidR="00115458" w:rsidRPr="00F4606C" w:rsidRDefault="00115458" w:rsidP="00773D41">
      <w:pPr>
        <w:pStyle w:val="Maintext"/>
        <w:rPr>
          <w:rFonts w:asciiTheme="minorHAnsi" w:hAnsiTheme="minorHAnsi" w:cs="Arial"/>
          <w:sz w:val="20"/>
          <w:szCs w:val="20"/>
        </w:rPr>
      </w:pPr>
    </w:p>
    <w:p w14:paraId="2B7A5C52" w14:textId="77777777" w:rsidR="00115458" w:rsidRPr="00773D41" w:rsidRDefault="00115458" w:rsidP="00F4606C">
      <w:pPr>
        <w:spacing w:after="0" w:line="240" w:lineRule="auto"/>
        <w:rPr>
          <w:rFonts w:cs="Arial"/>
        </w:rPr>
      </w:pPr>
      <w:r w:rsidRPr="00773D41">
        <w:rPr>
          <w:rFonts w:cs="Arial"/>
        </w:rPr>
        <w:t xml:space="preserve">Investment bodies that have paid investment income to investors, who advise they are a non-resident for tax purposes, are also required to report overseas address details including country code and total amounts withheld from interest, dividend and royalty payments, and if applicable amounts withheld from managed investment trust fund payments.  </w:t>
      </w:r>
    </w:p>
    <w:p w14:paraId="10348C69" w14:textId="77777777" w:rsidR="00115458" w:rsidRPr="00773D41" w:rsidRDefault="00115458" w:rsidP="00F4606C">
      <w:pPr>
        <w:spacing w:after="0" w:line="240" w:lineRule="auto"/>
      </w:pPr>
    </w:p>
    <w:p w14:paraId="4AFB4AB9"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It is the investor’s responsibility to advise their financial institution of their residency status for tax purposes and their overseas address. Reporting in the AIIR does not substitute the requirement to lodge FATCA and CRS reports.</w:t>
      </w:r>
    </w:p>
    <w:p w14:paraId="256E65FD" w14:textId="77777777" w:rsidR="00115458" w:rsidRPr="00F4606C" w:rsidRDefault="00115458" w:rsidP="00773D41">
      <w:pPr>
        <w:pStyle w:val="Maintext"/>
        <w:rPr>
          <w:rFonts w:asciiTheme="minorHAnsi" w:hAnsiTheme="minorHAnsi" w:cs="Arial"/>
          <w:sz w:val="20"/>
          <w:szCs w:val="20"/>
        </w:rPr>
      </w:pPr>
    </w:p>
    <w:p w14:paraId="174B5907"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For a full list of country names and country codes go to</w:t>
      </w:r>
      <w:r w:rsidRPr="00F4606C">
        <w:rPr>
          <w:rFonts w:asciiTheme="minorHAnsi" w:hAnsiTheme="minorHAnsi" w:cs="Arial"/>
          <w:b/>
          <w:sz w:val="20"/>
          <w:szCs w:val="20"/>
        </w:rPr>
        <w:t xml:space="preserve"> </w:t>
      </w:r>
      <w:hyperlink r:id="rId30" w:history="1">
        <w:r w:rsidRPr="00F4606C">
          <w:rPr>
            <w:rStyle w:val="Hyperlink"/>
            <w:rFonts w:asciiTheme="minorHAnsi" w:hAnsiTheme="minorHAnsi"/>
            <w:szCs w:val="20"/>
          </w:rPr>
          <w:t>Foreign country and other jurisdictional codes | Australian Taxation Office (ato.gov.au)</w:t>
        </w:r>
      </w:hyperlink>
      <w:r w:rsidRPr="00F4606C">
        <w:rPr>
          <w:rFonts w:asciiTheme="minorHAnsi" w:hAnsiTheme="minorHAnsi"/>
          <w:sz w:val="20"/>
          <w:szCs w:val="20"/>
        </w:rPr>
        <w:t xml:space="preserve"> </w:t>
      </w:r>
    </w:p>
    <w:p w14:paraId="40A32B46" w14:textId="77777777" w:rsidR="00115458" w:rsidRDefault="00115458" w:rsidP="00115458">
      <w:pPr>
        <w:pStyle w:val="Heading3"/>
      </w:pPr>
      <w:bookmarkStart w:id="616" w:name="_Toc232191326"/>
      <w:r>
        <w:t>Non-resident tax rates</w:t>
      </w:r>
      <w:bookmarkEnd w:id="616"/>
      <w:r>
        <w:t xml:space="preserve"> </w:t>
      </w:r>
    </w:p>
    <w:p w14:paraId="4EBFEC14" w14:textId="77777777" w:rsidR="00115458" w:rsidRPr="00F4606C" w:rsidRDefault="00115458" w:rsidP="00115458">
      <w:pPr>
        <w:pStyle w:val="Bullet1"/>
        <w:rPr>
          <w:rStyle w:val="Hyperlink"/>
          <w:rFonts w:asciiTheme="minorHAnsi" w:hAnsiTheme="minorHAnsi"/>
          <w:szCs w:val="20"/>
        </w:rPr>
      </w:pPr>
      <w:r w:rsidRPr="00F4606C">
        <w:rPr>
          <w:rFonts w:asciiTheme="minorHAnsi" w:hAnsiTheme="minorHAnsi" w:cs="Arial"/>
          <w:sz w:val="20"/>
          <w:szCs w:val="20"/>
        </w:rPr>
        <w:t xml:space="preserve">A non-resident for tax purposes investor pays tax differently from residents. </w:t>
      </w:r>
      <w:r w:rsidRPr="00F4606C">
        <w:rPr>
          <w:rFonts w:asciiTheme="minorHAnsi" w:hAnsiTheme="minorHAnsi"/>
          <w:sz w:val="20"/>
          <w:szCs w:val="20"/>
        </w:rPr>
        <w:t xml:space="preserve">For information on withholding rates from payments to foreign residents including withholding from MIT payments refer to </w:t>
      </w:r>
      <w:hyperlink r:id="rId31" w:history="1">
        <w:r w:rsidRPr="00F4606C">
          <w:rPr>
            <w:rFonts w:asciiTheme="minorHAnsi" w:hAnsiTheme="minorHAnsi"/>
            <w:b/>
            <w:bCs/>
            <w:sz w:val="20"/>
            <w:szCs w:val="20"/>
            <w:u w:val="single"/>
          </w:rPr>
          <w:t>Withholding from a foreign resident | Australian Taxation Office (ato.gov.au)</w:t>
        </w:r>
      </w:hyperlink>
      <w:r w:rsidRPr="00F4606C" w:rsidDel="001556A6">
        <w:rPr>
          <w:rFonts w:asciiTheme="minorHAnsi" w:hAnsiTheme="minorHAnsi"/>
          <w:sz w:val="20"/>
          <w:szCs w:val="20"/>
        </w:rPr>
        <w:t xml:space="preserve"> </w:t>
      </w:r>
    </w:p>
    <w:p w14:paraId="33D09854" w14:textId="77777777" w:rsidR="00115458" w:rsidRDefault="00115458" w:rsidP="00115458">
      <w:pPr>
        <w:pStyle w:val="Heading3"/>
      </w:pPr>
      <w:bookmarkStart w:id="617" w:name="_Toc232191327"/>
      <w:r>
        <w:t>Non-resident addresses</w:t>
      </w:r>
      <w:bookmarkEnd w:id="617"/>
    </w:p>
    <w:p w14:paraId="647098EB" w14:textId="77777777" w:rsidR="00115458" w:rsidRPr="00773D41" w:rsidRDefault="00115458" w:rsidP="00F4606C">
      <w:pPr>
        <w:spacing w:after="0" w:line="240" w:lineRule="auto"/>
        <w:rPr>
          <w:rFonts w:cs="Arial"/>
        </w:rPr>
      </w:pPr>
      <w:r w:rsidRPr="00773D41">
        <w:rPr>
          <w:rFonts w:cs="Arial"/>
        </w:rPr>
        <w:t xml:space="preserve">Always report the overseas address for investors who are non-residents for tax purposes in the overseas address fields in the </w:t>
      </w:r>
      <w:r w:rsidRPr="00773D41">
        <w:rPr>
          <w:rFonts w:cs="Arial"/>
          <w:i/>
        </w:rPr>
        <w:t xml:space="preserve">Investor data record. </w:t>
      </w:r>
      <w:r w:rsidRPr="00773D41">
        <w:rPr>
          <w:rFonts w:cs="Arial"/>
        </w:rPr>
        <w:t xml:space="preserve">Residential or business address details should be reported in preference to postal address. </w:t>
      </w:r>
    </w:p>
    <w:p w14:paraId="4EA7575F" w14:textId="77777777" w:rsidR="00115458" w:rsidRPr="00773D41" w:rsidRDefault="00115458" w:rsidP="00F4606C">
      <w:pPr>
        <w:spacing w:after="0" w:line="240" w:lineRule="auto"/>
        <w:rPr>
          <w:rFonts w:cs="Arial"/>
        </w:rPr>
      </w:pPr>
    </w:p>
    <w:p w14:paraId="04CFB5DA"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The following fields in the </w:t>
      </w:r>
      <w:r w:rsidRPr="00F4606C">
        <w:rPr>
          <w:rFonts w:asciiTheme="minorHAnsi" w:hAnsiTheme="minorHAnsi" w:cs="Arial"/>
          <w:i/>
          <w:sz w:val="20"/>
          <w:szCs w:val="20"/>
        </w:rPr>
        <w:t>Investor data record</w:t>
      </w:r>
      <w:r w:rsidRPr="00F4606C">
        <w:rPr>
          <w:rFonts w:asciiTheme="minorHAnsi" w:hAnsiTheme="minorHAnsi" w:cs="Arial"/>
          <w:sz w:val="20"/>
          <w:szCs w:val="20"/>
        </w:rPr>
        <w:t xml:space="preserve"> relate specifically to non-resident investors and are required to be completed to ensure the correct information is exchanged with OECD countries:  </w:t>
      </w:r>
    </w:p>
    <w:p w14:paraId="2F80139C" w14:textId="77777777" w:rsidR="00115458" w:rsidRPr="00B35C0A" w:rsidRDefault="00115458" w:rsidP="00115458">
      <w:pPr>
        <w:pStyle w:val="Maintext"/>
        <w:rPr>
          <w:rFonts w:cs="Arial"/>
        </w:rPr>
      </w:pPr>
    </w:p>
    <w:tbl>
      <w:tblPr>
        <w:tblW w:w="5000" w:type="pct"/>
        <w:tblLook w:val="0000" w:firstRow="0" w:lastRow="0" w:firstColumn="0" w:lastColumn="0" w:noHBand="0" w:noVBand="0"/>
      </w:tblPr>
      <w:tblGrid>
        <w:gridCol w:w="1227"/>
        <w:gridCol w:w="8055"/>
      </w:tblGrid>
      <w:tr w:rsidR="00115458" w:rsidRPr="00B35C0A" w14:paraId="7431C950" w14:textId="77777777" w:rsidTr="000C1365">
        <w:trPr>
          <w:cantSplit/>
          <w:tblHeader/>
        </w:trPr>
        <w:tc>
          <w:tcPr>
            <w:tcW w:w="586" w:type="pct"/>
            <w:tcBorders>
              <w:top w:val="single" w:sz="6" w:space="0" w:color="auto"/>
              <w:left w:val="single" w:sz="6" w:space="0" w:color="auto"/>
              <w:bottom w:val="single" w:sz="6" w:space="0" w:color="auto"/>
              <w:right w:val="single" w:sz="6" w:space="0" w:color="auto"/>
            </w:tcBorders>
            <w:shd w:val="clear" w:color="auto" w:fill="B3B3B3"/>
            <w:vAlign w:val="center"/>
          </w:tcPr>
          <w:p w14:paraId="5F7D0FFA" w14:textId="77777777" w:rsidR="00115458" w:rsidRPr="00F4606C" w:rsidRDefault="00115458" w:rsidP="00773D41">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4414" w:type="pct"/>
            <w:tcBorders>
              <w:top w:val="single" w:sz="6" w:space="0" w:color="auto"/>
              <w:left w:val="single" w:sz="6" w:space="0" w:color="auto"/>
              <w:bottom w:val="single" w:sz="6" w:space="0" w:color="auto"/>
              <w:right w:val="single" w:sz="6" w:space="0" w:color="auto"/>
            </w:tcBorders>
            <w:shd w:val="clear" w:color="auto" w:fill="B3B3B3"/>
            <w:vAlign w:val="center"/>
          </w:tcPr>
          <w:p w14:paraId="5BDACE86" w14:textId="77777777" w:rsidR="00115458" w:rsidRPr="00F4606C" w:rsidRDefault="00115458" w:rsidP="00773D41">
            <w:pPr>
              <w:pStyle w:val="Maintext"/>
              <w:rPr>
                <w:rFonts w:asciiTheme="minorHAnsi" w:hAnsiTheme="minorHAnsi" w:cs="Arial"/>
                <w:b/>
                <w:sz w:val="20"/>
                <w:szCs w:val="20"/>
              </w:rPr>
            </w:pPr>
            <w:r w:rsidRPr="00F4606C">
              <w:rPr>
                <w:rFonts w:asciiTheme="minorHAnsi" w:hAnsiTheme="minorHAnsi" w:cs="Arial"/>
                <w:b/>
                <w:sz w:val="20"/>
                <w:szCs w:val="20"/>
              </w:rPr>
              <w:t>Field name</w:t>
            </w:r>
          </w:p>
        </w:tc>
      </w:tr>
      <w:tr w:rsidR="00115458" w:rsidRPr="00B35C0A" w14:paraId="0566C6EC"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3504EBB6" w14:textId="1E975729"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19</w:t>
            </w:r>
            <w:r w:rsidR="00FD3F7A">
              <w:rPr>
                <w:rFonts w:asciiTheme="minorHAnsi" w:hAnsiTheme="minorHAnsi" w:cs="Arial"/>
                <w:sz w:val="20"/>
                <w:szCs w:val="20"/>
              </w:rPr>
              <w:t>8</w:t>
            </w:r>
          </w:p>
        </w:tc>
        <w:tc>
          <w:tcPr>
            <w:tcW w:w="4414" w:type="pct"/>
            <w:tcBorders>
              <w:top w:val="single" w:sz="6" w:space="0" w:color="auto"/>
              <w:left w:val="single" w:sz="6" w:space="0" w:color="auto"/>
              <w:bottom w:val="single" w:sz="6" w:space="0" w:color="auto"/>
              <w:right w:val="single" w:sz="6" w:space="0" w:color="auto"/>
            </w:tcBorders>
            <w:vAlign w:val="center"/>
          </w:tcPr>
          <w:p w14:paraId="18D38374"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Investor tax file number (if applicable) or TFN exemption code</w:t>
            </w:r>
          </w:p>
        </w:tc>
      </w:tr>
      <w:tr w:rsidR="00115458" w:rsidRPr="00B35C0A" w14:paraId="5BE601DB"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52E9EDAD" w14:textId="65C759A6"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Pr>
                <w:rFonts w:asciiTheme="minorHAnsi" w:hAnsiTheme="minorHAnsi" w:cs="Arial"/>
                <w:sz w:val="20"/>
                <w:szCs w:val="20"/>
              </w:rPr>
              <w:t>200</w:t>
            </w:r>
          </w:p>
        </w:tc>
        <w:tc>
          <w:tcPr>
            <w:tcW w:w="4414" w:type="pct"/>
            <w:tcBorders>
              <w:top w:val="single" w:sz="6" w:space="0" w:color="auto"/>
              <w:left w:val="single" w:sz="6" w:space="0" w:color="auto"/>
              <w:bottom w:val="single" w:sz="6" w:space="0" w:color="auto"/>
              <w:right w:val="single" w:sz="6" w:space="0" w:color="auto"/>
            </w:tcBorders>
            <w:vAlign w:val="center"/>
          </w:tcPr>
          <w:p w14:paraId="734FEA8C"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Non-resident investor tax identification number</w:t>
            </w:r>
          </w:p>
        </w:tc>
      </w:tr>
      <w:tr w:rsidR="00115458" w:rsidRPr="00B35C0A" w14:paraId="64EA23C7"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21E21849" w14:textId="022457CA"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w:t>
            </w:r>
            <w:r w:rsidR="00FD3F7A">
              <w:rPr>
                <w:rFonts w:asciiTheme="minorHAnsi" w:hAnsiTheme="minorHAnsi" w:cs="Arial"/>
                <w:sz w:val="20"/>
                <w:szCs w:val="20"/>
              </w:rPr>
              <w:t>11</w:t>
            </w:r>
          </w:p>
        </w:tc>
        <w:tc>
          <w:tcPr>
            <w:tcW w:w="4414" w:type="pct"/>
            <w:tcBorders>
              <w:top w:val="single" w:sz="6" w:space="0" w:color="auto"/>
              <w:left w:val="single" w:sz="6" w:space="0" w:color="auto"/>
              <w:bottom w:val="single" w:sz="6" w:space="0" w:color="auto"/>
              <w:right w:val="single" w:sz="6" w:space="0" w:color="auto"/>
            </w:tcBorders>
            <w:vAlign w:val="center"/>
          </w:tcPr>
          <w:p w14:paraId="79CA674E"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Date of change of residency status from resident to non-resident</w:t>
            </w:r>
          </w:p>
        </w:tc>
      </w:tr>
      <w:tr w:rsidR="00115458" w:rsidRPr="00B35C0A" w14:paraId="3812757E"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056B80A8" w14:textId="4A259CF0"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w:t>
            </w:r>
            <w:r w:rsidR="00FD3F7A">
              <w:rPr>
                <w:rFonts w:asciiTheme="minorHAnsi" w:hAnsiTheme="minorHAnsi" w:cs="Arial"/>
                <w:sz w:val="20"/>
                <w:szCs w:val="20"/>
              </w:rPr>
              <w:t>12</w:t>
            </w:r>
          </w:p>
        </w:tc>
        <w:tc>
          <w:tcPr>
            <w:tcW w:w="4414" w:type="pct"/>
            <w:tcBorders>
              <w:top w:val="single" w:sz="6" w:space="0" w:color="auto"/>
              <w:left w:val="single" w:sz="6" w:space="0" w:color="auto"/>
              <w:bottom w:val="single" w:sz="6" w:space="0" w:color="auto"/>
              <w:right w:val="single" w:sz="6" w:space="0" w:color="auto"/>
            </w:tcBorders>
            <w:vAlign w:val="center"/>
          </w:tcPr>
          <w:p w14:paraId="08336E13"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Overseas address lines 1 and 2 </w:t>
            </w:r>
          </w:p>
        </w:tc>
      </w:tr>
      <w:tr w:rsidR="00115458" w:rsidRPr="00B35C0A" w14:paraId="2F12AC9F"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37322B28" w14:textId="24F03894"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w:t>
            </w:r>
            <w:r w:rsidR="00FD3F7A">
              <w:rPr>
                <w:rFonts w:asciiTheme="minorHAnsi" w:hAnsiTheme="minorHAnsi" w:cs="Arial"/>
                <w:sz w:val="20"/>
                <w:szCs w:val="20"/>
              </w:rPr>
              <w:t>13</w:t>
            </w:r>
          </w:p>
        </w:tc>
        <w:tc>
          <w:tcPr>
            <w:tcW w:w="4414" w:type="pct"/>
            <w:tcBorders>
              <w:top w:val="single" w:sz="6" w:space="0" w:color="auto"/>
              <w:left w:val="single" w:sz="6" w:space="0" w:color="auto"/>
              <w:bottom w:val="single" w:sz="6" w:space="0" w:color="auto"/>
              <w:right w:val="single" w:sz="6" w:space="0" w:color="auto"/>
            </w:tcBorders>
            <w:vAlign w:val="center"/>
          </w:tcPr>
          <w:p w14:paraId="1AAE62D8"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Overseas suburb, town or locality </w:t>
            </w:r>
          </w:p>
        </w:tc>
      </w:tr>
      <w:tr w:rsidR="00115458" w:rsidRPr="00B35C0A" w14:paraId="0604794E"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A75136B" w14:textId="23059DB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w:t>
            </w:r>
            <w:r w:rsidR="00FD3F7A">
              <w:rPr>
                <w:rFonts w:asciiTheme="minorHAnsi" w:hAnsiTheme="minorHAnsi" w:cs="Arial"/>
                <w:sz w:val="20"/>
                <w:szCs w:val="20"/>
              </w:rPr>
              <w:t>14</w:t>
            </w:r>
          </w:p>
        </w:tc>
        <w:tc>
          <w:tcPr>
            <w:tcW w:w="4414" w:type="pct"/>
            <w:tcBorders>
              <w:top w:val="single" w:sz="6" w:space="0" w:color="auto"/>
              <w:left w:val="single" w:sz="6" w:space="0" w:color="auto"/>
              <w:bottom w:val="single" w:sz="6" w:space="0" w:color="auto"/>
              <w:right w:val="single" w:sz="6" w:space="0" w:color="auto"/>
            </w:tcBorders>
            <w:vAlign w:val="center"/>
          </w:tcPr>
          <w:p w14:paraId="7876F0E5"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Overseas state or province</w:t>
            </w:r>
          </w:p>
        </w:tc>
      </w:tr>
      <w:tr w:rsidR="00115458" w:rsidRPr="00B35C0A" w14:paraId="65AE3EB6"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4AE5F67" w14:textId="7E9EACA5"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21</w:t>
            </w:r>
            <w:r w:rsidR="00FD3F7A">
              <w:rPr>
                <w:rFonts w:asciiTheme="minorHAnsi" w:hAnsiTheme="minorHAnsi" w:cs="Arial"/>
                <w:sz w:val="20"/>
                <w:szCs w:val="20"/>
              </w:rPr>
              <w:t>5</w:t>
            </w:r>
          </w:p>
        </w:tc>
        <w:tc>
          <w:tcPr>
            <w:tcW w:w="4414" w:type="pct"/>
            <w:tcBorders>
              <w:top w:val="single" w:sz="6" w:space="0" w:color="auto"/>
              <w:left w:val="single" w:sz="6" w:space="0" w:color="auto"/>
              <w:bottom w:val="single" w:sz="6" w:space="0" w:color="auto"/>
              <w:right w:val="single" w:sz="6" w:space="0" w:color="auto"/>
            </w:tcBorders>
            <w:vAlign w:val="center"/>
          </w:tcPr>
          <w:p w14:paraId="608EE9DA"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Overseas postal code (Do not report 9999 at this field unless this is the postcode of the overseas locality)</w:t>
            </w:r>
          </w:p>
        </w:tc>
      </w:tr>
      <w:tr w:rsidR="00115458" w:rsidRPr="00B35C0A" w14:paraId="031C8DBE"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68A8C93F" w14:textId="33C86F13"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21</w:t>
            </w:r>
            <w:r w:rsidR="00FD3F7A">
              <w:rPr>
                <w:rFonts w:asciiTheme="minorHAnsi" w:hAnsiTheme="minorHAnsi" w:cs="Arial"/>
                <w:sz w:val="20"/>
                <w:szCs w:val="20"/>
              </w:rPr>
              <w:t>6</w:t>
            </w:r>
          </w:p>
        </w:tc>
        <w:tc>
          <w:tcPr>
            <w:tcW w:w="4414" w:type="pct"/>
            <w:tcBorders>
              <w:top w:val="single" w:sz="6" w:space="0" w:color="auto"/>
              <w:left w:val="single" w:sz="6" w:space="0" w:color="auto"/>
              <w:bottom w:val="single" w:sz="6" w:space="0" w:color="auto"/>
              <w:right w:val="single" w:sz="6" w:space="0" w:color="auto"/>
            </w:tcBorders>
            <w:vAlign w:val="center"/>
          </w:tcPr>
          <w:p w14:paraId="2E3D5CC4"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Overseas country  </w:t>
            </w:r>
          </w:p>
        </w:tc>
      </w:tr>
      <w:tr w:rsidR="00115458" w:rsidRPr="00B35C0A" w14:paraId="5108B4D5"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797670E3" w14:textId="0B0D083B"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21</w:t>
            </w:r>
            <w:r w:rsidR="00FD3F7A">
              <w:rPr>
                <w:rFonts w:asciiTheme="minorHAnsi" w:hAnsiTheme="minorHAnsi" w:cs="Arial"/>
                <w:sz w:val="20"/>
                <w:szCs w:val="20"/>
              </w:rPr>
              <w:t>7</w:t>
            </w:r>
          </w:p>
        </w:tc>
        <w:tc>
          <w:tcPr>
            <w:tcW w:w="4414" w:type="pct"/>
            <w:tcBorders>
              <w:top w:val="single" w:sz="6" w:space="0" w:color="auto"/>
              <w:left w:val="single" w:sz="6" w:space="0" w:color="auto"/>
              <w:bottom w:val="single" w:sz="6" w:space="0" w:color="auto"/>
              <w:right w:val="single" w:sz="6" w:space="0" w:color="auto"/>
            </w:tcBorders>
            <w:vAlign w:val="center"/>
          </w:tcPr>
          <w:p w14:paraId="4FD59D84"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 xml:space="preserve">Non-resident investor overseas country code </w:t>
            </w:r>
          </w:p>
        </w:tc>
      </w:tr>
      <w:tr w:rsidR="00115458" w:rsidRPr="00B35C0A" w14:paraId="340A24BD"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560E2E16" w14:textId="47A175DD"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21</w:t>
            </w:r>
            <w:r w:rsidR="00FD3F7A">
              <w:rPr>
                <w:rFonts w:asciiTheme="minorHAnsi" w:hAnsiTheme="minorHAnsi" w:cs="Arial"/>
                <w:sz w:val="20"/>
                <w:szCs w:val="20"/>
              </w:rPr>
              <w:t>8</w:t>
            </w:r>
          </w:p>
        </w:tc>
        <w:tc>
          <w:tcPr>
            <w:tcW w:w="4414" w:type="pct"/>
            <w:tcBorders>
              <w:top w:val="single" w:sz="6" w:space="0" w:color="auto"/>
              <w:left w:val="single" w:sz="6" w:space="0" w:color="auto"/>
              <w:bottom w:val="single" w:sz="6" w:space="0" w:color="auto"/>
              <w:right w:val="single" w:sz="6" w:space="0" w:color="auto"/>
            </w:tcBorders>
            <w:vAlign w:val="center"/>
          </w:tcPr>
          <w:p w14:paraId="790AF29B" w14:textId="77777777"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Non-resident investor country of residence for tax purposes</w:t>
            </w:r>
          </w:p>
        </w:tc>
      </w:tr>
      <w:tr w:rsidR="00115458" w:rsidRPr="00B35C0A" w14:paraId="69510E8C" w14:textId="77777777" w:rsidTr="000C1365">
        <w:trPr>
          <w:cantSplit/>
          <w:trHeight w:val="272"/>
        </w:trPr>
        <w:tc>
          <w:tcPr>
            <w:tcW w:w="586" w:type="pct"/>
            <w:tcBorders>
              <w:top w:val="single" w:sz="6" w:space="0" w:color="auto"/>
              <w:left w:val="single" w:sz="6" w:space="0" w:color="auto"/>
              <w:bottom w:val="single" w:sz="6" w:space="0" w:color="auto"/>
              <w:right w:val="single" w:sz="6" w:space="0" w:color="auto"/>
            </w:tcBorders>
            <w:vAlign w:val="center"/>
          </w:tcPr>
          <w:p w14:paraId="04302707" w14:textId="354A4143" w:rsidR="00115458" w:rsidRPr="00F4606C" w:rsidRDefault="00115458" w:rsidP="00F4606C">
            <w:pPr>
              <w:pStyle w:val="Maintext"/>
              <w:rPr>
                <w:rFonts w:asciiTheme="minorHAnsi" w:hAnsiTheme="minorHAnsi" w:cs="Arial"/>
                <w:sz w:val="20"/>
                <w:szCs w:val="20"/>
              </w:rPr>
            </w:pPr>
            <w:r w:rsidRPr="00F4606C">
              <w:rPr>
                <w:rFonts w:asciiTheme="minorHAnsi" w:hAnsiTheme="minorHAnsi" w:cs="Arial"/>
                <w:sz w:val="20"/>
                <w:szCs w:val="20"/>
              </w:rPr>
              <w:t>9.</w:t>
            </w:r>
            <w:r w:rsidR="00FD3F7A" w:rsidRPr="00F4606C">
              <w:rPr>
                <w:rFonts w:asciiTheme="minorHAnsi" w:hAnsiTheme="minorHAnsi" w:cs="Arial"/>
                <w:sz w:val="20"/>
                <w:szCs w:val="20"/>
              </w:rPr>
              <w:t>21</w:t>
            </w:r>
            <w:r w:rsidR="00FD3F7A">
              <w:rPr>
                <w:rFonts w:asciiTheme="minorHAnsi" w:hAnsiTheme="minorHAnsi" w:cs="Arial"/>
                <w:sz w:val="20"/>
                <w:szCs w:val="20"/>
              </w:rPr>
              <w:t>9</w:t>
            </w:r>
          </w:p>
        </w:tc>
        <w:tc>
          <w:tcPr>
            <w:tcW w:w="4414" w:type="pct"/>
            <w:tcBorders>
              <w:top w:val="single" w:sz="6" w:space="0" w:color="auto"/>
              <w:left w:val="single" w:sz="6" w:space="0" w:color="auto"/>
              <w:bottom w:val="single" w:sz="6" w:space="0" w:color="auto"/>
              <w:right w:val="single" w:sz="6" w:space="0" w:color="auto"/>
            </w:tcBorders>
            <w:vAlign w:val="center"/>
          </w:tcPr>
          <w:p w14:paraId="4655EC24"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Date of change of residency status from non-resident to resident</w:t>
            </w:r>
          </w:p>
        </w:tc>
      </w:tr>
    </w:tbl>
    <w:p w14:paraId="65A7F928" w14:textId="77777777" w:rsidR="00115458" w:rsidRDefault="00115458" w:rsidP="00115458">
      <w:pPr>
        <w:rPr>
          <w:rFonts w:cs="Arial"/>
          <w:b/>
          <w:bCs/>
          <w:i/>
          <w:iCs/>
        </w:rPr>
      </w:pPr>
    </w:p>
    <w:p w14:paraId="780E6DBC" w14:textId="77777777" w:rsidR="00115458" w:rsidRPr="00202458" w:rsidRDefault="00115458" w:rsidP="00F4606C">
      <w:pPr>
        <w:spacing w:after="0" w:line="240" w:lineRule="auto"/>
        <w:rPr>
          <w:rFonts w:cs="Arial"/>
        </w:rPr>
      </w:pPr>
      <w:r>
        <w:rPr>
          <w:rFonts w:cs="Arial"/>
        </w:rPr>
        <w:t>If an Australian address is held it should be reported in the Australian address fields but that does not remove the requirement to complete the Overseas address fields.</w:t>
      </w:r>
    </w:p>
    <w:p w14:paraId="5C94CF50" w14:textId="77777777" w:rsidR="00115458" w:rsidRPr="00B35C0A" w:rsidRDefault="00115458" w:rsidP="00115458">
      <w:pPr>
        <w:pStyle w:val="Heading3"/>
      </w:pPr>
      <w:bookmarkStart w:id="618" w:name="_Toc232191328"/>
      <w:r w:rsidRPr="00B35C0A">
        <w:t>Resid</w:t>
      </w:r>
      <w:r>
        <w:t>e</w:t>
      </w:r>
      <w:r w:rsidRPr="00B35C0A">
        <w:t>ncy status</w:t>
      </w:r>
      <w:bookmarkEnd w:id="618"/>
      <w:r w:rsidRPr="00B35C0A">
        <w:t xml:space="preserve"> </w:t>
      </w:r>
    </w:p>
    <w:p w14:paraId="53E22061" w14:textId="42B79860" w:rsidR="00115458" w:rsidRPr="00B35C0A" w:rsidRDefault="00115458" w:rsidP="00F4606C">
      <w:pPr>
        <w:spacing w:after="0" w:line="240" w:lineRule="auto"/>
        <w:rPr>
          <w:rFonts w:cs="Arial"/>
        </w:rPr>
      </w:pPr>
      <w:r w:rsidRPr="00B35C0A">
        <w:rPr>
          <w:rFonts w:cs="Arial"/>
        </w:rPr>
        <w:t xml:space="preserve">If a non-resident investor for tax purposes is a non-resident for the full year, </w:t>
      </w:r>
      <w:r w:rsidRPr="005F32E1">
        <w:rPr>
          <w:rFonts w:cs="Arial"/>
          <w:b/>
        </w:rPr>
        <w:t>do not complete</w:t>
      </w:r>
      <w:r w:rsidRPr="00B35C0A">
        <w:rPr>
          <w:rFonts w:cs="Arial"/>
        </w:rPr>
        <w:t xml:space="preserve"> the </w:t>
      </w:r>
      <w:r w:rsidRPr="00B35C0A">
        <w:rPr>
          <w:rFonts w:cs="Arial"/>
          <w:i/>
        </w:rPr>
        <w:t>Date of change of residency status from resident to non-resident</w:t>
      </w:r>
      <w:r w:rsidRPr="00B35C0A">
        <w:rPr>
          <w:rFonts w:cs="Arial"/>
        </w:rPr>
        <w:t xml:space="preserve"> (</w:t>
      </w:r>
      <w:r>
        <w:rPr>
          <w:rFonts w:cs="Arial"/>
        </w:rPr>
        <w:t>9.</w:t>
      </w:r>
      <w:r w:rsidR="00FD3F7A">
        <w:rPr>
          <w:rFonts w:cs="Arial"/>
        </w:rPr>
        <w:t>211</w:t>
      </w:r>
      <w:r w:rsidRPr="00B35C0A">
        <w:rPr>
          <w:rFonts w:cs="Arial"/>
        </w:rPr>
        <w:t xml:space="preserve">) or </w:t>
      </w:r>
      <w:r w:rsidRPr="00B35C0A">
        <w:rPr>
          <w:rFonts w:cs="Arial"/>
          <w:i/>
        </w:rPr>
        <w:t>Date of change of residency status from non-resident to resident</w:t>
      </w:r>
      <w:r w:rsidRPr="00B35C0A">
        <w:rPr>
          <w:rFonts w:cs="Arial"/>
        </w:rPr>
        <w:t xml:space="preserve"> (</w:t>
      </w:r>
      <w:r>
        <w:rPr>
          <w:rFonts w:cs="Arial"/>
        </w:rPr>
        <w:t>9.</w:t>
      </w:r>
      <w:r w:rsidR="00FD3F7A">
        <w:rPr>
          <w:rFonts w:cs="Arial"/>
        </w:rPr>
        <w:t>219</w:t>
      </w:r>
      <w:r w:rsidRPr="00B35C0A">
        <w:rPr>
          <w:rFonts w:cs="Arial"/>
        </w:rPr>
        <w:t xml:space="preserve">) fields.   </w:t>
      </w:r>
    </w:p>
    <w:p w14:paraId="25010DCB" w14:textId="77777777" w:rsidR="00115458" w:rsidRPr="00B35C0A" w:rsidRDefault="00115458" w:rsidP="00115458">
      <w:pPr>
        <w:pStyle w:val="Heading3"/>
      </w:pPr>
      <w:bookmarkStart w:id="619" w:name="_Toc232191329"/>
      <w:r w:rsidRPr="00B35C0A">
        <w:t>Change of residency status during the year</w:t>
      </w:r>
      <w:bookmarkEnd w:id="619"/>
    </w:p>
    <w:p w14:paraId="347AF572" w14:textId="50721B2E"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If an investor changes residency status during the financial year the </w:t>
      </w:r>
      <w:r w:rsidRPr="00F4606C">
        <w:rPr>
          <w:rFonts w:asciiTheme="minorHAnsi" w:hAnsiTheme="minorHAnsi" w:cs="Arial"/>
          <w:i/>
          <w:sz w:val="20"/>
          <w:szCs w:val="20"/>
        </w:rPr>
        <w:t>Date of change of residency status from resident to non-resident</w:t>
      </w:r>
      <w:r w:rsidRPr="00F4606C">
        <w:rPr>
          <w:rFonts w:asciiTheme="minorHAnsi" w:hAnsiTheme="minorHAnsi" w:cs="Arial"/>
          <w:sz w:val="20"/>
          <w:szCs w:val="20"/>
        </w:rPr>
        <w:t xml:space="preserve"> (9.</w:t>
      </w:r>
      <w:r w:rsidR="00FD3F7A" w:rsidRPr="00F4606C">
        <w:rPr>
          <w:rFonts w:asciiTheme="minorHAnsi" w:hAnsiTheme="minorHAnsi" w:cs="Arial"/>
          <w:sz w:val="20"/>
          <w:szCs w:val="20"/>
        </w:rPr>
        <w:t>2</w:t>
      </w:r>
      <w:r w:rsidR="00FD3F7A">
        <w:rPr>
          <w:rFonts w:asciiTheme="minorHAnsi" w:hAnsiTheme="minorHAnsi" w:cs="Arial"/>
          <w:sz w:val="20"/>
          <w:szCs w:val="20"/>
        </w:rPr>
        <w:t>11</w:t>
      </w:r>
      <w:r w:rsidRPr="00F4606C">
        <w:rPr>
          <w:rFonts w:asciiTheme="minorHAnsi" w:hAnsiTheme="minorHAnsi" w:cs="Arial"/>
          <w:sz w:val="20"/>
          <w:szCs w:val="20"/>
        </w:rPr>
        <w:t xml:space="preserve">) or the </w:t>
      </w:r>
      <w:r w:rsidRPr="00F4606C">
        <w:rPr>
          <w:rFonts w:asciiTheme="minorHAnsi" w:hAnsiTheme="minorHAnsi" w:cs="Arial"/>
          <w:i/>
          <w:sz w:val="20"/>
          <w:szCs w:val="20"/>
        </w:rPr>
        <w:t>Date of change of residency status from non-resident to resident</w:t>
      </w:r>
      <w:r w:rsidRPr="00F4606C">
        <w:rPr>
          <w:rFonts w:asciiTheme="minorHAnsi" w:hAnsiTheme="minorHAnsi" w:cs="Arial"/>
          <w:sz w:val="20"/>
          <w:szCs w:val="20"/>
        </w:rPr>
        <w:t xml:space="preserve"> (9.</w:t>
      </w:r>
      <w:r w:rsidR="00FD3F7A" w:rsidRPr="00F4606C">
        <w:rPr>
          <w:rFonts w:asciiTheme="minorHAnsi" w:hAnsiTheme="minorHAnsi" w:cs="Arial"/>
          <w:sz w:val="20"/>
          <w:szCs w:val="20"/>
        </w:rPr>
        <w:t>21</w:t>
      </w:r>
      <w:r w:rsidR="00FD3F7A">
        <w:rPr>
          <w:rFonts w:asciiTheme="minorHAnsi" w:hAnsiTheme="minorHAnsi" w:cs="Arial"/>
          <w:sz w:val="20"/>
          <w:szCs w:val="20"/>
        </w:rPr>
        <w:t>9</w:t>
      </w:r>
      <w:r w:rsidRPr="00F4606C">
        <w:rPr>
          <w:rFonts w:asciiTheme="minorHAnsi" w:hAnsiTheme="minorHAnsi" w:cs="Arial"/>
          <w:sz w:val="20"/>
          <w:szCs w:val="20"/>
        </w:rPr>
        <w:t xml:space="preserve">) fields should be completed. </w:t>
      </w:r>
    </w:p>
    <w:p w14:paraId="6C26E1F0" w14:textId="77777777" w:rsidR="00115458" w:rsidRPr="00F4606C" w:rsidRDefault="00115458" w:rsidP="00115458">
      <w:pPr>
        <w:pStyle w:val="Maintext"/>
        <w:rPr>
          <w:rFonts w:asciiTheme="minorHAnsi" w:hAnsiTheme="minorHAnsi" w:cs="Arial"/>
          <w:sz w:val="20"/>
          <w:szCs w:val="20"/>
        </w:rPr>
      </w:pPr>
    </w:p>
    <w:p w14:paraId="2AB6B7FD"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If investor data is available for both the periods provide an </w:t>
      </w:r>
      <w:r w:rsidRPr="00F4606C">
        <w:rPr>
          <w:rFonts w:asciiTheme="minorHAnsi" w:hAnsiTheme="minorHAnsi" w:cs="Arial"/>
          <w:i/>
          <w:sz w:val="20"/>
          <w:szCs w:val="20"/>
        </w:rPr>
        <w:t>Investment account data record</w:t>
      </w:r>
      <w:r w:rsidRPr="00F4606C">
        <w:rPr>
          <w:rFonts w:asciiTheme="minorHAnsi" w:hAnsiTheme="minorHAnsi" w:cs="Arial"/>
          <w:sz w:val="20"/>
          <w:szCs w:val="20"/>
        </w:rPr>
        <w:t xml:space="preserve"> and an </w:t>
      </w:r>
      <w:r w:rsidRPr="00F4606C">
        <w:rPr>
          <w:rFonts w:asciiTheme="minorHAnsi" w:hAnsiTheme="minorHAnsi" w:cs="Arial"/>
          <w:i/>
          <w:sz w:val="20"/>
          <w:szCs w:val="20"/>
        </w:rPr>
        <w:t xml:space="preserve">Investor data record </w:t>
      </w:r>
      <w:r w:rsidRPr="00F4606C">
        <w:rPr>
          <w:rFonts w:asciiTheme="minorHAnsi" w:hAnsiTheme="minorHAnsi" w:cs="Arial"/>
          <w:sz w:val="20"/>
          <w:szCs w:val="20"/>
        </w:rPr>
        <w:t>for each period.</w:t>
      </w:r>
    </w:p>
    <w:p w14:paraId="3EBD2BDE" w14:textId="77777777" w:rsidR="00115458" w:rsidRPr="00F4606C" w:rsidRDefault="00115458" w:rsidP="00115458">
      <w:pPr>
        <w:pStyle w:val="Maintext"/>
        <w:rPr>
          <w:rFonts w:asciiTheme="minorHAnsi" w:hAnsiTheme="minorHAnsi" w:cs="Arial"/>
          <w:sz w:val="20"/>
          <w:szCs w:val="20"/>
        </w:rPr>
      </w:pPr>
    </w:p>
    <w:p w14:paraId="7A48BE02"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If the investor data for both periods is not available and the non-resident investor for tax purposes becomes a:</w:t>
      </w:r>
    </w:p>
    <w:p w14:paraId="53AE552D" w14:textId="77777777" w:rsidR="00115458" w:rsidRPr="00F4606C" w:rsidRDefault="00115458" w:rsidP="00115458">
      <w:pPr>
        <w:pStyle w:val="Maintext"/>
        <w:rPr>
          <w:rFonts w:asciiTheme="minorHAnsi" w:hAnsiTheme="minorHAnsi" w:cs="Arial"/>
          <w:sz w:val="20"/>
          <w:szCs w:val="20"/>
        </w:rPr>
      </w:pPr>
    </w:p>
    <w:p w14:paraId="62068254" w14:textId="77777777" w:rsidR="00115458" w:rsidRPr="00F4606C" w:rsidRDefault="00115458" w:rsidP="001601AF">
      <w:pPr>
        <w:pStyle w:val="Bullet1"/>
        <w:numPr>
          <w:ilvl w:val="0"/>
          <w:numId w:val="59"/>
        </w:numPr>
        <w:spacing w:before="0" w:after="0"/>
        <w:ind w:left="714" w:hanging="357"/>
        <w:rPr>
          <w:rFonts w:asciiTheme="minorHAnsi" w:hAnsiTheme="minorHAnsi" w:cs="Arial"/>
          <w:sz w:val="20"/>
          <w:szCs w:val="20"/>
        </w:rPr>
      </w:pPr>
      <w:r w:rsidRPr="00F4606C">
        <w:rPr>
          <w:rFonts w:asciiTheme="minorHAnsi" w:hAnsiTheme="minorHAnsi" w:cs="Arial"/>
          <w:sz w:val="20"/>
          <w:szCs w:val="20"/>
        </w:rPr>
        <w:t>resident during the year, report the investor as a resident</w:t>
      </w:r>
    </w:p>
    <w:p w14:paraId="2EC2A855" w14:textId="77777777" w:rsidR="00115458" w:rsidRPr="00F4606C" w:rsidRDefault="00115458" w:rsidP="001601AF">
      <w:pPr>
        <w:pStyle w:val="Bullet1"/>
        <w:numPr>
          <w:ilvl w:val="0"/>
          <w:numId w:val="59"/>
        </w:numPr>
        <w:spacing w:before="0" w:after="0"/>
        <w:ind w:left="714" w:hanging="357"/>
        <w:rPr>
          <w:rFonts w:asciiTheme="minorHAnsi" w:hAnsiTheme="minorHAnsi" w:cs="Arial"/>
          <w:sz w:val="20"/>
          <w:szCs w:val="20"/>
        </w:rPr>
      </w:pPr>
      <w:r w:rsidRPr="00F4606C">
        <w:rPr>
          <w:rFonts w:asciiTheme="minorHAnsi" w:hAnsiTheme="minorHAnsi" w:cs="Arial"/>
          <w:sz w:val="20"/>
          <w:szCs w:val="20"/>
        </w:rPr>
        <w:t>non-resident during the year, report the investor as a non-resident.</w:t>
      </w:r>
    </w:p>
    <w:p w14:paraId="7CC09A38" w14:textId="77777777" w:rsidR="00115458" w:rsidRPr="00F4606C" w:rsidRDefault="00115458" w:rsidP="00115458">
      <w:pPr>
        <w:pStyle w:val="Bullet1"/>
        <w:rPr>
          <w:rFonts w:asciiTheme="minorHAnsi" w:hAnsiTheme="minorHAnsi" w:cs="Arial"/>
          <w:sz w:val="20"/>
          <w:szCs w:val="20"/>
        </w:rPr>
      </w:pPr>
    </w:p>
    <w:p w14:paraId="03E95247" w14:textId="6F4B3B5C"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When a non-resident becomes a resident, only report the </w:t>
      </w:r>
      <w:r w:rsidRPr="00F4606C">
        <w:rPr>
          <w:rFonts w:asciiTheme="minorHAnsi" w:hAnsiTheme="minorHAnsi" w:cs="Arial"/>
          <w:i/>
          <w:sz w:val="20"/>
          <w:szCs w:val="20"/>
        </w:rPr>
        <w:t>Date of change of residency status from non-resident to resident</w:t>
      </w:r>
      <w:r w:rsidRPr="00F4606C">
        <w:rPr>
          <w:rFonts w:asciiTheme="minorHAnsi" w:hAnsiTheme="minorHAnsi" w:cs="Arial"/>
          <w:sz w:val="20"/>
          <w:szCs w:val="20"/>
        </w:rPr>
        <w:t xml:space="preserve"> (9.</w:t>
      </w:r>
      <w:r w:rsidR="00FD3F7A" w:rsidRPr="00F4606C">
        <w:rPr>
          <w:rFonts w:asciiTheme="minorHAnsi" w:hAnsiTheme="minorHAnsi" w:cs="Arial"/>
          <w:sz w:val="20"/>
          <w:szCs w:val="20"/>
        </w:rPr>
        <w:t>21</w:t>
      </w:r>
      <w:r w:rsidR="00FD3F7A">
        <w:rPr>
          <w:rFonts w:asciiTheme="minorHAnsi" w:hAnsiTheme="minorHAnsi" w:cs="Arial"/>
          <w:sz w:val="20"/>
          <w:szCs w:val="20"/>
        </w:rPr>
        <w:t>9</w:t>
      </w:r>
      <w:r w:rsidRPr="00F4606C">
        <w:rPr>
          <w:rFonts w:asciiTheme="minorHAnsi" w:hAnsiTheme="minorHAnsi" w:cs="Arial"/>
          <w:sz w:val="20"/>
          <w:szCs w:val="20"/>
        </w:rPr>
        <w:t xml:space="preserve">) field.  Any previous date reported in the </w:t>
      </w:r>
      <w:r w:rsidRPr="00F4606C">
        <w:rPr>
          <w:rFonts w:asciiTheme="minorHAnsi" w:hAnsiTheme="minorHAnsi" w:cs="Arial"/>
          <w:i/>
          <w:sz w:val="20"/>
          <w:szCs w:val="20"/>
        </w:rPr>
        <w:t>Date of residency from resident to non-resident</w:t>
      </w:r>
      <w:r w:rsidRPr="00F4606C">
        <w:rPr>
          <w:rFonts w:asciiTheme="minorHAnsi" w:hAnsiTheme="minorHAnsi" w:cs="Arial"/>
          <w:sz w:val="20"/>
          <w:szCs w:val="20"/>
        </w:rPr>
        <w:t xml:space="preserve"> (9.</w:t>
      </w:r>
      <w:r w:rsidR="00FD3F7A" w:rsidRPr="00F4606C">
        <w:rPr>
          <w:rFonts w:asciiTheme="minorHAnsi" w:hAnsiTheme="minorHAnsi" w:cs="Arial"/>
          <w:sz w:val="20"/>
          <w:szCs w:val="20"/>
        </w:rPr>
        <w:t>2</w:t>
      </w:r>
      <w:r w:rsidR="00FD3F7A">
        <w:rPr>
          <w:rFonts w:asciiTheme="minorHAnsi" w:hAnsiTheme="minorHAnsi" w:cs="Arial"/>
          <w:sz w:val="20"/>
          <w:szCs w:val="20"/>
        </w:rPr>
        <w:t>11</w:t>
      </w:r>
      <w:r w:rsidRPr="00F4606C">
        <w:rPr>
          <w:rFonts w:asciiTheme="minorHAnsi" w:hAnsiTheme="minorHAnsi" w:cs="Arial"/>
          <w:sz w:val="20"/>
          <w:szCs w:val="20"/>
        </w:rPr>
        <w:t>) field must be removed.</w:t>
      </w:r>
    </w:p>
    <w:p w14:paraId="2906320E"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 xml:space="preserve">Example 4.10 – Change of non-resident investor for tax purposes to resident taxpayer </w:t>
      </w:r>
    </w:p>
    <w:p w14:paraId="6DBB08C4" w14:textId="3BDC731F"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Genevieve Eriksen holds an interest bearing account with Ashdown Bank Ltd in Perth Australia. Genevieve was a non-resident investor for tax purposes from the 16 June 20</w:t>
      </w:r>
      <w:r w:rsidR="00E76CB8">
        <w:rPr>
          <w:rFonts w:asciiTheme="minorHAnsi" w:hAnsiTheme="minorHAnsi" w:cs="Arial"/>
          <w:sz w:val="20"/>
          <w:szCs w:val="20"/>
        </w:rPr>
        <w:t>2</w:t>
      </w:r>
      <w:r w:rsidR="0093500D">
        <w:rPr>
          <w:rFonts w:asciiTheme="minorHAnsi" w:hAnsiTheme="minorHAnsi" w:cs="Arial"/>
          <w:sz w:val="20"/>
          <w:szCs w:val="20"/>
        </w:rPr>
        <w:t>2</w:t>
      </w:r>
      <w:r w:rsidRPr="00F4606C">
        <w:rPr>
          <w:rFonts w:asciiTheme="minorHAnsi" w:hAnsiTheme="minorHAnsi" w:cs="Arial"/>
          <w:sz w:val="20"/>
          <w:szCs w:val="20"/>
        </w:rPr>
        <w:t xml:space="preserve"> when she lived in Canada. </w:t>
      </w:r>
    </w:p>
    <w:p w14:paraId="3B4C448F" w14:textId="77777777" w:rsidR="00115458" w:rsidRPr="00F4606C" w:rsidRDefault="00115458" w:rsidP="00773D41">
      <w:pPr>
        <w:pStyle w:val="Maintext"/>
        <w:rPr>
          <w:rFonts w:asciiTheme="minorHAnsi" w:hAnsiTheme="minorHAnsi" w:cs="Arial"/>
          <w:sz w:val="20"/>
          <w:szCs w:val="20"/>
        </w:rPr>
      </w:pPr>
    </w:p>
    <w:p w14:paraId="77EEF770" w14:textId="56B95B86"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On 3 March 202</w:t>
      </w:r>
      <w:r w:rsidR="0093500D">
        <w:rPr>
          <w:rFonts w:asciiTheme="minorHAnsi" w:hAnsiTheme="minorHAnsi" w:cs="Arial"/>
          <w:sz w:val="20"/>
          <w:szCs w:val="20"/>
        </w:rPr>
        <w:t>6</w:t>
      </w:r>
      <w:r w:rsidRPr="00F4606C">
        <w:rPr>
          <w:rFonts w:asciiTheme="minorHAnsi" w:hAnsiTheme="minorHAnsi" w:cs="Arial"/>
          <w:sz w:val="20"/>
          <w:szCs w:val="20"/>
        </w:rPr>
        <w:t>, Genevieve returned to live in Perth permanently and changed her residency status from non-resident to resident. Genevieve quoted her TFN as she is no longer eligible to quote the TFN non-resident exemption code of 888888888.</w:t>
      </w:r>
    </w:p>
    <w:p w14:paraId="25978D8F" w14:textId="77777777" w:rsidR="00115458" w:rsidRPr="00F4606C" w:rsidRDefault="00115458" w:rsidP="00773D41">
      <w:pPr>
        <w:pStyle w:val="Maintext"/>
        <w:rPr>
          <w:rFonts w:asciiTheme="minorHAnsi" w:hAnsiTheme="minorHAnsi" w:cs="Arial"/>
          <w:sz w:val="20"/>
          <w:szCs w:val="20"/>
        </w:rPr>
      </w:pPr>
    </w:p>
    <w:p w14:paraId="421E62D1"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 xml:space="preserve">Ashdown Bank Ltd is able to report for the period Genevieve was a non-resident and a resident. For the purposes of this example, only the investor records are shown however an </w:t>
      </w:r>
      <w:r w:rsidRPr="00F4606C">
        <w:rPr>
          <w:rFonts w:asciiTheme="minorHAnsi" w:hAnsiTheme="minorHAnsi" w:cs="Arial"/>
          <w:i/>
          <w:iCs/>
          <w:sz w:val="20"/>
          <w:szCs w:val="20"/>
        </w:rPr>
        <w:t>Investment account data record</w:t>
      </w:r>
      <w:r w:rsidRPr="00F4606C">
        <w:rPr>
          <w:rFonts w:asciiTheme="minorHAnsi" w:hAnsiTheme="minorHAnsi" w:cs="Arial"/>
          <w:sz w:val="20"/>
          <w:szCs w:val="20"/>
        </w:rPr>
        <w:t xml:space="preserve"> is required for each period. Only one date should be completed per investor record.  This example assumes that interest was credited during the period she was a non-resident and resident.  </w:t>
      </w:r>
    </w:p>
    <w:p w14:paraId="22C1CAC9" w14:textId="77777777" w:rsidR="00115458" w:rsidRPr="00B35C0A" w:rsidRDefault="00115458" w:rsidP="00115458">
      <w:pPr>
        <w:pStyle w:val="Maintext"/>
        <w:rPr>
          <w:rFonts w:cs="Arial"/>
        </w:rPr>
      </w:pPr>
    </w:p>
    <w:p w14:paraId="7F8D5935" w14:textId="6F066583"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b/>
          <w:bCs/>
          <w:smallCaps/>
          <w:sz w:val="20"/>
          <w:szCs w:val="20"/>
        </w:rPr>
        <w:t xml:space="preserve">investor data record 1 </w:t>
      </w:r>
      <w:r w:rsidRPr="00F4606C">
        <w:rPr>
          <w:rFonts w:asciiTheme="minorHAnsi" w:hAnsiTheme="minorHAnsi" w:cs="Arial"/>
          <w:smallCaps/>
          <w:sz w:val="20"/>
          <w:szCs w:val="20"/>
        </w:rPr>
        <w:t>(extract)</w:t>
      </w:r>
      <w:r w:rsidRPr="00F4606C">
        <w:rPr>
          <w:rFonts w:asciiTheme="minorHAnsi" w:hAnsiTheme="minorHAnsi" w:cs="Arial"/>
          <w:sz w:val="20"/>
          <w:szCs w:val="20"/>
        </w:rPr>
        <w:t xml:space="preserve"> – reporting period the investor was a non-resident from 1 July 202</w:t>
      </w:r>
      <w:r w:rsidR="000A2266">
        <w:rPr>
          <w:rFonts w:asciiTheme="minorHAnsi" w:hAnsiTheme="minorHAnsi" w:cs="Arial"/>
          <w:sz w:val="20"/>
          <w:szCs w:val="20"/>
        </w:rPr>
        <w:t>5</w:t>
      </w:r>
      <w:r w:rsidRPr="00F4606C">
        <w:rPr>
          <w:rFonts w:asciiTheme="minorHAnsi" w:hAnsiTheme="minorHAnsi" w:cs="Arial"/>
          <w:sz w:val="20"/>
          <w:szCs w:val="20"/>
        </w:rPr>
        <w:t xml:space="preserve"> to 02 March 202</w:t>
      </w:r>
      <w:r w:rsidR="000A2266">
        <w:rPr>
          <w:rFonts w:asciiTheme="minorHAnsi" w:hAnsiTheme="minorHAnsi" w:cs="Arial"/>
          <w:sz w:val="20"/>
          <w:szCs w:val="20"/>
        </w:rPr>
        <w:t>6</w:t>
      </w:r>
    </w:p>
    <w:p w14:paraId="6CA43E70" w14:textId="77777777" w:rsidR="00115458" w:rsidRPr="00B35C0A" w:rsidRDefault="00115458" w:rsidP="00115458">
      <w:pPr>
        <w:pStyle w:val="Maintext"/>
        <w:rPr>
          <w:rFonts w:cs="Arial"/>
        </w:rPr>
      </w:pPr>
    </w:p>
    <w:tbl>
      <w:tblPr>
        <w:tblW w:w="5000" w:type="pct"/>
        <w:tblLook w:val="0000" w:firstRow="0" w:lastRow="0" w:firstColumn="0" w:lastColumn="0" w:noHBand="0" w:noVBand="0"/>
      </w:tblPr>
      <w:tblGrid>
        <w:gridCol w:w="1227"/>
        <w:gridCol w:w="5202"/>
        <w:gridCol w:w="2853"/>
      </w:tblGrid>
      <w:tr w:rsidR="00115458" w:rsidRPr="00B35C0A" w14:paraId="5C89DE93" w14:textId="77777777" w:rsidTr="000C1365">
        <w:trPr>
          <w:cantSplit/>
          <w:tblHeader/>
        </w:trPr>
        <w:tc>
          <w:tcPr>
            <w:tcW w:w="560" w:type="pct"/>
            <w:tcBorders>
              <w:top w:val="single" w:sz="6" w:space="0" w:color="auto"/>
              <w:left w:val="single" w:sz="6" w:space="0" w:color="auto"/>
              <w:bottom w:val="single" w:sz="6" w:space="0" w:color="auto"/>
              <w:right w:val="single" w:sz="6" w:space="0" w:color="auto"/>
            </w:tcBorders>
            <w:shd w:val="clear" w:color="auto" w:fill="B3B3B3"/>
            <w:vAlign w:val="center"/>
          </w:tcPr>
          <w:p w14:paraId="73FC3603" w14:textId="77777777" w:rsidR="00115458" w:rsidRPr="00F4606C" w:rsidRDefault="00115458" w:rsidP="00F4606C">
            <w:pPr>
              <w:spacing w:after="0" w:line="240" w:lineRule="auto"/>
              <w:rPr>
                <w:rFonts w:cs="Arial"/>
                <w:b/>
              </w:rPr>
            </w:pPr>
            <w:r w:rsidRPr="00F4606C">
              <w:rPr>
                <w:rFonts w:cs="Arial"/>
                <w:b/>
              </w:rPr>
              <w:t>Reference</w:t>
            </w:r>
          </w:p>
          <w:p w14:paraId="2DB0FD83" w14:textId="77777777" w:rsidR="00115458" w:rsidRPr="00F4606C" w:rsidRDefault="00115458" w:rsidP="00F4606C">
            <w:pPr>
              <w:spacing w:after="0" w:line="240" w:lineRule="auto"/>
              <w:rPr>
                <w:rFonts w:cs="Arial"/>
                <w:b/>
              </w:rPr>
            </w:pPr>
            <w:r w:rsidRPr="00F4606C">
              <w:rPr>
                <w:rFonts w:cs="Arial"/>
                <w:b/>
              </w:rPr>
              <w:t>number</w:t>
            </w:r>
          </w:p>
        </w:tc>
        <w:tc>
          <w:tcPr>
            <w:tcW w:w="2850" w:type="pct"/>
            <w:tcBorders>
              <w:top w:val="single" w:sz="6" w:space="0" w:color="auto"/>
              <w:left w:val="single" w:sz="6" w:space="0" w:color="auto"/>
              <w:bottom w:val="single" w:sz="6" w:space="0" w:color="auto"/>
              <w:right w:val="single" w:sz="6" w:space="0" w:color="auto"/>
            </w:tcBorders>
            <w:shd w:val="clear" w:color="auto" w:fill="B3B3B3"/>
            <w:vAlign w:val="center"/>
          </w:tcPr>
          <w:p w14:paraId="79FA5E22" w14:textId="77777777" w:rsidR="00115458" w:rsidRPr="00F4606C" w:rsidRDefault="00115458" w:rsidP="00F4606C">
            <w:pPr>
              <w:spacing w:after="0" w:line="240" w:lineRule="auto"/>
              <w:rPr>
                <w:rFonts w:cs="Arial"/>
                <w:b/>
              </w:rPr>
            </w:pPr>
            <w:r w:rsidRPr="00F4606C">
              <w:rPr>
                <w:rFonts w:cs="Arial"/>
                <w:b/>
              </w:rPr>
              <w:t>Field name</w:t>
            </w:r>
          </w:p>
        </w:tc>
        <w:tc>
          <w:tcPr>
            <w:tcW w:w="1585" w:type="pct"/>
            <w:tcBorders>
              <w:top w:val="single" w:sz="6" w:space="0" w:color="auto"/>
              <w:left w:val="single" w:sz="6" w:space="0" w:color="auto"/>
              <w:bottom w:val="single" w:sz="6" w:space="0" w:color="auto"/>
              <w:right w:val="single" w:sz="6" w:space="0" w:color="auto"/>
            </w:tcBorders>
            <w:shd w:val="clear" w:color="auto" w:fill="B3B3B3"/>
            <w:vAlign w:val="center"/>
          </w:tcPr>
          <w:p w14:paraId="14FA2C80" w14:textId="77777777" w:rsidR="00115458" w:rsidRPr="00F4606C" w:rsidRDefault="00115458" w:rsidP="00F4606C">
            <w:pPr>
              <w:spacing w:after="0" w:line="240" w:lineRule="auto"/>
              <w:rPr>
                <w:rFonts w:cs="Arial"/>
                <w:b/>
              </w:rPr>
            </w:pPr>
            <w:r w:rsidRPr="00F4606C">
              <w:rPr>
                <w:rFonts w:cs="Arial"/>
                <w:b/>
              </w:rPr>
              <w:t>Content</w:t>
            </w:r>
          </w:p>
        </w:tc>
      </w:tr>
      <w:tr w:rsidR="00115458" w:rsidRPr="00B35C0A" w14:paraId="0678D8C1"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302C9075" w14:textId="48E70A7F" w:rsidR="00115458" w:rsidRPr="00F4606C" w:rsidRDefault="00115458" w:rsidP="00F4606C">
            <w:pPr>
              <w:spacing w:after="0" w:line="240" w:lineRule="auto"/>
              <w:rPr>
                <w:rFonts w:cs="Arial"/>
              </w:rPr>
            </w:pPr>
            <w:r w:rsidRPr="00F4606C">
              <w:rPr>
                <w:rFonts w:cs="Arial"/>
              </w:rPr>
              <w:t>9.</w:t>
            </w:r>
            <w:r w:rsidR="00FD3F7A" w:rsidRPr="00F4606C">
              <w:rPr>
                <w:rFonts w:cs="Arial"/>
              </w:rPr>
              <w:t>19</w:t>
            </w:r>
            <w:r w:rsidR="00FD3F7A">
              <w:rPr>
                <w:rFonts w:cs="Arial"/>
              </w:rPr>
              <w:t>8</w:t>
            </w:r>
          </w:p>
        </w:tc>
        <w:tc>
          <w:tcPr>
            <w:tcW w:w="2850" w:type="pct"/>
            <w:tcBorders>
              <w:top w:val="single" w:sz="6" w:space="0" w:color="auto"/>
              <w:left w:val="single" w:sz="6" w:space="0" w:color="auto"/>
              <w:bottom w:val="single" w:sz="6" w:space="0" w:color="auto"/>
              <w:right w:val="single" w:sz="6" w:space="0" w:color="auto"/>
            </w:tcBorders>
            <w:vAlign w:val="center"/>
          </w:tcPr>
          <w:p w14:paraId="38AEB74A" w14:textId="77777777" w:rsidR="00115458" w:rsidRPr="00F4606C" w:rsidRDefault="00115458" w:rsidP="00F4606C">
            <w:pPr>
              <w:spacing w:after="0" w:line="240" w:lineRule="auto"/>
              <w:rPr>
                <w:rFonts w:cs="Arial"/>
              </w:rPr>
            </w:pPr>
            <w:r w:rsidRPr="00F4606C">
              <w:rPr>
                <w:rFonts w:cs="Arial"/>
              </w:rPr>
              <w:t>Investor tax file number</w:t>
            </w:r>
          </w:p>
        </w:tc>
        <w:tc>
          <w:tcPr>
            <w:tcW w:w="1585" w:type="pct"/>
            <w:tcBorders>
              <w:top w:val="single" w:sz="6" w:space="0" w:color="auto"/>
              <w:left w:val="single" w:sz="6" w:space="0" w:color="auto"/>
              <w:bottom w:val="single" w:sz="6" w:space="0" w:color="auto"/>
              <w:right w:val="single" w:sz="6" w:space="0" w:color="auto"/>
            </w:tcBorders>
            <w:vAlign w:val="center"/>
          </w:tcPr>
          <w:p w14:paraId="21BA631B" w14:textId="77777777" w:rsidR="00115458" w:rsidRPr="00F4606C" w:rsidRDefault="00115458" w:rsidP="00F4606C">
            <w:pPr>
              <w:spacing w:after="0" w:line="240" w:lineRule="auto"/>
              <w:rPr>
                <w:rFonts w:cs="Arial"/>
              </w:rPr>
            </w:pPr>
            <w:r w:rsidRPr="00F4606C">
              <w:rPr>
                <w:rFonts w:cs="Arial"/>
              </w:rPr>
              <w:t>123456784</w:t>
            </w:r>
          </w:p>
        </w:tc>
      </w:tr>
      <w:tr w:rsidR="00115458" w:rsidRPr="00B35C0A" w14:paraId="28DB7D09"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652024B3" w14:textId="7C65C218" w:rsidR="00115458" w:rsidRPr="00F4606C" w:rsidRDefault="00115458" w:rsidP="00F4606C">
            <w:pPr>
              <w:spacing w:after="0" w:line="240" w:lineRule="auto"/>
              <w:rPr>
                <w:rFonts w:cs="Arial"/>
              </w:rPr>
            </w:pPr>
            <w:r w:rsidRPr="00F4606C">
              <w:rPr>
                <w:rFonts w:cs="Arial"/>
              </w:rPr>
              <w:t>9.</w:t>
            </w:r>
            <w:r w:rsidR="00FD3F7A">
              <w:rPr>
                <w:rFonts w:cs="Arial"/>
              </w:rPr>
              <w:t>200</w:t>
            </w:r>
          </w:p>
        </w:tc>
        <w:tc>
          <w:tcPr>
            <w:tcW w:w="2850" w:type="pct"/>
            <w:tcBorders>
              <w:top w:val="single" w:sz="6" w:space="0" w:color="auto"/>
              <w:left w:val="single" w:sz="6" w:space="0" w:color="auto"/>
              <w:bottom w:val="single" w:sz="6" w:space="0" w:color="auto"/>
              <w:right w:val="single" w:sz="6" w:space="0" w:color="auto"/>
            </w:tcBorders>
            <w:vAlign w:val="center"/>
          </w:tcPr>
          <w:p w14:paraId="1D2CD6E6" w14:textId="77777777" w:rsidR="00115458" w:rsidRPr="00F4606C" w:rsidRDefault="00115458" w:rsidP="00F4606C">
            <w:pPr>
              <w:spacing w:after="0" w:line="240" w:lineRule="auto"/>
              <w:rPr>
                <w:rFonts w:cs="Arial"/>
              </w:rPr>
            </w:pPr>
            <w:r w:rsidRPr="00F4606C">
              <w:rPr>
                <w:rFonts w:cs="Arial"/>
              </w:rPr>
              <w:t>Non-resident investor tax identification number</w:t>
            </w:r>
          </w:p>
        </w:tc>
        <w:tc>
          <w:tcPr>
            <w:tcW w:w="1585" w:type="pct"/>
            <w:tcBorders>
              <w:top w:val="single" w:sz="6" w:space="0" w:color="auto"/>
              <w:left w:val="single" w:sz="6" w:space="0" w:color="auto"/>
              <w:bottom w:val="single" w:sz="6" w:space="0" w:color="auto"/>
              <w:right w:val="single" w:sz="6" w:space="0" w:color="auto"/>
            </w:tcBorders>
            <w:vAlign w:val="center"/>
          </w:tcPr>
          <w:p w14:paraId="5C3CF04C" w14:textId="77777777" w:rsidR="00115458" w:rsidRPr="00F4606C" w:rsidRDefault="00115458" w:rsidP="00F4606C">
            <w:pPr>
              <w:spacing w:after="0" w:line="240" w:lineRule="auto"/>
              <w:rPr>
                <w:rFonts w:cs="Arial"/>
              </w:rPr>
            </w:pPr>
            <w:r w:rsidRPr="00F4606C">
              <w:rPr>
                <w:rFonts w:cs="Arial"/>
              </w:rPr>
              <w:t>895423789</w:t>
            </w:r>
          </w:p>
        </w:tc>
      </w:tr>
      <w:tr w:rsidR="00115458" w:rsidRPr="00B35C0A" w14:paraId="5710EB56"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07588B8E" w14:textId="3F77EF1A" w:rsidR="00115458" w:rsidRPr="00F4606C" w:rsidRDefault="00115458" w:rsidP="00F4606C">
            <w:pPr>
              <w:spacing w:after="0" w:line="240" w:lineRule="auto"/>
              <w:rPr>
                <w:rFonts w:cs="Arial"/>
              </w:rPr>
            </w:pPr>
            <w:r w:rsidRPr="00F4606C">
              <w:rPr>
                <w:rFonts w:cs="Arial"/>
              </w:rPr>
              <w:t>9.</w:t>
            </w:r>
            <w:r w:rsidR="00FD3F7A" w:rsidRPr="00F4606C">
              <w:rPr>
                <w:rFonts w:cs="Arial"/>
              </w:rPr>
              <w:t>20</w:t>
            </w:r>
            <w:r w:rsidR="00FD3F7A">
              <w:rPr>
                <w:rFonts w:cs="Arial"/>
              </w:rPr>
              <w:t>7</w:t>
            </w:r>
          </w:p>
        </w:tc>
        <w:tc>
          <w:tcPr>
            <w:tcW w:w="2850" w:type="pct"/>
            <w:tcBorders>
              <w:top w:val="single" w:sz="6" w:space="0" w:color="auto"/>
              <w:left w:val="single" w:sz="6" w:space="0" w:color="auto"/>
              <w:bottom w:val="single" w:sz="6" w:space="0" w:color="auto"/>
              <w:right w:val="single" w:sz="6" w:space="0" w:color="auto"/>
            </w:tcBorders>
            <w:vAlign w:val="center"/>
          </w:tcPr>
          <w:p w14:paraId="6AEE6C6C" w14:textId="77777777" w:rsidR="00115458" w:rsidRPr="00F4606C" w:rsidRDefault="00115458" w:rsidP="00F4606C">
            <w:pPr>
              <w:spacing w:after="0" w:line="240" w:lineRule="auto"/>
              <w:rPr>
                <w:rFonts w:cs="Arial"/>
              </w:rPr>
            </w:pPr>
            <w:r w:rsidRPr="00F4606C">
              <w:rPr>
                <w:rFonts w:cs="Arial"/>
              </w:rPr>
              <w:t>Australian address – line 1</w:t>
            </w:r>
          </w:p>
        </w:tc>
        <w:tc>
          <w:tcPr>
            <w:tcW w:w="1585" w:type="pct"/>
            <w:tcBorders>
              <w:top w:val="single" w:sz="6" w:space="0" w:color="auto"/>
              <w:left w:val="single" w:sz="6" w:space="0" w:color="auto"/>
              <w:bottom w:val="single" w:sz="6" w:space="0" w:color="auto"/>
              <w:right w:val="single" w:sz="6" w:space="0" w:color="auto"/>
            </w:tcBorders>
            <w:vAlign w:val="center"/>
          </w:tcPr>
          <w:p w14:paraId="57C26105" w14:textId="77777777" w:rsidR="00115458" w:rsidRPr="00F4606C" w:rsidRDefault="00115458" w:rsidP="00F4606C">
            <w:pPr>
              <w:spacing w:after="0" w:line="240" w:lineRule="auto"/>
              <w:rPr>
                <w:rFonts w:cs="Arial"/>
              </w:rPr>
            </w:pPr>
            <w:r w:rsidRPr="00F4606C">
              <w:rPr>
                <w:rFonts w:cs="Arial"/>
              </w:rPr>
              <w:t>C/- BARTHOLOMEW &amp; KIDD</w:t>
            </w:r>
          </w:p>
        </w:tc>
      </w:tr>
      <w:tr w:rsidR="00115458" w:rsidRPr="00B35C0A" w14:paraId="09D957B3"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3F211902" w14:textId="7B9E7E02" w:rsidR="00115458" w:rsidRPr="00F4606C" w:rsidRDefault="00115458" w:rsidP="00F4606C">
            <w:pPr>
              <w:spacing w:after="0" w:line="240" w:lineRule="auto"/>
              <w:rPr>
                <w:rFonts w:cs="Arial"/>
              </w:rPr>
            </w:pPr>
            <w:r w:rsidRPr="00F4606C">
              <w:rPr>
                <w:rFonts w:cs="Arial"/>
              </w:rPr>
              <w:t>9.</w:t>
            </w:r>
            <w:r w:rsidR="00FD3F7A" w:rsidRPr="00F4606C">
              <w:rPr>
                <w:rFonts w:cs="Arial"/>
              </w:rPr>
              <w:t>20</w:t>
            </w:r>
            <w:r w:rsidR="00FD3F7A">
              <w:rPr>
                <w:rFonts w:cs="Arial"/>
              </w:rPr>
              <w:t>7</w:t>
            </w:r>
          </w:p>
        </w:tc>
        <w:tc>
          <w:tcPr>
            <w:tcW w:w="2850" w:type="pct"/>
            <w:tcBorders>
              <w:top w:val="single" w:sz="6" w:space="0" w:color="auto"/>
              <w:left w:val="single" w:sz="6" w:space="0" w:color="auto"/>
              <w:bottom w:val="single" w:sz="6" w:space="0" w:color="auto"/>
              <w:right w:val="single" w:sz="6" w:space="0" w:color="auto"/>
            </w:tcBorders>
            <w:vAlign w:val="center"/>
          </w:tcPr>
          <w:p w14:paraId="73C9489A" w14:textId="77777777" w:rsidR="00115458" w:rsidRPr="00F4606C" w:rsidRDefault="00115458" w:rsidP="00F4606C">
            <w:pPr>
              <w:spacing w:after="0" w:line="240" w:lineRule="auto"/>
              <w:rPr>
                <w:rFonts w:cs="Arial"/>
              </w:rPr>
            </w:pPr>
            <w:r w:rsidRPr="00F4606C">
              <w:rPr>
                <w:rFonts w:cs="Arial"/>
              </w:rPr>
              <w:t>Australian address – line 2</w:t>
            </w:r>
          </w:p>
        </w:tc>
        <w:tc>
          <w:tcPr>
            <w:tcW w:w="1585" w:type="pct"/>
            <w:tcBorders>
              <w:top w:val="single" w:sz="6" w:space="0" w:color="auto"/>
              <w:left w:val="single" w:sz="6" w:space="0" w:color="auto"/>
              <w:bottom w:val="single" w:sz="6" w:space="0" w:color="auto"/>
              <w:right w:val="single" w:sz="6" w:space="0" w:color="auto"/>
            </w:tcBorders>
            <w:vAlign w:val="center"/>
          </w:tcPr>
          <w:p w14:paraId="0BF324D9" w14:textId="77777777" w:rsidR="00115458" w:rsidRPr="00F4606C" w:rsidRDefault="00115458" w:rsidP="00F4606C">
            <w:pPr>
              <w:spacing w:after="0" w:line="240" w:lineRule="auto"/>
              <w:rPr>
                <w:rFonts w:cs="Arial"/>
              </w:rPr>
            </w:pPr>
            <w:r w:rsidRPr="00F4606C">
              <w:rPr>
                <w:rFonts w:cs="Arial"/>
              </w:rPr>
              <w:t>PO BOX 945</w:t>
            </w:r>
          </w:p>
        </w:tc>
      </w:tr>
      <w:tr w:rsidR="00115458" w:rsidRPr="00B35C0A" w14:paraId="2152243B"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720630B6" w14:textId="0108D15A" w:rsidR="00115458" w:rsidRPr="00F4606C" w:rsidRDefault="00115458" w:rsidP="00F4606C">
            <w:pPr>
              <w:spacing w:after="0" w:line="240" w:lineRule="auto"/>
              <w:rPr>
                <w:rFonts w:cs="Arial"/>
              </w:rPr>
            </w:pPr>
            <w:r w:rsidRPr="00F4606C">
              <w:rPr>
                <w:rFonts w:cs="Arial"/>
              </w:rPr>
              <w:t>9.</w:t>
            </w:r>
            <w:r w:rsidR="00FD3F7A" w:rsidRPr="00F4606C">
              <w:rPr>
                <w:rFonts w:cs="Arial"/>
              </w:rPr>
              <w:t>20</w:t>
            </w:r>
            <w:r w:rsidR="00FD3F7A">
              <w:rPr>
                <w:rFonts w:cs="Arial"/>
              </w:rPr>
              <w:t>8</w:t>
            </w:r>
          </w:p>
        </w:tc>
        <w:tc>
          <w:tcPr>
            <w:tcW w:w="2850" w:type="pct"/>
            <w:tcBorders>
              <w:top w:val="single" w:sz="6" w:space="0" w:color="auto"/>
              <w:left w:val="single" w:sz="6" w:space="0" w:color="auto"/>
              <w:bottom w:val="single" w:sz="6" w:space="0" w:color="auto"/>
              <w:right w:val="single" w:sz="6" w:space="0" w:color="auto"/>
            </w:tcBorders>
            <w:vAlign w:val="center"/>
          </w:tcPr>
          <w:p w14:paraId="7287A947" w14:textId="77777777" w:rsidR="00115458" w:rsidRPr="00F4606C" w:rsidRDefault="00115458" w:rsidP="00F4606C">
            <w:pPr>
              <w:spacing w:after="0" w:line="240" w:lineRule="auto"/>
              <w:rPr>
                <w:rFonts w:cs="Arial"/>
              </w:rPr>
            </w:pPr>
            <w:r w:rsidRPr="00F4606C">
              <w:rPr>
                <w:rFonts w:cs="Arial"/>
              </w:rPr>
              <w:t>Australian suburb, town or locality</w:t>
            </w:r>
          </w:p>
        </w:tc>
        <w:tc>
          <w:tcPr>
            <w:tcW w:w="1585" w:type="pct"/>
            <w:tcBorders>
              <w:top w:val="single" w:sz="6" w:space="0" w:color="auto"/>
              <w:left w:val="single" w:sz="6" w:space="0" w:color="auto"/>
              <w:bottom w:val="single" w:sz="6" w:space="0" w:color="auto"/>
              <w:right w:val="single" w:sz="6" w:space="0" w:color="auto"/>
            </w:tcBorders>
            <w:vAlign w:val="center"/>
          </w:tcPr>
          <w:p w14:paraId="5976100A" w14:textId="77777777" w:rsidR="00115458" w:rsidRPr="00F4606C" w:rsidRDefault="00115458" w:rsidP="00F4606C">
            <w:pPr>
              <w:spacing w:after="0" w:line="240" w:lineRule="auto"/>
              <w:rPr>
                <w:rFonts w:cs="Arial"/>
              </w:rPr>
            </w:pPr>
            <w:r w:rsidRPr="00F4606C">
              <w:rPr>
                <w:rFonts w:cs="Arial"/>
              </w:rPr>
              <w:t>PERTH</w:t>
            </w:r>
          </w:p>
        </w:tc>
      </w:tr>
      <w:tr w:rsidR="00115458" w:rsidRPr="00B35C0A" w14:paraId="56BCF5A7"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6744A1AE" w14:textId="559EFE78" w:rsidR="00115458" w:rsidRPr="00F4606C" w:rsidRDefault="00115458" w:rsidP="00F4606C">
            <w:pPr>
              <w:spacing w:after="0" w:line="240" w:lineRule="auto"/>
              <w:rPr>
                <w:rFonts w:cs="Arial"/>
              </w:rPr>
            </w:pPr>
            <w:r w:rsidRPr="00F4606C">
              <w:rPr>
                <w:rFonts w:cs="Arial"/>
              </w:rPr>
              <w:t>9.</w:t>
            </w:r>
            <w:r w:rsidR="00FD3F7A" w:rsidRPr="00F4606C">
              <w:rPr>
                <w:rFonts w:cs="Arial"/>
              </w:rPr>
              <w:t>20</w:t>
            </w:r>
            <w:r w:rsidR="00FD3F7A">
              <w:rPr>
                <w:rFonts w:cs="Arial"/>
              </w:rPr>
              <w:t>9</w:t>
            </w:r>
          </w:p>
        </w:tc>
        <w:tc>
          <w:tcPr>
            <w:tcW w:w="2850" w:type="pct"/>
            <w:tcBorders>
              <w:top w:val="single" w:sz="6" w:space="0" w:color="auto"/>
              <w:left w:val="single" w:sz="6" w:space="0" w:color="auto"/>
              <w:bottom w:val="single" w:sz="6" w:space="0" w:color="auto"/>
              <w:right w:val="single" w:sz="6" w:space="0" w:color="auto"/>
            </w:tcBorders>
            <w:vAlign w:val="center"/>
          </w:tcPr>
          <w:p w14:paraId="4EFB7D88" w14:textId="77777777" w:rsidR="00115458" w:rsidRPr="00F4606C" w:rsidRDefault="00115458" w:rsidP="00F4606C">
            <w:pPr>
              <w:spacing w:after="0" w:line="240" w:lineRule="auto"/>
              <w:rPr>
                <w:rFonts w:cs="Arial"/>
              </w:rPr>
            </w:pPr>
            <w:r w:rsidRPr="00F4606C">
              <w:rPr>
                <w:rFonts w:cs="Arial"/>
              </w:rPr>
              <w:t>Australian state or territory</w:t>
            </w:r>
          </w:p>
        </w:tc>
        <w:tc>
          <w:tcPr>
            <w:tcW w:w="1585" w:type="pct"/>
            <w:tcBorders>
              <w:top w:val="single" w:sz="6" w:space="0" w:color="auto"/>
              <w:left w:val="single" w:sz="6" w:space="0" w:color="auto"/>
              <w:bottom w:val="single" w:sz="6" w:space="0" w:color="auto"/>
              <w:right w:val="single" w:sz="6" w:space="0" w:color="auto"/>
            </w:tcBorders>
            <w:vAlign w:val="center"/>
          </w:tcPr>
          <w:p w14:paraId="210BA4C6" w14:textId="77777777" w:rsidR="00115458" w:rsidRPr="00F4606C" w:rsidRDefault="00115458" w:rsidP="00F4606C">
            <w:pPr>
              <w:spacing w:after="0" w:line="240" w:lineRule="auto"/>
              <w:rPr>
                <w:rFonts w:cs="Arial"/>
              </w:rPr>
            </w:pPr>
            <w:r w:rsidRPr="00F4606C">
              <w:rPr>
                <w:rFonts w:cs="Arial"/>
              </w:rPr>
              <w:t>WA</w:t>
            </w:r>
          </w:p>
        </w:tc>
      </w:tr>
      <w:tr w:rsidR="00115458" w:rsidRPr="00B35C0A" w14:paraId="1E5F1BD4"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2A28EA93" w14:textId="7732CC07" w:rsidR="00115458" w:rsidRPr="00F4606C" w:rsidRDefault="00115458" w:rsidP="00F4606C">
            <w:pPr>
              <w:spacing w:after="0" w:line="240" w:lineRule="auto"/>
              <w:rPr>
                <w:rFonts w:cs="Arial"/>
              </w:rPr>
            </w:pPr>
            <w:r w:rsidRPr="00F4606C">
              <w:rPr>
                <w:rFonts w:cs="Arial"/>
              </w:rPr>
              <w:t>9.</w:t>
            </w:r>
            <w:r w:rsidR="00FD3F7A" w:rsidRPr="00F4606C">
              <w:rPr>
                <w:rFonts w:cs="Arial"/>
              </w:rPr>
              <w:t>2</w:t>
            </w:r>
            <w:r w:rsidR="00FD3F7A">
              <w:rPr>
                <w:rFonts w:cs="Arial"/>
              </w:rPr>
              <w:t>10</w:t>
            </w:r>
          </w:p>
        </w:tc>
        <w:tc>
          <w:tcPr>
            <w:tcW w:w="2850" w:type="pct"/>
            <w:tcBorders>
              <w:top w:val="single" w:sz="6" w:space="0" w:color="auto"/>
              <w:left w:val="single" w:sz="6" w:space="0" w:color="auto"/>
              <w:bottom w:val="single" w:sz="6" w:space="0" w:color="auto"/>
              <w:right w:val="single" w:sz="6" w:space="0" w:color="auto"/>
            </w:tcBorders>
            <w:vAlign w:val="center"/>
          </w:tcPr>
          <w:p w14:paraId="7EBBDA3F" w14:textId="77777777" w:rsidR="00115458" w:rsidRPr="00F4606C" w:rsidRDefault="00115458" w:rsidP="00F4606C">
            <w:pPr>
              <w:spacing w:after="0" w:line="240" w:lineRule="auto"/>
              <w:rPr>
                <w:rFonts w:cs="Arial"/>
              </w:rPr>
            </w:pPr>
            <w:r w:rsidRPr="00F4606C">
              <w:rPr>
                <w:rFonts w:cs="Arial"/>
              </w:rPr>
              <w:t>Australian postcode</w:t>
            </w:r>
          </w:p>
        </w:tc>
        <w:tc>
          <w:tcPr>
            <w:tcW w:w="1585" w:type="pct"/>
            <w:tcBorders>
              <w:top w:val="single" w:sz="6" w:space="0" w:color="auto"/>
              <w:left w:val="single" w:sz="6" w:space="0" w:color="auto"/>
              <w:bottom w:val="single" w:sz="6" w:space="0" w:color="auto"/>
              <w:right w:val="single" w:sz="6" w:space="0" w:color="auto"/>
            </w:tcBorders>
            <w:vAlign w:val="center"/>
          </w:tcPr>
          <w:p w14:paraId="07B0A2B8" w14:textId="77777777" w:rsidR="00115458" w:rsidRPr="00F4606C" w:rsidRDefault="00115458" w:rsidP="00F4606C">
            <w:pPr>
              <w:spacing w:after="0" w:line="240" w:lineRule="auto"/>
              <w:rPr>
                <w:rFonts w:cs="Arial"/>
              </w:rPr>
            </w:pPr>
            <w:r w:rsidRPr="00F4606C">
              <w:rPr>
                <w:rFonts w:cs="Arial"/>
              </w:rPr>
              <w:t>6001</w:t>
            </w:r>
          </w:p>
        </w:tc>
      </w:tr>
      <w:tr w:rsidR="00115458" w:rsidRPr="00B35C0A" w14:paraId="078C3582"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41BB4338" w14:textId="6EE0D99E" w:rsidR="00115458" w:rsidRPr="00F4606C" w:rsidRDefault="00115458" w:rsidP="00F4606C">
            <w:pPr>
              <w:spacing w:after="0" w:line="240" w:lineRule="auto"/>
              <w:rPr>
                <w:rFonts w:cs="Arial"/>
              </w:rPr>
            </w:pPr>
            <w:r w:rsidRPr="00F4606C">
              <w:rPr>
                <w:rFonts w:cs="Arial"/>
              </w:rPr>
              <w:t>9.</w:t>
            </w:r>
            <w:r w:rsidR="00FD3F7A" w:rsidRPr="00F4606C">
              <w:rPr>
                <w:rFonts w:cs="Arial"/>
              </w:rPr>
              <w:t>2</w:t>
            </w:r>
            <w:r w:rsidR="00FD3F7A">
              <w:rPr>
                <w:rFonts w:cs="Arial"/>
              </w:rPr>
              <w:t>11</w:t>
            </w:r>
          </w:p>
        </w:tc>
        <w:tc>
          <w:tcPr>
            <w:tcW w:w="2850" w:type="pct"/>
            <w:tcBorders>
              <w:top w:val="single" w:sz="6" w:space="0" w:color="auto"/>
              <w:left w:val="single" w:sz="6" w:space="0" w:color="auto"/>
              <w:bottom w:val="single" w:sz="6" w:space="0" w:color="auto"/>
              <w:right w:val="single" w:sz="6" w:space="0" w:color="auto"/>
            </w:tcBorders>
            <w:vAlign w:val="center"/>
          </w:tcPr>
          <w:p w14:paraId="480EA5D1" w14:textId="77777777" w:rsidR="00115458" w:rsidRPr="00F4606C" w:rsidRDefault="00115458" w:rsidP="00F4606C">
            <w:pPr>
              <w:spacing w:after="0" w:line="240" w:lineRule="auto"/>
              <w:rPr>
                <w:rFonts w:cs="Arial"/>
              </w:rPr>
            </w:pPr>
            <w:r w:rsidRPr="00F4606C">
              <w:rPr>
                <w:rFonts w:cs="Arial"/>
              </w:rPr>
              <w:t>Date of change of residency status from resident to non-resident (DDMMCCYY)</w:t>
            </w:r>
          </w:p>
        </w:tc>
        <w:tc>
          <w:tcPr>
            <w:tcW w:w="1585" w:type="pct"/>
            <w:tcBorders>
              <w:top w:val="single" w:sz="6" w:space="0" w:color="auto"/>
              <w:left w:val="single" w:sz="6" w:space="0" w:color="auto"/>
              <w:bottom w:val="single" w:sz="6" w:space="0" w:color="auto"/>
              <w:right w:val="single" w:sz="6" w:space="0" w:color="auto"/>
            </w:tcBorders>
            <w:vAlign w:val="center"/>
          </w:tcPr>
          <w:p w14:paraId="74FC2108" w14:textId="511DB778" w:rsidR="00115458" w:rsidRPr="00F4606C" w:rsidRDefault="00115458" w:rsidP="00F4606C">
            <w:pPr>
              <w:spacing w:after="0" w:line="240" w:lineRule="auto"/>
              <w:rPr>
                <w:rFonts w:cs="Arial"/>
              </w:rPr>
            </w:pPr>
            <w:r w:rsidRPr="00F4606C">
              <w:rPr>
                <w:rFonts w:cs="Arial"/>
              </w:rPr>
              <w:t>160620</w:t>
            </w:r>
            <w:r w:rsidR="000A2266">
              <w:rPr>
                <w:rFonts w:cs="Arial"/>
              </w:rPr>
              <w:t>22</w:t>
            </w:r>
          </w:p>
        </w:tc>
      </w:tr>
      <w:tr w:rsidR="00115458" w:rsidRPr="00B35C0A" w14:paraId="432BBC54"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28ED6A9C" w14:textId="6053688E" w:rsidR="00115458" w:rsidRPr="00F4606C" w:rsidRDefault="00115458" w:rsidP="00F4606C">
            <w:pPr>
              <w:spacing w:after="0" w:line="240" w:lineRule="auto"/>
              <w:rPr>
                <w:rFonts w:cs="Arial"/>
              </w:rPr>
            </w:pPr>
            <w:r w:rsidRPr="00F4606C">
              <w:rPr>
                <w:rFonts w:cs="Arial"/>
              </w:rPr>
              <w:t>9.</w:t>
            </w:r>
            <w:r w:rsidR="00FD3F7A" w:rsidRPr="00F4606C">
              <w:rPr>
                <w:rFonts w:cs="Arial"/>
              </w:rPr>
              <w:t>2</w:t>
            </w:r>
            <w:r w:rsidR="00FD3F7A">
              <w:rPr>
                <w:rFonts w:cs="Arial"/>
              </w:rPr>
              <w:t>12</w:t>
            </w:r>
          </w:p>
        </w:tc>
        <w:tc>
          <w:tcPr>
            <w:tcW w:w="2850" w:type="pct"/>
            <w:tcBorders>
              <w:top w:val="single" w:sz="6" w:space="0" w:color="auto"/>
              <w:left w:val="single" w:sz="6" w:space="0" w:color="auto"/>
              <w:bottom w:val="single" w:sz="6" w:space="0" w:color="auto"/>
              <w:right w:val="single" w:sz="6" w:space="0" w:color="auto"/>
            </w:tcBorders>
            <w:vAlign w:val="center"/>
          </w:tcPr>
          <w:p w14:paraId="371FA6DC" w14:textId="77777777" w:rsidR="00115458" w:rsidRPr="00F4606C" w:rsidRDefault="00115458" w:rsidP="00F4606C">
            <w:pPr>
              <w:spacing w:after="0" w:line="240" w:lineRule="auto"/>
              <w:rPr>
                <w:rFonts w:cs="Arial"/>
              </w:rPr>
            </w:pPr>
            <w:r w:rsidRPr="00F4606C">
              <w:rPr>
                <w:rFonts w:cs="Arial"/>
              </w:rPr>
              <w:t>Overseas address – line 1</w:t>
            </w:r>
          </w:p>
        </w:tc>
        <w:tc>
          <w:tcPr>
            <w:tcW w:w="1585" w:type="pct"/>
            <w:tcBorders>
              <w:top w:val="single" w:sz="6" w:space="0" w:color="auto"/>
              <w:left w:val="single" w:sz="6" w:space="0" w:color="auto"/>
              <w:bottom w:val="single" w:sz="6" w:space="0" w:color="auto"/>
              <w:right w:val="single" w:sz="6" w:space="0" w:color="auto"/>
            </w:tcBorders>
            <w:vAlign w:val="center"/>
          </w:tcPr>
          <w:p w14:paraId="545104A3" w14:textId="77777777" w:rsidR="00115458" w:rsidRPr="00F4606C" w:rsidRDefault="00115458" w:rsidP="00F4606C">
            <w:pPr>
              <w:spacing w:after="0" w:line="240" w:lineRule="auto"/>
              <w:rPr>
                <w:rFonts w:cs="Arial"/>
              </w:rPr>
            </w:pPr>
            <w:r w:rsidRPr="00F4606C">
              <w:rPr>
                <w:rFonts w:cs="Arial"/>
              </w:rPr>
              <w:t>217 HOCKEY STREET</w:t>
            </w:r>
          </w:p>
        </w:tc>
      </w:tr>
      <w:tr w:rsidR="00115458" w:rsidRPr="00B35C0A" w14:paraId="38BEB424"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7FE4B78E" w14:textId="16D5A169" w:rsidR="00115458" w:rsidRPr="00F4606C" w:rsidRDefault="00115458" w:rsidP="00F4606C">
            <w:pPr>
              <w:spacing w:after="0" w:line="240" w:lineRule="auto"/>
              <w:rPr>
                <w:rFonts w:cs="Arial"/>
              </w:rPr>
            </w:pPr>
            <w:r w:rsidRPr="00F4606C">
              <w:rPr>
                <w:rFonts w:cs="Arial"/>
              </w:rPr>
              <w:t>9.</w:t>
            </w:r>
            <w:r w:rsidR="00FD3F7A" w:rsidRPr="00F4606C">
              <w:rPr>
                <w:rFonts w:cs="Arial"/>
              </w:rPr>
              <w:t>2</w:t>
            </w:r>
            <w:r w:rsidR="00FD3F7A">
              <w:rPr>
                <w:rFonts w:cs="Arial"/>
              </w:rPr>
              <w:t>12</w:t>
            </w:r>
          </w:p>
        </w:tc>
        <w:tc>
          <w:tcPr>
            <w:tcW w:w="2850" w:type="pct"/>
            <w:tcBorders>
              <w:top w:val="single" w:sz="6" w:space="0" w:color="auto"/>
              <w:left w:val="single" w:sz="6" w:space="0" w:color="auto"/>
              <w:bottom w:val="single" w:sz="6" w:space="0" w:color="auto"/>
              <w:right w:val="single" w:sz="6" w:space="0" w:color="auto"/>
            </w:tcBorders>
            <w:vAlign w:val="center"/>
          </w:tcPr>
          <w:p w14:paraId="0462C903" w14:textId="77777777" w:rsidR="00115458" w:rsidRPr="00F4606C" w:rsidRDefault="00115458" w:rsidP="00F4606C">
            <w:pPr>
              <w:spacing w:after="0" w:line="240" w:lineRule="auto"/>
              <w:rPr>
                <w:rFonts w:cs="Arial"/>
              </w:rPr>
            </w:pPr>
            <w:r w:rsidRPr="00F4606C">
              <w:rPr>
                <w:rFonts w:cs="Arial"/>
              </w:rPr>
              <w:t>Overseas address – line 2</w:t>
            </w:r>
          </w:p>
        </w:tc>
        <w:tc>
          <w:tcPr>
            <w:tcW w:w="1585" w:type="pct"/>
            <w:tcBorders>
              <w:top w:val="single" w:sz="6" w:space="0" w:color="auto"/>
              <w:left w:val="single" w:sz="6" w:space="0" w:color="auto"/>
              <w:bottom w:val="single" w:sz="6" w:space="0" w:color="auto"/>
              <w:right w:val="single" w:sz="6" w:space="0" w:color="auto"/>
            </w:tcBorders>
            <w:vAlign w:val="center"/>
          </w:tcPr>
          <w:p w14:paraId="5CC62678" w14:textId="77777777" w:rsidR="00115458" w:rsidRPr="00F4606C" w:rsidRDefault="00115458" w:rsidP="00F4606C">
            <w:pPr>
              <w:spacing w:after="0" w:line="240" w:lineRule="auto"/>
              <w:rPr>
                <w:rFonts w:cs="Arial"/>
              </w:rPr>
            </w:pPr>
            <w:r w:rsidRPr="00F4606C">
              <w:rPr>
                <w:rFonts w:cs="Arial"/>
              </w:rPr>
              <w:t>APARTMENT 28</w:t>
            </w:r>
          </w:p>
        </w:tc>
      </w:tr>
      <w:tr w:rsidR="00115458" w:rsidRPr="00B35C0A" w14:paraId="7B35009A"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0711AE29" w14:textId="3F90A72F" w:rsidR="00115458" w:rsidRPr="00F4606C" w:rsidRDefault="00115458" w:rsidP="00F4606C">
            <w:pPr>
              <w:spacing w:after="0" w:line="240" w:lineRule="auto"/>
              <w:rPr>
                <w:rFonts w:cs="Arial"/>
              </w:rPr>
            </w:pPr>
            <w:r w:rsidRPr="00F4606C">
              <w:rPr>
                <w:rFonts w:cs="Arial"/>
              </w:rPr>
              <w:t>9.</w:t>
            </w:r>
            <w:r w:rsidR="00FD3F7A" w:rsidRPr="00F4606C">
              <w:rPr>
                <w:rFonts w:cs="Arial"/>
              </w:rPr>
              <w:t>2</w:t>
            </w:r>
            <w:r w:rsidR="00FD3F7A">
              <w:rPr>
                <w:rFonts w:cs="Arial"/>
              </w:rPr>
              <w:t>13</w:t>
            </w:r>
          </w:p>
        </w:tc>
        <w:tc>
          <w:tcPr>
            <w:tcW w:w="2850" w:type="pct"/>
            <w:tcBorders>
              <w:top w:val="single" w:sz="6" w:space="0" w:color="auto"/>
              <w:left w:val="single" w:sz="6" w:space="0" w:color="auto"/>
              <w:bottom w:val="single" w:sz="6" w:space="0" w:color="auto"/>
              <w:right w:val="single" w:sz="6" w:space="0" w:color="auto"/>
            </w:tcBorders>
            <w:vAlign w:val="center"/>
          </w:tcPr>
          <w:p w14:paraId="4C530FA5" w14:textId="77777777" w:rsidR="00115458" w:rsidRPr="00F4606C" w:rsidRDefault="00115458" w:rsidP="00F4606C">
            <w:pPr>
              <w:spacing w:after="0" w:line="240" w:lineRule="auto"/>
              <w:rPr>
                <w:rFonts w:cs="Arial"/>
              </w:rPr>
            </w:pPr>
            <w:r w:rsidRPr="00F4606C">
              <w:rPr>
                <w:rFonts w:cs="Arial"/>
              </w:rPr>
              <w:t>Overseas suburb, town or locality</w:t>
            </w:r>
          </w:p>
        </w:tc>
        <w:tc>
          <w:tcPr>
            <w:tcW w:w="1585" w:type="pct"/>
            <w:tcBorders>
              <w:top w:val="single" w:sz="6" w:space="0" w:color="auto"/>
              <w:left w:val="single" w:sz="6" w:space="0" w:color="auto"/>
              <w:bottom w:val="single" w:sz="6" w:space="0" w:color="auto"/>
              <w:right w:val="single" w:sz="6" w:space="0" w:color="auto"/>
            </w:tcBorders>
            <w:vAlign w:val="center"/>
          </w:tcPr>
          <w:p w14:paraId="298C01FD" w14:textId="77777777" w:rsidR="00115458" w:rsidRPr="00F4606C" w:rsidRDefault="00115458" w:rsidP="00F4606C">
            <w:pPr>
              <w:spacing w:after="0" w:line="240" w:lineRule="auto"/>
              <w:rPr>
                <w:rFonts w:cs="Arial"/>
              </w:rPr>
            </w:pPr>
            <w:r w:rsidRPr="00F4606C">
              <w:rPr>
                <w:rFonts w:cs="Arial"/>
              </w:rPr>
              <w:t xml:space="preserve">MONTREAL </w:t>
            </w:r>
          </w:p>
        </w:tc>
      </w:tr>
      <w:tr w:rsidR="00115458" w:rsidRPr="00B35C0A" w14:paraId="619ECC0A"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3B650EE7" w14:textId="535F4B8F" w:rsidR="00115458" w:rsidRPr="00F4606C" w:rsidRDefault="00115458" w:rsidP="00F4606C">
            <w:pPr>
              <w:spacing w:after="0" w:line="240" w:lineRule="auto"/>
              <w:rPr>
                <w:rFonts w:cs="Arial"/>
              </w:rPr>
            </w:pPr>
            <w:r w:rsidRPr="00F4606C">
              <w:rPr>
                <w:rFonts w:cs="Arial"/>
              </w:rPr>
              <w:t>9.</w:t>
            </w:r>
            <w:r w:rsidR="00FD3F7A" w:rsidRPr="00F4606C">
              <w:rPr>
                <w:rFonts w:cs="Arial"/>
              </w:rPr>
              <w:t>2</w:t>
            </w:r>
            <w:r w:rsidR="00FD3F7A">
              <w:rPr>
                <w:rFonts w:cs="Arial"/>
              </w:rPr>
              <w:t>14</w:t>
            </w:r>
          </w:p>
        </w:tc>
        <w:tc>
          <w:tcPr>
            <w:tcW w:w="2850" w:type="pct"/>
            <w:tcBorders>
              <w:top w:val="single" w:sz="6" w:space="0" w:color="auto"/>
              <w:left w:val="single" w:sz="6" w:space="0" w:color="auto"/>
              <w:bottom w:val="single" w:sz="6" w:space="0" w:color="auto"/>
              <w:right w:val="single" w:sz="6" w:space="0" w:color="auto"/>
            </w:tcBorders>
            <w:vAlign w:val="center"/>
          </w:tcPr>
          <w:p w14:paraId="2EF9909B" w14:textId="77777777" w:rsidR="00115458" w:rsidRPr="00F4606C" w:rsidRDefault="00115458" w:rsidP="00F4606C">
            <w:pPr>
              <w:spacing w:after="0" w:line="240" w:lineRule="auto"/>
              <w:rPr>
                <w:rFonts w:cs="Arial"/>
              </w:rPr>
            </w:pPr>
            <w:r w:rsidRPr="00F4606C">
              <w:rPr>
                <w:rFonts w:cs="Arial"/>
              </w:rPr>
              <w:t>Overseas state or province</w:t>
            </w:r>
          </w:p>
        </w:tc>
        <w:tc>
          <w:tcPr>
            <w:tcW w:w="1585" w:type="pct"/>
            <w:tcBorders>
              <w:top w:val="single" w:sz="6" w:space="0" w:color="auto"/>
              <w:left w:val="single" w:sz="6" w:space="0" w:color="auto"/>
              <w:bottom w:val="single" w:sz="6" w:space="0" w:color="auto"/>
              <w:right w:val="single" w:sz="6" w:space="0" w:color="auto"/>
            </w:tcBorders>
            <w:vAlign w:val="center"/>
          </w:tcPr>
          <w:p w14:paraId="372D583C" w14:textId="77777777" w:rsidR="00115458" w:rsidRPr="00F4606C" w:rsidRDefault="00115458" w:rsidP="00F4606C">
            <w:pPr>
              <w:spacing w:after="0" w:line="240" w:lineRule="auto"/>
              <w:rPr>
                <w:rFonts w:cs="Arial"/>
              </w:rPr>
            </w:pPr>
            <w:r w:rsidRPr="00F4606C">
              <w:rPr>
                <w:rFonts w:cs="Arial"/>
              </w:rPr>
              <w:t>QUEBEC</w:t>
            </w:r>
          </w:p>
        </w:tc>
      </w:tr>
      <w:tr w:rsidR="00115458" w:rsidRPr="00B35C0A" w14:paraId="083E0610"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24067819" w14:textId="37C303B5" w:rsidR="00115458" w:rsidRPr="00F4606C" w:rsidRDefault="00115458" w:rsidP="00F4606C">
            <w:pPr>
              <w:spacing w:after="0" w:line="240" w:lineRule="auto"/>
              <w:rPr>
                <w:rFonts w:cs="Arial"/>
              </w:rPr>
            </w:pPr>
            <w:r w:rsidRPr="00F4606C">
              <w:rPr>
                <w:rFonts w:cs="Arial"/>
              </w:rPr>
              <w:t>9.</w:t>
            </w:r>
            <w:r w:rsidR="00FD3F7A" w:rsidRPr="00F4606C">
              <w:rPr>
                <w:rFonts w:cs="Arial"/>
              </w:rPr>
              <w:t>21</w:t>
            </w:r>
            <w:r w:rsidR="00FD3F7A">
              <w:rPr>
                <w:rFonts w:cs="Arial"/>
              </w:rPr>
              <w:t>5</w:t>
            </w:r>
          </w:p>
        </w:tc>
        <w:tc>
          <w:tcPr>
            <w:tcW w:w="2850" w:type="pct"/>
            <w:tcBorders>
              <w:top w:val="single" w:sz="6" w:space="0" w:color="auto"/>
              <w:left w:val="single" w:sz="6" w:space="0" w:color="auto"/>
              <w:bottom w:val="single" w:sz="6" w:space="0" w:color="auto"/>
              <w:right w:val="single" w:sz="6" w:space="0" w:color="auto"/>
            </w:tcBorders>
            <w:vAlign w:val="center"/>
          </w:tcPr>
          <w:p w14:paraId="273A101B" w14:textId="77777777" w:rsidR="00115458" w:rsidRPr="00F4606C" w:rsidRDefault="00115458" w:rsidP="00F4606C">
            <w:pPr>
              <w:spacing w:after="0" w:line="240" w:lineRule="auto"/>
              <w:rPr>
                <w:rFonts w:cs="Arial"/>
              </w:rPr>
            </w:pPr>
            <w:r w:rsidRPr="00F4606C">
              <w:rPr>
                <w:rFonts w:cs="Arial"/>
              </w:rPr>
              <w:t>Overseas postal code</w:t>
            </w:r>
          </w:p>
        </w:tc>
        <w:tc>
          <w:tcPr>
            <w:tcW w:w="1585" w:type="pct"/>
            <w:tcBorders>
              <w:top w:val="single" w:sz="6" w:space="0" w:color="auto"/>
              <w:left w:val="single" w:sz="6" w:space="0" w:color="auto"/>
              <w:bottom w:val="single" w:sz="6" w:space="0" w:color="auto"/>
              <w:right w:val="single" w:sz="6" w:space="0" w:color="auto"/>
            </w:tcBorders>
            <w:vAlign w:val="center"/>
          </w:tcPr>
          <w:p w14:paraId="7988980C" w14:textId="77777777" w:rsidR="00115458" w:rsidRPr="00F4606C" w:rsidRDefault="00115458" w:rsidP="00F4606C">
            <w:pPr>
              <w:spacing w:after="0" w:line="240" w:lineRule="auto"/>
              <w:rPr>
                <w:rFonts w:cs="Arial"/>
              </w:rPr>
            </w:pPr>
            <w:r w:rsidRPr="00F4606C">
              <w:rPr>
                <w:rFonts w:cs="Arial"/>
              </w:rPr>
              <w:t>H1A OA1</w:t>
            </w:r>
          </w:p>
        </w:tc>
      </w:tr>
      <w:tr w:rsidR="00115458" w:rsidRPr="00B35C0A" w14:paraId="30A91BEB"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4E7B5779" w14:textId="18F163FF" w:rsidR="00115458" w:rsidRPr="00F4606C" w:rsidRDefault="00FD3F7A" w:rsidP="00F4606C">
            <w:pPr>
              <w:spacing w:after="0" w:line="240" w:lineRule="auto"/>
              <w:rPr>
                <w:rFonts w:cs="Arial"/>
              </w:rPr>
            </w:pPr>
            <w:r w:rsidRPr="00F4606C">
              <w:rPr>
                <w:rFonts w:cs="Arial"/>
              </w:rPr>
              <w:t>9</w:t>
            </w:r>
            <w:r w:rsidR="00A002E5">
              <w:rPr>
                <w:rFonts w:cs="Arial"/>
              </w:rPr>
              <w:t>.</w:t>
            </w:r>
            <w:r w:rsidRPr="00F4606C">
              <w:rPr>
                <w:rFonts w:cs="Arial"/>
              </w:rPr>
              <w:t>21</w:t>
            </w:r>
            <w:r>
              <w:rPr>
                <w:rFonts w:cs="Arial"/>
              </w:rPr>
              <w:t>6</w:t>
            </w:r>
          </w:p>
        </w:tc>
        <w:tc>
          <w:tcPr>
            <w:tcW w:w="2850" w:type="pct"/>
            <w:tcBorders>
              <w:top w:val="single" w:sz="6" w:space="0" w:color="auto"/>
              <w:left w:val="single" w:sz="6" w:space="0" w:color="auto"/>
              <w:bottom w:val="single" w:sz="6" w:space="0" w:color="auto"/>
              <w:right w:val="single" w:sz="6" w:space="0" w:color="auto"/>
            </w:tcBorders>
            <w:vAlign w:val="center"/>
          </w:tcPr>
          <w:p w14:paraId="6CD7979E" w14:textId="77777777" w:rsidR="00115458" w:rsidRPr="00F4606C" w:rsidRDefault="00115458" w:rsidP="00F4606C">
            <w:pPr>
              <w:spacing w:after="0" w:line="240" w:lineRule="auto"/>
              <w:rPr>
                <w:rFonts w:cs="Arial"/>
              </w:rPr>
            </w:pPr>
            <w:r w:rsidRPr="00F4606C">
              <w:rPr>
                <w:rFonts w:cs="Arial"/>
              </w:rPr>
              <w:t>Overseas country</w:t>
            </w:r>
          </w:p>
        </w:tc>
        <w:tc>
          <w:tcPr>
            <w:tcW w:w="1585" w:type="pct"/>
            <w:tcBorders>
              <w:top w:val="single" w:sz="6" w:space="0" w:color="auto"/>
              <w:left w:val="single" w:sz="6" w:space="0" w:color="auto"/>
              <w:bottom w:val="single" w:sz="6" w:space="0" w:color="auto"/>
              <w:right w:val="single" w:sz="6" w:space="0" w:color="auto"/>
            </w:tcBorders>
            <w:vAlign w:val="center"/>
          </w:tcPr>
          <w:p w14:paraId="25E0805C" w14:textId="77777777" w:rsidR="00115458" w:rsidRPr="00F4606C" w:rsidRDefault="00115458" w:rsidP="00F4606C">
            <w:pPr>
              <w:spacing w:after="0" w:line="240" w:lineRule="auto"/>
              <w:rPr>
                <w:rFonts w:cs="Arial"/>
              </w:rPr>
            </w:pPr>
            <w:r w:rsidRPr="00F4606C">
              <w:rPr>
                <w:rFonts w:cs="Arial"/>
              </w:rPr>
              <w:t>CANADA</w:t>
            </w:r>
          </w:p>
        </w:tc>
      </w:tr>
      <w:tr w:rsidR="00115458" w:rsidRPr="00B35C0A" w14:paraId="2FE79B3D"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62A0DFAF" w14:textId="05C58BC0" w:rsidR="00115458" w:rsidRPr="00F4606C" w:rsidRDefault="00115458" w:rsidP="00F4606C">
            <w:pPr>
              <w:spacing w:after="0" w:line="240" w:lineRule="auto"/>
              <w:rPr>
                <w:rFonts w:cs="Arial"/>
              </w:rPr>
            </w:pPr>
            <w:r w:rsidRPr="00F4606C">
              <w:rPr>
                <w:rFonts w:cs="Arial"/>
              </w:rPr>
              <w:t>9.</w:t>
            </w:r>
            <w:r w:rsidR="00FD3F7A" w:rsidRPr="00F4606C">
              <w:rPr>
                <w:rFonts w:cs="Arial"/>
              </w:rPr>
              <w:t>21</w:t>
            </w:r>
            <w:r w:rsidR="00FD3F7A">
              <w:rPr>
                <w:rFonts w:cs="Arial"/>
              </w:rPr>
              <w:t>7</w:t>
            </w:r>
          </w:p>
        </w:tc>
        <w:tc>
          <w:tcPr>
            <w:tcW w:w="2850" w:type="pct"/>
            <w:tcBorders>
              <w:top w:val="single" w:sz="6" w:space="0" w:color="auto"/>
              <w:left w:val="single" w:sz="6" w:space="0" w:color="auto"/>
              <w:bottom w:val="single" w:sz="6" w:space="0" w:color="auto"/>
              <w:right w:val="single" w:sz="6" w:space="0" w:color="auto"/>
            </w:tcBorders>
            <w:vAlign w:val="center"/>
          </w:tcPr>
          <w:p w14:paraId="50B22A32" w14:textId="77777777" w:rsidR="00115458" w:rsidRPr="00F4606C" w:rsidRDefault="00115458" w:rsidP="00F4606C">
            <w:pPr>
              <w:spacing w:after="0" w:line="240" w:lineRule="auto"/>
              <w:rPr>
                <w:rFonts w:cs="Arial"/>
              </w:rPr>
            </w:pPr>
            <w:r w:rsidRPr="00F4606C">
              <w:rPr>
                <w:rFonts w:cs="Arial"/>
              </w:rPr>
              <w:t>Non-resident investor overseas country code</w:t>
            </w:r>
          </w:p>
        </w:tc>
        <w:tc>
          <w:tcPr>
            <w:tcW w:w="1585" w:type="pct"/>
            <w:tcBorders>
              <w:top w:val="single" w:sz="6" w:space="0" w:color="auto"/>
              <w:left w:val="single" w:sz="6" w:space="0" w:color="auto"/>
              <w:bottom w:val="single" w:sz="6" w:space="0" w:color="auto"/>
              <w:right w:val="single" w:sz="6" w:space="0" w:color="auto"/>
            </w:tcBorders>
            <w:vAlign w:val="center"/>
          </w:tcPr>
          <w:p w14:paraId="5E099009" w14:textId="77777777" w:rsidR="00115458" w:rsidRPr="00F4606C" w:rsidRDefault="00115458" w:rsidP="00F4606C">
            <w:pPr>
              <w:spacing w:after="0" w:line="240" w:lineRule="auto"/>
              <w:rPr>
                <w:rFonts w:cs="Arial"/>
              </w:rPr>
            </w:pPr>
            <w:r w:rsidRPr="00F4606C">
              <w:rPr>
                <w:rFonts w:cs="Arial"/>
              </w:rPr>
              <w:t>CAN</w:t>
            </w:r>
          </w:p>
        </w:tc>
      </w:tr>
      <w:tr w:rsidR="00115458" w:rsidRPr="00B35C0A" w14:paraId="49E58186"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633B3133" w14:textId="4535126F" w:rsidR="00115458" w:rsidRPr="00F4606C" w:rsidRDefault="00115458" w:rsidP="00F4606C">
            <w:pPr>
              <w:spacing w:after="0" w:line="240" w:lineRule="auto"/>
              <w:rPr>
                <w:rFonts w:cs="Arial"/>
              </w:rPr>
            </w:pPr>
            <w:r w:rsidRPr="00F4606C">
              <w:rPr>
                <w:rFonts w:cs="Arial"/>
              </w:rPr>
              <w:t>9.</w:t>
            </w:r>
            <w:r w:rsidR="00FD3F7A" w:rsidRPr="00F4606C">
              <w:rPr>
                <w:rFonts w:cs="Arial"/>
              </w:rPr>
              <w:t>21</w:t>
            </w:r>
            <w:r w:rsidR="00FD3F7A">
              <w:rPr>
                <w:rFonts w:cs="Arial"/>
              </w:rPr>
              <w:t>8</w:t>
            </w:r>
          </w:p>
        </w:tc>
        <w:tc>
          <w:tcPr>
            <w:tcW w:w="2850" w:type="pct"/>
            <w:tcBorders>
              <w:top w:val="single" w:sz="6" w:space="0" w:color="auto"/>
              <w:left w:val="single" w:sz="6" w:space="0" w:color="auto"/>
              <w:bottom w:val="single" w:sz="6" w:space="0" w:color="auto"/>
              <w:right w:val="single" w:sz="6" w:space="0" w:color="auto"/>
            </w:tcBorders>
            <w:vAlign w:val="center"/>
          </w:tcPr>
          <w:p w14:paraId="70DB5AA6" w14:textId="77777777" w:rsidR="00115458" w:rsidRPr="00F4606C" w:rsidRDefault="00115458" w:rsidP="00F4606C">
            <w:pPr>
              <w:spacing w:after="0" w:line="240" w:lineRule="auto"/>
              <w:rPr>
                <w:rFonts w:cs="Arial"/>
              </w:rPr>
            </w:pPr>
            <w:r w:rsidRPr="00F4606C">
              <w:rPr>
                <w:rFonts w:cs="Arial"/>
              </w:rPr>
              <w:t>Non-resident investor country of residence for tax purposes</w:t>
            </w:r>
          </w:p>
        </w:tc>
        <w:tc>
          <w:tcPr>
            <w:tcW w:w="1585" w:type="pct"/>
            <w:tcBorders>
              <w:top w:val="single" w:sz="6" w:space="0" w:color="auto"/>
              <w:left w:val="single" w:sz="6" w:space="0" w:color="auto"/>
              <w:bottom w:val="single" w:sz="6" w:space="0" w:color="auto"/>
              <w:right w:val="single" w:sz="6" w:space="0" w:color="auto"/>
            </w:tcBorders>
            <w:vAlign w:val="center"/>
          </w:tcPr>
          <w:p w14:paraId="2A318C71" w14:textId="77777777" w:rsidR="00115458" w:rsidRPr="00F4606C" w:rsidRDefault="00115458" w:rsidP="00F4606C">
            <w:pPr>
              <w:spacing w:after="0" w:line="240" w:lineRule="auto"/>
              <w:rPr>
                <w:rFonts w:cs="Arial"/>
              </w:rPr>
            </w:pPr>
            <w:r w:rsidRPr="00F4606C">
              <w:rPr>
                <w:rFonts w:cs="Arial"/>
              </w:rPr>
              <w:t>CANADA</w:t>
            </w:r>
          </w:p>
        </w:tc>
      </w:tr>
      <w:tr w:rsidR="00115458" w:rsidRPr="00B35C0A" w14:paraId="101A92AD" w14:textId="77777777" w:rsidTr="000C1365">
        <w:trPr>
          <w:cantSplit/>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04A6CD8C" w14:textId="44A8FC90" w:rsidR="00115458" w:rsidRPr="00F4606C" w:rsidRDefault="00115458" w:rsidP="00F4606C">
            <w:pPr>
              <w:spacing w:after="0" w:line="240" w:lineRule="auto"/>
              <w:rPr>
                <w:rFonts w:cs="Arial"/>
              </w:rPr>
            </w:pPr>
            <w:r w:rsidRPr="00F4606C">
              <w:rPr>
                <w:rFonts w:cs="Arial"/>
              </w:rPr>
              <w:t>9.</w:t>
            </w:r>
            <w:r w:rsidR="00FD3F7A" w:rsidRPr="00F4606C">
              <w:rPr>
                <w:rFonts w:cs="Arial"/>
              </w:rPr>
              <w:t>21</w:t>
            </w:r>
            <w:r w:rsidR="00FD3F7A">
              <w:rPr>
                <w:rFonts w:cs="Arial"/>
              </w:rPr>
              <w:t>9</w:t>
            </w:r>
          </w:p>
        </w:tc>
        <w:tc>
          <w:tcPr>
            <w:tcW w:w="2850" w:type="pct"/>
            <w:tcBorders>
              <w:top w:val="single" w:sz="6" w:space="0" w:color="auto"/>
              <w:left w:val="single" w:sz="6" w:space="0" w:color="auto"/>
              <w:bottom w:val="single" w:sz="6" w:space="0" w:color="auto"/>
              <w:right w:val="single" w:sz="6" w:space="0" w:color="auto"/>
            </w:tcBorders>
            <w:vAlign w:val="center"/>
          </w:tcPr>
          <w:p w14:paraId="0E281B80" w14:textId="77777777" w:rsidR="00115458" w:rsidRPr="00F4606C" w:rsidRDefault="00115458" w:rsidP="00F4606C">
            <w:pPr>
              <w:spacing w:after="0" w:line="240" w:lineRule="auto"/>
              <w:rPr>
                <w:rFonts w:cs="Arial"/>
              </w:rPr>
            </w:pPr>
            <w:r w:rsidRPr="00F4606C">
              <w:rPr>
                <w:rFonts w:cs="Arial"/>
              </w:rPr>
              <w:t>Date of change of residency status from non-resident to resident (DDMMCCYY)</w:t>
            </w:r>
          </w:p>
        </w:tc>
        <w:tc>
          <w:tcPr>
            <w:tcW w:w="1585" w:type="pct"/>
            <w:tcBorders>
              <w:top w:val="single" w:sz="6" w:space="0" w:color="auto"/>
              <w:left w:val="single" w:sz="6" w:space="0" w:color="auto"/>
              <w:bottom w:val="single" w:sz="6" w:space="0" w:color="auto"/>
              <w:right w:val="single" w:sz="6" w:space="0" w:color="auto"/>
            </w:tcBorders>
            <w:vAlign w:val="center"/>
          </w:tcPr>
          <w:p w14:paraId="33B3B459" w14:textId="77777777" w:rsidR="00115458" w:rsidRPr="00F4606C" w:rsidRDefault="00115458" w:rsidP="00F4606C">
            <w:pPr>
              <w:spacing w:after="0" w:line="240" w:lineRule="auto"/>
              <w:rPr>
                <w:rFonts w:cs="Arial"/>
              </w:rPr>
            </w:pPr>
            <w:r w:rsidRPr="00F4606C">
              <w:rPr>
                <w:rFonts w:cs="Arial"/>
              </w:rPr>
              <w:t>00000000</w:t>
            </w:r>
          </w:p>
        </w:tc>
      </w:tr>
    </w:tbl>
    <w:p w14:paraId="6679B03E" w14:textId="77777777" w:rsidR="00115458" w:rsidRPr="00B35C0A" w:rsidRDefault="00115458" w:rsidP="00115458">
      <w:pPr>
        <w:pStyle w:val="Maintext"/>
        <w:rPr>
          <w:rFonts w:cs="Arial"/>
        </w:rPr>
      </w:pPr>
    </w:p>
    <w:p w14:paraId="656B199B" w14:textId="6653B1A2"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b/>
          <w:bCs/>
          <w:smallCaps/>
          <w:sz w:val="20"/>
          <w:szCs w:val="20"/>
        </w:rPr>
        <w:t>investor data record 2</w:t>
      </w:r>
      <w:r w:rsidRPr="00F4606C">
        <w:rPr>
          <w:rFonts w:asciiTheme="minorHAnsi" w:hAnsiTheme="minorHAnsi" w:cs="Arial"/>
          <w:i/>
          <w:iCs/>
          <w:sz w:val="20"/>
          <w:szCs w:val="20"/>
        </w:rPr>
        <w:t xml:space="preserve"> </w:t>
      </w:r>
      <w:r w:rsidRPr="00F4606C">
        <w:rPr>
          <w:rFonts w:asciiTheme="minorHAnsi" w:hAnsiTheme="minorHAnsi" w:cs="Arial"/>
          <w:smallCaps/>
          <w:sz w:val="20"/>
          <w:szCs w:val="20"/>
        </w:rPr>
        <w:t>(extract)</w:t>
      </w:r>
      <w:r w:rsidRPr="00F4606C">
        <w:rPr>
          <w:rFonts w:asciiTheme="minorHAnsi" w:hAnsiTheme="minorHAnsi" w:cs="Arial"/>
          <w:i/>
          <w:iCs/>
          <w:sz w:val="20"/>
          <w:szCs w:val="20"/>
        </w:rPr>
        <w:t xml:space="preserve"> </w:t>
      </w:r>
      <w:r w:rsidRPr="00F4606C">
        <w:rPr>
          <w:rFonts w:asciiTheme="minorHAnsi" w:hAnsiTheme="minorHAnsi" w:cs="Arial"/>
          <w:sz w:val="20"/>
          <w:szCs w:val="20"/>
        </w:rPr>
        <w:t>– reporting period the investor was a resident from 3 March 202</w:t>
      </w:r>
      <w:r w:rsidR="008E5F31">
        <w:rPr>
          <w:rFonts w:asciiTheme="minorHAnsi" w:hAnsiTheme="minorHAnsi" w:cs="Arial"/>
          <w:sz w:val="20"/>
          <w:szCs w:val="20"/>
        </w:rPr>
        <w:t>6</w:t>
      </w:r>
      <w:r w:rsidRPr="00F4606C">
        <w:rPr>
          <w:rFonts w:asciiTheme="minorHAnsi" w:hAnsiTheme="minorHAnsi" w:cs="Arial"/>
          <w:sz w:val="20"/>
          <w:szCs w:val="20"/>
        </w:rPr>
        <w:t xml:space="preserve"> to 30 June 202</w:t>
      </w:r>
      <w:r w:rsidR="008E5F31">
        <w:rPr>
          <w:rFonts w:asciiTheme="minorHAnsi" w:hAnsiTheme="minorHAnsi" w:cs="Arial"/>
          <w:sz w:val="20"/>
          <w:szCs w:val="20"/>
        </w:rPr>
        <w:t>6</w:t>
      </w:r>
    </w:p>
    <w:p w14:paraId="58C23C67" w14:textId="77777777" w:rsidR="00115458" w:rsidRPr="00B35C0A" w:rsidRDefault="00115458" w:rsidP="00115458">
      <w:pPr>
        <w:pStyle w:val="Maintext"/>
        <w:rPr>
          <w:rFonts w:cs="Arial"/>
        </w:rPr>
      </w:pPr>
    </w:p>
    <w:tbl>
      <w:tblPr>
        <w:tblW w:w="5000" w:type="pct"/>
        <w:tblLook w:val="0000" w:firstRow="0" w:lastRow="0" w:firstColumn="0" w:lastColumn="0" w:noHBand="0" w:noVBand="0"/>
      </w:tblPr>
      <w:tblGrid>
        <w:gridCol w:w="1227"/>
        <w:gridCol w:w="5203"/>
        <w:gridCol w:w="2852"/>
      </w:tblGrid>
      <w:tr w:rsidR="00115458" w:rsidRPr="00B35C0A" w14:paraId="6BD12023" w14:textId="77777777" w:rsidTr="000C1365">
        <w:trPr>
          <w:tblHeader/>
        </w:trPr>
        <w:tc>
          <w:tcPr>
            <w:tcW w:w="571" w:type="pct"/>
            <w:tcBorders>
              <w:top w:val="single" w:sz="6" w:space="0" w:color="auto"/>
              <w:left w:val="single" w:sz="6" w:space="0" w:color="auto"/>
              <w:bottom w:val="single" w:sz="6" w:space="0" w:color="auto"/>
              <w:right w:val="single" w:sz="6" w:space="0" w:color="auto"/>
            </w:tcBorders>
            <w:shd w:val="clear" w:color="auto" w:fill="B3B3B3"/>
            <w:vAlign w:val="center"/>
          </w:tcPr>
          <w:p w14:paraId="2E94273E" w14:textId="77777777" w:rsidR="00115458" w:rsidRPr="00F4606C" w:rsidRDefault="00115458" w:rsidP="00F4606C">
            <w:pPr>
              <w:spacing w:after="0" w:line="240" w:lineRule="auto"/>
              <w:rPr>
                <w:rFonts w:cs="Arial"/>
                <w:b/>
              </w:rPr>
            </w:pPr>
            <w:r w:rsidRPr="00F4606C">
              <w:rPr>
                <w:rFonts w:cs="Arial"/>
                <w:b/>
              </w:rPr>
              <w:t>Reference</w:t>
            </w:r>
          </w:p>
          <w:p w14:paraId="04B2379D" w14:textId="77777777" w:rsidR="00115458" w:rsidRPr="00F4606C" w:rsidRDefault="00115458" w:rsidP="00F4606C">
            <w:pPr>
              <w:spacing w:after="0" w:line="240" w:lineRule="auto"/>
              <w:rPr>
                <w:rFonts w:cs="Arial"/>
                <w:b/>
              </w:rPr>
            </w:pPr>
            <w:r w:rsidRPr="00F4606C">
              <w:rPr>
                <w:rFonts w:cs="Arial"/>
                <w:b/>
              </w:rPr>
              <w:t>number</w:t>
            </w:r>
          </w:p>
        </w:tc>
        <w:tc>
          <w:tcPr>
            <w:tcW w:w="2848" w:type="pct"/>
            <w:tcBorders>
              <w:top w:val="single" w:sz="6" w:space="0" w:color="auto"/>
              <w:left w:val="single" w:sz="6" w:space="0" w:color="auto"/>
              <w:bottom w:val="single" w:sz="6" w:space="0" w:color="auto"/>
              <w:right w:val="single" w:sz="6" w:space="0" w:color="auto"/>
            </w:tcBorders>
            <w:shd w:val="clear" w:color="auto" w:fill="B3B3B3"/>
            <w:vAlign w:val="center"/>
          </w:tcPr>
          <w:p w14:paraId="440C3D74" w14:textId="77777777" w:rsidR="00115458" w:rsidRPr="00F4606C" w:rsidRDefault="00115458" w:rsidP="00F4606C">
            <w:pPr>
              <w:spacing w:after="0" w:line="240" w:lineRule="auto"/>
              <w:rPr>
                <w:rFonts w:cs="Arial"/>
                <w:b/>
              </w:rPr>
            </w:pPr>
            <w:r w:rsidRPr="00F4606C">
              <w:rPr>
                <w:rFonts w:cs="Arial"/>
                <w:b/>
              </w:rPr>
              <w:t>Field name</w:t>
            </w:r>
          </w:p>
        </w:tc>
        <w:tc>
          <w:tcPr>
            <w:tcW w:w="1581" w:type="pct"/>
            <w:tcBorders>
              <w:top w:val="single" w:sz="6" w:space="0" w:color="auto"/>
              <w:left w:val="single" w:sz="6" w:space="0" w:color="auto"/>
              <w:bottom w:val="single" w:sz="6" w:space="0" w:color="auto"/>
              <w:right w:val="single" w:sz="6" w:space="0" w:color="auto"/>
            </w:tcBorders>
            <w:shd w:val="clear" w:color="auto" w:fill="B3B3B3"/>
            <w:vAlign w:val="center"/>
          </w:tcPr>
          <w:p w14:paraId="249E668E" w14:textId="77777777" w:rsidR="00115458" w:rsidRPr="00F4606C" w:rsidRDefault="00115458" w:rsidP="00F4606C">
            <w:pPr>
              <w:spacing w:after="0" w:line="240" w:lineRule="auto"/>
              <w:rPr>
                <w:rFonts w:cs="Arial"/>
                <w:b/>
              </w:rPr>
            </w:pPr>
            <w:r w:rsidRPr="00F4606C">
              <w:rPr>
                <w:rFonts w:cs="Arial"/>
                <w:b/>
              </w:rPr>
              <w:t>Content</w:t>
            </w:r>
          </w:p>
        </w:tc>
      </w:tr>
      <w:tr w:rsidR="00115458" w:rsidRPr="00B35C0A" w14:paraId="40B21631"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50CAD4A7" w14:textId="2E5864FE" w:rsidR="00115458" w:rsidRPr="00F4606C" w:rsidRDefault="00115458" w:rsidP="00F4606C">
            <w:pPr>
              <w:spacing w:after="0" w:line="240" w:lineRule="auto"/>
              <w:rPr>
                <w:rFonts w:cs="Arial"/>
              </w:rPr>
            </w:pPr>
            <w:r w:rsidRPr="00F4606C">
              <w:rPr>
                <w:rFonts w:cs="Arial"/>
              </w:rPr>
              <w:t>9.</w:t>
            </w:r>
            <w:r w:rsidR="00F3445C" w:rsidRPr="00F4606C">
              <w:rPr>
                <w:rFonts w:cs="Arial"/>
              </w:rPr>
              <w:t>19</w:t>
            </w:r>
            <w:r w:rsidR="00F3445C">
              <w:rPr>
                <w:rFonts w:cs="Arial"/>
              </w:rPr>
              <w:t>8</w:t>
            </w:r>
          </w:p>
        </w:tc>
        <w:tc>
          <w:tcPr>
            <w:tcW w:w="2848" w:type="pct"/>
            <w:tcBorders>
              <w:top w:val="single" w:sz="6" w:space="0" w:color="auto"/>
              <w:left w:val="single" w:sz="6" w:space="0" w:color="auto"/>
              <w:bottom w:val="single" w:sz="6" w:space="0" w:color="auto"/>
              <w:right w:val="single" w:sz="6" w:space="0" w:color="auto"/>
            </w:tcBorders>
            <w:vAlign w:val="center"/>
          </w:tcPr>
          <w:p w14:paraId="104CE0EA" w14:textId="77777777" w:rsidR="00115458" w:rsidRPr="00F4606C" w:rsidRDefault="00115458" w:rsidP="00F4606C">
            <w:pPr>
              <w:spacing w:after="0" w:line="240" w:lineRule="auto"/>
              <w:rPr>
                <w:rFonts w:cs="Arial"/>
              </w:rPr>
            </w:pPr>
            <w:r w:rsidRPr="00F4606C">
              <w:rPr>
                <w:rFonts w:cs="Arial"/>
              </w:rPr>
              <w:t>Investor tax file number</w:t>
            </w:r>
          </w:p>
        </w:tc>
        <w:tc>
          <w:tcPr>
            <w:tcW w:w="1581" w:type="pct"/>
            <w:tcBorders>
              <w:top w:val="single" w:sz="6" w:space="0" w:color="auto"/>
              <w:left w:val="single" w:sz="6" w:space="0" w:color="auto"/>
              <w:bottom w:val="single" w:sz="6" w:space="0" w:color="auto"/>
              <w:right w:val="single" w:sz="6" w:space="0" w:color="auto"/>
            </w:tcBorders>
            <w:vAlign w:val="center"/>
          </w:tcPr>
          <w:p w14:paraId="705D271A" w14:textId="77777777" w:rsidR="00115458" w:rsidRPr="00F4606C" w:rsidRDefault="00115458" w:rsidP="00F4606C">
            <w:pPr>
              <w:spacing w:after="0" w:line="240" w:lineRule="auto"/>
              <w:rPr>
                <w:rFonts w:cs="Arial"/>
              </w:rPr>
            </w:pPr>
            <w:r w:rsidRPr="00F4606C">
              <w:rPr>
                <w:rFonts w:cs="Arial"/>
              </w:rPr>
              <w:t>123456784</w:t>
            </w:r>
          </w:p>
        </w:tc>
      </w:tr>
      <w:tr w:rsidR="00115458" w:rsidRPr="00B35C0A" w14:paraId="7BF141BA"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0B0A387C" w14:textId="6F694F04" w:rsidR="00115458" w:rsidRPr="00F4606C" w:rsidRDefault="00115458" w:rsidP="00F4606C">
            <w:pPr>
              <w:spacing w:after="0" w:line="240" w:lineRule="auto"/>
              <w:rPr>
                <w:rFonts w:cs="Arial"/>
              </w:rPr>
            </w:pPr>
            <w:r w:rsidRPr="00F4606C">
              <w:rPr>
                <w:rFonts w:cs="Arial"/>
              </w:rPr>
              <w:t>9.</w:t>
            </w:r>
            <w:r w:rsidR="00F3445C" w:rsidRPr="00F4606C">
              <w:rPr>
                <w:rFonts w:cs="Arial"/>
              </w:rPr>
              <w:t>20</w:t>
            </w:r>
            <w:r w:rsidR="00F3445C">
              <w:rPr>
                <w:rFonts w:cs="Arial"/>
              </w:rPr>
              <w:t>7</w:t>
            </w:r>
          </w:p>
        </w:tc>
        <w:tc>
          <w:tcPr>
            <w:tcW w:w="2848" w:type="pct"/>
            <w:tcBorders>
              <w:top w:val="single" w:sz="6" w:space="0" w:color="auto"/>
              <w:left w:val="single" w:sz="6" w:space="0" w:color="auto"/>
              <w:bottom w:val="single" w:sz="6" w:space="0" w:color="auto"/>
              <w:right w:val="single" w:sz="6" w:space="0" w:color="auto"/>
            </w:tcBorders>
            <w:vAlign w:val="center"/>
          </w:tcPr>
          <w:p w14:paraId="2225A8FE" w14:textId="77777777" w:rsidR="00115458" w:rsidRPr="00F4606C" w:rsidRDefault="00115458" w:rsidP="00F4606C">
            <w:pPr>
              <w:spacing w:after="0" w:line="240" w:lineRule="auto"/>
              <w:rPr>
                <w:rFonts w:cs="Arial"/>
              </w:rPr>
            </w:pPr>
            <w:r w:rsidRPr="00F4606C">
              <w:rPr>
                <w:rFonts w:cs="Arial"/>
              </w:rPr>
              <w:t>Australian address – line 1</w:t>
            </w:r>
          </w:p>
        </w:tc>
        <w:tc>
          <w:tcPr>
            <w:tcW w:w="1581" w:type="pct"/>
            <w:tcBorders>
              <w:top w:val="single" w:sz="6" w:space="0" w:color="auto"/>
              <w:left w:val="single" w:sz="6" w:space="0" w:color="auto"/>
              <w:bottom w:val="single" w:sz="6" w:space="0" w:color="auto"/>
              <w:right w:val="single" w:sz="6" w:space="0" w:color="auto"/>
            </w:tcBorders>
            <w:vAlign w:val="center"/>
          </w:tcPr>
          <w:p w14:paraId="19D0D7BE" w14:textId="77777777" w:rsidR="00115458" w:rsidRPr="00F4606C" w:rsidRDefault="00115458" w:rsidP="00F4606C">
            <w:pPr>
              <w:spacing w:after="0" w:line="240" w:lineRule="auto"/>
              <w:rPr>
                <w:rFonts w:cs="Arial"/>
              </w:rPr>
            </w:pPr>
            <w:r w:rsidRPr="00F4606C">
              <w:rPr>
                <w:rFonts w:cs="Arial"/>
              </w:rPr>
              <w:t>C/- ELISE ERIKSEN</w:t>
            </w:r>
          </w:p>
        </w:tc>
      </w:tr>
      <w:tr w:rsidR="00115458" w:rsidRPr="00B35C0A" w14:paraId="03FCB0A0"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71737521" w14:textId="2F454E98" w:rsidR="00115458" w:rsidRPr="00F4606C" w:rsidRDefault="00115458" w:rsidP="00F4606C">
            <w:pPr>
              <w:spacing w:after="0" w:line="240" w:lineRule="auto"/>
              <w:rPr>
                <w:rFonts w:cs="Arial"/>
              </w:rPr>
            </w:pPr>
            <w:r w:rsidRPr="00F4606C">
              <w:rPr>
                <w:rFonts w:cs="Arial"/>
              </w:rPr>
              <w:t>9.</w:t>
            </w:r>
            <w:r w:rsidR="00F3445C" w:rsidRPr="00F4606C">
              <w:rPr>
                <w:rFonts w:cs="Arial"/>
              </w:rPr>
              <w:t>20</w:t>
            </w:r>
            <w:r w:rsidR="00F3445C">
              <w:rPr>
                <w:rFonts w:cs="Arial"/>
              </w:rPr>
              <w:t>7</w:t>
            </w:r>
          </w:p>
        </w:tc>
        <w:tc>
          <w:tcPr>
            <w:tcW w:w="2848" w:type="pct"/>
            <w:tcBorders>
              <w:top w:val="single" w:sz="6" w:space="0" w:color="auto"/>
              <w:left w:val="single" w:sz="6" w:space="0" w:color="auto"/>
              <w:bottom w:val="single" w:sz="6" w:space="0" w:color="auto"/>
              <w:right w:val="single" w:sz="6" w:space="0" w:color="auto"/>
            </w:tcBorders>
            <w:vAlign w:val="center"/>
          </w:tcPr>
          <w:p w14:paraId="756156DD" w14:textId="77777777" w:rsidR="00115458" w:rsidRPr="00F4606C" w:rsidRDefault="00115458" w:rsidP="00F4606C">
            <w:pPr>
              <w:spacing w:after="0" w:line="240" w:lineRule="auto"/>
              <w:rPr>
                <w:rFonts w:cs="Arial"/>
              </w:rPr>
            </w:pPr>
            <w:r w:rsidRPr="00F4606C">
              <w:rPr>
                <w:rFonts w:cs="Arial"/>
              </w:rPr>
              <w:t>Australian address – line 2</w:t>
            </w:r>
          </w:p>
        </w:tc>
        <w:tc>
          <w:tcPr>
            <w:tcW w:w="1581" w:type="pct"/>
            <w:tcBorders>
              <w:top w:val="single" w:sz="6" w:space="0" w:color="auto"/>
              <w:left w:val="single" w:sz="6" w:space="0" w:color="auto"/>
              <w:bottom w:val="single" w:sz="6" w:space="0" w:color="auto"/>
              <w:right w:val="single" w:sz="6" w:space="0" w:color="auto"/>
            </w:tcBorders>
            <w:vAlign w:val="center"/>
          </w:tcPr>
          <w:p w14:paraId="324E616F" w14:textId="77777777" w:rsidR="00115458" w:rsidRPr="00F4606C" w:rsidRDefault="00115458" w:rsidP="00F4606C">
            <w:pPr>
              <w:spacing w:after="0" w:line="240" w:lineRule="auto"/>
              <w:rPr>
                <w:rFonts w:cs="Arial"/>
              </w:rPr>
            </w:pPr>
            <w:r w:rsidRPr="00F4606C">
              <w:rPr>
                <w:rFonts w:cs="Arial"/>
              </w:rPr>
              <w:t>11/21 CARPATHIA AVENUE</w:t>
            </w:r>
          </w:p>
        </w:tc>
      </w:tr>
      <w:tr w:rsidR="00115458" w:rsidRPr="00B35C0A" w14:paraId="46C777EC"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1010A0AD" w14:textId="07FBBBA9" w:rsidR="00115458" w:rsidRPr="00F4606C" w:rsidRDefault="00115458" w:rsidP="00F4606C">
            <w:pPr>
              <w:spacing w:after="0" w:line="240" w:lineRule="auto"/>
              <w:rPr>
                <w:rFonts w:cs="Arial"/>
              </w:rPr>
            </w:pPr>
            <w:r w:rsidRPr="00F4606C">
              <w:rPr>
                <w:rFonts w:cs="Arial"/>
              </w:rPr>
              <w:t>9.</w:t>
            </w:r>
            <w:r w:rsidR="00F3445C" w:rsidRPr="00F4606C">
              <w:rPr>
                <w:rFonts w:cs="Arial"/>
              </w:rPr>
              <w:t>20</w:t>
            </w:r>
            <w:r w:rsidR="00F3445C">
              <w:rPr>
                <w:rFonts w:cs="Arial"/>
              </w:rPr>
              <w:t>8</w:t>
            </w:r>
          </w:p>
        </w:tc>
        <w:tc>
          <w:tcPr>
            <w:tcW w:w="2848" w:type="pct"/>
            <w:tcBorders>
              <w:top w:val="single" w:sz="6" w:space="0" w:color="auto"/>
              <w:left w:val="single" w:sz="6" w:space="0" w:color="auto"/>
              <w:bottom w:val="single" w:sz="6" w:space="0" w:color="auto"/>
              <w:right w:val="single" w:sz="6" w:space="0" w:color="auto"/>
            </w:tcBorders>
            <w:vAlign w:val="center"/>
          </w:tcPr>
          <w:p w14:paraId="68F0C950" w14:textId="77777777" w:rsidR="00115458" w:rsidRPr="00F4606C" w:rsidRDefault="00115458" w:rsidP="00F4606C">
            <w:pPr>
              <w:spacing w:after="0" w:line="240" w:lineRule="auto"/>
              <w:rPr>
                <w:rFonts w:cs="Arial"/>
              </w:rPr>
            </w:pPr>
            <w:r w:rsidRPr="00F4606C">
              <w:rPr>
                <w:rFonts w:cs="Arial"/>
              </w:rPr>
              <w:t>Australian suburb, town or locality</w:t>
            </w:r>
          </w:p>
        </w:tc>
        <w:tc>
          <w:tcPr>
            <w:tcW w:w="1581" w:type="pct"/>
            <w:tcBorders>
              <w:top w:val="single" w:sz="6" w:space="0" w:color="auto"/>
              <w:left w:val="single" w:sz="6" w:space="0" w:color="auto"/>
              <w:bottom w:val="single" w:sz="6" w:space="0" w:color="auto"/>
              <w:right w:val="single" w:sz="6" w:space="0" w:color="auto"/>
            </w:tcBorders>
            <w:vAlign w:val="center"/>
          </w:tcPr>
          <w:p w14:paraId="7867F24D" w14:textId="77777777" w:rsidR="00115458" w:rsidRPr="00F4606C" w:rsidRDefault="00115458" w:rsidP="00F4606C">
            <w:pPr>
              <w:spacing w:after="0" w:line="240" w:lineRule="auto"/>
              <w:rPr>
                <w:rFonts w:cs="Arial"/>
              </w:rPr>
            </w:pPr>
            <w:r w:rsidRPr="00F4606C">
              <w:rPr>
                <w:rFonts w:cs="Arial"/>
              </w:rPr>
              <w:t>CITY BEACH</w:t>
            </w:r>
          </w:p>
        </w:tc>
      </w:tr>
      <w:tr w:rsidR="00115458" w:rsidRPr="00B35C0A" w14:paraId="4BBEA317"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6D506DA0" w14:textId="4E4448DF" w:rsidR="00115458" w:rsidRPr="00F4606C" w:rsidRDefault="00115458" w:rsidP="00F4606C">
            <w:pPr>
              <w:spacing w:after="0" w:line="240" w:lineRule="auto"/>
              <w:rPr>
                <w:rFonts w:cs="Arial"/>
              </w:rPr>
            </w:pPr>
            <w:r w:rsidRPr="00F4606C">
              <w:rPr>
                <w:rFonts w:cs="Arial"/>
              </w:rPr>
              <w:t>9.</w:t>
            </w:r>
            <w:r w:rsidR="00F3445C" w:rsidRPr="00F4606C">
              <w:rPr>
                <w:rFonts w:cs="Arial"/>
              </w:rPr>
              <w:t>20</w:t>
            </w:r>
            <w:r w:rsidR="00F3445C">
              <w:rPr>
                <w:rFonts w:cs="Arial"/>
              </w:rPr>
              <w:t>9</w:t>
            </w:r>
          </w:p>
        </w:tc>
        <w:tc>
          <w:tcPr>
            <w:tcW w:w="2848" w:type="pct"/>
            <w:tcBorders>
              <w:top w:val="single" w:sz="6" w:space="0" w:color="auto"/>
              <w:left w:val="single" w:sz="6" w:space="0" w:color="auto"/>
              <w:bottom w:val="single" w:sz="6" w:space="0" w:color="auto"/>
              <w:right w:val="single" w:sz="6" w:space="0" w:color="auto"/>
            </w:tcBorders>
            <w:vAlign w:val="center"/>
          </w:tcPr>
          <w:p w14:paraId="418A8B9C" w14:textId="77777777" w:rsidR="00115458" w:rsidRPr="00F4606C" w:rsidRDefault="00115458" w:rsidP="00F4606C">
            <w:pPr>
              <w:spacing w:after="0" w:line="240" w:lineRule="auto"/>
              <w:rPr>
                <w:rFonts w:cs="Arial"/>
              </w:rPr>
            </w:pPr>
            <w:r w:rsidRPr="00F4606C">
              <w:rPr>
                <w:rFonts w:cs="Arial"/>
              </w:rPr>
              <w:t>Australian state or territory</w:t>
            </w:r>
          </w:p>
        </w:tc>
        <w:tc>
          <w:tcPr>
            <w:tcW w:w="1581" w:type="pct"/>
            <w:tcBorders>
              <w:top w:val="single" w:sz="6" w:space="0" w:color="auto"/>
              <w:left w:val="single" w:sz="6" w:space="0" w:color="auto"/>
              <w:bottom w:val="single" w:sz="6" w:space="0" w:color="auto"/>
              <w:right w:val="single" w:sz="6" w:space="0" w:color="auto"/>
            </w:tcBorders>
            <w:vAlign w:val="center"/>
          </w:tcPr>
          <w:p w14:paraId="7B1ABC81" w14:textId="77777777" w:rsidR="00115458" w:rsidRPr="00F4606C" w:rsidRDefault="00115458" w:rsidP="00F4606C">
            <w:pPr>
              <w:spacing w:after="0" w:line="240" w:lineRule="auto"/>
              <w:rPr>
                <w:rFonts w:cs="Arial"/>
              </w:rPr>
            </w:pPr>
            <w:r w:rsidRPr="00F4606C">
              <w:rPr>
                <w:rFonts w:cs="Arial"/>
              </w:rPr>
              <w:t>WA</w:t>
            </w:r>
          </w:p>
        </w:tc>
      </w:tr>
      <w:tr w:rsidR="00115458" w:rsidRPr="00B35C0A" w14:paraId="25F8BBB0"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6B837781" w14:textId="3ED33076" w:rsidR="00115458" w:rsidRPr="00F4606C" w:rsidRDefault="00115458" w:rsidP="00F4606C">
            <w:pPr>
              <w:spacing w:after="0" w:line="240" w:lineRule="auto"/>
              <w:rPr>
                <w:rFonts w:cs="Arial"/>
              </w:rPr>
            </w:pPr>
            <w:r w:rsidRPr="00F4606C">
              <w:rPr>
                <w:rFonts w:cs="Arial"/>
              </w:rPr>
              <w:t>9.</w:t>
            </w:r>
            <w:r w:rsidR="00F3445C" w:rsidRPr="00F4606C">
              <w:rPr>
                <w:rFonts w:cs="Arial"/>
              </w:rPr>
              <w:t>2</w:t>
            </w:r>
            <w:r w:rsidR="00F3445C">
              <w:rPr>
                <w:rFonts w:cs="Arial"/>
              </w:rPr>
              <w:t>10</w:t>
            </w:r>
          </w:p>
        </w:tc>
        <w:tc>
          <w:tcPr>
            <w:tcW w:w="2848" w:type="pct"/>
            <w:tcBorders>
              <w:top w:val="single" w:sz="6" w:space="0" w:color="auto"/>
              <w:left w:val="single" w:sz="6" w:space="0" w:color="auto"/>
              <w:bottom w:val="single" w:sz="6" w:space="0" w:color="auto"/>
              <w:right w:val="single" w:sz="6" w:space="0" w:color="auto"/>
            </w:tcBorders>
            <w:vAlign w:val="center"/>
          </w:tcPr>
          <w:p w14:paraId="2D8C7B03" w14:textId="77777777" w:rsidR="00115458" w:rsidRPr="00F4606C" w:rsidRDefault="00115458" w:rsidP="00F4606C">
            <w:pPr>
              <w:spacing w:after="0" w:line="240" w:lineRule="auto"/>
              <w:rPr>
                <w:rFonts w:cs="Arial"/>
              </w:rPr>
            </w:pPr>
            <w:r w:rsidRPr="00F4606C">
              <w:rPr>
                <w:rFonts w:cs="Arial"/>
              </w:rPr>
              <w:t>Australian postcode</w:t>
            </w:r>
          </w:p>
        </w:tc>
        <w:tc>
          <w:tcPr>
            <w:tcW w:w="1581" w:type="pct"/>
            <w:tcBorders>
              <w:top w:val="single" w:sz="6" w:space="0" w:color="auto"/>
              <w:left w:val="single" w:sz="6" w:space="0" w:color="auto"/>
              <w:bottom w:val="single" w:sz="6" w:space="0" w:color="auto"/>
              <w:right w:val="single" w:sz="6" w:space="0" w:color="auto"/>
            </w:tcBorders>
            <w:vAlign w:val="center"/>
          </w:tcPr>
          <w:p w14:paraId="0157F258" w14:textId="77777777" w:rsidR="00115458" w:rsidRPr="00F4606C" w:rsidRDefault="00115458" w:rsidP="00F4606C">
            <w:pPr>
              <w:spacing w:after="0" w:line="240" w:lineRule="auto"/>
              <w:rPr>
                <w:rFonts w:cs="Arial"/>
              </w:rPr>
            </w:pPr>
            <w:r w:rsidRPr="00F4606C">
              <w:rPr>
                <w:rFonts w:cs="Arial"/>
              </w:rPr>
              <w:t>6015</w:t>
            </w:r>
          </w:p>
        </w:tc>
      </w:tr>
      <w:tr w:rsidR="00115458" w:rsidRPr="00B35C0A" w14:paraId="4EAC9299"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52451EBD" w14:textId="41A3CB74" w:rsidR="00115458" w:rsidRPr="00F4606C" w:rsidRDefault="00115458" w:rsidP="00F4606C">
            <w:pPr>
              <w:spacing w:after="0" w:line="240" w:lineRule="auto"/>
              <w:rPr>
                <w:rFonts w:cs="Arial"/>
              </w:rPr>
            </w:pPr>
            <w:r w:rsidRPr="00F4606C">
              <w:rPr>
                <w:rFonts w:cs="Arial"/>
              </w:rPr>
              <w:t>9.</w:t>
            </w:r>
            <w:r w:rsidR="00F3445C" w:rsidRPr="00F4606C">
              <w:rPr>
                <w:rFonts w:cs="Arial"/>
              </w:rPr>
              <w:t>2</w:t>
            </w:r>
            <w:r w:rsidR="00F3445C">
              <w:rPr>
                <w:rFonts w:cs="Arial"/>
              </w:rPr>
              <w:t>11</w:t>
            </w:r>
          </w:p>
        </w:tc>
        <w:tc>
          <w:tcPr>
            <w:tcW w:w="2848" w:type="pct"/>
            <w:tcBorders>
              <w:top w:val="single" w:sz="6" w:space="0" w:color="auto"/>
              <w:left w:val="single" w:sz="6" w:space="0" w:color="auto"/>
              <w:bottom w:val="single" w:sz="6" w:space="0" w:color="auto"/>
              <w:right w:val="single" w:sz="6" w:space="0" w:color="auto"/>
            </w:tcBorders>
            <w:vAlign w:val="center"/>
          </w:tcPr>
          <w:p w14:paraId="40B908CC" w14:textId="77777777" w:rsidR="00115458" w:rsidRPr="00F4606C" w:rsidRDefault="00115458" w:rsidP="00F4606C">
            <w:pPr>
              <w:spacing w:after="0" w:line="240" w:lineRule="auto"/>
              <w:rPr>
                <w:rFonts w:cs="Arial"/>
              </w:rPr>
            </w:pPr>
            <w:r w:rsidRPr="00F4606C">
              <w:rPr>
                <w:rFonts w:cs="Arial"/>
              </w:rPr>
              <w:t>Date of change of residency status from resident to non-resident (DDMMCCYY)</w:t>
            </w:r>
          </w:p>
        </w:tc>
        <w:tc>
          <w:tcPr>
            <w:tcW w:w="1581" w:type="pct"/>
            <w:tcBorders>
              <w:top w:val="single" w:sz="6" w:space="0" w:color="auto"/>
              <w:left w:val="single" w:sz="6" w:space="0" w:color="auto"/>
              <w:bottom w:val="single" w:sz="6" w:space="0" w:color="auto"/>
              <w:right w:val="single" w:sz="6" w:space="0" w:color="auto"/>
            </w:tcBorders>
            <w:vAlign w:val="center"/>
          </w:tcPr>
          <w:p w14:paraId="15934AE3" w14:textId="77777777" w:rsidR="00115458" w:rsidRPr="00F4606C" w:rsidRDefault="00115458" w:rsidP="00F4606C">
            <w:pPr>
              <w:spacing w:after="0" w:line="240" w:lineRule="auto"/>
              <w:rPr>
                <w:rFonts w:cs="Arial"/>
              </w:rPr>
            </w:pPr>
            <w:r w:rsidRPr="00F4606C">
              <w:rPr>
                <w:rFonts w:cs="Arial"/>
              </w:rPr>
              <w:t>00000000</w:t>
            </w:r>
          </w:p>
        </w:tc>
      </w:tr>
      <w:tr w:rsidR="00115458" w:rsidRPr="00B35C0A" w14:paraId="123B814B"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4D80D0E5" w14:textId="68885120" w:rsidR="00115458" w:rsidRPr="00F4606C" w:rsidRDefault="00115458" w:rsidP="00F4606C">
            <w:pPr>
              <w:spacing w:after="0" w:line="240" w:lineRule="auto"/>
              <w:rPr>
                <w:rFonts w:cs="Arial"/>
              </w:rPr>
            </w:pPr>
            <w:r w:rsidRPr="00F4606C">
              <w:rPr>
                <w:rFonts w:cs="Arial"/>
              </w:rPr>
              <w:t>9.</w:t>
            </w:r>
            <w:r w:rsidR="00F3445C" w:rsidRPr="00F4606C">
              <w:rPr>
                <w:rFonts w:cs="Arial"/>
              </w:rPr>
              <w:t>2</w:t>
            </w:r>
            <w:r w:rsidR="00F3445C">
              <w:rPr>
                <w:rFonts w:cs="Arial"/>
              </w:rPr>
              <w:t>12</w:t>
            </w:r>
          </w:p>
        </w:tc>
        <w:tc>
          <w:tcPr>
            <w:tcW w:w="2848" w:type="pct"/>
            <w:tcBorders>
              <w:top w:val="single" w:sz="6" w:space="0" w:color="auto"/>
              <w:left w:val="single" w:sz="6" w:space="0" w:color="auto"/>
              <w:bottom w:val="single" w:sz="6" w:space="0" w:color="auto"/>
              <w:right w:val="single" w:sz="6" w:space="0" w:color="auto"/>
            </w:tcBorders>
            <w:vAlign w:val="center"/>
          </w:tcPr>
          <w:p w14:paraId="61DACECF" w14:textId="77777777" w:rsidR="00115458" w:rsidRPr="00F4606C" w:rsidRDefault="00115458" w:rsidP="00F4606C">
            <w:pPr>
              <w:spacing w:after="0" w:line="240" w:lineRule="auto"/>
              <w:rPr>
                <w:rFonts w:cs="Arial"/>
              </w:rPr>
            </w:pPr>
            <w:r w:rsidRPr="00F4606C">
              <w:rPr>
                <w:rFonts w:cs="Arial"/>
              </w:rPr>
              <w:t>Overseas address – line 1</w:t>
            </w:r>
          </w:p>
        </w:tc>
        <w:tc>
          <w:tcPr>
            <w:tcW w:w="1581" w:type="pct"/>
            <w:tcBorders>
              <w:top w:val="single" w:sz="6" w:space="0" w:color="auto"/>
              <w:left w:val="single" w:sz="6" w:space="0" w:color="auto"/>
              <w:bottom w:val="single" w:sz="6" w:space="0" w:color="auto"/>
              <w:right w:val="single" w:sz="6" w:space="0" w:color="auto"/>
            </w:tcBorders>
          </w:tcPr>
          <w:p w14:paraId="223CD170"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6AB3F4CD"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0FDBD84A" w14:textId="647E915B" w:rsidR="00115458" w:rsidRPr="00F4606C" w:rsidRDefault="00115458" w:rsidP="00F4606C">
            <w:pPr>
              <w:spacing w:after="0" w:line="240" w:lineRule="auto"/>
              <w:rPr>
                <w:rFonts w:cs="Arial"/>
              </w:rPr>
            </w:pPr>
            <w:r w:rsidRPr="00F4606C">
              <w:rPr>
                <w:rFonts w:cs="Arial"/>
              </w:rPr>
              <w:t>9.</w:t>
            </w:r>
            <w:r w:rsidR="00F3445C" w:rsidRPr="00F4606C">
              <w:rPr>
                <w:rFonts w:cs="Arial"/>
              </w:rPr>
              <w:t>2</w:t>
            </w:r>
            <w:r w:rsidR="00F3445C">
              <w:rPr>
                <w:rFonts w:cs="Arial"/>
              </w:rPr>
              <w:t>12</w:t>
            </w:r>
          </w:p>
        </w:tc>
        <w:tc>
          <w:tcPr>
            <w:tcW w:w="2848" w:type="pct"/>
            <w:tcBorders>
              <w:top w:val="single" w:sz="6" w:space="0" w:color="auto"/>
              <w:left w:val="single" w:sz="6" w:space="0" w:color="auto"/>
              <w:bottom w:val="single" w:sz="6" w:space="0" w:color="auto"/>
              <w:right w:val="single" w:sz="6" w:space="0" w:color="auto"/>
            </w:tcBorders>
            <w:vAlign w:val="center"/>
          </w:tcPr>
          <w:p w14:paraId="000551A6" w14:textId="77777777" w:rsidR="00115458" w:rsidRPr="00F4606C" w:rsidRDefault="00115458" w:rsidP="00F4606C">
            <w:pPr>
              <w:spacing w:after="0" w:line="240" w:lineRule="auto"/>
              <w:rPr>
                <w:rFonts w:cs="Arial"/>
              </w:rPr>
            </w:pPr>
            <w:r w:rsidRPr="00F4606C">
              <w:rPr>
                <w:rFonts w:cs="Arial"/>
              </w:rPr>
              <w:t>Overseas address – line 2</w:t>
            </w:r>
          </w:p>
        </w:tc>
        <w:tc>
          <w:tcPr>
            <w:tcW w:w="1581" w:type="pct"/>
            <w:tcBorders>
              <w:top w:val="single" w:sz="6" w:space="0" w:color="auto"/>
              <w:left w:val="single" w:sz="6" w:space="0" w:color="auto"/>
              <w:bottom w:val="single" w:sz="6" w:space="0" w:color="auto"/>
              <w:right w:val="single" w:sz="6" w:space="0" w:color="auto"/>
            </w:tcBorders>
          </w:tcPr>
          <w:p w14:paraId="6719FAB6"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32BC5841"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14C35EA0" w14:textId="609267EE" w:rsidR="00115458" w:rsidRPr="00F4606C" w:rsidRDefault="00115458" w:rsidP="00F4606C">
            <w:pPr>
              <w:spacing w:after="0" w:line="240" w:lineRule="auto"/>
              <w:rPr>
                <w:rFonts w:cs="Arial"/>
              </w:rPr>
            </w:pPr>
            <w:r w:rsidRPr="00F4606C">
              <w:rPr>
                <w:rFonts w:cs="Arial"/>
              </w:rPr>
              <w:t>9.</w:t>
            </w:r>
            <w:r w:rsidR="00F3445C" w:rsidRPr="00F4606C">
              <w:rPr>
                <w:rFonts w:cs="Arial"/>
              </w:rPr>
              <w:t>2</w:t>
            </w:r>
            <w:r w:rsidR="00F3445C">
              <w:rPr>
                <w:rFonts w:cs="Arial"/>
              </w:rPr>
              <w:t>13</w:t>
            </w:r>
          </w:p>
        </w:tc>
        <w:tc>
          <w:tcPr>
            <w:tcW w:w="2848" w:type="pct"/>
            <w:tcBorders>
              <w:top w:val="single" w:sz="6" w:space="0" w:color="auto"/>
              <w:left w:val="single" w:sz="6" w:space="0" w:color="auto"/>
              <w:bottom w:val="single" w:sz="6" w:space="0" w:color="auto"/>
              <w:right w:val="single" w:sz="6" w:space="0" w:color="auto"/>
            </w:tcBorders>
            <w:vAlign w:val="center"/>
          </w:tcPr>
          <w:p w14:paraId="2611E729" w14:textId="77777777" w:rsidR="00115458" w:rsidRPr="00F4606C" w:rsidRDefault="00115458" w:rsidP="00F4606C">
            <w:pPr>
              <w:spacing w:after="0" w:line="240" w:lineRule="auto"/>
              <w:rPr>
                <w:rFonts w:cs="Arial"/>
              </w:rPr>
            </w:pPr>
            <w:r w:rsidRPr="00F4606C">
              <w:rPr>
                <w:rFonts w:cs="Arial"/>
              </w:rPr>
              <w:t>Overseas suburb, town or locality</w:t>
            </w:r>
          </w:p>
        </w:tc>
        <w:tc>
          <w:tcPr>
            <w:tcW w:w="1581" w:type="pct"/>
            <w:tcBorders>
              <w:top w:val="single" w:sz="6" w:space="0" w:color="auto"/>
              <w:left w:val="single" w:sz="6" w:space="0" w:color="auto"/>
              <w:bottom w:val="single" w:sz="6" w:space="0" w:color="auto"/>
              <w:right w:val="single" w:sz="6" w:space="0" w:color="auto"/>
            </w:tcBorders>
          </w:tcPr>
          <w:p w14:paraId="17DDCADE"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02A7BA9A"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7E927287" w14:textId="3A856C34" w:rsidR="00115458" w:rsidRPr="00F4606C" w:rsidRDefault="00115458" w:rsidP="00F4606C">
            <w:pPr>
              <w:spacing w:after="0" w:line="240" w:lineRule="auto"/>
              <w:rPr>
                <w:rFonts w:cs="Arial"/>
              </w:rPr>
            </w:pPr>
            <w:r w:rsidRPr="00F4606C">
              <w:rPr>
                <w:rFonts w:cs="Arial"/>
              </w:rPr>
              <w:t>9.</w:t>
            </w:r>
            <w:r w:rsidR="00F3445C" w:rsidRPr="00F4606C">
              <w:rPr>
                <w:rFonts w:cs="Arial"/>
              </w:rPr>
              <w:t>2</w:t>
            </w:r>
            <w:r w:rsidR="00F3445C">
              <w:rPr>
                <w:rFonts w:cs="Arial"/>
              </w:rPr>
              <w:t>14</w:t>
            </w:r>
          </w:p>
        </w:tc>
        <w:tc>
          <w:tcPr>
            <w:tcW w:w="2848" w:type="pct"/>
            <w:tcBorders>
              <w:top w:val="single" w:sz="6" w:space="0" w:color="auto"/>
              <w:left w:val="single" w:sz="6" w:space="0" w:color="auto"/>
              <w:bottom w:val="single" w:sz="6" w:space="0" w:color="auto"/>
              <w:right w:val="single" w:sz="6" w:space="0" w:color="auto"/>
            </w:tcBorders>
            <w:vAlign w:val="center"/>
          </w:tcPr>
          <w:p w14:paraId="534098BB" w14:textId="77777777" w:rsidR="00115458" w:rsidRPr="00F4606C" w:rsidRDefault="00115458" w:rsidP="00F4606C">
            <w:pPr>
              <w:spacing w:after="0" w:line="240" w:lineRule="auto"/>
              <w:rPr>
                <w:rFonts w:cs="Arial"/>
              </w:rPr>
            </w:pPr>
            <w:r w:rsidRPr="00F4606C">
              <w:rPr>
                <w:rFonts w:cs="Arial"/>
              </w:rPr>
              <w:t>Overseas state or province</w:t>
            </w:r>
          </w:p>
        </w:tc>
        <w:tc>
          <w:tcPr>
            <w:tcW w:w="1581" w:type="pct"/>
            <w:tcBorders>
              <w:top w:val="single" w:sz="6" w:space="0" w:color="auto"/>
              <w:left w:val="single" w:sz="6" w:space="0" w:color="auto"/>
              <w:bottom w:val="single" w:sz="6" w:space="0" w:color="auto"/>
              <w:right w:val="single" w:sz="6" w:space="0" w:color="auto"/>
            </w:tcBorders>
          </w:tcPr>
          <w:p w14:paraId="70302927"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20A5FA41"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77AE5C1E" w14:textId="2BE0785B" w:rsidR="00115458" w:rsidRPr="00F4606C" w:rsidRDefault="00115458" w:rsidP="00F4606C">
            <w:pPr>
              <w:spacing w:after="0" w:line="240" w:lineRule="auto"/>
              <w:rPr>
                <w:rFonts w:cs="Arial"/>
              </w:rPr>
            </w:pPr>
            <w:r w:rsidRPr="00F4606C">
              <w:rPr>
                <w:rFonts w:cs="Arial"/>
              </w:rPr>
              <w:t>9.</w:t>
            </w:r>
            <w:r w:rsidR="00F3445C" w:rsidRPr="00F4606C">
              <w:rPr>
                <w:rFonts w:cs="Arial"/>
              </w:rPr>
              <w:t>21</w:t>
            </w:r>
            <w:r w:rsidR="00F3445C">
              <w:rPr>
                <w:rFonts w:cs="Arial"/>
              </w:rPr>
              <w:t>5</w:t>
            </w:r>
          </w:p>
        </w:tc>
        <w:tc>
          <w:tcPr>
            <w:tcW w:w="2848" w:type="pct"/>
            <w:tcBorders>
              <w:top w:val="single" w:sz="6" w:space="0" w:color="auto"/>
              <w:left w:val="single" w:sz="6" w:space="0" w:color="auto"/>
              <w:bottom w:val="single" w:sz="6" w:space="0" w:color="auto"/>
              <w:right w:val="single" w:sz="6" w:space="0" w:color="auto"/>
            </w:tcBorders>
            <w:vAlign w:val="center"/>
          </w:tcPr>
          <w:p w14:paraId="7710D140" w14:textId="77777777" w:rsidR="00115458" w:rsidRPr="00F4606C" w:rsidRDefault="00115458" w:rsidP="00F4606C">
            <w:pPr>
              <w:spacing w:after="0" w:line="240" w:lineRule="auto"/>
              <w:rPr>
                <w:rFonts w:cs="Arial"/>
              </w:rPr>
            </w:pPr>
            <w:r w:rsidRPr="00F4606C">
              <w:rPr>
                <w:rFonts w:cs="Arial"/>
              </w:rPr>
              <w:t>Overseas postal code</w:t>
            </w:r>
          </w:p>
        </w:tc>
        <w:tc>
          <w:tcPr>
            <w:tcW w:w="1581" w:type="pct"/>
            <w:tcBorders>
              <w:top w:val="single" w:sz="6" w:space="0" w:color="auto"/>
              <w:left w:val="single" w:sz="6" w:space="0" w:color="auto"/>
              <w:bottom w:val="single" w:sz="6" w:space="0" w:color="auto"/>
              <w:right w:val="single" w:sz="6" w:space="0" w:color="auto"/>
            </w:tcBorders>
          </w:tcPr>
          <w:p w14:paraId="5B3879D0"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2AB37F33"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1A7E535A" w14:textId="51DEA11C" w:rsidR="00115458" w:rsidRPr="00F4606C" w:rsidRDefault="00115458" w:rsidP="00F4606C">
            <w:pPr>
              <w:spacing w:after="0" w:line="240" w:lineRule="auto"/>
              <w:rPr>
                <w:rFonts w:cs="Arial"/>
              </w:rPr>
            </w:pPr>
            <w:r w:rsidRPr="00F4606C">
              <w:rPr>
                <w:rFonts w:cs="Arial"/>
              </w:rPr>
              <w:t>9.</w:t>
            </w:r>
            <w:r w:rsidR="00F3445C" w:rsidRPr="00F4606C">
              <w:rPr>
                <w:rFonts w:cs="Arial"/>
              </w:rPr>
              <w:t>21</w:t>
            </w:r>
            <w:r w:rsidR="00F3445C">
              <w:rPr>
                <w:rFonts w:cs="Arial"/>
              </w:rPr>
              <w:t>6</w:t>
            </w:r>
          </w:p>
        </w:tc>
        <w:tc>
          <w:tcPr>
            <w:tcW w:w="2848" w:type="pct"/>
            <w:tcBorders>
              <w:top w:val="single" w:sz="6" w:space="0" w:color="auto"/>
              <w:left w:val="single" w:sz="6" w:space="0" w:color="auto"/>
              <w:bottom w:val="single" w:sz="6" w:space="0" w:color="auto"/>
              <w:right w:val="single" w:sz="6" w:space="0" w:color="auto"/>
            </w:tcBorders>
            <w:vAlign w:val="center"/>
          </w:tcPr>
          <w:p w14:paraId="7B505EF6" w14:textId="77777777" w:rsidR="00115458" w:rsidRPr="00F4606C" w:rsidRDefault="00115458" w:rsidP="00F4606C">
            <w:pPr>
              <w:spacing w:after="0" w:line="240" w:lineRule="auto"/>
              <w:rPr>
                <w:rFonts w:cs="Arial"/>
              </w:rPr>
            </w:pPr>
            <w:r w:rsidRPr="00F4606C">
              <w:rPr>
                <w:rFonts w:cs="Arial"/>
              </w:rPr>
              <w:t>Overseas country</w:t>
            </w:r>
          </w:p>
        </w:tc>
        <w:tc>
          <w:tcPr>
            <w:tcW w:w="1581" w:type="pct"/>
            <w:tcBorders>
              <w:top w:val="single" w:sz="6" w:space="0" w:color="auto"/>
              <w:left w:val="single" w:sz="6" w:space="0" w:color="auto"/>
              <w:bottom w:val="single" w:sz="6" w:space="0" w:color="auto"/>
              <w:right w:val="single" w:sz="6" w:space="0" w:color="auto"/>
            </w:tcBorders>
          </w:tcPr>
          <w:p w14:paraId="5557F735" w14:textId="77777777" w:rsidR="00115458" w:rsidRPr="00F4606C" w:rsidRDefault="00115458" w:rsidP="00F4606C">
            <w:pPr>
              <w:spacing w:after="0" w:line="240" w:lineRule="auto"/>
              <w:rPr>
                <w:rFonts w:cs="Arial"/>
              </w:rPr>
            </w:pPr>
            <w:r w:rsidRPr="00F4606C">
              <w:rPr>
                <w:rFonts w:cs="Arial"/>
              </w:rPr>
              <w:t>Blank fill</w:t>
            </w:r>
          </w:p>
        </w:tc>
      </w:tr>
      <w:tr w:rsidR="00115458" w:rsidRPr="00B35C0A" w14:paraId="650B0A58"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4323A44A" w14:textId="69ECDA74" w:rsidR="00115458" w:rsidRPr="00F4606C" w:rsidRDefault="00115458" w:rsidP="00F4606C">
            <w:pPr>
              <w:spacing w:after="0" w:line="240" w:lineRule="auto"/>
              <w:rPr>
                <w:rFonts w:cs="Arial"/>
              </w:rPr>
            </w:pPr>
            <w:r w:rsidRPr="00F4606C">
              <w:rPr>
                <w:rFonts w:cs="Arial"/>
              </w:rPr>
              <w:t>9.</w:t>
            </w:r>
            <w:r w:rsidR="00F3445C" w:rsidRPr="00F4606C">
              <w:rPr>
                <w:rFonts w:cs="Arial"/>
              </w:rPr>
              <w:t>21</w:t>
            </w:r>
            <w:r w:rsidR="00F3445C">
              <w:rPr>
                <w:rFonts w:cs="Arial"/>
              </w:rPr>
              <w:t>7</w:t>
            </w:r>
          </w:p>
        </w:tc>
        <w:tc>
          <w:tcPr>
            <w:tcW w:w="2848" w:type="pct"/>
            <w:tcBorders>
              <w:top w:val="single" w:sz="6" w:space="0" w:color="auto"/>
              <w:left w:val="single" w:sz="6" w:space="0" w:color="auto"/>
              <w:bottom w:val="single" w:sz="6" w:space="0" w:color="auto"/>
              <w:right w:val="single" w:sz="6" w:space="0" w:color="auto"/>
            </w:tcBorders>
            <w:vAlign w:val="center"/>
          </w:tcPr>
          <w:p w14:paraId="49627FC7" w14:textId="77777777" w:rsidR="00115458" w:rsidRPr="00F4606C" w:rsidRDefault="00115458" w:rsidP="00F4606C">
            <w:pPr>
              <w:spacing w:after="0" w:line="240" w:lineRule="auto"/>
              <w:rPr>
                <w:rFonts w:cs="Arial"/>
              </w:rPr>
            </w:pPr>
            <w:r w:rsidRPr="00F4606C">
              <w:rPr>
                <w:rFonts w:cs="Arial"/>
              </w:rPr>
              <w:t>Non-resident investor overseas country code</w:t>
            </w:r>
          </w:p>
        </w:tc>
        <w:tc>
          <w:tcPr>
            <w:tcW w:w="1581" w:type="pct"/>
            <w:tcBorders>
              <w:top w:val="single" w:sz="6" w:space="0" w:color="auto"/>
              <w:left w:val="single" w:sz="6" w:space="0" w:color="auto"/>
              <w:bottom w:val="single" w:sz="6" w:space="0" w:color="auto"/>
              <w:right w:val="single" w:sz="6" w:space="0" w:color="auto"/>
            </w:tcBorders>
            <w:vAlign w:val="center"/>
          </w:tcPr>
          <w:p w14:paraId="62CCC76A"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Blank fill</w:t>
            </w:r>
          </w:p>
        </w:tc>
      </w:tr>
      <w:tr w:rsidR="00115458" w:rsidRPr="00B35C0A" w14:paraId="070EA3FE"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7398ADD4" w14:textId="66612CFC" w:rsidR="00115458" w:rsidRPr="00F4606C" w:rsidRDefault="00115458" w:rsidP="00F4606C">
            <w:pPr>
              <w:spacing w:after="0" w:line="240" w:lineRule="auto"/>
              <w:rPr>
                <w:rFonts w:cs="Arial"/>
              </w:rPr>
            </w:pPr>
            <w:r w:rsidRPr="00F4606C">
              <w:rPr>
                <w:rFonts w:cs="Arial"/>
              </w:rPr>
              <w:t>9.</w:t>
            </w:r>
            <w:r w:rsidR="00F3445C" w:rsidRPr="00F4606C">
              <w:rPr>
                <w:rFonts w:cs="Arial"/>
              </w:rPr>
              <w:t>21</w:t>
            </w:r>
            <w:r w:rsidR="00F3445C">
              <w:rPr>
                <w:rFonts w:cs="Arial"/>
              </w:rPr>
              <w:t>8</w:t>
            </w:r>
          </w:p>
        </w:tc>
        <w:tc>
          <w:tcPr>
            <w:tcW w:w="2848" w:type="pct"/>
            <w:tcBorders>
              <w:top w:val="single" w:sz="6" w:space="0" w:color="auto"/>
              <w:left w:val="single" w:sz="6" w:space="0" w:color="auto"/>
              <w:bottom w:val="single" w:sz="6" w:space="0" w:color="auto"/>
              <w:right w:val="single" w:sz="6" w:space="0" w:color="auto"/>
            </w:tcBorders>
            <w:vAlign w:val="center"/>
          </w:tcPr>
          <w:p w14:paraId="43519261" w14:textId="77777777" w:rsidR="00115458" w:rsidRPr="00F4606C" w:rsidRDefault="00115458" w:rsidP="00F4606C">
            <w:pPr>
              <w:spacing w:after="0" w:line="240" w:lineRule="auto"/>
              <w:rPr>
                <w:rFonts w:cs="Arial"/>
              </w:rPr>
            </w:pPr>
            <w:r w:rsidRPr="00F4606C">
              <w:rPr>
                <w:rFonts w:cs="Arial"/>
              </w:rPr>
              <w:t>Non-resident investor country of residence for tax purposes</w:t>
            </w:r>
          </w:p>
        </w:tc>
        <w:tc>
          <w:tcPr>
            <w:tcW w:w="1581" w:type="pct"/>
            <w:tcBorders>
              <w:top w:val="single" w:sz="6" w:space="0" w:color="auto"/>
              <w:left w:val="single" w:sz="6" w:space="0" w:color="auto"/>
              <w:bottom w:val="single" w:sz="6" w:space="0" w:color="auto"/>
              <w:right w:val="single" w:sz="6" w:space="0" w:color="auto"/>
            </w:tcBorders>
            <w:vAlign w:val="center"/>
          </w:tcPr>
          <w:p w14:paraId="2B697087" w14:textId="77777777" w:rsidR="00115458" w:rsidRPr="00F4606C" w:rsidRDefault="00115458" w:rsidP="00773D41">
            <w:pPr>
              <w:pStyle w:val="Maintext"/>
              <w:rPr>
                <w:rFonts w:asciiTheme="minorHAnsi" w:hAnsiTheme="minorHAnsi" w:cs="Arial"/>
                <w:sz w:val="20"/>
                <w:szCs w:val="20"/>
              </w:rPr>
            </w:pPr>
            <w:r w:rsidRPr="00F4606C">
              <w:rPr>
                <w:rFonts w:asciiTheme="minorHAnsi" w:hAnsiTheme="minorHAnsi" w:cs="Arial"/>
                <w:sz w:val="20"/>
                <w:szCs w:val="20"/>
              </w:rPr>
              <w:t>Blank fill</w:t>
            </w:r>
          </w:p>
        </w:tc>
      </w:tr>
      <w:tr w:rsidR="00115458" w:rsidRPr="00B35C0A" w14:paraId="3408A64B" w14:textId="77777777" w:rsidTr="000C1365">
        <w:trPr>
          <w:trHeight w:val="225"/>
        </w:trPr>
        <w:tc>
          <w:tcPr>
            <w:tcW w:w="571" w:type="pct"/>
            <w:tcBorders>
              <w:top w:val="single" w:sz="6" w:space="0" w:color="auto"/>
              <w:left w:val="single" w:sz="6" w:space="0" w:color="auto"/>
              <w:bottom w:val="single" w:sz="6" w:space="0" w:color="auto"/>
              <w:right w:val="single" w:sz="6" w:space="0" w:color="auto"/>
            </w:tcBorders>
            <w:vAlign w:val="center"/>
          </w:tcPr>
          <w:p w14:paraId="57B5FC8C" w14:textId="06A05DC7" w:rsidR="00115458" w:rsidRPr="00F4606C" w:rsidRDefault="00115458" w:rsidP="00F4606C">
            <w:pPr>
              <w:spacing w:after="0" w:line="240" w:lineRule="auto"/>
              <w:rPr>
                <w:rFonts w:cs="Arial"/>
              </w:rPr>
            </w:pPr>
            <w:r w:rsidRPr="00F4606C">
              <w:rPr>
                <w:rFonts w:cs="Arial"/>
              </w:rPr>
              <w:t>9.</w:t>
            </w:r>
            <w:r w:rsidR="00F3445C" w:rsidRPr="00F4606C">
              <w:rPr>
                <w:rFonts w:cs="Arial"/>
              </w:rPr>
              <w:t>21</w:t>
            </w:r>
            <w:r w:rsidR="00F3445C">
              <w:rPr>
                <w:rFonts w:cs="Arial"/>
              </w:rPr>
              <w:t>9</w:t>
            </w:r>
          </w:p>
        </w:tc>
        <w:tc>
          <w:tcPr>
            <w:tcW w:w="2848" w:type="pct"/>
            <w:tcBorders>
              <w:top w:val="single" w:sz="6" w:space="0" w:color="auto"/>
              <w:left w:val="single" w:sz="6" w:space="0" w:color="auto"/>
              <w:bottom w:val="single" w:sz="6" w:space="0" w:color="auto"/>
              <w:right w:val="single" w:sz="6" w:space="0" w:color="auto"/>
            </w:tcBorders>
            <w:vAlign w:val="center"/>
          </w:tcPr>
          <w:p w14:paraId="7BA66651" w14:textId="77777777" w:rsidR="00115458" w:rsidRPr="00F4606C" w:rsidRDefault="00115458" w:rsidP="00F4606C">
            <w:pPr>
              <w:spacing w:after="0" w:line="240" w:lineRule="auto"/>
              <w:rPr>
                <w:rFonts w:cs="Arial"/>
              </w:rPr>
            </w:pPr>
            <w:r w:rsidRPr="00F4606C">
              <w:rPr>
                <w:rFonts w:cs="Arial"/>
              </w:rPr>
              <w:t>Date of change of residency status from non-resident to resident</w:t>
            </w:r>
          </w:p>
        </w:tc>
        <w:tc>
          <w:tcPr>
            <w:tcW w:w="1581" w:type="pct"/>
            <w:tcBorders>
              <w:top w:val="single" w:sz="6" w:space="0" w:color="auto"/>
              <w:left w:val="single" w:sz="6" w:space="0" w:color="auto"/>
              <w:bottom w:val="single" w:sz="6" w:space="0" w:color="auto"/>
              <w:right w:val="single" w:sz="6" w:space="0" w:color="auto"/>
            </w:tcBorders>
            <w:vAlign w:val="center"/>
          </w:tcPr>
          <w:p w14:paraId="39B01B00" w14:textId="1A63628E" w:rsidR="00115458" w:rsidRPr="00F4606C" w:rsidRDefault="00115458" w:rsidP="00F4606C">
            <w:pPr>
              <w:spacing w:after="0" w:line="240" w:lineRule="auto"/>
              <w:rPr>
                <w:rFonts w:cs="Arial"/>
              </w:rPr>
            </w:pPr>
            <w:r w:rsidRPr="00F4606C">
              <w:rPr>
                <w:rFonts w:cs="Arial"/>
              </w:rPr>
              <w:t>0303202</w:t>
            </w:r>
            <w:r w:rsidR="00261365">
              <w:rPr>
                <w:rFonts w:cs="Arial"/>
              </w:rPr>
              <w:t>6</w:t>
            </w:r>
          </w:p>
        </w:tc>
      </w:tr>
    </w:tbl>
    <w:p w14:paraId="66D4C3C4" w14:textId="77777777" w:rsidR="00F94DFB" w:rsidRDefault="00F94DFB">
      <w:pPr>
        <w:rPr>
          <w:rFonts w:asciiTheme="majorHAnsi" w:eastAsiaTheme="majorEastAsia" w:hAnsiTheme="majorHAnsi" w:cstheme="majorBidi"/>
          <w:b/>
          <w:color w:val="3844CA" w:themeColor="accent1"/>
          <w:spacing w:val="-4"/>
          <w:sz w:val="32"/>
          <w:szCs w:val="26"/>
        </w:rPr>
      </w:pPr>
      <w:r>
        <w:br w:type="page"/>
      </w:r>
    </w:p>
    <w:p w14:paraId="4AE0562D" w14:textId="7D5FFF5E" w:rsidR="00115458" w:rsidRPr="002B6EE3" w:rsidRDefault="00115458" w:rsidP="00F4606C">
      <w:pPr>
        <w:pStyle w:val="Heading2"/>
      </w:pPr>
      <w:bookmarkStart w:id="620" w:name="_Toc232191330"/>
      <w:r>
        <w:t>Conduit foreign income</w:t>
      </w:r>
      <w:bookmarkEnd w:id="620"/>
    </w:p>
    <w:p w14:paraId="1B56C867" w14:textId="77777777" w:rsidR="00115458" w:rsidRPr="00F4606C" w:rsidRDefault="00115458" w:rsidP="00F4606C">
      <w:pPr>
        <w:spacing w:after="0" w:line="240" w:lineRule="auto"/>
        <w:rPr>
          <w:b/>
          <w:sz w:val="24"/>
          <w:szCs w:val="24"/>
        </w:rPr>
      </w:pPr>
      <w:r w:rsidRPr="00F4606C">
        <w:rPr>
          <w:b/>
          <w:sz w:val="24"/>
          <w:szCs w:val="24"/>
        </w:rPr>
        <w:t xml:space="preserve">Income declared to be Conduit Foreign Income by Australian Corporate Tax Entities </w:t>
      </w:r>
    </w:p>
    <w:p w14:paraId="6B52D8E7" w14:textId="77777777" w:rsidR="00115458" w:rsidRDefault="00115458" w:rsidP="00F4606C">
      <w:pPr>
        <w:spacing w:after="0" w:line="240" w:lineRule="auto"/>
        <w:rPr>
          <w:b/>
        </w:rPr>
      </w:pPr>
    </w:p>
    <w:p w14:paraId="64580CAD" w14:textId="77777777" w:rsidR="00115458" w:rsidRDefault="00115458" w:rsidP="00F4606C">
      <w:pPr>
        <w:spacing w:after="0" w:line="240" w:lineRule="auto"/>
      </w:pPr>
      <w:r>
        <w:t xml:space="preserve">In general terms, conduit foreign income is foreign income that is (ultimately) received by a foreign resident through one or more interposed Australian corporate tax entities. </w:t>
      </w:r>
    </w:p>
    <w:p w14:paraId="20EB454E" w14:textId="77777777" w:rsidR="00115458" w:rsidRDefault="00115458" w:rsidP="00F4606C">
      <w:pPr>
        <w:spacing w:after="0" w:line="240" w:lineRule="auto"/>
      </w:pPr>
    </w:p>
    <w:p w14:paraId="7CCE8FDB" w14:textId="77777777" w:rsidR="00115458" w:rsidRDefault="00115458" w:rsidP="00F4606C">
      <w:pPr>
        <w:spacing w:after="0" w:line="240" w:lineRule="auto"/>
      </w:pPr>
      <w:r>
        <w:t>The conduit foreign income measure, broadly, allows Australian corporate tax entities (companies, corporate limited partnerships, public trading trusts and corporate unit trusts) that are deriving foreign income that is not taxed in Australia to declare all or a portion of an unfranked distribution they make to be conduit foreign income.</w:t>
      </w:r>
    </w:p>
    <w:p w14:paraId="1B71D28D" w14:textId="77777777" w:rsidR="00115458" w:rsidRDefault="00115458" w:rsidP="00F4606C">
      <w:pPr>
        <w:spacing w:after="0" w:line="240" w:lineRule="auto"/>
      </w:pPr>
    </w:p>
    <w:p w14:paraId="78A726CA" w14:textId="77777777" w:rsidR="00115458" w:rsidRDefault="00115458" w:rsidP="00F4606C">
      <w:pPr>
        <w:spacing w:after="0" w:line="240" w:lineRule="auto"/>
      </w:pPr>
      <w:r>
        <w:t>Conduit foreign income takes on two forms when an Australian corporate tax entity receives foreign income that it subsequently pays:</w:t>
      </w:r>
    </w:p>
    <w:p w14:paraId="3F87FCBB" w14:textId="77777777" w:rsidR="00115458" w:rsidRDefault="00115458" w:rsidP="00F4606C">
      <w:pPr>
        <w:spacing w:after="0" w:line="240" w:lineRule="auto"/>
      </w:pPr>
    </w:p>
    <w:p w14:paraId="5EF77AC2" w14:textId="77777777" w:rsidR="00115458" w:rsidRPr="00F4606C" w:rsidRDefault="00115458" w:rsidP="001601AF">
      <w:pPr>
        <w:pStyle w:val="ListParagraph"/>
        <w:numPr>
          <w:ilvl w:val="0"/>
          <w:numId w:val="45"/>
        </w:numPr>
        <w:spacing w:after="0" w:line="240" w:lineRule="auto"/>
        <w:rPr>
          <w:rFonts w:cs="Arial"/>
        </w:rPr>
      </w:pPr>
      <w:r w:rsidRPr="00F4606C">
        <w:rPr>
          <w:rFonts w:cs="Arial"/>
        </w:rPr>
        <w:t xml:space="preserve">directly to a foreign resident, declaring it to be conduit foreign income (section 802-15 of the </w:t>
      </w:r>
      <w:r w:rsidRPr="00F4606C">
        <w:rPr>
          <w:rFonts w:cs="Arial"/>
          <w:i/>
          <w:iCs/>
        </w:rPr>
        <w:t>Income Tax Assessment Act 1997</w:t>
      </w:r>
      <w:r w:rsidRPr="00F4606C">
        <w:rPr>
          <w:rFonts w:cs="Arial"/>
        </w:rPr>
        <w:t xml:space="preserve"> (ITAA 1997))</w:t>
      </w:r>
    </w:p>
    <w:p w14:paraId="572D42BC" w14:textId="51058949" w:rsidR="00115458" w:rsidRPr="00F4606C" w:rsidRDefault="00115458" w:rsidP="001601AF">
      <w:pPr>
        <w:pStyle w:val="ListParagraph"/>
        <w:numPr>
          <w:ilvl w:val="0"/>
          <w:numId w:val="45"/>
        </w:numPr>
        <w:spacing w:after="0" w:line="240" w:lineRule="auto"/>
        <w:rPr>
          <w:rFonts w:cs="Arial"/>
        </w:rPr>
      </w:pPr>
      <w:r w:rsidRPr="00F4606C">
        <w:rPr>
          <w:rFonts w:cs="Arial"/>
        </w:rPr>
        <w:t>to another Australian corporate tax entity, declaring it as conduit foreign income. The latter entity would normally be a regional holding company for a foreign group and would in turn pass on the amount it received to the overseas parent of the group as conduit foreign income (section 802-20 of the ITAA 1997).</w:t>
      </w:r>
    </w:p>
    <w:p w14:paraId="5C7091AE" w14:textId="77777777" w:rsidR="0014308E" w:rsidRPr="00C76A70" w:rsidRDefault="0014308E" w:rsidP="0014308E">
      <w:pPr>
        <w:pStyle w:val="ListParagraph"/>
        <w:spacing w:after="0" w:line="240" w:lineRule="auto"/>
        <w:rPr>
          <w:rFonts w:ascii="Arial" w:hAnsi="Arial" w:cs="Arial"/>
        </w:rPr>
      </w:pPr>
    </w:p>
    <w:p w14:paraId="7E661377" w14:textId="77777777" w:rsidR="00115458" w:rsidRDefault="00115458" w:rsidP="00F4606C">
      <w:pPr>
        <w:spacing w:after="0" w:line="240" w:lineRule="auto"/>
      </w:pPr>
      <w:r>
        <w:t>To the extent that an unfranked distribution is declared to be conduit foreign income, the distribution is exempt from withholding tax in the hands of a non-resident investor. The investor is notified of the portion of the distribution that is declared to be conduit foreign income through the distribution statement.</w:t>
      </w:r>
    </w:p>
    <w:p w14:paraId="2D05AF06" w14:textId="77777777" w:rsidR="00115458" w:rsidRDefault="00115458" w:rsidP="00F4606C">
      <w:pPr>
        <w:spacing w:after="0" w:line="240" w:lineRule="auto"/>
      </w:pPr>
    </w:p>
    <w:p w14:paraId="4E183725" w14:textId="77777777" w:rsidR="00115458" w:rsidRDefault="00115458" w:rsidP="00F4606C">
      <w:pPr>
        <w:spacing w:after="0" w:line="240" w:lineRule="auto"/>
      </w:pPr>
      <w:r>
        <w:t>An unfranked distribution declared to be conduit foreign income received by a resident individual investor is treated no differently to a normal unfranked distribution.</w:t>
      </w:r>
    </w:p>
    <w:p w14:paraId="1208689A" w14:textId="77777777" w:rsidR="00115458" w:rsidRDefault="00115458" w:rsidP="00115458"/>
    <w:p w14:paraId="67A18D79" w14:textId="77777777" w:rsidR="00115458" w:rsidRPr="00F4606C" w:rsidRDefault="00115458" w:rsidP="00F4606C">
      <w:pPr>
        <w:spacing w:after="0" w:line="240" w:lineRule="auto"/>
        <w:rPr>
          <w:b/>
          <w:sz w:val="24"/>
          <w:szCs w:val="24"/>
        </w:rPr>
      </w:pPr>
      <w:r w:rsidRPr="00F4606C">
        <w:rPr>
          <w:b/>
          <w:sz w:val="24"/>
          <w:szCs w:val="24"/>
        </w:rPr>
        <w:t>Trust distributions of income declared to be conduit foreign income</w:t>
      </w:r>
    </w:p>
    <w:p w14:paraId="3BBD3745" w14:textId="77777777" w:rsidR="00115458" w:rsidRPr="00C76A70" w:rsidRDefault="00115458" w:rsidP="00F4606C">
      <w:pPr>
        <w:spacing w:after="0" w:line="240" w:lineRule="auto"/>
        <w:rPr>
          <w:b/>
        </w:rPr>
      </w:pPr>
    </w:p>
    <w:p w14:paraId="64FE2383" w14:textId="77777777" w:rsidR="00115458" w:rsidRDefault="00115458" w:rsidP="00F4606C">
      <w:pPr>
        <w:spacing w:after="0" w:line="240" w:lineRule="auto"/>
      </w:pPr>
      <w:r>
        <w:t xml:space="preserve">A provision included in the </w:t>
      </w:r>
      <w:r w:rsidRPr="001E71B4">
        <w:rPr>
          <w:i/>
          <w:iCs/>
        </w:rPr>
        <w:t>Tax Laws Amendment (2007 Measures No. 3) Act 2007</w:t>
      </w:r>
      <w:r>
        <w:t xml:space="preserve"> ensures that distributions declared to be conduit foreign income are able to flow through trusts to non-resident beneficiaries free of Australian tax.</w:t>
      </w:r>
    </w:p>
    <w:p w14:paraId="04A54371" w14:textId="77777777" w:rsidR="00115458" w:rsidRDefault="00115458" w:rsidP="00F4606C">
      <w:pPr>
        <w:spacing w:after="0" w:line="240" w:lineRule="auto"/>
      </w:pPr>
    </w:p>
    <w:p w14:paraId="5318FA46" w14:textId="77777777" w:rsidR="00115458" w:rsidRDefault="00115458" w:rsidP="00F4606C">
      <w:pPr>
        <w:spacing w:after="0" w:line="240" w:lineRule="auto"/>
      </w:pPr>
      <w:r>
        <w:t xml:space="preserve">If an Australian company makes an unfranked distribution that it declares to be conduit foreign income to a trustee, the trustee is not liable to pay tax in relation to a non-resident beneficiary’s share of the net income of the trust that is reasonably attributable to all or part of that distribution. </w:t>
      </w:r>
    </w:p>
    <w:p w14:paraId="0046406D" w14:textId="77777777" w:rsidR="00115458" w:rsidRDefault="00115458" w:rsidP="00F4606C">
      <w:pPr>
        <w:spacing w:after="0" w:line="240" w:lineRule="auto"/>
      </w:pPr>
    </w:p>
    <w:p w14:paraId="222245C7" w14:textId="77777777" w:rsidR="00115458" w:rsidRDefault="00115458" w:rsidP="00F4606C">
      <w:pPr>
        <w:spacing w:after="0" w:line="240" w:lineRule="auto"/>
      </w:pPr>
      <w:r>
        <w:t>The non-resident beneficiary must be presently entitled to the share of the trust income that is reasonably attributable to all or part of that unfranked distribution (section 802-17(3) of the ITAA 1997).</w:t>
      </w:r>
    </w:p>
    <w:p w14:paraId="17DBB545" w14:textId="77777777" w:rsidR="00115458" w:rsidRDefault="00115458" w:rsidP="00F4606C">
      <w:pPr>
        <w:spacing w:after="0" w:line="240" w:lineRule="auto"/>
      </w:pPr>
    </w:p>
    <w:p w14:paraId="62C5CEFD" w14:textId="77777777" w:rsidR="00115458" w:rsidRDefault="00115458" w:rsidP="00F4606C">
      <w:pPr>
        <w:spacing w:after="0" w:line="240" w:lineRule="auto"/>
      </w:pPr>
      <w:r>
        <w:t>A non-resident beneficiary is not assessed on its share of the net income of a trust to the extent the share of the net income is reasonably attributable to a distribution declared to be conduit foreign income (section 802-17(1) of the ITAA 1997).</w:t>
      </w:r>
      <w:bookmarkStart w:id="621" w:name="_Toc362243833"/>
      <w:bookmarkStart w:id="622" w:name="_Toc360106567"/>
      <w:bookmarkEnd w:id="592"/>
      <w:bookmarkEnd w:id="593"/>
      <w:bookmarkEnd w:id="601"/>
      <w:bookmarkEnd w:id="613"/>
      <w:bookmarkEnd w:id="614"/>
    </w:p>
    <w:p w14:paraId="59A29F38" w14:textId="77777777" w:rsidR="00115458" w:rsidRPr="00B35C0A" w:rsidRDefault="00115458" w:rsidP="00115458">
      <w:pPr>
        <w:pStyle w:val="Heading2"/>
      </w:pPr>
      <w:bookmarkStart w:id="623" w:name="_Toc5192698"/>
      <w:bookmarkStart w:id="624" w:name="_Toc362243837"/>
      <w:bookmarkStart w:id="625" w:name="_Toc232191331"/>
      <w:bookmarkEnd w:id="621"/>
      <w:r w:rsidRPr="00A750E4">
        <w:t>Substituted accounting periods</w:t>
      </w:r>
      <w:bookmarkEnd w:id="623"/>
      <w:bookmarkEnd w:id="625"/>
      <w:r w:rsidRPr="00B35C0A">
        <w:t xml:space="preserve"> </w:t>
      </w:r>
    </w:p>
    <w:p w14:paraId="4EC302FB" w14:textId="77777777" w:rsidR="00115458" w:rsidRPr="0014308E" w:rsidRDefault="00115458" w:rsidP="00F4606C">
      <w:pPr>
        <w:spacing w:after="0" w:line="240" w:lineRule="auto"/>
        <w:rPr>
          <w:rFonts w:cs="Arial"/>
        </w:rPr>
      </w:pPr>
      <w:r w:rsidRPr="0014308E">
        <w:rPr>
          <w:rFonts w:cs="Arial"/>
        </w:rPr>
        <w:t xml:space="preserve">A substituted accounting period (SAP) is an accounting period that has a balancing date different to the normal financial year end balancing date of 30 June. </w:t>
      </w:r>
    </w:p>
    <w:p w14:paraId="2A5636A5" w14:textId="77777777" w:rsidR="00115458" w:rsidRPr="0014308E" w:rsidRDefault="00115458" w:rsidP="00F4606C">
      <w:pPr>
        <w:spacing w:after="0" w:line="240" w:lineRule="auto"/>
        <w:rPr>
          <w:rFonts w:cs="Arial"/>
        </w:rPr>
      </w:pPr>
    </w:p>
    <w:p w14:paraId="487B1B27" w14:textId="77777777" w:rsidR="00115458" w:rsidRPr="0014308E" w:rsidRDefault="00115458" w:rsidP="00F4606C">
      <w:pPr>
        <w:spacing w:after="0" w:line="240" w:lineRule="auto"/>
        <w:rPr>
          <w:rFonts w:cs="Arial"/>
        </w:rPr>
      </w:pPr>
      <w:r w:rsidRPr="0014308E">
        <w:rPr>
          <w:rFonts w:cs="Arial"/>
        </w:rPr>
        <w:t>In the past, entities applying for a SAP could nominate any date as their balancing date but as this proved administratively difficult, all entities must now nominate the last day of a month.</w:t>
      </w:r>
    </w:p>
    <w:p w14:paraId="35CD7E63" w14:textId="77777777" w:rsidR="00115458" w:rsidRPr="0014308E" w:rsidRDefault="00115458" w:rsidP="00F4606C">
      <w:pPr>
        <w:spacing w:after="0" w:line="240" w:lineRule="auto"/>
        <w:rPr>
          <w:rFonts w:cs="Arial"/>
        </w:rPr>
      </w:pPr>
    </w:p>
    <w:p w14:paraId="27765FED" w14:textId="77777777" w:rsidR="00115458" w:rsidRPr="0014308E" w:rsidRDefault="00115458" w:rsidP="00F4606C">
      <w:pPr>
        <w:spacing w:after="0" w:line="240" w:lineRule="auto"/>
        <w:rPr>
          <w:rFonts w:cs="Arial"/>
        </w:rPr>
      </w:pPr>
      <w:r w:rsidRPr="0014308E">
        <w:rPr>
          <w:rFonts w:cs="Arial"/>
        </w:rPr>
        <w:t>For the purposes of the AIIR, an investment body is considered to be operating on a SAP when the investment body meets all of the following conditions:</w:t>
      </w:r>
    </w:p>
    <w:p w14:paraId="034AD746" w14:textId="77777777" w:rsidR="00115458" w:rsidRPr="0014308E" w:rsidRDefault="00115458" w:rsidP="00F4606C">
      <w:pPr>
        <w:spacing w:after="0" w:line="240" w:lineRule="auto"/>
        <w:rPr>
          <w:rFonts w:cs="Arial"/>
        </w:rPr>
      </w:pPr>
      <w:r w:rsidRPr="0014308E">
        <w:rPr>
          <w:rFonts w:cs="Arial"/>
        </w:rPr>
        <w:t xml:space="preserve"> </w:t>
      </w:r>
    </w:p>
    <w:p w14:paraId="6931598A" w14:textId="77777777" w:rsidR="00115458" w:rsidRPr="00F4606C" w:rsidRDefault="00115458" w:rsidP="0014308E">
      <w:pPr>
        <w:pStyle w:val="Bullet1"/>
        <w:tabs>
          <w:tab w:val="num" w:pos="720"/>
        </w:tabs>
        <w:spacing w:before="0" w:after="0"/>
        <w:ind w:left="1071" w:hanging="357"/>
        <w:rPr>
          <w:rFonts w:asciiTheme="minorHAnsi" w:hAnsiTheme="minorHAnsi" w:cs="Arial"/>
          <w:i/>
          <w:iCs/>
          <w:sz w:val="20"/>
          <w:szCs w:val="20"/>
        </w:rPr>
      </w:pPr>
      <w:r w:rsidRPr="00F4606C">
        <w:rPr>
          <w:rFonts w:asciiTheme="minorHAnsi" w:hAnsiTheme="minorHAnsi" w:cs="Arial"/>
          <w:i/>
          <w:iCs/>
          <w:sz w:val="20"/>
          <w:szCs w:val="20"/>
        </w:rPr>
        <w:t xml:space="preserve">It is approved by the Commissioner as operating on a SAP </w:t>
      </w:r>
      <w:r w:rsidRPr="00F4606C">
        <w:rPr>
          <w:rFonts w:asciiTheme="minorHAnsi" w:hAnsiTheme="minorHAnsi" w:cs="Arial"/>
          <w:b/>
          <w:i/>
          <w:iCs/>
          <w:sz w:val="20"/>
          <w:szCs w:val="20"/>
        </w:rPr>
        <w:t>and</w:t>
      </w:r>
    </w:p>
    <w:p w14:paraId="2544FD6C" w14:textId="77777777" w:rsidR="00115458" w:rsidRPr="00F4606C" w:rsidRDefault="00115458" w:rsidP="0014308E">
      <w:pPr>
        <w:pStyle w:val="Bullet1"/>
        <w:tabs>
          <w:tab w:val="num" w:pos="720"/>
        </w:tabs>
        <w:spacing w:before="0" w:after="0"/>
        <w:ind w:left="1071" w:hanging="357"/>
        <w:rPr>
          <w:rFonts w:asciiTheme="minorHAnsi" w:hAnsiTheme="minorHAnsi" w:cs="Arial"/>
          <w:i/>
          <w:iCs/>
          <w:sz w:val="20"/>
          <w:szCs w:val="20"/>
        </w:rPr>
      </w:pPr>
      <w:r w:rsidRPr="00F4606C">
        <w:rPr>
          <w:rFonts w:asciiTheme="minorHAnsi" w:hAnsiTheme="minorHAnsi" w:cs="Arial"/>
          <w:i/>
          <w:iCs/>
          <w:sz w:val="20"/>
          <w:szCs w:val="20"/>
        </w:rPr>
        <w:t xml:space="preserve">making payments to investors who are all operating on the same SAP </w:t>
      </w:r>
      <w:r w:rsidRPr="00F4606C">
        <w:rPr>
          <w:rFonts w:asciiTheme="minorHAnsi" w:hAnsiTheme="minorHAnsi" w:cs="Arial"/>
          <w:b/>
          <w:i/>
          <w:iCs/>
          <w:sz w:val="20"/>
          <w:szCs w:val="20"/>
        </w:rPr>
        <w:t>and</w:t>
      </w:r>
    </w:p>
    <w:p w14:paraId="62BACD22" w14:textId="77777777" w:rsidR="00115458" w:rsidRPr="00F4606C" w:rsidRDefault="00115458" w:rsidP="0014308E">
      <w:pPr>
        <w:pStyle w:val="Bullet1"/>
        <w:tabs>
          <w:tab w:val="num" w:pos="720"/>
        </w:tabs>
        <w:spacing w:before="0" w:after="0"/>
        <w:ind w:left="1071" w:hanging="357"/>
        <w:rPr>
          <w:rFonts w:asciiTheme="minorHAnsi" w:hAnsiTheme="minorHAnsi" w:cs="Arial"/>
          <w:sz w:val="20"/>
          <w:szCs w:val="20"/>
        </w:rPr>
      </w:pPr>
      <w:r w:rsidRPr="00F4606C">
        <w:rPr>
          <w:rFonts w:asciiTheme="minorHAnsi" w:hAnsiTheme="minorHAnsi" w:cs="Arial"/>
          <w:i/>
          <w:iCs/>
          <w:sz w:val="20"/>
          <w:szCs w:val="20"/>
        </w:rPr>
        <w:t>reporting payments in accordance with that SAP</w:t>
      </w:r>
      <w:r w:rsidRPr="00F4606C">
        <w:rPr>
          <w:rFonts w:asciiTheme="minorHAnsi" w:hAnsiTheme="minorHAnsi" w:cs="Arial"/>
          <w:sz w:val="20"/>
          <w:szCs w:val="20"/>
        </w:rPr>
        <w:t>.</w:t>
      </w:r>
    </w:p>
    <w:p w14:paraId="335C7455" w14:textId="77777777" w:rsidR="00115458" w:rsidRPr="00F4606C" w:rsidRDefault="00115458" w:rsidP="00F4606C">
      <w:pPr>
        <w:pStyle w:val="Bullet1"/>
        <w:spacing w:before="0" w:after="0"/>
        <w:ind w:left="720"/>
        <w:rPr>
          <w:rFonts w:asciiTheme="minorHAnsi" w:hAnsiTheme="minorHAnsi" w:cs="Arial"/>
          <w:sz w:val="20"/>
          <w:szCs w:val="20"/>
        </w:rPr>
      </w:pPr>
    </w:p>
    <w:p w14:paraId="7CE7B8B1" w14:textId="77777777" w:rsidR="00115458" w:rsidRPr="0014308E" w:rsidRDefault="00115458" w:rsidP="00F4606C">
      <w:pPr>
        <w:spacing w:after="0" w:line="240" w:lineRule="auto"/>
        <w:rPr>
          <w:rFonts w:cs="Arial"/>
        </w:rPr>
      </w:pPr>
      <w:r w:rsidRPr="0014308E">
        <w:rPr>
          <w:rFonts w:cs="Arial"/>
        </w:rPr>
        <w:t xml:space="preserve">The balancing date the entity has chosen determines if the entity is an early or late balancer. An entity whose end of year is before June (December to May) is considered an early balancer. An entity whose end of year is after June (July to November) is considered a late balancer. </w:t>
      </w:r>
    </w:p>
    <w:p w14:paraId="60A55A01" w14:textId="77777777" w:rsidR="00115458" w:rsidRPr="0014308E" w:rsidRDefault="00115458" w:rsidP="00F4606C">
      <w:pPr>
        <w:spacing w:after="0" w:line="240" w:lineRule="auto"/>
        <w:rPr>
          <w:rFonts w:cs="Arial"/>
        </w:rPr>
      </w:pPr>
      <w:r w:rsidRPr="0014308E">
        <w:rPr>
          <w:rFonts w:cs="Arial"/>
        </w:rPr>
        <w:t>For example:</w:t>
      </w:r>
    </w:p>
    <w:p w14:paraId="427AD45F" w14:textId="77777777" w:rsidR="00115458" w:rsidRPr="00B35C0A" w:rsidRDefault="00115458" w:rsidP="00115458">
      <w:pPr>
        <w:rPr>
          <w:rFonts w:cs="Arial"/>
          <w:szCs w:val="22"/>
        </w:rPr>
      </w:pPr>
    </w:p>
    <w:tbl>
      <w:tblPr>
        <w:tblpPr w:leftFromText="180" w:rightFromText="180" w:vertAnchor="text" w:horzAnchor="margin" w:tblpXSpec="center" w:tblpY="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761"/>
        <w:gridCol w:w="761"/>
        <w:gridCol w:w="761"/>
        <w:gridCol w:w="761"/>
        <w:gridCol w:w="763"/>
        <w:gridCol w:w="921"/>
        <w:gridCol w:w="761"/>
        <w:gridCol w:w="761"/>
        <w:gridCol w:w="761"/>
        <w:gridCol w:w="761"/>
        <w:gridCol w:w="646"/>
      </w:tblGrid>
      <w:tr w:rsidR="00115458" w:rsidRPr="00B35C0A" w14:paraId="03F379D9" w14:textId="77777777" w:rsidTr="000C1365">
        <w:trPr>
          <w:trHeight w:val="272"/>
        </w:trPr>
        <w:tc>
          <w:tcPr>
            <w:tcW w:w="5000" w:type="pct"/>
            <w:gridSpan w:val="12"/>
            <w:shd w:val="clear" w:color="auto" w:fill="B3B3B3"/>
            <w:vAlign w:val="center"/>
          </w:tcPr>
          <w:p w14:paraId="7D320B96" w14:textId="77777777" w:rsidR="00115458" w:rsidRPr="00F4606C" w:rsidRDefault="00115458" w:rsidP="000C1365">
            <w:pPr>
              <w:jc w:val="center"/>
              <w:rPr>
                <w:rFonts w:cs="Arial"/>
                <w:b/>
              </w:rPr>
            </w:pPr>
            <w:r w:rsidRPr="00F4606C">
              <w:rPr>
                <w:rFonts w:cs="Arial"/>
                <w:b/>
              </w:rPr>
              <w:t>Balancing period</w:t>
            </w:r>
          </w:p>
        </w:tc>
      </w:tr>
      <w:tr w:rsidR="00115458" w:rsidRPr="00B35C0A" w14:paraId="1FDF45F6" w14:textId="77777777" w:rsidTr="000C1365">
        <w:trPr>
          <w:trHeight w:val="272"/>
        </w:trPr>
        <w:tc>
          <w:tcPr>
            <w:tcW w:w="2532" w:type="pct"/>
            <w:gridSpan w:val="6"/>
            <w:shd w:val="clear" w:color="auto" w:fill="B3B3B3"/>
            <w:vAlign w:val="center"/>
          </w:tcPr>
          <w:p w14:paraId="2E963327" w14:textId="77777777" w:rsidR="00115458" w:rsidRPr="00F4606C" w:rsidRDefault="00115458" w:rsidP="000C1365">
            <w:pPr>
              <w:jc w:val="center"/>
              <w:rPr>
                <w:rFonts w:cs="Arial"/>
                <w:b/>
              </w:rPr>
            </w:pPr>
            <w:r w:rsidRPr="00F4606C">
              <w:rPr>
                <w:rFonts w:cs="Arial"/>
                <w:b/>
              </w:rPr>
              <w:t>Early</w:t>
            </w:r>
          </w:p>
        </w:tc>
        <w:tc>
          <w:tcPr>
            <w:tcW w:w="470" w:type="pct"/>
            <w:shd w:val="clear" w:color="auto" w:fill="B3B3B3"/>
            <w:vAlign w:val="center"/>
          </w:tcPr>
          <w:p w14:paraId="53353748" w14:textId="77777777" w:rsidR="00115458" w:rsidRPr="00F4606C" w:rsidRDefault="00115458" w:rsidP="000C1365">
            <w:pPr>
              <w:ind w:right="-33"/>
              <w:jc w:val="center"/>
              <w:rPr>
                <w:rFonts w:cs="Arial"/>
                <w:b/>
              </w:rPr>
            </w:pPr>
            <w:r w:rsidRPr="00F4606C">
              <w:rPr>
                <w:rFonts w:cs="Arial"/>
                <w:b/>
              </w:rPr>
              <w:t>Normal</w:t>
            </w:r>
          </w:p>
        </w:tc>
        <w:tc>
          <w:tcPr>
            <w:tcW w:w="1998" w:type="pct"/>
            <w:gridSpan w:val="5"/>
            <w:shd w:val="clear" w:color="auto" w:fill="B3B3B3"/>
            <w:vAlign w:val="center"/>
          </w:tcPr>
          <w:p w14:paraId="3B96B660" w14:textId="77777777" w:rsidR="00115458" w:rsidRPr="00F4606C" w:rsidRDefault="00115458" w:rsidP="000C1365">
            <w:pPr>
              <w:jc w:val="center"/>
              <w:rPr>
                <w:rFonts w:cs="Arial"/>
                <w:b/>
              </w:rPr>
            </w:pPr>
            <w:r w:rsidRPr="00F4606C">
              <w:rPr>
                <w:rFonts w:cs="Arial"/>
                <w:b/>
              </w:rPr>
              <w:t>Late</w:t>
            </w:r>
          </w:p>
        </w:tc>
      </w:tr>
      <w:tr w:rsidR="00115458" w:rsidRPr="00B35C0A" w14:paraId="78C31D36" w14:textId="77777777" w:rsidTr="00427C84">
        <w:trPr>
          <w:trHeight w:val="272"/>
        </w:trPr>
        <w:tc>
          <w:tcPr>
            <w:tcW w:w="471" w:type="pct"/>
            <w:vAlign w:val="center"/>
          </w:tcPr>
          <w:p w14:paraId="538BB3FA" w14:textId="77777777" w:rsidR="00115458" w:rsidRPr="00F4606C" w:rsidRDefault="00115458" w:rsidP="000C1365">
            <w:pPr>
              <w:jc w:val="center"/>
              <w:rPr>
                <w:rFonts w:cs="Arial"/>
              </w:rPr>
            </w:pPr>
            <w:r w:rsidRPr="00F4606C">
              <w:rPr>
                <w:rFonts w:cs="Arial"/>
              </w:rPr>
              <w:t>Dec</w:t>
            </w:r>
          </w:p>
        </w:tc>
        <w:tc>
          <w:tcPr>
            <w:tcW w:w="412" w:type="pct"/>
            <w:vAlign w:val="center"/>
          </w:tcPr>
          <w:p w14:paraId="31844DD8" w14:textId="77777777" w:rsidR="00115458" w:rsidRPr="00F4606C" w:rsidRDefault="00115458" w:rsidP="000C1365">
            <w:pPr>
              <w:jc w:val="center"/>
              <w:rPr>
                <w:rFonts w:cs="Arial"/>
              </w:rPr>
            </w:pPr>
            <w:r w:rsidRPr="00F4606C">
              <w:rPr>
                <w:rFonts w:cs="Arial"/>
              </w:rPr>
              <w:t>Jan</w:t>
            </w:r>
          </w:p>
        </w:tc>
        <w:tc>
          <w:tcPr>
            <w:tcW w:w="412" w:type="pct"/>
            <w:vAlign w:val="center"/>
          </w:tcPr>
          <w:p w14:paraId="3BAB3102" w14:textId="77777777" w:rsidR="00115458" w:rsidRPr="00F4606C" w:rsidRDefault="00115458" w:rsidP="000C1365">
            <w:pPr>
              <w:jc w:val="center"/>
              <w:rPr>
                <w:rFonts w:cs="Arial"/>
              </w:rPr>
            </w:pPr>
            <w:r w:rsidRPr="00F4606C">
              <w:rPr>
                <w:rFonts w:cs="Arial"/>
              </w:rPr>
              <w:t>Feb</w:t>
            </w:r>
          </w:p>
        </w:tc>
        <w:tc>
          <w:tcPr>
            <w:tcW w:w="412" w:type="pct"/>
            <w:vAlign w:val="center"/>
          </w:tcPr>
          <w:p w14:paraId="3183F5E4" w14:textId="77777777" w:rsidR="00115458" w:rsidRPr="00F4606C" w:rsidRDefault="00115458" w:rsidP="000C1365">
            <w:pPr>
              <w:jc w:val="center"/>
              <w:rPr>
                <w:rFonts w:cs="Arial"/>
              </w:rPr>
            </w:pPr>
            <w:r w:rsidRPr="00F4606C">
              <w:rPr>
                <w:rFonts w:cs="Arial"/>
              </w:rPr>
              <w:t>Mar</w:t>
            </w:r>
          </w:p>
        </w:tc>
        <w:tc>
          <w:tcPr>
            <w:tcW w:w="412" w:type="pct"/>
            <w:vAlign w:val="center"/>
          </w:tcPr>
          <w:p w14:paraId="2E7CEF57" w14:textId="77777777" w:rsidR="00115458" w:rsidRPr="00F4606C" w:rsidRDefault="00115458" w:rsidP="000C1365">
            <w:pPr>
              <w:jc w:val="center"/>
              <w:rPr>
                <w:rFonts w:cs="Arial"/>
              </w:rPr>
            </w:pPr>
            <w:r w:rsidRPr="00F4606C">
              <w:rPr>
                <w:rFonts w:cs="Arial"/>
              </w:rPr>
              <w:t>Apr</w:t>
            </w:r>
          </w:p>
        </w:tc>
        <w:tc>
          <w:tcPr>
            <w:tcW w:w="413" w:type="pct"/>
            <w:vAlign w:val="center"/>
          </w:tcPr>
          <w:p w14:paraId="09F6A956" w14:textId="77777777" w:rsidR="00115458" w:rsidRPr="00F4606C" w:rsidRDefault="00115458" w:rsidP="000C1365">
            <w:pPr>
              <w:jc w:val="center"/>
              <w:rPr>
                <w:rFonts w:cs="Arial"/>
              </w:rPr>
            </w:pPr>
            <w:r w:rsidRPr="00F4606C">
              <w:rPr>
                <w:rFonts w:cs="Arial"/>
              </w:rPr>
              <w:t>May</w:t>
            </w:r>
          </w:p>
        </w:tc>
        <w:tc>
          <w:tcPr>
            <w:tcW w:w="470" w:type="pct"/>
            <w:vAlign w:val="center"/>
          </w:tcPr>
          <w:p w14:paraId="56CAFBB8" w14:textId="77777777" w:rsidR="00115458" w:rsidRPr="00F4606C" w:rsidRDefault="00115458" w:rsidP="000C1365">
            <w:pPr>
              <w:ind w:right="-33"/>
              <w:jc w:val="center"/>
              <w:rPr>
                <w:rFonts w:cs="Arial"/>
              </w:rPr>
            </w:pPr>
            <w:r w:rsidRPr="00F4606C">
              <w:rPr>
                <w:rFonts w:cs="Arial"/>
              </w:rPr>
              <w:t>Jun</w:t>
            </w:r>
          </w:p>
        </w:tc>
        <w:tc>
          <w:tcPr>
            <w:tcW w:w="412" w:type="pct"/>
            <w:vAlign w:val="center"/>
          </w:tcPr>
          <w:p w14:paraId="44279384" w14:textId="77777777" w:rsidR="00115458" w:rsidRPr="00F4606C" w:rsidRDefault="00115458" w:rsidP="000C1365">
            <w:pPr>
              <w:jc w:val="center"/>
              <w:rPr>
                <w:rFonts w:cs="Arial"/>
              </w:rPr>
            </w:pPr>
            <w:r w:rsidRPr="00F4606C">
              <w:rPr>
                <w:rFonts w:cs="Arial"/>
              </w:rPr>
              <w:t>Jul</w:t>
            </w:r>
          </w:p>
        </w:tc>
        <w:tc>
          <w:tcPr>
            <w:tcW w:w="412" w:type="pct"/>
            <w:vAlign w:val="center"/>
          </w:tcPr>
          <w:p w14:paraId="3D530858" w14:textId="77777777" w:rsidR="00115458" w:rsidRPr="00F4606C" w:rsidRDefault="00115458" w:rsidP="000C1365">
            <w:pPr>
              <w:jc w:val="center"/>
              <w:rPr>
                <w:rFonts w:cs="Arial"/>
              </w:rPr>
            </w:pPr>
            <w:r w:rsidRPr="00F4606C">
              <w:rPr>
                <w:rFonts w:cs="Arial"/>
              </w:rPr>
              <w:t>Aug</w:t>
            </w:r>
          </w:p>
        </w:tc>
        <w:tc>
          <w:tcPr>
            <w:tcW w:w="412" w:type="pct"/>
            <w:vAlign w:val="center"/>
          </w:tcPr>
          <w:p w14:paraId="3573E632" w14:textId="77777777" w:rsidR="00115458" w:rsidRPr="00F4606C" w:rsidRDefault="00115458" w:rsidP="000C1365">
            <w:pPr>
              <w:jc w:val="center"/>
              <w:rPr>
                <w:rFonts w:cs="Arial"/>
              </w:rPr>
            </w:pPr>
            <w:r w:rsidRPr="00F4606C">
              <w:rPr>
                <w:rFonts w:cs="Arial"/>
              </w:rPr>
              <w:t>Sep</w:t>
            </w:r>
          </w:p>
        </w:tc>
        <w:tc>
          <w:tcPr>
            <w:tcW w:w="412" w:type="pct"/>
            <w:vAlign w:val="center"/>
          </w:tcPr>
          <w:p w14:paraId="3A52D7EB" w14:textId="77777777" w:rsidR="00115458" w:rsidRPr="00F4606C" w:rsidRDefault="00115458" w:rsidP="000C1365">
            <w:pPr>
              <w:jc w:val="center"/>
              <w:rPr>
                <w:rFonts w:cs="Arial"/>
              </w:rPr>
            </w:pPr>
            <w:r w:rsidRPr="00F4606C">
              <w:rPr>
                <w:rFonts w:cs="Arial"/>
              </w:rPr>
              <w:t>Oct</w:t>
            </w:r>
          </w:p>
        </w:tc>
        <w:tc>
          <w:tcPr>
            <w:tcW w:w="350" w:type="pct"/>
            <w:vAlign w:val="center"/>
          </w:tcPr>
          <w:p w14:paraId="17321E5A" w14:textId="77777777" w:rsidR="00115458" w:rsidRPr="00F4606C" w:rsidRDefault="00115458" w:rsidP="000C1365">
            <w:pPr>
              <w:jc w:val="center"/>
              <w:rPr>
                <w:rFonts w:cs="Arial"/>
              </w:rPr>
            </w:pPr>
            <w:r w:rsidRPr="00F4606C">
              <w:rPr>
                <w:rFonts w:cs="Arial"/>
              </w:rPr>
              <w:t>Nov</w:t>
            </w:r>
          </w:p>
        </w:tc>
      </w:tr>
    </w:tbl>
    <w:p w14:paraId="70449B7F" w14:textId="77777777" w:rsidR="00115458" w:rsidRPr="00B35C0A" w:rsidRDefault="00115458" w:rsidP="00115458">
      <w:pPr>
        <w:rPr>
          <w:rFonts w:cs="Arial"/>
          <w:sz w:val="16"/>
          <w:szCs w:val="16"/>
        </w:rPr>
      </w:pPr>
    </w:p>
    <w:p w14:paraId="130E5325" w14:textId="77777777" w:rsidR="00115458" w:rsidRDefault="00115458" w:rsidP="00115458">
      <w:pPr>
        <w:rPr>
          <w:rFonts w:cs="Arial"/>
          <w:szCs w:val="22"/>
        </w:rPr>
      </w:pPr>
      <w:r w:rsidRPr="00B35C0A">
        <w:rPr>
          <w:rFonts w:cs="Arial"/>
          <w:szCs w:val="22"/>
        </w:rPr>
        <w:t>An exception to this rule is for entities that have joined a corporate entity group that already has a late December balancing date.</w:t>
      </w:r>
    </w:p>
    <w:p w14:paraId="27987D99" w14:textId="77777777" w:rsidR="00115458" w:rsidRPr="00F4606C" w:rsidRDefault="00115458" w:rsidP="00115458">
      <w:pPr>
        <w:pStyle w:val="Heading4"/>
        <w:rPr>
          <w:sz w:val="24"/>
          <w:szCs w:val="24"/>
        </w:rPr>
      </w:pPr>
      <w:bookmarkStart w:id="626" w:name="_Toc5192699"/>
      <w:bookmarkStart w:id="627" w:name="OLE_LINK1"/>
      <w:r w:rsidRPr="00F4606C">
        <w:rPr>
          <w:sz w:val="24"/>
          <w:szCs w:val="24"/>
        </w:rPr>
        <w:t>SAP fields and rules</w:t>
      </w:r>
      <w:bookmarkEnd w:id="626"/>
    </w:p>
    <w:bookmarkEnd w:id="627"/>
    <w:p w14:paraId="2017112E" w14:textId="77777777" w:rsidR="00115458" w:rsidRPr="0014308E" w:rsidRDefault="00115458" w:rsidP="00F4606C">
      <w:pPr>
        <w:spacing w:after="0" w:line="240" w:lineRule="auto"/>
        <w:rPr>
          <w:rFonts w:cs="Arial"/>
        </w:rPr>
      </w:pPr>
      <w:r w:rsidRPr="0014308E">
        <w:rPr>
          <w:rFonts w:cs="Arial"/>
        </w:rPr>
        <w:t>If an investment body meets the AIIR SAP conditions, rules apply for specific fields including the reporting of each payment and date of payment separately.</w:t>
      </w:r>
    </w:p>
    <w:p w14:paraId="2FFAC6D6" w14:textId="77777777" w:rsidR="00115458" w:rsidRPr="0014308E" w:rsidRDefault="00115458" w:rsidP="00F4606C">
      <w:pPr>
        <w:spacing w:after="0" w:line="240" w:lineRule="auto"/>
        <w:rPr>
          <w:rFonts w:cs="Arial"/>
        </w:rPr>
      </w:pPr>
    </w:p>
    <w:p w14:paraId="42AAD144" w14:textId="77777777" w:rsidR="00115458" w:rsidRPr="0014308E" w:rsidRDefault="00115458" w:rsidP="00F4606C">
      <w:pPr>
        <w:spacing w:after="0" w:line="240" w:lineRule="auto"/>
        <w:rPr>
          <w:rFonts w:cs="Arial"/>
        </w:rPr>
      </w:pPr>
      <w:hyperlink w:anchor="r7_070" w:history="1">
        <w:r w:rsidRPr="0014308E">
          <w:rPr>
            <w:rStyle w:val="Hyperlink"/>
            <w:rFonts w:cs="Arial"/>
          </w:rPr>
          <w:t>9.70</w:t>
        </w:r>
      </w:hyperlink>
      <w:r w:rsidRPr="0014308E">
        <w:rPr>
          <w:rFonts w:cs="Arial"/>
          <w:b/>
        </w:rPr>
        <w:tab/>
      </w:r>
      <w:r w:rsidRPr="0014308E">
        <w:rPr>
          <w:rFonts w:cs="Arial"/>
          <w:b/>
          <w:i/>
        </w:rPr>
        <w:t>Date of payment</w:t>
      </w:r>
      <w:r w:rsidRPr="0014308E">
        <w:rPr>
          <w:rFonts w:cs="Arial"/>
        </w:rPr>
        <w:t xml:space="preserve"> – Where an investment body is operating on a SAP and making payments to investors operating on the same SAP and reporting in accordance with its own SAP, the actual date of payment of each payment must be reported.</w:t>
      </w:r>
    </w:p>
    <w:p w14:paraId="2E2AE928" w14:textId="77777777" w:rsidR="00115458" w:rsidRPr="0014308E" w:rsidRDefault="00115458" w:rsidP="00F4606C">
      <w:pPr>
        <w:spacing w:after="0" w:line="240" w:lineRule="auto"/>
        <w:rPr>
          <w:rFonts w:cs="Arial"/>
        </w:rPr>
      </w:pPr>
    </w:p>
    <w:p w14:paraId="3F3F7A00" w14:textId="77777777" w:rsidR="00115458" w:rsidRPr="0014308E" w:rsidRDefault="00115458" w:rsidP="00F4606C">
      <w:pPr>
        <w:spacing w:after="0" w:line="240" w:lineRule="auto"/>
        <w:rPr>
          <w:rFonts w:cs="Arial"/>
        </w:rPr>
      </w:pPr>
      <w:r w:rsidRPr="0014308E">
        <w:rPr>
          <w:rFonts w:cs="Arial"/>
          <w:b/>
        </w:rPr>
        <w:t>9.5</w:t>
      </w:r>
      <w:r w:rsidRPr="0014308E">
        <w:rPr>
          <w:rFonts w:cs="Arial"/>
          <w:b/>
        </w:rPr>
        <w:tab/>
      </w:r>
      <w:r w:rsidRPr="00F4606C">
        <w:rPr>
          <w:rStyle w:val="MaintextCharChar"/>
          <w:rFonts w:asciiTheme="minorHAnsi" w:eastAsiaTheme="minorEastAsia" w:hAnsiTheme="minorHAnsi" w:cs="Arial"/>
          <w:b/>
          <w:i/>
          <w:sz w:val="20"/>
          <w:szCs w:val="20"/>
        </w:rPr>
        <w:t>Financial year end date</w:t>
      </w:r>
      <w:r w:rsidRPr="0014308E">
        <w:rPr>
          <w:rFonts w:cs="Arial"/>
        </w:rPr>
        <w:t xml:space="preserve"> - the end date of the financial year to which all reports in the file relate.</w:t>
      </w:r>
    </w:p>
    <w:p w14:paraId="01381D02" w14:textId="77777777" w:rsidR="00115458" w:rsidRPr="0014308E" w:rsidRDefault="00115458" w:rsidP="00F4606C">
      <w:pPr>
        <w:spacing w:after="0" w:line="240" w:lineRule="auto"/>
        <w:rPr>
          <w:rFonts w:cs="Arial"/>
        </w:rPr>
      </w:pPr>
    </w:p>
    <w:p w14:paraId="60BD8262" w14:textId="77777777" w:rsidR="00115458" w:rsidRPr="0014308E" w:rsidRDefault="00115458" w:rsidP="00F4606C">
      <w:pPr>
        <w:spacing w:after="0" w:line="240" w:lineRule="auto"/>
        <w:rPr>
          <w:rFonts w:cs="Arial"/>
        </w:rPr>
      </w:pPr>
      <w:r w:rsidRPr="0014308E">
        <w:rPr>
          <w:rFonts w:cs="Arial"/>
          <w:b/>
        </w:rPr>
        <w:t>9.30</w:t>
      </w:r>
      <w:r w:rsidRPr="0014308E">
        <w:rPr>
          <w:rFonts w:cs="Arial"/>
          <w:b/>
        </w:rPr>
        <w:tab/>
      </w:r>
      <w:r w:rsidRPr="00F4606C">
        <w:rPr>
          <w:rStyle w:val="MaintextCharChar"/>
          <w:rFonts w:asciiTheme="minorHAnsi" w:eastAsiaTheme="minorEastAsia" w:hAnsiTheme="minorHAnsi" w:cs="Arial"/>
          <w:b/>
          <w:i/>
          <w:sz w:val="20"/>
          <w:szCs w:val="20"/>
        </w:rPr>
        <w:t>Financial year</w:t>
      </w:r>
      <w:r w:rsidRPr="0014308E">
        <w:rPr>
          <w:rFonts w:cs="Arial"/>
        </w:rPr>
        <w:t xml:space="preserve"> - the investment body reports the financial year to which the payment relates.</w:t>
      </w:r>
    </w:p>
    <w:p w14:paraId="613FCD55" w14:textId="77777777" w:rsidR="00115458" w:rsidRPr="0014308E" w:rsidRDefault="00115458" w:rsidP="00F4606C">
      <w:pPr>
        <w:spacing w:after="0" w:line="240" w:lineRule="auto"/>
        <w:rPr>
          <w:rFonts w:cs="Arial"/>
        </w:rPr>
      </w:pPr>
    </w:p>
    <w:p w14:paraId="67B5121D" w14:textId="77777777" w:rsidR="00115458" w:rsidRPr="0014308E" w:rsidRDefault="00115458" w:rsidP="00F4606C">
      <w:pPr>
        <w:spacing w:after="0" w:line="240" w:lineRule="auto"/>
        <w:rPr>
          <w:rFonts w:cs="Arial"/>
        </w:rPr>
      </w:pPr>
      <w:r w:rsidRPr="0014308E">
        <w:rPr>
          <w:rFonts w:cs="Arial"/>
          <w:b/>
        </w:rPr>
        <w:t>9.44</w:t>
      </w:r>
      <w:r w:rsidRPr="0014308E">
        <w:rPr>
          <w:rFonts w:cs="Arial"/>
          <w:b/>
        </w:rPr>
        <w:tab/>
      </w:r>
      <w:r w:rsidRPr="00F4606C">
        <w:rPr>
          <w:rStyle w:val="MaintextCharChar"/>
          <w:rFonts w:asciiTheme="minorHAnsi" w:eastAsiaTheme="minorEastAsia" w:hAnsiTheme="minorHAnsi" w:cs="Arial"/>
          <w:b/>
          <w:i/>
          <w:sz w:val="20"/>
          <w:szCs w:val="20"/>
        </w:rPr>
        <w:t>Reporting period indicator</w:t>
      </w:r>
      <w:r w:rsidRPr="0014308E">
        <w:rPr>
          <w:rFonts w:cs="Arial"/>
        </w:rPr>
        <w:t xml:space="preserve"> - must equal </w:t>
      </w:r>
      <w:r w:rsidRPr="0014308E">
        <w:rPr>
          <w:rFonts w:cs="Arial"/>
          <w:b/>
        </w:rPr>
        <w:t>S</w:t>
      </w:r>
      <w:r w:rsidRPr="0014308E">
        <w:rPr>
          <w:rFonts w:cs="Arial"/>
        </w:rPr>
        <w:t>.</w:t>
      </w:r>
    </w:p>
    <w:p w14:paraId="2884D361" w14:textId="77777777" w:rsidR="00115458" w:rsidRPr="0014308E" w:rsidRDefault="00115458" w:rsidP="00F4606C">
      <w:pPr>
        <w:spacing w:after="0" w:line="240" w:lineRule="auto"/>
        <w:rPr>
          <w:rFonts w:cs="Arial"/>
        </w:rPr>
      </w:pPr>
    </w:p>
    <w:p w14:paraId="0AADF8D9" w14:textId="77777777" w:rsidR="00115458" w:rsidRPr="0014308E" w:rsidRDefault="00115458" w:rsidP="00F4606C">
      <w:pPr>
        <w:spacing w:after="0" w:line="240" w:lineRule="auto"/>
        <w:rPr>
          <w:rFonts w:cs="Arial"/>
        </w:rPr>
      </w:pPr>
      <w:r w:rsidRPr="0014308E">
        <w:rPr>
          <w:rFonts w:cs="Arial"/>
          <w:b/>
          <w:bCs/>
        </w:rPr>
        <w:t>9.45</w:t>
      </w:r>
      <w:r w:rsidRPr="0014308E">
        <w:tab/>
      </w:r>
      <w:r w:rsidRPr="00F4606C">
        <w:rPr>
          <w:rStyle w:val="MaintextCharChar"/>
          <w:rFonts w:asciiTheme="minorHAnsi" w:eastAsiaTheme="minorEastAsia" w:hAnsiTheme="minorHAnsi" w:cs="Arial"/>
          <w:b/>
          <w:bCs/>
          <w:i/>
          <w:iCs/>
          <w:sz w:val="20"/>
          <w:szCs w:val="20"/>
        </w:rPr>
        <w:t>SAP year end date</w:t>
      </w:r>
      <w:r w:rsidRPr="0014308E">
        <w:rPr>
          <w:rFonts w:cs="Arial"/>
        </w:rPr>
        <w:t xml:space="preserve"> - the SAP year end date or balancing date. The dates reported at this field and the </w:t>
      </w:r>
      <w:r w:rsidRPr="0014308E">
        <w:rPr>
          <w:rFonts w:cs="Arial"/>
          <w:i/>
          <w:iCs/>
        </w:rPr>
        <w:t xml:space="preserve">Financial year end date </w:t>
      </w:r>
      <w:r w:rsidRPr="0014308E">
        <w:rPr>
          <w:rFonts w:cs="Arial"/>
        </w:rPr>
        <w:t>(9.5) field will indicate whether the investment body is a late or early balancer.</w:t>
      </w:r>
    </w:p>
    <w:p w14:paraId="4F3050AF" w14:textId="77777777" w:rsidR="00115458" w:rsidRPr="0014308E" w:rsidRDefault="00115458" w:rsidP="00F4606C">
      <w:pPr>
        <w:spacing w:after="0" w:line="240" w:lineRule="auto"/>
        <w:rPr>
          <w:rFonts w:cs="Arial"/>
        </w:rPr>
      </w:pPr>
    </w:p>
    <w:p w14:paraId="0B9417BA" w14:textId="77777777" w:rsidR="00115458" w:rsidRPr="0014308E" w:rsidRDefault="00115458" w:rsidP="00F4606C">
      <w:pPr>
        <w:spacing w:after="0" w:line="240" w:lineRule="auto"/>
        <w:rPr>
          <w:rFonts w:cs="Arial"/>
        </w:rPr>
      </w:pPr>
      <w:r w:rsidRPr="0014308E">
        <w:rPr>
          <w:rFonts w:cs="Arial"/>
        </w:rPr>
        <w:t>For example:</w:t>
      </w:r>
    </w:p>
    <w:p w14:paraId="4B5EFF5B" w14:textId="77777777" w:rsidR="00115458" w:rsidRPr="00B35C0A" w:rsidRDefault="00115458" w:rsidP="00115458">
      <w:pPr>
        <w:rPr>
          <w:rFonts w:cs="Arial"/>
          <w:szCs w:val="22"/>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151"/>
        <w:gridCol w:w="2006"/>
        <w:gridCol w:w="708"/>
        <w:gridCol w:w="679"/>
        <w:gridCol w:w="2004"/>
      </w:tblGrid>
      <w:tr w:rsidR="00115458" w:rsidRPr="00B35C0A" w14:paraId="3D3DD0CF" w14:textId="77777777" w:rsidTr="00F4606C">
        <w:trPr>
          <w:trHeight w:val="272"/>
          <w:tblHeader/>
        </w:trPr>
        <w:tc>
          <w:tcPr>
            <w:tcW w:w="1870" w:type="dxa"/>
            <w:vMerge w:val="restart"/>
            <w:shd w:val="clear" w:color="auto" w:fill="BFBFBF" w:themeFill="background1" w:themeFillShade="BF"/>
            <w:vAlign w:val="center"/>
          </w:tcPr>
          <w:p w14:paraId="16771629" w14:textId="77777777" w:rsidR="00115458" w:rsidRPr="00F4606C" w:rsidRDefault="00115458" w:rsidP="00F4606C">
            <w:pPr>
              <w:spacing w:after="0" w:line="240" w:lineRule="auto"/>
              <w:rPr>
                <w:rFonts w:cs="Arial"/>
                <w:b/>
              </w:rPr>
            </w:pPr>
            <w:r w:rsidRPr="00F4606C">
              <w:rPr>
                <w:rFonts w:cs="Arial"/>
                <w:b/>
              </w:rPr>
              <w:t>SAP balancing date</w:t>
            </w:r>
          </w:p>
        </w:tc>
        <w:tc>
          <w:tcPr>
            <w:tcW w:w="1155" w:type="dxa"/>
            <w:vMerge w:val="restart"/>
            <w:shd w:val="clear" w:color="auto" w:fill="BFBFBF" w:themeFill="background1" w:themeFillShade="BF"/>
            <w:vAlign w:val="center"/>
          </w:tcPr>
          <w:p w14:paraId="7199DD09" w14:textId="77777777" w:rsidR="00115458" w:rsidRPr="00F4606C" w:rsidRDefault="00115458" w:rsidP="00F4606C">
            <w:pPr>
              <w:spacing w:after="0" w:line="240" w:lineRule="auto"/>
              <w:rPr>
                <w:rFonts w:cs="Arial"/>
                <w:b/>
              </w:rPr>
            </w:pPr>
            <w:r w:rsidRPr="00F4606C">
              <w:rPr>
                <w:rFonts w:cs="Arial"/>
                <w:b/>
              </w:rPr>
              <w:t>Early / late balancer</w:t>
            </w:r>
          </w:p>
        </w:tc>
        <w:tc>
          <w:tcPr>
            <w:tcW w:w="5363" w:type="dxa"/>
            <w:gridSpan w:val="4"/>
            <w:shd w:val="clear" w:color="auto" w:fill="BFBFBF" w:themeFill="background1" w:themeFillShade="BF"/>
            <w:vAlign w:val="center"/>
          </w:tcPr>
          <w:p w14:paraId="36C1A0AD" w14:textId="77777777" w:rsidR="00115458" w:rsidRPr="00F4606C" w:rsidRDefault="00115458" w:rsidP="00F4606C">
            <w:pPr>
              <w:spacing w:after="0" w:line="240" w:lineRule="auto"/>
              <w:jc w:val="center"/>
              <w:rPr>
                <w:rFonts w:cs="Arial"/>
                <w:b/>
              </w:rPr>
            </w:pPr>
            <w:r w:rsidRPr="00F4606C">
              <w:rPr>
                <w:rFonts w:cs="Arial"/>
                <w:b/>
              </w:rPr>
              <w:t>AIIR Fields</w:t>
            </w:r>
          </w:p>
        </w:tc>
      </w:tr>
      <w:tr w:rsidR="00115458" w:rsidRPr="00B35C0A" w14:paraId="64532C5F" w14:textId="77777777" w:rsidTr="00F4606C">
        <w:trPr>
          <w:trHeight w:val="272"/>
          <w:tblHeader/>
        </w:trPr>
        <w:tc>
          <w:tcPr>
            <w:tcW w:w="1870" w:type="dxa"/>
            <w:vMerge/>
            <w:shd w:val="clear" w:color="auto" w:fill="BFBFBF" w:themeFill="background1" w:themeFillShade="BF"/>
            <w:vAlign w:val="center"/>
          </w:tcPr>
          <w:p w14:paraId="07806560" w14:textId="77777777" w:rsidR="00115458" w:rsidRPr="00F4606C" w:rsidRDefault="00115458" w:rsidP="00F4606C">
            <w:pPr>
              <w:spacing w:after="0" w:line="240" w:lineRule="auto"/>
              <w:rPr>
                <w:rFonts w:cs="Arial"/>
                <w:b/>
              </w:rPr>
            </w:pPr>
          </w:p>
        </w:tc>
        <w:tc>
          <w:tcPr>
            <w:tcW w:w="1155" w:type="dxa"/>
            <w:vMerge/>
            <w:shd w:val="clear" w:color="auto" w:fill="BFBFBF" w:themeFill="background1" w:themeFillShade="BF"/>
            <w:vAlign w:val="center"/>
          </w:tcPr>
          <w:p w14:paraId="63BDD4FC" w14:textId="77777777" w:rsidR="00115458" w:rsidRPr="00F4606C" w:rsidRDefault="00115458" w:rsidP="00F4606C">
            <w:pPr>
              <w:spacing w:after="0" w:line="240" w:lineRule="auto"/>
              <w:rPr>
                <w:rFonts w:cs="Arial"/>
                <w:b/>
              </w:rPr>
            </w:pPr>
          </w:p>
        </w:tc>
        <w:tc>
          <w:tcPr>
            <w:tcW w:w="2045" w:type="dxa"/>
            <w:shd w:val="clear" w:color="auto" w:fill="BFBFBF" w:themeFill="background1" w:themeFillShade="BF"/>
            <w:vAlign w:val="center"/>
          </w:tcPr>
          <w:p w14:paraId="04A0C1D5" w14:textId="77777777" w:rsidR="00115458" w:rsidRPr="00F4606C" w:rsidRDefault="00115458" w:rsidP="00F4606C">
            <w:pPr>
              <w:spacing w:after="0" w:line="240" w:lineRule="auto"/>
              <w:rPr>
                <w:rFonts w:cs="Arial"/>
                <w:b/>
                <w:bCs/>
              </w:rPr>
            </w:pPr>
            <w:r w:rsidRPr="00F4606C">
              <w:rPr>
                <w:rFonts w:cs="Arial"/>
                <w:b/>
                <w:bCs/>
              </w:rPr>
              <w:t>9.5</w:t>
            </w:r>
          </w:p>
        </w:tc>
        <w:tc>
          <w:tcPr>
            <w:tcW w:w="708" w:type="dxa"/>
            <w:shd w:val="clear" w:color="auto" w:fill="BFBFBF" w:themeFill="background1" w:themeFillShade="BF"/>
            <w:vAlign w:val="center"/>
          </w:tcPr>
          <w:p w14:paraId="2638CCA4" w14:textId="77777777" w:rsidR="00115458" w:rsidRPr="00F4606C" w:rsidRDefault="00115458" w:rsidP="00F4606C">
            <w:pPr>
              <w:spacing w:after="0" w:line="240" w:lineRule="auto"/>
              <w:rPr>
                <w:rFonts w:cs="Arial"/>
                <w:b/>
              </w:rPr>
            </w:pPr>
            <w:r w:rsidRPr="00F4606C">
              <w:rPr>
                <w:rFonts w:cs="Arial"/>
                <w:b/>
              </w:rPr>
              <w:t>9.30</w:t>
            </w:r>
          </w:p>
        </w:tc>
        <w:tc>
          <w:tcPr>
            <w:tcW w:w="567" w:type="dxa"/>
            <w:shd w:val="clear" w:color="auto" w:fill="BFBFBF" w:themeFill="background1" w:themeFillShade="BF"/>
            <w:vAlign w:val="center"/>
          </w:tcPr>
          <w:p w14:paraId="6C0F7542" w14:textId="77777777" w:rsidR="00115458" w:rsidRPr="00F4606C" w:rsidRDefault="00115458" w:rsidP="00F4606C">
            <w:pPr>
              <w:spacing w:after="0" w:line="240" w:lineRule="auto"/>
              <w:rPr>
                <w:rFonts w:cs="Arial"/>
                <w:b/>
              </w:rPr>
            </w:pPr>
            <w:r w:rsidRPr="00F4606C">
              <w:rPr>
                <w:rFonts w:cs="Arial"/>
                <w:b/>
              </w:rPr>
              <w:t>9.44</w:t>
            </w:r>
          </w:p>
        </w:tc>
        <w:tc>
          <w:tcPr>
            <w:tcW w:w="2043" w:type="dxa"/>
            <w:shd w:val="clear" w:color="auto" w:fill="BFBFBF" w:themeFill="background1" w:themeFillShade="BF"/>
            <w:vAlign w:val="center"/>
          </w:tcPr>
          <w:p w14:paraId="28126255" w14:textId="77777777" w:rsidR="00115458" w:rsidRPr="00F4606C" w:rsidRDefault="00115458" w:rsidP="00F4606C">
            <w:pPr>
              <w:spacing w:after="0" w:line="240" w:lineRule="auto"/>
              <w:rPr>
                <w:rFonts w:cs="Arial"/>
                <w:b/>
                <w:bCs/>
              </w:rPr>
            </w:pPr>
            <w:r w:rsidRPr="00F4606C">
              <w:rPr>
                <w:rFonts w:cs="Arial"/>
                <w:b/>
                <w:bCs/>
              </w:rPr>
              <w:t>9.45</w:t>
            </w:r>
          </w:p>
        </w:tc>
      </w:tr>
      <w:tr w:rsidR="00115458" w:rsidRPr="00B35C0A" w14:paraId="77A5469B" w14:textId="77777777" w:rsidTr="00427C84">
        <w:trPr>
          <w:trHeight w:val="272"/>
        </w:trPr>
        <w:tc>
          <w:tcPr>
            <w:tcW w:w="1870" w:type="dxa"/>
            <w:vAlign w:val="center"/>
          </w:tcPr>
          <w:p w14:paraId="65DA1C04" w14:textId="228417B6"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December 20</w:t>
            </w:r>
            <w:r w:rsidR="00C572B5">
              <w:rPr>
                <w:rFonts w:asciiTheme="minorHAnsi" w:hAnsiTheme="minorHAnsi" w:cs="Arial"/>
                <w:sz w:val="20"/>
                <w:szCs w:val="20"/>
              </w:rPr>
              <w:t>25</w:t>
            </w:r>
          </w:p>
        </w:tc>
        <w:tc>
          <w:tcPr>
            <w:tcW w:w="1155" w:type="dxa"/>
            <w:vAlign w:val="center"/>
          </w:tcPr>
          <w:p w14:paraId="7B71A7AE" w14:textId="77777777" w:rsidR="00115458" w:rsidRPr="00F4606C" w:rsidRDefault="00115458" w:rsidP="00F4606C">
            <w:pPr>
              <w:spacing w:after="0" w:line="240" w:lineRule="auto"/>
              <w:rPr>
                <w:rFonts w:cs="Arial"/>
              </w:rPr>
            </w:pPr>
            <w:r w:rsidRPr="00F4606C">
              <w:rPr>
                <w:rFonts w:cs="Arial"/>
              </w:rPr>
              <w:t>Early</w:t>
            </w:r>
          </w:p>
        </w:tc>
        <w:tc>
          <w:tcPr>
            <w:tcW w:w="2045" w:type="dxa"/>
            <w:vAlign w:val="center"/>
          </w:tcPr>
          <w:p w14:paraId="523AC36F" w14:textId="2737DA23" w:rsidR="00115458" w:rsidRPr="00F4606C" w:rsidRDefault="00115458" w:rsidP="00F4606C">
            <w:pPr>
              <w:spacing w:after="0" w:line="240" w:lineRule="auto"/>
              <w:rPr>
                <w:rFonts w:cs="Arial"/>
              </w:rPr>
            </w:pPr>
            <w:r w:rsidRPr="00F4606C">
              <w:rPr>
                <w:rFonts w:cs="Arial"/>
              </w:rPr>
              <w:t>30 June 20</w:t>
            </w:r>
            <w:r w:rsidR="00074468">
              <w:rPr>
                <w:rFonts w:cs="Arial"/>
              </w:rPr>
              <w:t>26</w:t>
            </w:r>
            <w:r w:rsidRPr="00F4606C">
              <w:rPr>
                <w:rFonts w:cs="Arial"/>
              </w:rPr>
              <w:t xml:space="preserve"> or</w:t>
            </w:r>
          </w:p>
          <w:p w14:paraId="336851AA" w14:textId="1EB152EB" w:rsidR="00115458" w:rsidRPr="00F4606C" w:rsidRDefault="00115458" w:rsidP="00F4606C">
            <w:pPr>
              <w:spacing w:after="0" w:line="240" w:lineRule="auto"/>
              <w:rPr>
                <w:rFonts w:cs="Arial"/>
              </w:rPr>
            </w:pPr>
            <w:r w:rsidRPr="00F4606C">
              <w:rPr>
                <w:rFonts w:cs="Arial"/>
              </w:rPr>
              <w:t>31 December 20</w:t>
            </w:r>
            <w:r w:rsidR="00074468">
              <w:rPr>
                <w:rFonts w:cs="Arial"/>
              </w:rPr>
              <w:t>25</w:t>
            </w:r>
          </w:p>
        </w:tc>
        <w:tc>
          <w:tcPr>
            <w:tcW w:w="708" w:type="dxa"/>
            <w:vAlign w:val="center"/>
          </w:tcPr>
          <w:p w14:paraId="4411C684" w14:textId="607106A3"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78F99509"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19D7675E" w14:textId="3BA73985" w:rsidR="00115458" w:rsidRPr="00F4606C" w:rsidRDefault="00115458" w:rsidP="00F4606C">
            <w:pPr>
              <w:spacing w:after="0" w:line="240" w:lineRule="auto"/>
              <w:rPr>
                <w:rFonts w:cs="Arial"/>
              </w:rPr>
            </w:pPr>
            <w:r w:rsidRPr="00F4606C">
              <w:rPr>
                <w:rFonts w:cs="Arial"/>
              </w:rPr>
              <w:t>31 December 20</w:t>
            </w:r>
            <w:r w:rsidR="002703C5">
              <w:rPr>
                <w:rFonts w:cs="Arial"/>
              </w:rPr>
              <w:t>25</w:t>
            </w:r>
          </w:p>
        </w:tc>
      </w:tr>
      <w:tr w:rsidR="00115458" w:rsidRPr="00B35C0A" w14:paraId="0A38CCD7" w14:textId="77777777" w:rsidTr="00427C84">
        <w:trPr>
          <w:trHeight w:val="272"/>
        </w:trPr>
        <w:tc>
          <w:tcPr>
            <w:tcW w:w="1870" w:type="dxa"/>
            <w:vAlign w:val="center"/>
          </w:tcPr>
          <w:p w14:paraId="1A9290C3" w14:textId="593E9449"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January 20</w:t>
            </w:r>
            <w:r w:rsidR="00C572B5">
              <w:rPr>
                <w:rFonts w:asciiTheme="minorHAnsi" w:hAnsiTheme="minorHAnsi" w:cs="Arial"/>
                <w:sz w:val="20"/>
                <w:szCs w:val="20"/>
              </w:rPr>
              <w:t>26</w:t>
            </w:r>
          </w:p>
        </w:tc>
        <w:tc>
          <w:tcPr>
            <w:tcW w:w="1155" w:type="dxa"/>
            <w:vAlign w:val="center"/>
          </w:tcPr>
          <w:p w14:paraId="03C84469" w14:textId="77777777" w:rsidR="00115458" w:rsidRPr="00F4606C" w:rsidRDefault="00115458" w:rsidP="00F4606C">
            <w:pPr>
              <w:spacing w:after="0" w:line="240" w:lineRule="auto"/>
              <w:rPr>
                <w:rFonts w:cs="Arial"/>
              </w:rPr>
            </w:pPr>
            <w:r w:rsidRPr="00F4606C">
              <w:rPr>
                <w:rFonts w:cs="Arial"/>
              </w:rPr>
              <w:t>Early</w:t>
            </w:r>
          </w:p>
        </w:tc>
        <w:tc>
          <w:tcPr>
            <w:tcW w:w="2045" w:type="dxa"/>
            <w:vAlign w:val="center"/>
          </w:tcPr>
          <w:p w14:paraId="34F53322" w14:textId="296D098E" w:rsidR="00115458" w:rsidRPr="00F4606C" w:rsidRDefault="00115458" w:rsidP="00F4606C">
            <w:pPr>
              <w:spacing w:after="0" w:line="240" w:lineRule="auto"/>
              <w:rPr>
                <w:rFonts w:cs="Arial"/>
              </w:rPr>
            </w:pPr>
            <w:r w:rsidRPr="00F4606C">
              <w:rPr>
                <w:rFonts w:cs="Arial"/>
              </w:rPr>
              <w:t>30 June 20</w:t>
            </w:r>
            <w:r w:rsidR="00074468">
              <w:rPr>
                <w:rFonts w:cs="Arial"/>
              </w:rPr>
              <w:t>26</w:t>
            </w:r>
            <w:r w:rsidRPr="00F4606C">
              <w:rPr>
                <w:rFonts w:cs="Arial"/>
              </w:rPr>
              <w:t xml:space="preserve"> or</w:t>
            </w:r>
          </w:p>
          <w:p w14:paraId="3DB761AA" w14:textId="099FC305" w:rsidR="00115458" w:rsidRPr="00F4606C" w:rsidRDefault="00115458" w:rsidP="00F4606C">
            <w:pPr>
              <w:spacing w:after="0" w:line="240" w:lineRule="auto"/>
              <w:rPr>
                <w:rFonts w:cs="Arial"/>
              </w:rPr>
            </w:pPr>
            <w:r w:rsidRPr="00F4606C">
              <w:rPr>
                <w:rFonts w:cs="Arial"/>
              </w:rPr>
              <w:t>31 January 20</w:t>
            </w:r>
            <w:r w:rsidR="00074468">
              <w:rPr>
                <w:rFonts w:cs="Arial"/>
              </w:rPr>
              <w:t>26</w:t>
            </w:r>
          </w:p>
        </w:tc>
        <w:tc>
          <w:tcPr>
            <w:tcW w:w="708" w:type="dxa"/>
            <w:vAlign w:val="center"/>
          </w:tcPr>
          <w:p w14:paraId="3F2A8715" w14:textId="3975B667"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5D8CFFAD"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053981E4" w14:textId="7D10BC25" w:rsidR="00115458" w:rsidRPr="00F4606C" w:rsidRDefault="00115458" w:rsidP="00F4606C">
            <w:pPr>
              <w:spacing w:after="0" w:line="240" w:lineRule="auto"/>
              <w:rPr>
                <w:rFonts w:cs="Arial"/>
              </w:rPr>
            </w:pPr>
            <w:r w:rsidRPr="00F4606C">
              <w:rPr>
                <w:rFonts w:cs="Arial"/>
              </w:rPr>
              <w:t>31 January 20</w:t>
            </w:r>
            <w:r w:rsidR="002703C5">
              <w:rPr>
                <w:rFonts w:cs="Arial"/>
              </w:rPr>
              <w:t>26</w:t>
            </w:r>
          </w:p>
        </w:tc>
      </w:tr>
      <w:tr w:rsidR="00115458" w:rsidRPr="00B35C0A" w14:paraId="0ECA6D2D" w14:textId="77777777" w:rsidTr="00427C84">
        <w:trPr>
          <w:trHeight w:val="272"/>
        </w:trPr>
        <w:tc>
          <w:tcPr>
            <w:tcW w:w="1870" w:type="dxa"/>
            <w:vAlign w:val="center"/>
          </w:tcPr>
          <w:p w14:paraId="401712BF" w14:textId="371D250B"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28 February 20</w:t>
            </w:r>
            <w:r w:rsidR="00C572B5">
              <w:rPr>
                <w:rFonts w:asciiTheme="minorHAnsi" w:hAnsiTheme="minorHAnsi" w:cs="Arial"/>
                <w:sz w:val="20"/>
                <w:szCs w:val="20"/>
              </w:rPr>
              <w:t>26</w:t>
            </w:r>
          </w:p>
        </w:tc>
        <w:tc>
          <w:tcPr>
            <w:tcW w:w="1155" w:type="dxa"/>
            <w:vAlign w:val="center"/>
          </w:tcPr>
          <w:p w14:paraId="5036FD88" w14:textId="77777777" w:rsidR="00115458" w:rsidRPr="00F4606C" w:rsidRDefault="00115458" w:rsidP="00F4606C">
            <w:pPr>
              <w:spacing w:after="0" w:line="240" w:lineRule="auto"/>
              <w:rPr>
                <w:rFonts w:cs="Arial"/>
              </w:rPr>
            </w:pPr>
            <w:r w:rsidRPr="00F4606C">
              <w:rPr>
                <w:rFonts w:cs="Arial"/>
              </w:rPr>
              <w:t>Early</w:t>
            </w:r>
          </w:p>
        </w:tc>
        <w:tc>
          <w:tcPr>
            <w:tcW w:w="2045" w:type="dxa"/>
            <w:vAlign w:val="center"/>
          </w:tcPr>
          <w:p w14:paraId="68A92392" w14:textId="4AC74D9E" w:rsidR="00115458" w:rsidRPr="00F4606C" w:rsidRDefault="00115458" w:rsidP="00F4606C">
            <w:pPr>
              <w:spacing w:after="0" w:line="240" w:lineRule="auto"/>
              <w:rPr>
                <w:rFonts w:cs="Arial"/>
              </w:rPr>
            </w:pPr>
            <w:r w:rsidRPr="00F4606C">
              <w:rPr>
                <w:rFonts w:cs="Arial"/>
              </w:rPr>
              <w:t>30 June 20</w:t>
            </w:r>
            <w:r w:rsidR="00074468">
              <w:rPr>
                <w:rFonts w:cs="Arial"/>
              </w:rPr>
              <w:t>26</w:t>
            </w:r>
            <w:r w:rsidRPr="00F4606C">
              <w:rPr>
                <w:rFonts w:cs="Arial"/>
              </w:rPr>
              <w:t xml:space="preserve"> or</w:t>
            </w:r>
          </w:p>
          <w:p w14:paraId="3BC677B9" w14:textId="5D813409" w:rsidR="00115458" w:rsidRPr="00F4606C" w:rsidRDefault="00115458" w:rsidP="00F4606C">
            <w:pPr>
              <w:spacing w:after="0" w:line="240" w:lineRule="auto"/>
              <w:rPr>
                <w:rFonts w:cs="Arial"/>
              </w:rPr>
            </w:pPr>
            <w:r w:rsidRPr="00F4606C">
              <w:rPr>
                <w:rFonts w:cs="Arial"/>
              </w:rPr>
              <w:t>28 February 20</w:t>
            </w:r>
            <w:r w:rsidR="00074468">
              <w:rPr>
                <w:rFonts w:cs="Arial"/>
              </w:rPr>
              <w:t>26</w:t>
            </w:r>
          </w:p>
        </w:tc>
        <w:tc>
          <w:tcPr>
            <w:tcW w:w="708" w:type="dxa"/>
            <w:vAlign w:val="center"/>
          </w:tcPr>
          <w:p w14:paraId="47EBCC53" w14:textId="26E2D830"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3C0A5702"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73B8ACCF" w14:textId="5C514407" w:rsidR="00115458" w:rsidRPr="00F4606C" w:rsidRDefault="00115458" w:rsidP="00F4606C">
            <w:pPr>
              <w:spacing w:after="0" w:line="240" w:lineRule="auto"/>
              <w:rPr>
                <w:rFonts w:cs="Arial"/>
              </w:rPr>
            </w:pPr>
            <w:r w:rsidRPr="00F4606C">
              <w:rPr>
                <w:rFonts w:cs="Arial"/>
              </w:rPr>
              <w:t>28 February 20</w:t>
            </w:r>
            <w:r w:rsidR="002703C5">
              <w:rPr>
                <w:rFonts w:cs="Arial"/>
              </w:rPr>
              <w:t>26</w:t>
            </w:r>
          </w:p>
        </w:tc>
      </w:tr>
      <w:tr w:rsidR="00115458" w:rsidRPr="00B35C0A" w14:paraId="27795DCA" w14:textId="77777777" w:rsidTr="00427C84">
        <w:trPr>
          <w:trHeight w:val="272"/>
        </w:trPr>
        <w:tc>
          <w:tcPr>
            <w:tcW w:w="1870" w:type="dxa"/>
            <w:vAlign w:val="center"/>
          </w:tcPr>
          <w:p w14:paraId="06CB0116" w14:textId="32BD0AC3"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March 20</w:t>
            </w:r>
            <w:r w:rsidR="00C572B5">
              <w:rPr>
                <w:rFonts w:asciiTheme="minorHAnsi" w:hAnsiTheme="minorHAnsi" w:cs="Arial"/>
                <w:sz w:val="20"/>
                <w:szCs w:val="20"/>
              </w:rPr>
              <w:t>26</w:t>
            </w:r>
          </w:p>
        </w:tc>
        <w:tc>
          <w:tcPr>
            <w:tcW w:w="1155" w:type="dxa"/>
            <w:vAlign w:val="center"/>
          </w:tcPr>
          <w:p w14:paraId="34F56323"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Early</w:t>
            </w:r>
          </w:p>
        </w:tc>
        <w:tc>
          <w:tcPr>
            <w:tcW w:w="2045" w:type="dxa"/>
            <w:vAlign w:val="center"/>
          </w:tcPr>
          <w:p w14:paraId="44E90DC1" w14:textId="0ACB83FA"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June 20</w:t>
            </w:r>
            <w:r w:rsidR="00074468">
              <w:rPr>
                <w:rFonts w:asciiTheme="minorHAnsi" w:hAnsiTheme="minorHAnsi" w:cs="Arial"/>
                <w:sz w:val="20"/>
                <w:szCs w:val="20"/>
              </w:rPr>
              <w:t>26</w:t>
            </w:r>
            <w:r w:rsidRPr="00F4606C">
              <w:rPr>
                <w:rFonts w:asciiTheme="minorHAnsi" w:hAnsiTheme="minorHAnsi" w:cs="Arial"/>
                <w:sz w:val="20"/>
                <w:szCs w:val="20"/>
              </w:rPr>
              <w:t xml:space="preserve"> or</w:t>
            </w:r>
          </w:p>
          <w:p w14:paraId="3BC18F5D" w14:textId="77602649"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March 20</w:t>
            </w:r>
            <w:r w:rsidR="00074468">
              <w:rPr>
                <w:rFonts w:asciiTheme="minorHAnsi" w:hAnsiTheme="minorHAnsi" w:cs="Arial"/>
                <w:sz w:val="20"/>
                <w:szCs w:val="20"/>
              </w:rPr>
              <w:t>26</w:t>
            </w:r>
          </w:p>
        </w:tc>
        <w:tc>
          <w:tcPr>
            <w:tcW w:w="708" w:type="dxa"/>
            <w:vAlign w:val="center"/>
          </w:tcPr>
          <w:p w14:paraId="0BA5ABFE" w14:textId="0365B2CD"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20</w:t>
            </w:r>
            <w:r w:rsidR="002703C5" w:rsidRPr="002703C5">
              <w:rPr>
                <w:rFonts w:asciiTheme="minorHAnsi" w:hAnsiTheme="minorHAnsi" w:cs="Arial"/>
                <w:sz w:val="20"/>
                <w:szCs w:val="20"/>
              </w:rPr>
              <w:t>26</w:t>
            </w:r>
          </w:p>
        </w:tc>
        <w:tc>
          <w:tcPr>
            <w:tcW w:w="567" w:type="dxa"/>
            <w:vAlign w:val="center"/>
          </w:tcPr>
          <w:p w14:paraId="6DC3F481" w14:textId="77777777" w:rsidR="00115458" w:rsidRPr="00F4606C" w:rsidRDefault="00115458" w:rsidP="0014308E">
            <w:pPr>
              <w:pStyle w:val="Maintext"/>
              <w:jc w:val="center"/>
              <w:rPr>
                <w:rFonts w:asciiTheme="minorHAnsi" w:hAnsiTheme="minorHAnsi" w:cs="Arial"/>
                <w:sz w:val="20"/>
                <w:szCs w:val="20"/>
              </w:rPr>
            </w:pPr>
            <w:r w:rsidRPr="00F4606C">
              <w:rPr>
                <w:rFonts w:asciiTheme="minorHAnsi" w:hAnsiTheme="minorHAnsi" w:cs="Arial"/>
                <w:sz w:val="20"/>
                <w:szCs w:val="20"/>
              </w:rPr>
              <w:t>S</w:t>
            </w:r>
          </w:p>
        </w:tc>
        <w:tc>
          <w:tcPr>
            <w:tcW w:w="2043" w:type="dxa"/>
            <w:vAlign w:val="center"/>
          </w:tcPr>
          <w:p w14:paraId="1187F2C6" w14:textId="0D4AA718"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March 20</w:t>
            </w:r>
            <w:r w:rsidR="002703C5">
              <w:rPr>
                <w:rFonts w:asciiTheme="minorHAnsi" w:hAnsiTheme="minorHAnsi" w:cs="Arial"/>
                <w:sz w:val="20"/>
                <w:szCs w:val="20"/>
              </w:rPr>
              <w:t>26</w:t>
            </w:r>
          </w:p>
        </w:tc>
      </w:tr>
      <w:tr w:rsidR="00115458" w:rsidRPr="00B35C0A" w14:paraId="5F841ABF" w14:textId="77777777" w:rsidTr="00427C84">
        <w:trPr>
          <w:trHeight w:val="272"/>
        </w:trPr>
        <w:tc>
          <w:tcPr>
            <w:tcW w:w="1870" w:type="dxa"/>
            <w:vAlign w:val="center"/>
          </w:tcPr>
          <w:p w14:paraId="760FC946" w14:textId="39B14A4A"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April 20</w:t>
            </w:r>
            <w:r w:rsidR="00C572B5">
              <w:rPr>
                <w:rFonts w:asciiTheme="minorHAnsi" w:hAnsiTheme="minorHAnsi" w:cs="Arial"/>
                <w:sz w:val="20"/>
                <w:szCs w:val="20"/>
              </w:rPr>
              <w:t>26</w:t>
            </w:r>
          </w:p>
        </w:tc>
        <w:tc>
          <w:tcPr>
            <w:tcW w:w="1155" w:type="dxa"/>
            <w:vAlign w:val="center"/>
          </w:tcPr>
          <w:p w14:paraId="56A979CA"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Early</w:t>
            </w:r>
          </w:p>
        </w:tc>
        <w:tc>
          <w:tcPr>
            <w:tcW w:w="2045" w:type="dxa"/>
            <w:vAlign w:val="center"/>
          </w:tcPr>
          <w:p w14:paraId="3EB221DC" w14:textId="64172182"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June 20</w:t>
            </w:r>
            <w:r w:rsidR="00074468">
              <w:rPr>
                <w:rFonts w:asciiTheme="minorHAnsi" w:hAnsiTheme="minorHAnsi" w:cs="Arial"/>
                <w:sz w:val="20"/>
                <w:szCs w:val="20"/>
              </w:rPr>
              <w:t>26</w:t>
            </w:r>
            <w:r w:rsidRPr="00F4606C">
              <w:rPr>
                <w:rFonts w:asciiTheme="minorHAnsi" w:hAnsiTheme="minorHAnsi" w:cs="Arial"/>
                <w:sz w:val="20"/>
                <w:szCs w:val="20"/>
              </w:rPr>
              <w:t xml:space="preserve"> or</w:t>
            </w:r>
          </w:p>
          <w:p w14:paraId="52C9C8D7" w14:textId="1B92B8C9"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April 20</w:t>
            </w:r>
            <w:r w:rsidR="00074468">
              <w:rPr>
                <w:rFonts w:asciiTheme="minorHAnsi" w:hAnsiTheme="minorHAnsi" w:cs="Arial"/>
                <w:sz w:val="20"/>
                <w:szCs w:val="20"/>
              </w:rPr>
              <w:t>26</w:t>
            </w:r>
          </w:p>
        </w:tc>
        <w:tc>
          <w:tcPr>
            <w:tcW w:w="708" w:type="dxa"/>
            <w:vAlign w:val="center"/>
          </w:tcPr>
          <w:p w14:paraId="222ACABB" w14:textId="5B7B2745"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20</w:t>
            </w:r>
            <w:r w:rsidR="002703C5" w:rsidRPr="002703C5">
              <w:rPr>
                <w:rFonts w:asciiTheme="minorHAnsi" w:hAnsiTheme="minorHAnsi" w:cs="Arial"/>
                <w:sz w:val="20"/>
                <w:szCs w:val="20"/>
              </w:rPr>
              <w:t>26</w:t>
            </w:r>
          </w:p>
        </w:tc>
        <w:tc>
          <w:tcPr>
            <w:tcW w:w="567" w:type="dxa"/>
            <w:vAlign w:val="center"/>
          </w:tcPr>
          <w:p w14:paraId="5EB02D9E" w14:textId="77777777" w:rsidR="00115458" w:rsidRPr="00F4606C" w:rsidRDefault="00115458" w:rsidP="0014308E">
            <w:pPr>
              <w:pStyle w:val="Maintext"/>
              <w:jc w:val="center"/>
              <w:rPr>
                <w:rFonts w:asciiTheme="minorHAnsi" w:hAnsiTheme="minorHAnsi" w:cs="Arial"/>
                <w:sz w:val="20"/>
                <w:szCs w:val="20"/>
              </w:rPr>
            </w:pPr>
            <w:r w:rsidRPr="00F4606C">
              <w:rPr>
                <w:rFonts w:asciiTheme="minorHAnsi" w:hAnsiTheme="minorHAnsi" w:cs="Arial"/>
                <w:sz w:val="20"/>
                <w:szCs w:val="20"/>
              </w:rPr>
              <w:t>S</w:t>
            </w:r>
          </w:p>
        </w:tc>
        <w:tc>
          <w:tcPr>
            <w:tcW w:w="2043" w:type="dxa"/>
            <w:vAlign w:val="center"/>
          </w:tcPr>
          <w:p w14:paraId="27D2DD64" w14:textId="68ECB89D"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April 20</w:t>
            </w:r>
            <w:r w:rsidR="002703C5">
              <w:rPr>
                <w:rFonts w:asciiTheme="minorHAnsi" w:hAnsiTheme="minorHAnsi" w:cs="Arial"/>
                <w:sz w:val="20"/>
                <w:szCs w:val="20"/>
              </w:rPr>
              <w:t>26</w:t>
            </w:r>
          </w:p>
        </w:tc>
      </w:tr>
      <w:tr w:rsidR="00115458" w:rsidRPr="00B35C0A" w14:paraId="67F8B078" w14:textId="77777777" w:rsidTr="00427C84">
        <w:trPr>
          <w:trHeight w:val="272"/>
        </w:trPr>
        <w:tc>
          <w:tcPr>
            <w:tcW w:w="1870" w:type="dxa"/>
            <w:vAlign w:val="center"/>
          </w:tcPr>
          <w:p w14:paraId="6A02EDEC" w14:textId="6F55A455"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May 20</w:t>
            </w:r>
            <w:r w:rsidR="00C572B5">
              <w:rPr>
                <w:rFonts w:asciiTheme="minorHAnsi" w:hAnsiTheme="minorHAnsi" w:cs="Arial"/>
                <w:sz w:val="20"/>
                <w:szCs w:val="20"/>
              </w:rPr>
              <w:t>26</w:t>
            </w:r>
          </w:p>
        </w:tc>
        <w:tc>
          <w:tcPr>
            <w:tcW w:w="1155" w:type="dxa"/>
            <w:vAlign w:val="center"/>
          </w:tcPr>
          <w:p w14:paraId="0D6E5D17" w14:textId="7777777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Early</w:t>
            </w:r>
          </w:p>
        </w:tc>
        <w:tc>
          <w:tcPr>
            <w:tcW w:w="2045" w:type="dxa"/>
            <w:vAlign w:val="center"/>
          </w:tcPr>
          <w:p w14:paraId="5DF5F37A" w14:textId="664D7400"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June 20</w:t>
            </w:r>
            <w:r w:rsidR="002176D1">
              <w:rPr>
                <w:rFonts w:asciiTheme="minorHAnsi" w:hAnsiTheme="minorHAnsi" w:cs="Arial"/>
                <w:sz w:val="20"/>
                <w:szCs w:val="20"/>
              </w:rPr>
              <w:t>26</w:t>
            </w:r>
            <w:r w:rsidRPr="00F4606C">
              <w:rPr>
                <w:rFonts w:asciiTheme="minorHAnsi" w:hAnsiTheme="minorHAnsi" w:cs="Arial"/>
                <w:sz w:val="20"/>
                <w:szCs w:val="20"/>
              </w:rPr>
              <w:t xml:space="preserve"> or</w:t>
            </w:r>
          </w:p>
          <w:p w14:paraId="3F8A6B08" w14:textId="449A4D87"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May 20</w:t>
            </w:r>
            <w:r w:rsidR="002176D1">
              <w:rPr>
                <w:rFonts w:asciiTheme="minorHAnsi" w:hAnsiTheme="minorHAnsi" w:cs="Arial"/>
                <w:sz w:val="20"/>
                <w:szCs w:val="20"/>
              </w:rPr>
              <w:t>26</w:t>
            </w:r>
          </w:p>
        </w:tc>
        <w:tc>
          <w:tcPr>
            <w:tcW w:w="708" w:type="dxa"/>
            <w:vAlign w:val="center"/>
          </w:tcPr>
          <w:p w14:paraId="3C38F855" w14:textId="057A50FA"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20</w:t>
            </w:r>
            <w:r w:rsidR="002703C5">
              <w:rPr>
                <w:rFonts w:asciiTheme="minorHAnsi" w:hAnsiTheme="minorHAnsi" w:cs="Arial"/>
                <w:sz w:val="20"/>
                <w:szCs w:val="20"/>
              </w:rPr>
              <w:t>26</w:t>
            </w:r>
          </w:p>
        </w:tc>
        <w:tc>
          <w:tcPr>
            <w:tcW w:w="567" w:type="dxa"/>
            <w:vAlign w:val="center"/>
          </w:tcPr>
          <w:p w14:paraId="709BBA54" w14:textId="77777777" w:rsidR="00115458" w:rsidRPr="00F4606C" w:rsidRDefault="00115458" w:rsidP="0014308E">
            <w:pPr>
              <w:pStyle w:val="Maintext"/>
              <w:jc w:val="center"/>
              <w:rPr>
                <w:rFonts w:asciiTheme="minorHAnsi" w:hAnsiTheme="minorHAnsi" w:cs="Arial"/>
                <w:sz w:val="20"/>
                <w:szCs w:val="20"/>
              </w:rPr>
            </w:pPr>
            <w:r w:rsidRPr="00F4606C">
              <w:rPr>
                <w:rFonts w:asciiTheme="minorHAnsi" w:hAnsiTheme="minorHAnsi" w:cs="Arial"/>
                <w:sz w:val="20"/>
                <w:szCs w:val="20"/>
              </w:rPr>
              <w:t>S</w:t>
            </w:r>
          </w:p>
        </w:tc>
        <w:tc>
          <w:tcPr>
            <w:tcW w:w="2043" w:type="dxa"/>
            <w:vAlign w:val="center"/>
          </w:tcPr>
          <w:p w14:paraId="21482679" w14:textId="6911A4AD"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May 20</w:t>
            </w:r>
            <w:r w:rsidR="002703C5">
              <w:rPr>
                <w:rFonts w:asciiTheme="minorHAnsi" w:hAnsiTheme="minorHAnsi" w:cs="Arial"/>
                <w:sz w:val="20"/>
                <w:szCs w:val="20"/>
              </w:rPr>
              <w:t>26</w:t>
            </w:r>
          </w:p>
        </w:tc>
      </w:tr>
      <w:tr w:rsidR="00115458" w:rsidRPr="00B35C0A" w14:paraId="6D0A660D" w14:textId="77777777" w:rsidTr="00427C84">
        <w:trPr>
          <w:trHeight w:val="272"/>
        </w:trPr>
        <w:tc>
          <w:tcPr>
            <w:tcW w:w="1870" w:type="dxa"/>
            <w:vAlign w:val="center"/>
          </w:tcPr>
          <w:p w14:paraId="4A96D47E" w14:textId="58930296"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July 20</w:t>
            </w:r>
            <w:r w:rsidR="00074468">
              <w:rPr>
                <w:rFonts w:asciiTheme="minorHAnsi" w:hAnsiTheme="minorHAnsi" w:cs="Arial"/>
                <w:sz w:val="20"/>
                <w:szCs w:val="20"/>
              </w:rPr>
              <w:t>26</w:t>
            </w:r>
          </w:p>
        </w:tc>
        <w:tc>
          <w:tcPr>
            <w:tcW w:w="1155" w:type="dxa"/>
            <w:vAlign w:val="center"/>
          </w:tcPr>
          <w:p w14:paraId="1762CB01" w14:textId="77777777" w:rsidR="00115458" w:rsidRPr="00F4606C" w:rsidRDefault="00115458" w:rsidP="00F4606C">
            <w:pPr>
              <w:spacing w:after="0" w:line="240" w:lineRule="auto"/>
              <w:rPr>
                <w:rFonts w:cs="Arial"/>
              </w:rPr>
            </w:pPr>
            <w:r w:rsidRPr="00F4606C">
              <w:rPr>
                <w:rFonts w:cs="Arial"/>
              </w:rPr>
              <w:t>Late</w:t>
            </w:r>
          </w:p>
        </w:tc>
        <w:tc>
          <w:tcPr>
            <w:tcW w:w="2045" w:type="dxa"/>
            <w:vAlign w:val="center"/>
          </w:tcPr>
          <w:p w14:paraId="4412A80D" w14:textId="4C3ED4AE" w:rsidR="00115458" w:rsidRPr="00F4606C" w:rsidRDefault="00115458" w:rsidP="00F4606C">
            <w:pPr>
              <w:spacing w:after="0" w:line="240" w:lineRule="auto"/>
              <w:rPr>
                <w:rFonts w:cs="Arial"/>
              </w:rPr>
            </w:pPr>
            <w:r w:rsidRPr="00F4606C">
              <w:rPr>
                <w:rFonts w:cs="Arial"/>
              </w:rPr>
              <w:t>30 June 20</w:t>
            </w:r>
            <w:r w:rsidR="00325650">
              <w:rPr>
                <w:rFonts w:cs="Arial"/>
              </w:rPr>
              <w:t>26</w:t>
            </w:r>
            <w:r w:rsidRPr="00F4606C">
              <w:rPr>
                <w:rFonts w:cs="Arial"/>
              </w:rPr>
              <w:t xml:space="preserve"> or</w:t>
            </w:r>
          </w:p>
          <w:p w14:paraId="1AC5C787" w14:textId="31B6C8E2" w:rsidR="00115458" w:rsidRPr="00F4606C" w:rsidRDefault="00115458" w:rsidP="00F4606C">
            <w:pPr>
              <w:spacing w:after="0" w:line="240" w:lineRule="auto"/>
              <w:rPr>
                <w:rFonts w:cs="Arial"/>
              </w:rPr>
            </w:pPr>
            <w:r w:rsidRPr="00F4606C">
              <w:rPr>
                <w:rFonts w:cs="Arial"/>
              </w:rPr>
              <w:t>31 July 20</w:t>
            </w:r>
            <w:r w:rsidR="00325650">
              <w:rPr>
                <w:rFonts w:cs="Arial"/>
              </w:rPr>
              <w:t>26</w:t>
            </w:r>
          </w:p>
        </w:tc>
        <w:tc>
          <w:tcPr>
            <w:tcW w:w="708" w:type="dxa"/>
            <w:vAlign w:val="center"/>
          </w:tcPr>
          <w:p w14:paraId="3084407D" w14:textId="6DB2F633"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5CAAC8F6"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1EEC5F22" w14:textId="2CA1409A" w:rsidR="00115458" w:rsidRPr="00F4606C" w:rsidRDefault="00115458" w:rsidP="00F4606C">
            <w:pPr>
              <w:spacing w:after="0" w:line="240" w:lineRule="auto"/>
              <w:rPr>
                <w:rFonts w:cs="Arial"/>
              </w:rPr>
            </w:pPr>
            <w:r w:rsidRPr="00F4606C">
              <w:rPr>
                <w:rFonts w:cs="Arial"/>
              </w:rPr>
              <w:t>31 July 20</w:t>
            </w:r>
            <w:r w:rsidR="002703C5">
              <w:rPr>
                <w:rFonts w:cs="Arial"/>
              </w:rPr>
              <w:t>26</w:t>
            </w:r>
          </w:p>
        </w:tc>
      </w:tr>
      <w:tr w:rsidR="00115458" w:rsidRPr="00B35C0A" w14:paraId="39D1170B" w14:textId="77777777" w:rsidTr="00427C84">
        <w:trPr>
          <w:trHeight w:val="272"/>
        </w:trPr>
        <w:tc>
          <w:tcPr>
            <w:tcW w:w="1870" w:type="dxa"/>
            <w:vAlign w:val="center"/>
          </w:tcPr>
          <w:p w14:paraId="42FA0499" w14:textId="48D5550E"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August 20</w:t>
            </w:r>
            <w:r w:rsidR="00074468">
              <w:rPr>
                <w:rFonts w:asciiTheme="minorHAnsi" w:hAnsiTheme="minorHAnsi" w:cs="Arial"/>
                <w:sz w:val="20"/>
                <w:szCs w:val="20"/>
              </w:rPr>
              <w:t>26</w:t>
            </w:r>
          </w:p>
        </w:tc>
        <w:tc>
          <w:tcPr>
            <w:tcW w:w="1155" w:type="dxa"/>
            <w:vAlign w:val="center"/>
          </w:tcPr>
          <w:p w14:paraId="0C8F2F70" w14:textId="77777777" w:rsidR="00115458" w:rsidRPr="00F4606C" w:rsidRDefault="00115458" w:rsidP="00F4606C">
            <w:pPr>
              <w:spacing w:after="0" w:line="240" w:lineRule="auto"/>
              <w:rPr>
                <w:rFonts w:cs="Arial"/>
              </w:rPr>
            </w:pPr>
            <w:r w:rsidRPr="00F4606C">
              <w:rPr>
                <w:rFonts w:cs="Arial"/>
              </w:rPr>
              <w:t>Late</w:t>
            </w:r>
          </w:p>
        </w:tc>
        <w:tc>
          <w:tcPr>
            <w:tcW w:w="2045" w:type="dxa"/>
            <w:vAlign w:val="center"/>
          </w:tcPr>
          <w:p w14:paraId="6C1B8499" w14:textId="7A2DCE64" w:rsidR="00115458" w:rsidRPr="00F4606C" w:rsidRDefault="00115458" w:rsidP="00F4606C">
            <w:pPr>
              <w:spacing w:after="0" w:line="240" w:lineRule="auto"/>
              <w:rPr>
                <w:rFonts w:cs="Arial"/>
              </w:rPr>
            </w:pPr>
            <w:r w:rsidRPr="00F4606C">
              <w:rPr>
                <w:rFonts w:cs="Arial"/>
              </w:rPr>
              <w:t>30 June 20</w:t>
            </w:r>
            <w:r w:rsidR="00325650">
              <w:rPr>
                <w:rFonts w:cs="Arial"/>
              </w:rPr>
              <w:t>26</w:t>
            </w:r>
            <w:r w:rsidRPr="00F4606C">
              <w:rPr>
                <w:rFonts w:cs="Arial"/>
              </w:rPr>
              <w:t xml:space="preserve"> or</w:t>
            </w:r>
          </w:p>
          <w:p w14:paraId="76BAC229" w14:textId="117AB1DD" w:rsidR="00115458" w:rsidRPr="00F4606C" w:rsidRDefault="00115458" w:rsidP="00F4606C">
            <w:pPr>
              <w:spacing w:after="0" w:line="240" w:lineRule="auto"/>
              <w:rPr>
                <w:rFonts w:cs="Arial"/>
              </w:rPr>
            </w:pPr>
            <w:r w:rsidRPr="00F4606C">
              <w:rPr>
                <w:rFonts w:cs="Arial"/>
              </w:rPr>
              <w:t>31 August 20</w:t>
            </w:r>
            <w:r w:rsidR="00325650">
              <w:rPr>
                <w:rFonts w:cs="Arial"/>
              </w:rPr>
              <w:t>26</w:t>
            </w:r>
          </w:p>
        </w:tc>
        <w:tc>
          <w:tcPr>
            <w:tcW w:w="708" w:type="dxa"/>
            <w:vAlign w:val="center"/>
          </w:tcPr>
          <w:p w14:paraId="75B7A457" w14:textId="284BF937"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21288AC7"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2B60C0CC" w14:textId="1608F302" w:rsidR="00115458" w:rsidRPr="00F4606C" w:rsidRDefault="00115458" w:rsidP="00F4606C">
            <w:pPr>
              <w:spacing w:after="0" w:line="240" w:lineRule="auto"/>
              <w:rPr>
                <w:rFonts w:cs="Arial"/>
              </w:rPr>
            </w:pPr>
            <w:r w:rsidRPr="00F4606C">
              <w:rPr>
                <w:rFonts w:cs="Arial"/>
              </w:rPr>
              <w:t>31 August 20</w:t>
            </w:r>
            <w:r w:rsidR="002703C5">
              <w:rPr>
                <w:rFonts w:cs="Arial"/>
              </w:rPr>
              <w:t>26</w:t>
            </w:r>
          </w:p>
        </w:tc>
      </w:tr>
      <w:tr w:rsidR="00115458" w:rsidRPr="00B35C0A" w14:paraId="636D2CE7" w14:textId="77777777" w:rsidTr="00427C84">
        <w:trPr>
          <w:trHeight w:val="272"/>
        </w:trPr>
        <w:tc>
          <w:tcPr>
            <w:tcW w:w="1870" w:type="dxa"/>
            <w:vAlign w:val="center"/>
          </w:tcPr>
          <w:p w14:paraId="256DDF08" w14:textId="28C8EF08"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September 20</w:t>
            </w:r>
            <w:r w:rsidR="00074468">
              <w:rPr>
                <w:rFonts w:asciiTheme="minorHAnsi" w:hAnsiTheme="minorHAnsi" w:cs="Arial"/>
                <w:sz w:val="20"/>
                <w:szCs w:val="20"/>
              </w:rPr>
              <w:t>26</w:t>
            </w:r>
          </w:p>
        </w:tc>
        <w:tc>
          <w:tcPr>
            <w:tcW w:w="1155" w:type="dxa"/>
            <w:vAlign w:val="center"/>
          </w:tcPr>
          <w:p w14:paraId="03120E2D" w14:textId="77777777" w:rsidR="00115458" w:rsidRPr="00F4606C" w:rsidRDefault="00115458" w:rsidP="00F4606C">
            <w:pPr>
              <w:spacing w:after="0" w:line="240" w:lineRule="auto"/>
              <w:rPr>
                <w:rFonts w:cs="Arial"/>
              </w:rPr>
            </w:pPr>
            <w:r w:rsidRPr="00F4606C">
              <w:rPr>
                <w:rFonts w:cs="Arial"/>
              </w:rPr>
              <w:t>Late</w:t>
            </w:r>
          </w:p>
        </w:tc>
        <w:tc>
          <w:tcPr>
            <w:tcW w:w="2045" w:type="dxa"/>
            <w:vAlign w:val="center"/>
          </w:tcPr>
          <w:p w14:paraId="66B686C6" w14:textId="7A8DB688" w:rsidR="00115458" w:rsidRPr="00F4606C" w:rsidRDefault="00115458" w:rsidP="00F4606C">
            <w:pPr>
              <w:spacing w:after="0" w:line="240" w:lineRule="auto"/>
              <w:rPr>
                <w:rFonts w:cs="Arial"/>
              </w:rPr>
            </w:pPr>
            <w:r w:rsidRPr="00F4606C">
              <w:rPr>
                <w:rFonts w:cs="Arial"/>
              </w:rPr>
              <w:t>30 June 20</w:t>
            </w:r>
            <w:r w:rsidR="00325650">
              <w:rPr>
                <w:rFonts w:cs="Arial"/>
              </w:rPr>
              <w:t>26</w:t>
            </w:r>
            <w:r w:rsidRPr="00F4606C">
              <w:rPr>
                <w:rFonts w:cs="Arial"/>
              </w:rPr>
              <w:t xml:space="preserve"> or</w:t>
            </w:r>
          </w:p>
          <w:p w14:paraId="035D3D24" w14:textId="5580FE22" w:rsidR="00115458" w:rsidRPr="00F4606C" w:rsidRDefault="00115458" w:rsidP="00F4606C">
            <w:pPr>
              <w:spacing w:after="0" w:line="240" w:lineRule="auto"/>
              <w:rPr>
                <w:rFonts w:cs="Arial"/>
              </w:rPr>
            </w:pPr>
            <w:r w:rsidRPr="00F4606C">
              <w:rPr>
                <w:rFonts w:cs="Arial"/>
              </w:rPr>
              <w:t>30 September  20</w:t>
            </w:r>
            <w:r w:rsidR="00325650">
              <w:rPr>
                <w:rFonts w:cs="Arial"/>
              </w:rPr>
              <w:t>26</w:t>
            </w:r>
          </w:p>
        </w:tc>
        <w:tc>
          <w:tcPr>
            <w:tcW w:w="708" w:type="dxa"/>
            <w:vAlign w:val="center"/>
          </w:tcPr>
          <w:p w14:paraId="2AFF4514" w14:textId="2DB7335A"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1E09D02F"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79844C39" w14:textId="5D20FACE" w:rsidR="00115458" w:rsidRPr="00F4606C" w:rsidRDefault="00115458" w:rsidP="00F4606C">
            <w:pPr>
              <w:spacing w:after="0" w:line="240" w:lineRule="auto"/>
              <w:rPr>
                <w:rFonts w:cs="Arial"/>
              </w:rPr>
            </w:pPr>
            <w:r w:rsidRPr="00F4606C">
              <w:rPr>
                <w:rFonts w:cs="Arial"/>
              </w:rPr>
              <w:t>30 September 20</w:t>
            </w:r>
            <w:r w:rsidR="002703C5">
              <w:rPr>
                <w:rFonts w:cs="Arial"/>
              </w:rPr>
              <w:t>26</w:t>
            </w:r>
          </w:p>
        </w:tc>
      </w:tr>
      <w:tr w:rsidR="00115458" w:rsidRPr="00B35C0A" w14:paraId="03DAD3F6" w14:textId="77777777" w:rsidTr="00427C84">
        <w:trPr>
          <w:trHeight w:val="272"/>
        </w:trPr>
        <w:tc>
          <w:tcPr>
            <w:tcW w:w="1870" w:type="dxa"/>
            <w:vAlign w:val="center"/>
          </w:tcPr>
          <w:p w14:paraId="6E60800B" w14:textId="2192D86F"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October 20</w:t>
            </w:r>
            <w:r w:rsidR="00074468">
              <w:rPr>
                <w:rFonts w:asciiTheme="minorHAnsi" w:hAnsiTheme="minorHAnsi" w:cs="Arial"/>
                <w:sz w:val="20"/>
                <w:szCs w:val="20"/>
              </w:rPr>
              <w:t>26</w:t>
            </w:r>
          </w:p>
        </w:tc>
        <w:tc>
          <w:tcPr>
            <w:tcW w:w="1155" w:type="dxa"/>
            <w:vAlign w:val="center"/>
          </w:tcPr>
          <w:p w14:paraId="071D15F1" w14:textId="77777777" w:rsidR="00115458" w:rsidRPr="00F4606C" w:rsidRDefault="00115458" w:rsidP="00F4606C">
            <w:pPr>
              <w:spacing w:after="0" w:line="240" w:lineRule="auto"/>
              <w:rPr>
                <w:rFonts w:cs="Arial"/>
              </w:rPr>
            </w:pPr>
            <w:r w:rsidRPr="00F4606C">
              <w:rPr>
                <w:rFonts w:cs="Arial"/>
              </w:rPr>
              <w:t>Late</w:t>
            </w:r>
          </w:p>
        </w:tc>
        <w:tc>
          <w:tcPr>
            <w:tcW w:w="2045" w:type="dxa"/>
            <w:vAlign w:val="center"/>
          </w:tcPr>
          <w:p w14:paraId="01DF806B" w14:textId="3CEB2B8C" w:rsidR="00115458" w:rsidRPr="00F4606C" w:rsidRDefault="00115458" w:rsidP="00F4606C">
            <w:pPr>
              <w:spacing w:after="0" w:line="240" w:lineRule="auto"/>
              <w:rPr>
                <w:rFonts w:cs="Arial"/>
              </w:rPr>
            </w:pPr>
            <w:r w:rsidRPr="00F4606C">
              <w:rPr>
                <w:rFonts w:cs="Arial"/>
              </w:rPr>
              <w:t>30 June 20</w:t>
            </w:r>
            <w:r w:rsidR="00325650">
              <w:rPr>
                <w:rFonts w:cs="Arial"/>
              </w:rPr>
              <w:t>26</w:t>
            </w:r>
            <w:r w:rsidRPr="00F4606C">
              <w:rPr>
                <w:rFonts w:cs="Arial"/>
              </w:rPr>
              <w:t xml:space="preserve"> or</w:t>
            </w:r>
          </w:p>
          <w:p w14:paraId="764E2F62" w14:textId="1F61BFB2" w:rsidR="00115458" w:rsidRPr="00F4606C" w:rsidRDefault="00115458" w:rsidP="00F4606C">
            <w:pPr>
              <w:spacing w:after="0" w:line="240" w:lineRule="auto"/>
              <w:rPr>
                <w:rFonts w:cs="Arial"/>
              </w:rPr>
            </w:pPr>
            <w:r w:rsidRPr="00F4606C">
              <w:rPr>
                <w:rFonts w:cs="Arial"/>
              </w:rPr>
              <w:t>31 October 20</w:t>
            </w:r>
            <w:r w:rsidR="00325650">
              <w:rPr>
                <w:rFonts w:cs="Arial"/>
              </w:rPr>
              <w:t>26</w:t>
            </w:r>
          </w:p>
        </w:tc>
        <w:tc>
          <w:tcPr>
            <w:tcW w:w="708" w:type="dxa"/>
            <w:vAlign w:val="center"/>
          </w:tcPr>
          <w:p w14:paraId="307CAA62" w14:textId="504FE394"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39A12BAC"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7715368E" w14:textId="4D2EF882" w:rsidR="00115458" w:rsidRPr="00F4606C" w:rsidRDefault="00115458" w:rsidP="00F4606C">
            <w:pPr>
              <w:spacing w:after="0" w:line="240" w:lineRule="auto"/>
              <w:rPr>
                <w:rFonts w:cs="Arial"/>
              </w:rPr>
            </w:pPr>
            <w:r w:rsidRPr="00F4606C">
              <w:rPr>
                <w:rFonts w:cs="Arial"/>
              </w:rPr>
              <w:t>31 October 20</w:t>
            </w:r>
            <w:r w:rsidR="002703C5">
              <w:rPr>
                <w:rFonts w:cs="Arial"/>
              </w:rPr>
              <w:t>26</w:t>
            </w:r>
          </w:p>
        </w:tc>
      </w:tr>
      <w:tr w:rsidR="00115458" w:rsidRPr="00B35C0A" w14:paraId="0A83C182" w14:textId="77777777" w:rsidTr="00427C84">
        <w:trPr>
          <w:trHeight w:val="272"/>
        </w:trPr>
        <w:tc>
          <w:tcPr>
            <w:tcW w:w="1870" w:type="dxa"/>
            <w:vAlign w:val="center"/>
          </w:tcPr>
          <w:p w14:paraId="7D0226E8" w14:textId="7704DF93"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30 November 20</w:t>
            </w:r>
            <w:r w:rsidR="00074468">
              <w:rPr>
                <w:rFonts w:asciiTheme="minorHAnsi" w:hAnsiTheme="minorHAnsi" w:cs="Arial"/>
                <w:sz w:val="20"/>
                <w:szCs w:val="20"/>
              </w:rPr>
              <w:t>26</w:t>
            </w:r>
          </w:p>
        </w:tc>
        <w:tc>
          <w:tcPr>
            <w:tcW w:w="1155" w:type="dxa"/>
            <w:vAlign w:val="center"/>
          </w:tcPr>
          <w:p w14:paraId="569B885E" w14:textId="77777777" w:rsidR="00115458" w:rsidRPr="00F4606C" w:rsidRDefault="00115458" w:rsidP="00F4606C">
            <w:pPr>
              <w:spacing w:after="0" w:line="240" w:lineRule="auto"/>
              <w:rPr>
                <w:rFonts w:cs="Arial"/>
              </w:rPr>
            </w:pPr>
            <w:r w:rsidRPr="00F4606C">
              <w:rPr>
                <w:rFonts w:cs="Arial"/>
              </w:rPr>
              <w:t>Late</w:t>
            </w:r>
          </w:p>
        </w:tc>
        <w:tc>
          <w:tcPr>
            <w:tcW w:w="2045" w:type="dxa"/>
            <w:vAlign w:val="center"/>
          </w:tcPr>
          <w:p w14:paraId="27CB622E" w14:textId="6A16A8F8" w:rsidR="00115458" w:rsidRPr="00F4606C" w:rsidRDefault="00115458" w:rsidP="00F4606C">
            <w:pPr>
              <w:spacing w:after="0" w:line="240" w:lineRule="auto"/>
              <w:rPr>
                <w:rFonts w:cs="Arial"/>
              </w:rPr>
            </w:pPr>
            <w:r w:rsidRPr="00F4606C">
              <w:rPr>
                <w:rFonts w:cs="Arial"/>
              </w:rPr>
              <w:t>30 June 20</w:t>
            </w:r>
            <w:r w:rsidR="00325650">
              <w:rPr>
                <w:rFonts w:cs="Arial"/>
              </w:rPr>
              <w:t>26</w:t>
            </w:r>
            <w:r w:rsidRPr="00F4606C">
              <w:rPr>
                <w:rFonts w:cs="Arial"/>
              </w:rPr>
              <w:t xml:space="preserve"> or</w:t>
            </w:r>
          </w:p>
          <w:p w14:paraId="408244FE" w14:textId="79257C9E" w:rsidR="00115458" w:rsidRPr="00F4606C" w:rsidRDefault="00115458" w:rsidP="00F4606C">
            <w:pPr>
              <w:spacing w:after="0" w:line="240" w:lineRule="auto"/>
              <w:rPr>
                <w:rFonts w:cs="Arial"/>
              </w:rPr>
            </w:pPr>
            <w:r w:rsidRPr="00F4606C">
              <w:rPr>
                <w:rFonts w:cs="Arial"/>
              </w:rPr>
              <w:t>30 November 20</w:t>
            </w:r>
            <w:r w:rsidR="00325650">
              <w:rPr>
                <w:rFonts w:cs="Arial"/>
              </w:rPr>
              <w:t>26</w:t>
            </w:r>
          </w:p>
        </w:tc>
        <w:tc>
          <w:tcPr>
            <w:tcW w:w="708" w:type="dxa"/>
            <w:vAlign w:val="center"/>
          </w:tcPr>
          <w:p w14:paraId="609DACA6" w14:textId="19F5FECF"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1BF5371F"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2950596F" w14:textId="40CF1A0C" w:rsidR="00115458" w:rsidRPr="00F4606C" w:rsidRDefault="00115458" w:rsidP="00F4606C">
            <w:pPr>
              <w:spacing w:after="0" w:line="240" w:lineRule="auto"/>
              <w:rPr>
                <w:rFonts w:cs="Arial"/>
              </w:rPr>
            </w:pPr>
            <w:r w:rsidRPr="00F4606C">
              <w:rPr>
                <w:rFonts w:cs="Arial"/>
              </w:rPr>
              <w:t>30 November 20</w:t>
            </w:r>
            <w:r w:rsidR="002703C5">
              <w:rPr>
                <w:rFonts w:cs="Arial"/>
              </w:rPr>
              <w:t>26</w:t>
            </w:r>
          </w:p>
        </w:tc>
      </w:tr>
      <w:tr w:rsidR="00115458" w:rsidRPr="00B35C0A" w14:paraId="2F3A4CA2" w14:textId="77777777" w:rsidTr="00427C84">
        <w:trPr>
          <w:trHeight w:val="272"/>
        </w:trPr>
        <w:tc>
          <w:tcPr>
            <w:tcW w:w="1870" w:type="dxa"/>
            <w:vAlign w:val="center"/>
          </w:tcPr>
          <w:p w14:paraId="7BA344F5" w14:textId="279F1C01"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December 20</w:t>
            </w:r>
            <w:r w:rsidR="00074468">
              <w:rPr>
                <w:rFonts w:asciiTheme="minorHAnsi" w:hAnsiTheme="minorHAnsi" w:cs="Arial"/>
                <w:sz w:val="20"/>
                <w:szCs w:val="20"/>
              </w:rPr>
              <w:t>26</w:t>
            </w:r>
          </w:p>
        </w:tc>
        <w:tc>
          <w:tcPr>
            <w:tcW w:w="1155" w:type="dxa"/>
            <w:vAlign w:val="center"/>
          </w:tcPr>
          <w:p w14:paraId="419955B4" w14:textId="77777777" w:rsidR="00115458" w:rsidRPr="00F4606C" w:rsidRDefault="00115458" w:rsidP="00F4606C">
            <w:pPr>
              <w:spacing w:after="0" w:line="240" w:lineRule="auto"/>
              <w:rPr>
                <w:rFonts w:cs="Arial"/>
              </w:rPr>
            </w:pPr>
            <w:r w:rsidRPr="00F4606C">
              <w:rPr>
                <w:rFonts w:cs="Arial"/>
              </w:rPr>
              <w:t>Late</w:t>
            </w:r>
          </w:p>
        </w:tc>
        <w:tc>
          <w:tcPr>
            <w:tcW w:w="2045" w:type="dxa"/>
            <w:vAlign w:val="center"/>
          </w:tcPr>
          <w:p w14:paraId="3279A70B" w14:textId="3C846757" w:rsidR="00115458" w:rsidRPr="00F4606C" w:rsidRDefault="00115458" w:rsidP="00F4606C">
            <w:pPr>
              <w:spacing w:after="0" w:line="240" w:lineRule="auto"/>
              <w:rPr>
                <w:rFonts w:cs="Arial"/>
              </w:rPr>
            </w:pPr>
            <w:r w:rsidRPr="00F4606C">
              <w:rPr>
                <w:rFonts w:cs="Arial"/>
              </w:rPr>
              <w:t>30 June 20</w:t>
            </w:r>
            <w:r w:rsidR="00325650">
              <w:rPr>
                <w:rFonts w:cs="Arial"/>
              </w:rPr>
              <w:t>26</w:t>
            </w:r>
            <w:r w:rsidRPr="00F4606C">
              <w:rPr>
                <w:rFonts w:cs="Arial"/>
              </w:rPr>
              <w:t xml:space="preserve"> or</w:t>
            </w:r>
          </w:p>
          <w:p w14:paraId="000A23DF" w14:textId="462723D8" w:rsidR="00115458" w:rsidRPr="00F4606C" w:rsidRDefault="00115458" w:rsidP="00F4606C">
            <w:pPr>
              <w:spacing w:after="0" w:line="240" w:lineRule="auto"/>
              <w:rPr>
                <w:rFonts w:cs="Arial"/>
              </w:rPr>
            </w:pPr>
            <w:r w:rsidRPr="00F4606C">
              <w:rPr>
                <w:rFonts w:cs="Arial"/>
              </w:rPr>
              <w:t>31 December 20</w:t>
            </w:r>
            <w:r w:rsidR="00325650">
              <w:rPr>
                <w:rFonts w:cs="Arial"/>
              </w:rPr>
              <w:t>26</w:t>
            </w:r>
          </w:p>
        </w:tc>
        <w:tc>
          <w:tcPr>
            <w:tcW w:w="708" w:type="dxa"/>
            <w:vAlign w:val="center"/>
          </w:tcPr>
          <w:p w14:paraId="200ED172" w14:textId="3B3FE602" w:rsidR="00115458" w:rsidRPr="00F4606C" w:rsidRDefault="00115458" w:rsidP="00F4606C">
            <w:pPr>
              <w:spacing w:after="0" w:line="240" w:lineRule="auto"/>
              <w:rPr>
                <w:rFonts w:cs="Arial"/>
              </w:rPr>
            </w:pPr>
            <w:r w:rsidRPr="00F4606C">
              <w:rPr>
                <w:rFonts w:cs="Arial"/>
              </w:rPr>
              <w:t>20</w:t>
            </w:r>
            <w:r w:rsidR="002703C5">
              <w:rPr>
                <w:rFonts w:cs="Arial"/>
              </w:rPr>
              <w:t>26</w:t>
            </w:r>
          </w:p>
        </w:tc>
        <w:tc>
          <w:tcPr>
            <w:tcW w:w="567" w:type="dxa"/>
            <w:vAlign w:val="center"/>
          </w:tcPr>
          <w:p w14:paraId="7385B510"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6B802C8F" w14:textId="2F78A6C0" w:rsidR="00115458" w:rsidRPr="00F4606C" w:rsidRDefault="00115458" w:rsidP="00F4606C">
            <w:pPr>
              <w:spacing w:after="0" w:line="240" w:lineRule="auto"/>
              <w:rPr>
                <w:rFonts w:cs="Arial"/>
              </w:rPr>
            </w:pPr>
            <w:r w:rsidRPr="00F4606C">
              <w:rPr>
                <w:rFonts w:cs="Arial"/>
              </w:rPr>
              <w:t>31 December 20</w:t>
            </w:r>
            <w:r w:rsidR="002703C5">
              <w:rPr>
                <w:rFonts w:cs="Arial"/>
              </w:rPr>
              <w:t>26</w:t>
            </w:r>
          </w:p>
        </w:tc>
      </w:tr>
      <w:tr w:rsidR="00115458" w:rsidRPr="00B35C0A" w14:paraId="07F467EE" w14:textId="77777777" w:rsidTr="00427C84">
        <w:trPr>
          <w:trHeight w:val="272"/>
        </w:trPr>
        <w:tc>
          <w:tcPr>
            <w:tcW w:w="1870" w:type="dxa"/>
            <w:vAlign w:val="center"/>
          </w:tcPr>
          <w:p w14:paraId="6A9A9EDE" w14:textId="38C4ED32" w:rsidR="00115458" w:rsidRPr="00F4606C" w:rsidRDefault="00115458" w:rsidP="0014308E">
            <w:pPr>
              <w:pStyle w:val="Maintext"/>
              <w:rPr>
                <w:rFonts w:asciiTheme="minorHAnsi" w:hAnsiTheme="minorHAnsi" w:cs="Arial"/>
                <w:sz w:val="20"/>
                <w:szCs w:val="20"/>
              </w:rPr>
            </w:pPr>
            <w:r w:rsidRPr="00F4606C">
              <w:rPr>
                <w:rFonts w:asciiTheme="minorHAnsi" w:hAnsiTheme="minorHAnsi" w:cs="Arial"/>
                <w:sz w:val="20"/>
                <w:szCs w:val="20"/>
              </w:rPr>
              <w:t>31 December 20</w:t>
            </w:r>
            <w:r w:rsidR="00074468">
              <w:rPr>
                <w:rFonts w:asciiTheme="minorHAnsi" w:hAnsiTheme="minorHAnsi" w:cs="Arial"/>
                <w:sz w:val="20"/>
                <w:szCs w:val="20"/>
              </w:rPr>
              <w:t>26</w:t>
            </w:r>
          </w:p>
        </w:tc>
        <w:tc>
          <w:tcPr>
            <w:tcW w:w="1155" w:type="dxa"/>
            <w:vAlign w:val="center"/>
          </w:tcPr>
          <w:p w14:paraId="48CD9772" w14:textId="77777777" w:rsidR="00115458" w:rsidRPr="00F4606C" w:rsidRDefault="00115458" w:rsidP="00F4606C">
            <w:pPr>
              <w:spacing w:after="0" w:line="240" w:lineRule="auto"/>
              <w:rPr>
                <w:rFonts w:cs="Arial"/>
              </w:rPr>
            </w:pPr>
            <w:r w:rsidRPr="00F4606C">
              <w:rPr>
                <w:rFonts w:cs="Arial"/>
              </w:rPr>
              <w:t>Early</w:t>
            </w:r>
          </w:p>
        </w:tc>
        <w:tc>
          <w:tcPr>
            <w:tcW w:w="2045" w:type="dxa"/>
            <w:vAlign w:val="center"/>
          </w:tcPr>
          <w:p w14:paraId="1237C05E" w14:textId="32CC43F9" w:rsidR="00115458" w:rsidRPr="00F4606C" w:rsidRDefault="00115458" w:rsidP="00F4606C">
            <w:pPr>
              <w:spacing w:after="0" w:line="240" w:lineRule="auto"/>
              <w:rPr>
                <w:rFonts w:cs="Arial"/>
              </w:rPr>
            </w:pPr>
            <w:r w:rsidRPr="00F4606C">
              <w:rPr>
                <w:rFonts w:cs="Arial"/>
              </w:rPr>
              <w:t>30 June 202</w:t>
            </w:r>
            <w:r w:rsidR="009A171B">
              <w:rPr>
                <w:rFonts w:cs="Arial"/>
              </w:rPr>
              <w:t>7</w:t>
            </w:r>
            <w:r w:rsidRPr="00F4606C">
              <w:rPr>
                <w:rFonts w:cs="Arial"/>
              </w:rPr>
              <w:t xml:space="preserve"> or 31 December 20</w:t>
            </w:r>
            <w:r w:rsidR="00325650">
              <w:rPr>
                <w:rFonts w:cs="Arial"/>
              </w:rPr>
              <w:t>26</w:t>
            </w:r>
          </w:p>
        </w:tc>
        <w:tc>
          <w:tcPr>
            <w:tcW w:w="708" w:type="dxa"/>
            <w:vAlign w:val="center"/>
          </w:tcPr>
          <w:p w14:paraId="7FDB825A" w14:textId="6BA24B1F" w:rsidR="00115458" w:rsidRPr="00F4606C" w:rsidRDefault="00115458" w:rsidP="00F4606C">
            <w:pPr>
              <w:spacing w:after="0" w:line="240" w:lineRule="auto"/>
              <w:rPr>
                <w:rFonts w:cs="Arial"/>
              </w:rPr>
            </w:pPr>
            <w:r w:rsidRPr="00F4606C">
              <w:rPr>
                <w:rFonts w:cs="Arial"/>
              </w:rPr>
              <w:t>202</w:t>
            </w:r>
            <w:r w:rsidR="002703C5">
              <w:rPr>
                <w:rFonts w:cs="Arial"/>
              </w:rPr>
              <w:t>7</w:t>
            </w:r>
          </w:p>
        </w:tc>
        <w:tc>
          <w:tcPr>
            <w:tcW w:w="567" w:type="dxa"/>
            <w:vAlign w:val="center"/>
          </w:tcPr>
          <w:p w14:paraId="2324BD58" w14:textId="77777777" w:rsidR="00115458" w:rsidRPr="00F4606C" w:rsidRDefault="00115458" w:rsidP="00F4606C">
            <w:pPr>
              <w:spacing w:after="0" w:line="240" w:lineRule="auto"/>
              <w:jc w:val="center"/>
              <w:rPr>
                <w:rFonts w:cs="Arial"/>
              </w:rPr>
            </w:pPr>
            <w:r w:rsidRPr="00F4606C">
              <w:rPr>
                <w:rFonts w:cs="Arial"/>
              </w:rPr>
              <w:t>S</w:t>
            </w:r>
          </w:p>
        </w:tc>
        <w:tc>
          <w:tcPr>
            <w:tcW w:w="2043" w:type="dxa"/>
            <w:vAlign w:val="center"/>
          </w:tcPr>
          <w:p w14:paraId="53809C2E" w14:textId="0DAA53B4" w:rsidR="00115458" w:rsidRPr="00F4606C" w:rsidRDefault="00115458" w:rsidP="00F4606C">
            <w:pPr>
              <w:spacing w:after="0" w:line="240" w:lineRule="auto"/>
              <w:ind w:left="-468"/>
              <w:rPr>
                <w:rFonts w:cs="Arial"/>
              </w:rPr>
            </w:pPr>
            <w:r w:rsidRPr="00F4606C">
              <w:rPr>
                <w:rFonts w:cs="Arial"/>
              </w:rPr>
              <w:t xml:space="preserve">30 </w:t>
            </w:r>
            <w:r w:rsidR="0014308E">
              <w:rPr>
                <w:rFonts w:cs="Arial"/>
              </w:rPr>
              <w:t xml:space="preserve">   30</w:t>
            </w:r>
            <w:r w:rsidRPr="00F4606C">
              <w:rPr>
                <w:rFonts w:cs="Arial"/>
              </w:rPr>
              <w:t>June 202</w:t>
            </w:r>
            <w:r w:rsidR="002703C5">
              <w:rPr>
                <w:rFonts w:cs="Arial"/>
              </w:rPr>
              <w:t>7</w:t>
            </w:r>
          </w:p>
        </w:tc>
      </w:tr>
    </w:tbl>
    <w:p w14:paraId="4643D96C" w14:textId="77777777" w:rsidR="00115458" w:rsidRPr="00B35C0A" w:rsidRDefault="00115458" w:rsidP="00115458">
      <w:pPr>
        <w:pStyle w:val="Heading2"/>
      </w:pPr>
      <w:bookmarkStart w:id="628" w:name="_Toc11244846"/>
      <w:bookmarkStart w:id="629" w:name="_Toc11245000"/>
      <w:bookmarkStart w:id="630" w:name="_Toc11244848"/>
      <w:bookmarkStart w:id="631" w:name="_Toc11245002"/>
      <w:bookmarkStart w:id="632" w:name="_Toc11244849"/>
      <w:bookmarkStart w:id="633" w:name="_Toc11245003"/>
      <w:bookmarkStart w:id="634" w:name="_Toc11244850"/>
      <w:bookmarkStart w:id="635" w:name="_Toc11245004"/>
      <w:bookmarkStart w:id="636" w:name="_Toc11244853"/>
      <w:bookmarkStart w:id="637" w:name="_Toc11245007"/>
      <w:bookmarkStart w:id="638" w:name="_Toc11244855"/>
      <w:bookmarkStart w:id="639" w:name="_Toc11245009"/>
      <w:bookmarkStart w:id="640" w:name="_Toc11244856"/>
      <w:bookmarkStart w:id="641" w:name="_Toc11245010"/>
      <w:bookmarkStart w:id="642" w:name="_Toc11244859"/>
      <w:bookmarkStart w:id="643" w:name="_Toc11245013"/>
      <w:bookmarkStart w:id="644" w:name="_Toc11244860"/>
      <w:bookmarkStart w:id="645" w:name="_Toc11245014"/>
      <w:bookmarkStart w:id="646" w:name="_Toc11244862"/>
      <w:bookmarkStart w:id="647" w:name="_Toc11245016"/>
      <w:bookmarkStart w:id="648" w:name="_Toc467153167"/>
      <w:bookmarkStart w:id="649" w:name="_Toc486500856"/>
      <w:bookmarkStart w:id="650" w:name="_Toc5011643"/>
      <w:bookmarkStart w:id="651" w:name="_Toc5021572"/>
      <w:bookmarkStart w:id="652" w:name="_Toc5022995"/>
      <w:bookmarkStart w:id="653" w:name="_Toc5024419"/>
      <w:bookmarkStart w:id="654" w:name="_Toc5025842"/>
      <w:bookmarkStart w:id="655" w:name="_Toc358373234"/>
      <w:bookmarkStart w:id="656" w:name="_Toc232191332"/>
      <w:bookmarkEnd w:id="622"/>
      <w:bookmarkEnd w:id="624"/>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B35C0A">
        <w:t>Third party accounts</w:t>
      </w:r>
      <w:bookmarkEnd w:id="656"/>
    </w:p>
    <w:p w14:paraId="33F8D46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A third party account is an account opened by an entity, other than a solicitor or interposed entity, acting on behalf of an investor and is not a formal trust. </w:t>
      </w:r>
    </w:p>
    <w:p w14:paraId="6BF98141" w14:textId="77777777" w:rsidR="00115458" w:rsidRPr="00F4606C" w:rsidRDefault="00115458" w:rsidP="00046B05">
      <w:pPr>
        <w:pStyle w:val="Maintext"/>
        <w:rPr>
          <w:rFonts w:asciiTheme="minorHAnsi" w:hAnsiTheme="minorHAnsi" w:cs="Arial"/>
          <w:sz w:val="20"/>
          <w:szCs w:val="20"/>
        </w:rPr>
      </w:pPr>
    </w:p>
    <w:p w14:paraId="5DE094E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Third party accounts include those opened by principals on behalf of agents, bare trusts, and entrepot nominee companies. For more information on accounts opened by interposed entities or solicitors, see </w:t>
      </w:r>
      <w:hyperlink w:anchor="_5._Interposed_entities" w:history="1">
        <w:r w:rsidRPr="00F4606C">
          <w:rPr>
            <w:rStyle w:val="Hyperlink"/>
            <w:rFonts w:asciiTheme="minorHAnsi" w:hAnsiTheme="minorHAnsi" w:cs="Arial"/>
            <w:szCs w:val="20"/>
          </w:rPr>
          <w:t xml:space="preserve">Section 5 – Interposed entities </w:t>
        </w:r>
      </w:hyperlink>
      <w:r w:rsidRPr="00F4606C">
        <w:rPr>
          <w:rFonts w:asciiTheme="minorHAnsi" w:hAnsiTheme="minorHAnsi" w:cs="Arial"/>
          <w:sz w:val="20"/>
          <w:szCs w:val="20"/>
        </w:rPr>
        <w:t>.</w:t>
      </w:r>
    </w:p>
    <w:p w14:paraId="0BBCFFD1" w14:textId="77777777" w:rsidR="00115458" w:rsidRPr="00F4606C" w:rsidRDefault="00115458" w:rsidP="00046B05">
      <w:pPr>
        <w:pStyle w:val="Maintext"/>
        <w:rPr>
          <w:rFonts w:asciiTheme="minorHAnsi" w:hAnsiTheme="minorHAnsi" w:cs="Arial"/>
          <w:sz w:val="20"/>
          <w:szCs w:val="20"/>
        </w:rPr>
      </w:pPr>
    </w:p>
    <w:p w14:paraId="6CAEBA9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Investment income earned by a third party account can be taxed in the hands of the third party or the investor (beneficiary), depending on the type of account. For example, if an account is opened by a:</w:t>
      </w:r>
    </w:p>
    <w:p w14:paraId="0639C9AB" w14:textId="77777777" w:rsidR="00115458" w:rsidRPr="00F4606C" w:rsidRDefault="00115458" w:rsidP="001601AF">
      <w:pPr>
        <w:pStyle w:val="Bullet2"/>
        <w:numPr>
          <w:ilvl w:val="0"/>
          <w:numId w:val="60"/>
        </w:numPr>
        <w:spacing w:before="0" w:after="0"/>
        <w:rPr>
          <w:rFonts w:asciiTheme="minorHAnsi" w:hAnsiTheme="minorHAnsi"/>
          <w:sz w:val="20"/>
          <w:szCs w:val="20"/>
        </w:rPr>
      </w:pPr>
      <w:r w:rsidRPr="00F4606C">
        <w:rPr>
          <w:rFonts w:asciiTheme="minorHAnsi" w:hAnsiTheme="minorHAnsi"/>
          <w:sz w:val="20"/>
          <w:szCs w:val="20"/>
        </w:rPr>
        <w:t>parent on behalf of an underage child the investment income is to be reported as being earned by the parent while the parent controls the account. In this instance, it is the parent’s (third party) details that are reported.</w:t>
      </w:r>
    </w:p>
    <w:p w14:paraId="71FA5440" w14:textId="77777777" w:rsidR="00115458" w:rsidRPr="00F4606C" w:rsidRDefault="00115458" w:rsidP="001601AF">
      <w:pPr>
        <w:pStyle w:val="Bullet2"/>
        <w:numPr>
          <w:ilvl w:val="0"/>
          <w:numId w:val="60"/>
        </w:numPr>
        <w:spacing w:before="0" w:after="0"/>
        <w:rPr>
          <w:rFonts w:asciiTheme="minorHAnsi" w:hAnsiTheme="minorHAnsi"/>
          <w:sz w:val="20"/>
          <w:szCs w:val="20"/>
        </w:rPr>
      </w:pPr>
      <w:r w:rsidRPr="00F4606C">
        <w:rPr>
          <w:rFonts w:asciiTheme="minorHAnsi" w:hAnsiTheme="minorHAnsi"/>
          <w:sz w:val="20"/>
          <w:szCs w:val="20"/>
        </w:rPr>
        <w:t>third party (e.g. bare trust) on behalf of an investor (beneficiary) who is entitled to receive all or some of that income, then it is the investor who is deemed to have received the income. In this instance, it is the beneficiary’s and not the third party’s details that are reported.</w:t>
      </w:r>
    </w:p>
    <w:p w14:paraId="2B7EFEC2"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Example 4.11 –Third party account where the income is deemed to be the third party’s</w:t>
      </w:r>
    </w:p>
    <w:p w14:paraId="42001458" w14:textId="2FD2B1C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An account held by Samsara Eden West ATF her daughter, Sutton West. The source of the funds is Samsara and the funds are controlled by Samsara. As trustee, Samsara has quoted her own TFN. </w:t>
      </w:r>
      <w:r w:rsidR="006A5A29" w:rsidRPr="00F4606C">
        <w:rPr>
          <w:rFonts w:asciiTheme="minorHAnsi" w:hAnsiTheme="minorHAnsi" w:cs="Arial"/>
          <w:sz w:val="20"/>
          <w:szCs w:val="20"/>
        </w:rPr>
        <w:t xml:space="preserve">This aligns with TD 2017/11 Income Tax: who should be assessed to interest on bank accounts?, </w:t>
      </w:r>
      <w:r w:rsidRPr="00F4606C">
        <w:rPr>
          <w:rFonts w:asciiTheme="minorHAnsi" w:hAnsiTheme="minorHAnsi" w:cs="Arial"/>
          <w:sz w:val="20"/>
          <w:szCs w:val="20"/>
        </w:rPr>
        <w:t>that indicates that the income belongs to Samsara.</w:t>
      </w:r>
    </w:p>
    <w:p w14:paraId="181952D5" w14:textId="77777777" w:rsidR="00115458" w:rsidRPr="00B35C0A" w:rsidRDefault="00115458" w:rsidP="00115458">
      <w:pPr>
        <w:pStyle w:val="Maintext"/>
        <w:rPr>
          <w:rFonts w:cs="Arial"/>
        </w:rPr>
      </w:pPr>
    </w:p>
    <w:p w14:paraId="1E8B6735" w14:textId="77777777" w:rsidR="00115458" w:rsidRPr="00F4606C" w:rsidRDefault="00115458" w:rsidP="00115458">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65032E13" w14:textId="77777777" w:rsidR="00115458" w:rsidRPr="00B35C0A" w:rsidRDefault="00115458" w:rsidP="00115458">
      <w:pPr>
        <w:pStyle w:val="Maintext"/>
        <w:rPr>
          <w:rFonts w:cs="Arial"/>
          <w:smallCaps/>
        </w:rPr>
      </w:pPr>
    </w:p>
    <w:tbl>
      <w:tblPr>
        <w:tblW w:w="5000" w:type="pct"/>
        <w:tblLook w:val="0000" w:firstRow="0" w:lastRow="0" w:firstColumn="0" w:lastColumn="0" w:noHBand="0" w:noVBand="0"/>
      </w:tblPr>
      <w:tblGrid>
        <w:gridCol w:w="1227"/>
        <w:gridCol w:w="2685"/>
        <w:gridCol w:w="2474"/>
        <w:gridCol w:w="2896"/>
      </w:tblGrid>
      <w:tr w:rsidR="00115458" w:rsidRPr="00046B05" w14:paraId="6DE2800F" w14:textId="77777777" w:rsidTr="000C1365">
        <w:trPr>
          <w:cantSplit/>
        </w:trPr>
        <w:tc>
          <w:tcPr>
            <w:tcW w:w="579" w:type="pct"/>
            <w:tcBorders>
              <w:top w:val="single" w:sz="6" w:space="0" w:color="auto"/>
              <w:left w:val="single" w:sz="6" w:space="0" w:color="auto"/>
              <w:bottom w:val="single" w:sz="6" w:space="0" w:color="auto"/>
              <w:right w:val="single" w:sz="6" w:space="0" w:color="auto"/>
            </w:tcBorders>
            <w:shd w:val="clear" w:color="auto" w:fill="B3B3B3"/>
            <w:vAlign w:val="center"/>
          </w:tcPr>
          <w:p w14:paraId="460B763A"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40C37B6B"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74" w:type="pct"/>
            <w:tcBorders>
              <w:top w:val="single" w:sz="6" w:space="0" w:color="auto"/>
              <w:left w:val="single" w:sz="6" w:space="0" w:color="auto"/>
              <w:bottom w:val="single" w:sz="6" w:space="0" w:color="auto"/>
              <w:right w:val="single" w:sz="6" w:space="0" w:color="auto"/>
            </w:tcBorders>
            <w:shd w:val="clear" w:color="auto" w:fill="B3B3B3"/>
            <w:vAlign w:val="center"/>
          </w:tcPr>
          <w:p w14:paraId="2662846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60" w:type="pct"/>
            <w:tcBorders>
              <w:top w:val="single" w:sz="6" w:space="0" w:color="auto"/>
              <w:left w:val="single" w:sz="6" w:space="0" w:color="auto"/>
              <w:bottom w:val="single" w:sz="6" w:space="0" w:color="auto"/>
              <w:right w:val="single" w:sz="6" w:space="0" w:color="auto"/>
            </w:tcBorders>
            <w:shd w:val="clear" w:color="auto" w:fill="B3B3B3"/>
            <w:vAlign w:val="center"/>
          </w:tcPr>
          <w:p w14:paraId="2C7D1BD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87" w:type="pct"/>
            <w:tcBorders>
              <w:top w:val="single" w:sz="6" w:space="0" w:color="auto"/>
              <w:left w:val="single" w:sz="6" w:space="0" w:color="auto"/>
              <w:bottom w:val="single" w:sz="6" w:space="0" w:color="auto"/>
              <w:right w:val="single" w:sz="6" w:space="0" w:color="auto"/>
            </w:tcBorders>
            <w:shd w:val="clear" w:color="auto" w:fill="B3B3B3"/>
            <w:vAlign w:val="center"/>
          </w:tcPr>
          <w:p w14:paraId="56A0B23C"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01F48014" w14:textId="77777777" w:rsidTr="000C1365">
        <w:trPr>
          <w:cantSplit/>
          <w:trHeight w:val="276"/>
        </w:trPr>
        <w:tc>
          <w:tcPr>
            <w:tcW w:w="579" w:type="pct"/>
            <w:tcBorders>
              <w:top w:val="single" w:sz="6" w:space="0" w:color="auto"/>
              <w:left w:val="single" w:sz="6" w:space="0" w:color="auto"/>
              <w:bottom w:val="single" w:sz="6" w:space="0" w:color="auto"/>
              <w:right w:val="single" w:sz="6" w:space="0" w:color="auto"/>
            </w:tcBorders>
            <w:vAlign w:val="center"/>
          </w:tcPr>
          <w:p w14:paraId="2557BE9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9.67</w:t>
            </w:r>
          </w:p>
        </w:tc>
        <w:tc>
          <w:tcPr>
            <w:tcW w:w="1474" w:type="pct"/>
            <w:tcBorders>
              <w:top w:val="single" w:sz="6" w:space="0" w:color="auto"/>
              <w:left w:val="single" w:sz="6" w:space="0" w:color="auto"/>
              <w:bottom w:val="single" w:sz="6" w:space="0" w:color="auto"/>
              <w:right w:val="single" w:sz="6" w:space="0" w:color="auto"/>
            </w:tcBorders>
            <w:vAlign w:val="center"/>
          </w:tcPr>
          <w:p w14:paraId="3237FD3A"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360" w:type="pct"/>
            <w:tcBorders>
              <w:top w:val="single" w:sz="6" w:space="0" w:color="auto"/>
              <w:left w:val="single" w:sz="6" w:space="0" w:color="auto"/>
              <w:bottom w:val="single" w:sz="6" w:space="0" w:color="auto"/>
              <w:right w:val="single" w:sz="6" w:space="0" w:color="auto"/>
            </w:tcBorders>
            <w:vAlign w:val="center"/>
          </w:tcPr>
          <w:p w14:paraId="28FA6766"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 xml:space="preserve">Samsara Eden West  ATF Sutton West </w:t>
            </w:r>
          </w:p>
        </w:tc>
        <w:tc>
          <w:tcPr>
            <w:tcW w:w="1587" w:type="pct"/>
            <w:tcBorders>
              <w:top w:val="single" w:sz="6" w:space="0" w:color="auto"/>
              <w:left w:val="single" w:sz="6" w:space="0" w:color="auto"/>
              <w:bottom w:val="single" w:sz="6" w:space="0" w:color="auto"/>
              <w:right w:val="single" w:sz="6" w:space="0" w:color="auto"/>
            </w:tcBorders>
            <w:vAlign w:val="center"/>
          </w:tcPr>
          <w:p w14:paraId="295D78EA"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Third party ATF beneficiary</w:t>
            </w:r>
          </w:p>
        </w:tc>
      </w:tr>
    </w:tbl>
    <w:p w14:paraId="1BE2354B" w14:textId="77777777" w:rsidR="00115458" w:rsidRPr="00F4606C" w:rsidRDefault="00115458" w:rsidP="00046B05">
      <w:pPr>
        <w:pStyle w:val="Maintext"/>
        <w:rPr>
          <w:rFonts w:asciiTheme="minorHAnsi" w:hAnsiTheme="minorHAnsi" w:cs="Arial"/>
          <w:sz w:val="20"/>
          <w:szCs w:val="20"/>
        </w:rPr>
      </w:pPr>
    </w:p>
    <w:p w14:paraId="5023304D" w14:textId="77777777"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investor data record </w:t>
      </w:r>
      <w:r w:rsidRPr="00F4606C">
        <w:rPr>
          <w:rFonts w:asciiTheme="minorHAnsi" w:hAnsiTheme="minorHAnsi" w:cs="Arial"/>
          <w:smallCaps/>
          <w:sz w:val="20"/>
          <w:szCs w:val="20"/>
        </w:rPr>
        <w:t>(extract)</w:t>
      </w:r>
    </w:p>
    <w:p w14:paraId="7100D156" w14:textId="77777777" w:rsidR="00115458" w:rsidRPr="00F4606C" w:rsidRDefault="00115458" w:rsidP="00046B05">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693"/>
        <w:gridCol w:w="2481"/>
        <w:gridCol w:w="2881"/>
      </w:tblGrid>
      <w:tr w:rsidR="00115458" w:rsidRPr="00046B05" w14:paraId="5504C9D4" w14:textId="77777777" w:rsidTr="000C1365">
        <w:trPr>
          <w:cantSplit/>
          <w:trHeight w:val="272"/>
          <w:tblHeader/>
        </w:trPr>
        <w:tc>
          <w:tcPr>
            <w:tcW w:w="579" w:type="pct"/>
            <w:tcBorders>
              <w:top w:val="single" w:sz="6" w:space="0" w:color="auto"/>
              <w:left w:val="single" w:sz="6" w:space="0" w:color="auto"/>
              <w:bottom w:val="single" w:sz="6" w:space="0" w:color="auto"/>
              <w:right w:val="single" w:sz="6" w:space="0" w:color="auto"/>
            </w:tcBorders>
            <w:shd w:val="clear" w:color="auto" w:fill="B3B3B3"/>
            <w:vAlign w:val="center"/>
          </w:tcPr>
          <w:p w14:paraId="476BC881"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 xml:space="preserve">Reference </w:t>
            </w:r>
          </w:p>
          <w:p w14:paraId="0CF7C4DF"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number</w:t>
            </w:r>
          </w:p>
        </w:tc>
        <w:tc>
          <w:tcPr>
            <w:tcW w:w="1478" w:type="pct"/>
            <w:tcBorders>
              <w:top w:val="single" w:sz="6" w:space="0" w:color="auto"/>
              <w:left w:val="single" w:sz="6" w:space="0" w:color="auto"/>
              <w:bottom w:val="single" w:sz="6" w:space="0" w:color="auto"/>
              <w:right w:val="single" w:sz="6" w:space="0" w:color="auto"/>
            </w:tcBorders>
            <w:shd w:val="clear" w:color="auto" w:fill="B3B3B3"/>
            <w:vAlign w:val="center"/>
          </w:tcPr>
          <w:p w14:paraId="184867D8"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64" w:type="pct"/>
            <w:tcBorders>
              <w:top w:val="single" w:sz="6" w:space="0" w:color="auto"/>
              <w:left w:val="single" w:sz="6" w:space="0" w:color="auto"/>
              <w:bottom w:val="single" w:sz="6" w:space="0" w:color="auto"/>
              <w:right w:val="single" w:sz="6" w:space="0" w:color="auto"/>
            </w:tcBorders>
            <w:shd w:val="clear" w:color="auto" w:fill="B3B3B3"/>
            <w:vAlign w:val="center"/>
          </w:tcPr>
          <w:p w14:paraId="2CC4923A"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79" w:type="pct"/>
            <w:tcBorders>
              <w:top w:val="single" w:sz="6" w:space="0" w:color="auto"/>
              <w:left w:val="single" w:sz="6" w:space="0" w:color="auto"/>
              <w:bottom w:val="single" w:sz="6" w:space="0" w:color="auto"/>
              <w:right w:val="single" w:sz="6" w:space="0" w:color="auto"/>
            </w:tcBorders>
            <w:shd w:val="clear" w:color="auto" w:fill="B3B3B3"/>
            <w:vAlign w:val="center"/>
          </w:tcPr>
          <w:p w14:paraId="0C2A7CDC"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2900F16C" w14:textId="77777777" w:rsidTr="000C1365">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33BFB5EA" w14:textId="0DB95775"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sidRPr="00F4606C">
              <w:rPr>
                <w:rFonts w:asciiTheme="minorHAnsi" w:hAnsiTheme="minorHAnsi" w:cs="Arial"/>
                <w:sz w:val="20"/>
                <w:szCs w:val="20"/>
              </w:rPr>
              <w:t>19</w:t>
            </w:r>
            <w:r w:rsidR="00F3445C">
              <w:rPr>
                <w:rFonts w:asciiTheme="minorHAnsi" w:hAnsiTheme="minorHAnsi" w:cs="Arial"/>
                <w:sz w:val="20"/>
                <w:szCs w:val="20"/>
              </w:rPr>
              <w:t>7</w:t>
            </w:r>
          </w:p>
        </w:tc>
        <w:tc>
          <w:tcPr>
            <w:tcW w:w="1478" w:type="pct"/>
            <w:tcBorders>
              <w:top w:val="single" w:sz="6" w:space="0" w:color="auto"/>
              <w:left w:val="single" w:sz="6" w:space="0" w:color="auto"/>
              <w:bottom w:val="single" w:sz="6" w:space="0" w:color="auto"/>
              <w:right w:val="single" w:sz="6" w:space="0" w:color="auto"/>
            </w:tcBorders>
            <w:vAlign w:val="center"/>
          </w:tcPr>
          <w:p w14:paraId="5CB29B1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364" w:type="pct"/>
            <w:tcBorders>
              <w:top w:val="single" w:sz="6" w:space="0" w:color="auto"/>
              <w:left w:val="single" w:sz="6" w:space="0" w:color="auto"/>
              <w:bottom w:val="single" w:sz="6" w:space="0" w:color="auto"/>
              <w:right w:val="single" w:sz="6" w:space="0" w:color="auto"/>
            </w:tcBorders>
            <w:vAlign w:val="center"/>
          </w:tcPr>
          <w:p w14:paraId="4AF3927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w:t>
            </w:r>
          </w:p>
        </w:tc>
        <w:tc>
          <w:tcPr>
            <w:tcW w:w="1579" w:type="pct"/>
            <w:tcBorders>
              <w:top w:val="single" w:sz="6" w:space="0" w:color="auto"/>
              <w:left w:val="single" w:sz="6" w:space="0" w:color="auto"/>
              <w:bottom w:val="single" w:sz="6" w:space="0" w:color="auto"/>
              <w:right w:val="single" w:sz="6" w:space="0" w:color="auto"/>
            </w:tcBorders>
            <w:vAlign w:val="center"/>
          </w:tcPr>
          <w:p w14:paraId="7D4707BE"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 = Individual</w:t>
            </w:r>
          </w:p>
        </w:tc>
      </w:tr>
      <w:tr w:rsidR="00115458" w:rsidRPr="00046B05" w14:paraId="2F92BD0E" w14:textId="77777777" w:rsidTr="000C1365">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243A7734" w14:textId="0C7A55B8"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sidRPr="00F4606C">
              <w:rPr>
                <w:rFonts w:asciiTheme="minorHAnsi" w:hAnsiTheme="minorHAnsi" w:cs="Arial"/>
                <w:sz w:val="20"/>
                <w:szCs w:val="20"/>
              </w:rPr>
              <w:t>19</w:t>
            </w:r>
            <w:r w:rsidR="00F3445C">
              <w:rPr>
                <w:rFonts w:asciiTheme="minorHAnsi" w:hAnsiTheme="minorHAnsi" w:cs="Arial"/>
                <w:sz w:val="20"/>
                <w:szCs w:val="20"/>
              </w:rPr>
              <w:t>8</w:t>
            </w:r>
          </w:p>
        </w:tc>
        <w:tc>
          <w:tcPr>
            <w:tcW w:w="1478" w:type="pct"/>
            <w:tcBorders>
              <w:top w:val="single" w:sz="6" w:space="0" w:color="auto"/>
              <w:left w:val="single" w:sz="6" w:space="0" w:color="auto"/>
              <w:bottom w:val="single" w:sz="6" w:space="0" w:color="auto"/>
              <w:right w:val="single" w:sz="6" w:space="0" w:color="auto"/>
            </w:tcBorders>
            <w:vAlign w:val="center"/>
          </w:tcPr>
          <w:p w14:paraId="71FBDDD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364" w:type="pct"/>
            <w:tcBorders>
              <w:top w:val="single" w:sz="6" w:space="0" w:color="auto"/>
              <w:left w:val="single" w:sz="6" w:space="0" w:color="auto"/>
              <w:bottom w:val="single" w:sz="6" w:space="0" w:color="auto"/>
              <w:right w:val="single" w:sz="6" w:space="0" w:color="auto"/>
            </w:tcBorders>
            <w:vAlign w:val="center"/>
          </w:tcPr>
          <w:p w14:paraId="667AFDD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912345678</w:t>
            </w:r>
          </w:p>
        </w:tc>
        <w:tc>
          <w:tcPr>
            <w:tcW w:w="1579" w:type="pct"/>
            <w:tcBorders>
              <w:top w:val="single" w:sz="6" w:space="0" w:color="auto"/>
              <w:left w:val="single" w:sz="6" w:space="0" w:color="auto"/>
              <w:bottom w:val="single" w:sz="6" w:space="0" w:color="auto"/>
              <w:right w:val="single" w:sz="6" w:space="0" w:color="auto"/>
            </w:tcBorders>
            <w:vAlign w:val="center"/>
          </w:tcPr>
          <w:p w14:paraId="1768EE8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TFN of third party</w:t>
            </w:r>
          </w:p>
        </w:tc>
      </w:tr>
      <w:tr w:rsidR="00115458" w:rsidRPr="00046B05" w14:paraId="293D903D" w14:textId="77777777" w:rsidTr="000C1365">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2B6B9508" w14:textId="7B12E2F9"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197F9B">
              <w:rPr>
                <w:rFonts w:asciiTheme="minorHAnsi" w:hAnsiTheme="minorHAnsi" w:cs="Arial"/>
                <w:sz w:val="20"/>
                <w:szCs w:val="20"/>
              </w:rPr>
              <w:t>201</w:t>
            </w:r>
          </w:p>
        </w:tc>
        <w:tc>
          <w:tcPr>
            <w:tcW w:w="1478" w:type="pct"/>
            <w:tcBorders>
              <w:top w:val="single" w:sz="6" w:space="0" w:color="auto"/>
              <w:left w:val="single" w:sz="6" w:space="0" w:color="auto"/>
              <w:bottom w:val="single" w:sz="6" w:space="0" w:color="auto"/>
              <w:right w:val="single" w:sz="6" w:space="0" w:color="auto"/>
            </w:tcBorders>
            <w:vAlign w:val="center"/>
          </w:tcPr>
          <w:p w14:paraId="594130A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surname</w:t>
            </w:r>
          </w:p>
        </w:tc>
        <w:tc>
          <w:tcPr>
            <w:tcW w:w="1364" w:type="pct"/>
            <w:tcBorders>
              <w:top w:val="single" w:sz="6" w:space="0" w:color="auto"/>
              <w:left w:val="single" w:sz="6" w:space="0" w:color="auto"/>
              <w:bottom w:val="single" w:sz="6" w:space="0" w:color="auto"/>
              <w:right w:val="single" w:sz="6" w:space="0" w:color="auto"/>
            </w:tcBorders>
            <w:vAlign w:val="center"/>
          </w:tcPr>
          <w:p w14:paraId="34F4E504"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West</w:t>
            </w:r>
          </w:p>
        </w:tc>
        <w:tc>
          <w:tcPr>
            <w:tcW w:w="1579" w:type="pct"/>
            <w:tcBorders>
              <w:top w:val="single" w:sz="6" w:space="0" w:color="auto"/>
              <w:left w:val="single" w:sz="6" w:space="0" w:color="auto"/>
              <w:bottom w:val="single" w:sz="6" w:space="0" w:color="auto"/>
              <w:right w:val="single" w:sz="6" w:space="0" w:color="auto"/>
            </w:tcBorders>
            <w:vAlign w:val="center"/>
          </w:tcPr>
          <w:p w14:paraId="32029C93"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Third party’s surname</w:t>
            </w:r>
          </w:p>
        </w:tc>
      </w:tr>
      <w:tr w:rsidR="00115458" w:rsidRPr="00046B05" w14:paraId="4D2FB3A9" w14:textId="77777777" w:rsidTr="000C1365">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39D35006" w14:textId="543F5EE0"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Pr>
                <w:rFonts w:asciiTheme="minorHAnsi" w:hAnsiTheme="minorHAnsi" w:cs="Arial"/>
                <w:sz w:val="20"/>
                <w:szCs w:val="20"/>
              </w:rPr>
              <w:t>202</w:t>
            </w:r>
          </w:p>
        </w:tc>
        <w:tc>
          <w:tcPr>
            <w:tcW w:w="1478" w:type="pct"/>
            <w:tcBorders>
              <w:top w:val="single" w:sz="6" w:space="0" w:color="auto"/>
              <w:left w:val="single" w:sz="6" w:space="0" w:color="auto"/>
              <w:bottom w:val="single" w:sz="6" w:space="0" w:color="auto"/>
              <w:right w:val="single" w:sz="6" w:space="0" w:color="auto"/>
            </w:tcBorders>
            <w:vAlign w:val="center"/>
          </w:tcPr>
          <w:p w14:paraId="7AB1C42D"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first given name</w:t>
            </w:r>
          </w:p>
        </w:tc>
        <w:tc>
          <w:tcPr>
            <w:tcW w:w="1364" w:type="pct"/>
            <w:tcBorders>
              <w:top w:val="single" w:sz="6" w:space="0" w:color="auto"/>
              <w:left w:val="single" w:sz="6" w:space="0" w:color="auto"/>
              <w:bottom w:val="single" w:sz="6" w:space="0" w:color="auto"/>
              <w:right w:val="single" w:sz="6" w:space="0" w:color="auto"/>
            </w:tcBorders>
            <w:vAlign w:val="center"/>
          </w:tcPr>
          <w:p w14:paraId="10BFF5ED"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Samsara</w:t>
            </w:r>
          </w:p>
        </w:tc>
        <w:tc>
          <w:tcPr>
            <w:tcW w:w="1579" w:type="pct"/>
            <w:tcBorders>
              <w:top w:val="single" w:sz="6" w:space="0" w:color="auto"/>
              <w:left w:val="single" w:sz="6" w:space="0" w:color="auto"/>
              <w:bottom w:val="single" w:sz="6" w:space="0" w:color="auto"/>
              <w:right w:val="single" w:sz="6" w:space="0" w:color="auto"/>
            </w:tcBorders>
            <w:vAlign w:val="center"/>
          </w:tcPr>
          <w:p w14:paraId="2F4A371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Third party’s first given name </w:t>
            </w:r>
          </w:p>
        </w:tc>
      </w:tr>
      <w:tr w:rsidR="00115458" w:rsidRPr="00046B05" w14:paraId="02CA1285" w14:textId="77777777" w:rsidTr="000C1365">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3A0C397B" w14:textId="5411DDB3"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Pr>
                <w:rFonts w:asciiTheme="minorHAnsi" w:hAnsiTheme="minorHAnsi" w:cs="Arial"/>
                <w:sz w:val="20"/>
                <w:szCs w:val="20"/>
              </w:rPr>
              <w:t>203</w:t>
            </w:r>
          </w:p>
        </w:tc>
        <w:tc>
          <w:tcPr>
            <w:tcW w:w="1478" w:type="pct"/>
            <w:tcBorders>
              <w:top w:val="single" w:sz="6" w:space="0" w:color="auto"/>
              <w:left w:val="single" w:sz="6" w:space="0" w:color="auto"/>
              <w:bottom w:val="single" w:sz="6" w:space="0" w:color="auto"/>
              <w:right w:val="single" w:sz="6" w:space="0" w:color="auto"/>
            </w:tcBorders>
            <w:vAlign w:val="center"/>
          </w:tcPr>
          <w:p w14:paraId="0205EA6C"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second given name</w:t>
            </w:r>
          </w:p>
        </w:tc>
        <w:tc>
          <w:tcPr>
            <w:tcW w:w="1364" w:type="pct"/>
            <w:tcBorders>
              <w:top w:val="single" w:sz="6" w:space="0" w:color="auto"/>
              <w:left w:val="single" w:sz="6" w:space="0" w:color="auto"/>
              <w:bottom w:val="single" w:sz="6" w:space="0" w:color="auto"/>
              <w:right w:val="single" w:sz="6" w:space="0" w:color="auto"/>
            </w:tcBorders>
            <w:vAlign w:val="center"/>
          </w:tcPr>
          <w:p w14:paraId="37FED055"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Eden</w:t>
            </w:r>
          </w:p>
        </w:tc>
        <w:tc>
          <w:tcPr>
            <w:tcW w:w="1579" w:type="pct"/>
            <w:tcBorders>
              <w:top w:val="single" w:sz="6" w:space="0" w:color="auto"/>
              <w:left w:val="single" w:sz="6" w:space="0" w:color="auto"/>
              <w:bottom w:val="single" w:sz="6" w:space="0" w:color="auto"/>
              <w:right w:val="single" w:sz="6" w:space="0" w:color="auto"/>
            </w:tcBorders>
            <w:vAlign w:val="center"/>
          </w:tcPr>
          <w:p w14:paraId="458B0EF8"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Third party’s second given name </w:t>
            </w:r>
          </w:p>
        </w:tc>
      </w:tr>
      <w:tr w:rsidR="00115458" w:rsidRPr="00046B05" w14:paraId="6BD897F6" w14:textId="77777777" w:rsidTr="000C1365">
        <w:trPr>
          <w:cantSplit/>
          <w:trHeight w:val="272"/>
        </w:trPr>
        <w:tc>
          <w:tcPr>
            <w:tcW w:w="579" w:type="pct"/>
            <w:tcBorders>
              <w:top w:val="single" w:sz="6" w:space="0" w:color="auto"/>
              <w:left w:val="single" w:sz="6" w:space="0" w:color="auto"/>
              <w:bottom w:val="single" w:sz="6" w:space="0" w:color="auto"/>
              <w:right w:val="single" w:sz="6" w:space="0" w:color="auto"/>
            </w:tcBorders>
            <w:vAlign w:val="center"/>
          </w:tcPr>
          <w:p w14:paraId="1D35244D" w14:textId="146673F4"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Pr>
                <w:rFonts w:asciiTheme="minorHAnsi" w:hAnsiTheme="minorHAnsi" w:cs="Arial"/>
                <w:sz w:val="20"/>
                <w:szCs w:val="20"/>
              </w:rPr>
              <w:t>204</w:t>
            </w:r>
          </w:p>
        </w:tc>
        <w:tc>
          <w:tcPr>
            <w:tcW w:w="1478" w:type="pct"/>
            <w:tcBorders>
              <w:top w:val="single" w:sz="6" w:space="0" w:color="auto"/>
              <w:left w:val="single" w:sz="6" w:space="0" w:color="auto"/>
              <w:bottom w:val="single" w:sz="6" w:space="0" w:color="auto"/>
              <w:right w:val="single" w:sz="6" w:space="0" w:color="auto"/>
            </w:tcBorders>
            <w:vAlign w:val="center"/>
          </w:tcPr>
          <w:p w14:paraId="1ABE695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Individual investor date of birth </w:t>
            </w:r>
          </w:p>
        </w:tc>
        <w:tc>
          <w:tcPr>
            <w:tcW w:w="1364" w:type="pct"/>
            <w:tcBorders>
              <w:top w:val="single" w:sz="6" w:space="0" w:color="auto"/>
              <w:left w:val="single" w:sz="6" w:space="0" w:color="auto"/>
              <w:bottom w:val="single" w:sz="6" w:space="0" w:color="auto"/>
              <w:right w:val="single" w:sz="6" w:space="0" w:color="auto"/>
            </w:tcBorders>
            <w:vAlign w:val="center"/>
          </w:tcPr>
          <w:p w14:paraId="15DC8833"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24041982</w:t>
            </w:r>
          </w:p>
        </w:tc>
        <w:tc>
          <w:tcPr>
            <w:tcW w:w="1579" w:type="pct"/>
            <w:tcBorders>
              <w:top w:val="single" w:sz="6" w:space="0" w:color="auto"/>
              <w:left w:val="single" w:sz="6" w:space="0" w:color="auto"/>
              <w:bottom w:val="single" w:sz="6" w:space="0" w:color="auto"/>
              <w:right w:val="single" w:sz="6" w:space="0" w:color="auto"/>
            </w:tcBorders>
            <w:vAlign w:val="center"/>
          </w:tcPr>
          <w:p w14:paraId="4861D29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DOB of third party</w:t>
            </w:r>
          </w:p>
        </w:tc>
      </w:tr>
    </w:tbl>
    <w:p w14:paraId="6F4A9F8A" w14:textId="77777777" w:rsidR="00115458" w:rsidRPr="00F4606C" w:rsidRDefault="00115458" w:rsidP="00115458">
      <w:pPr>
        <w:pStyle w:val="Head4"/>
        <w:rPr>
          <w:rFonts w:asciiTheme="minorHAnsi" w:hAnsiTheme="minorHAnsi"/>
          <w:sz w:val="20"/>
          <w:szCs w:val="20"/>
        </w:rPr>
      </w:pPr>
      <w:r w:rsidRPr="00F4606C">
        <w:rPr>
          <w:rFonts w:asciiTheme="minorHAnsi" w:hAnsiTheme="minorHAnsi"/>
          <w:sz w:val="20"/>
          <w:szCs w:val="20"/>
        </w:rPr>
        <w:t>Example 4.12 – Account opened by third party OBO an individual investor</w:t>
      </w:r>
    </w:p>
    <w:p w14:paraId="1CD775FC" w14:textId="77777777" w:rsidR="00115458" w:rsidRPr="00B35C0A" w:rsidRDefault="00115458" w:rsidP="00F4606C">
      <w:pPr>
        <w:spacing w:after="0" w:line="240" w:lineRule="auto"/>
        <w:rPr>
          <w:rFonts w:cs="Arial"/>
        </w:rPr>
      </w:pPr>
      <w:r w:rsidRPr="00B35C0A">
        <w:rPr>
          <w:rFonts w:cs="Arial"/>
        </w:rPr>
        <w:t>An account was opened by Charlie Jaxon OBO Claudia Belle Gant. Claudia Belle Gant is entitled to receive all</w:t>
      </w:r>
      <w:r>
        <w:rPr>
          <w:rFonts w:cs="Arial"/>
        </w:rPr>
        <w:t xml:space="preserve"> </w:t>
      </w:r>
      <w:r w:rsidRPr="00B35C0A">
        <w:rPr>
          <w:rFonts w:cs="Arial"/>
        </w:rPr>
        <w:t xml:space="preserve">the income from the investment account. </w:t>
      </w:r>
    </w:p>
    <w:p w14:paraId="10D5F9F9" w14:textId="77777777" w:rsidR="00115458" w:rsidRPr="00B35C0A" w:rsidRDefault="00115458" w:rsidP="00115458">
      <w:pPr>
        <w:pStyle w:val="Maintext"/>
        <w:rPr>
          <w:rFonts w:cs="Arial"/>
        </w:rPr>
      </w:pPr>
    </w:p>
    <w:p w14:paraId="7BE38C7C" w14:textId="77777777"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639178BD" w14:textId="77777777" w:rsidR="00115458" w:rsidRPr="00F4606C" w:rsidRDefault="00115458" w:rsidP="00046B05">
      <w:pPr>
        <w:pStyle w:val="Maintext"/>
        <w:rPr>
          <w:rFonts w:asciiTheme="minorHAnsi" w:hAnsiTheme="minorHAnsi" w:cs="Arial"/>
          <w:smallCaps/>
          <w:sz w:val="20"/>
          <w:szCs w:val="20"/>
        </w:rPr>
      </w:pPr>
    </w:p>
    <w:tbl>
      <w:tblPr>
        <w:tblW w:w="5000" w:type="pct"/>
        <w:tblLook w:val="0000" w:firstRow="0" w:lastRow="0" w:firstColumn="0" w:lastColumn="0" w:noHBand="0" w:noVBand="0"/>
      </w:tblPr>
      <w:tblGrid>
        <w:gridCol w:w="1227"/>
        <w:gridCol w:w="2734"/>
        <w:gridCol w:w="2551"/>
        <w:gridCol w:w="2770"/>
      </w:tblGrid>
      <w:tr w:rsidR="00115458" w:rsidRPr="00046B05" w14:paraId="623FC744" w14:textId="77777777" w:rsidTr="000C1365">
        <w:trPr>
          <w:cantSplit/>
        </w:trPr>
        <w:tc>
          <w:tcPr>
            <w:tcW w:w="589" w:type="pct"/>
            <w:tcBorders>
              <w:top w:val="single" w:sz="6" w:space="0" w:color="auto"/>
              <w:left w:val="single" w:sz="6" w:space="0" w:color="auto"/>
              <w:bottom w:val="single" w:sz="6" w:space="0" w:color="auto"/>
              <w:right w:val="single" w:sz="6" w:space="0" w:color="auto"/>
            </w:tcBorders>
            <w:shd w:val="clear" w:color="auto" w:fill="B3B3B3"/>
            <w:vAlign w:val="center"/>
          </w:tcPr>
          <w:p w14:paraId="5ED1E91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1497" w:type="pct"/>
            <w:tcBorders>
              <w:top w:val="single" w:sz="6" w:space="0" w:color="auto"/>
              <w:left w:val="single" w:sz="6" w:space="0" w:color="auto"/>
              <w:bottom w:val="single" w:sz="6" w:space="0" w:color="auto"/>
              <w:right w:val="single" w:sz="6" w:space="0" w:color="auto"/>
            </w:tcBorders>
            <w:shd w:val="clear" w:color="auto" w:fill="B3B3B3"/>
            <w:vAlign w:val="center"/>
          </w:tcPr>
          <w:p w14:paraId="35E6F51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98" w:type="pct"/>
            <w:tcBorders>
              <w:top w:val="single" w:sz="6" w:space="0" w:color="auto"/>
              <w:left w:val="single" w:sz="6" w:space="0" w:color="auto"/>
              <w:bottom w:val="single" w:sz="6" w:space="0" w:color="auto"/>
              <w:right w:val="single" w:sz="6" w:space="0" w:color="auto"/>
            </w:tcBorders>
            <w:shd w:val="clear" w:color="auto" w:fill="B3B3B3"/>
            <w:vAlign w:val="center"/>
          </w:tcPr>
          <w:p w14:paraId="78543004"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16" w:type="pct"/>
            <w:tcBorders>
              <w:top w:val="single" w:sz="6" w:space="0" w:color="auto"/>
              <w:left w:val="single" w:sz="6" w:space="0" w:color="auto"/>
              <w:bottom w:val="single" w:sz="6" w:space="0" w:color="auto"/>
              <w:right w:val="single" w:sz="6" w:space="0" w:color="auto"/>
            </w:tcBorders>
            <w:shd w:val="clear" w:color="auto" w:fill="B3B3B3"/>
            <w:vAlign w:val="center"/>
          </w:tcPr>
          <w:p w14:paraId="50C2F50D"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33B50F2D" w14:textId="77777777" w:rsidTr="000C1365">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43CC69D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9.67</w:t>
            </w:r>
          </w:p>
        </w:tc>
        <w:tc>
          <w:tcPr>
            <w:tcW w:w="1497" w:type="pct"/>
            <w:tcBorders>
              <w:top w:val="single" w:sz="6" w:space="0" w:color="auto"/>
              <w:left w:val="single" w:sz="6" w:space="0" w:color="auto"/>
              <w:bottom w:val="single" w:sz="6" w:space="0" w:color="auto"/>
              <w:right w:val="single" w:sz="6" w:space="0" w:color="auto"/>
            </w:tcBorders>
            <w:vAlign w:val="center"/>
          </w:tcPr>
          <w:p w14:paraId="1405842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Account name</w:t>
            </w:r>
          </w:p>
        </w:tc>
        <w:tc>
          <w:tcPr>
            <w:tcW w:w="1398" w:type="pct"/>
            <w:tcBorders>
              <w:top w:val="single" w:sz="6" w:space="0" w:color="auto"/>
              <w:left w:val="single" w:sz="6" w:space="0" w:color="auto"/>
              <w:bottom w:val="single" w:sz="6" w:space="0" w:color="auto"/>
              <w:right w:val="single" w:sz="6" w:space="0" w:color="auto"/>
            </w:tcBorders>
            <w:vAlign w:val="center"/>
          </w:tcPr>
          <w:p w14:paraId="32AA6E62" w14:textId="77777777" w:rsidR="00115458" w:rsidRPr="00F4606C" w:rsidRDefault="00115458" w:rsidP="00046B05">
            <w:pPr>
              <w:pStyle w:val="Maintext"/>
              <w:rPr>
                <w:rFonts w:asciiTheme="minorHAnsi" w:hAnsiTheme="minorHAnsi" w:cs="Arial"/>
                <w:caps/>
                <w:sz w:val="20"/>
                <w:szCs w:val="20"/>
                <w:lang w:val="fr-FR"/>
              </w:rPr>
            </w:pPr>
            <w:r w:rsidRPr="00F4606C">
              <w:rPr>
                <w:rFonts w:asciiTheme="minorHAnsi" w:hAnsiTheme="minorHAnsi" w:cs="Arial"/>
                <w:caps/>
                <w:sz w:val="20"/>
                <w:szCs w:val="20"/>
                <w:lang w:val="fr-FR"/>
              </w:rPr>
              <w:t>Charlie Jaxon OBO Claudia Belle Gant</w:t>
            </w:r>
          </w:p>
        </w:tc>
        <w:tc>
          <w:tcPr>
            <w:tcW w:w="1516" w:type="pct"/>
            <w:tcBorders>
              <w:top w:val="single" w:sz="6" w:space="0" w:color="auto"/>
              <w:left w:val="single" w:sz="6" w:space="0" w:color="auto"/>
              <w:bottom w:val="single" w:sz="6" w:space="0" w:color="auto"/>
              <w:right w:val="single" w:sz="6" w:space="0" w:color="auto"/>
            </w:tcBorders>
            <w:vAlign w:val="center"/>
          </w:tcPr>
          <w:p w14:paraId="4F59664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Third party OBO Client</w:t>
            </w:r>
          </w:p>
        </w:tc>
      </w:tr>
    </w:tbl>
    <w:p w14:paraId="44140E55" w14:textId="77777777" w:rsidR="00115458" w:rsidRPr="00F4606C" w:rsidRDefault="00115458" w:rsidP="00046B05">
      <w:pPr>
        <w:pStyle w:val="Maintext"/>
        <w:rPr>
          <w:rFonts w:asciiTheme="minorHAnsi" w:hAnsiTheme="minorHAnsi" w:cs="Arial"/>
          <w:sz w:val="20"/>
          <w:szCs w:val="20"/>
        </w:rPr>
      </w:pPr>
    </w:p>
    <w:p w14:paraId="53242031" w14:textId="77777777" w:rsidR="00037647" w:rsidRDefault="00037647" w:rsidP="00046B05">
      <w:pPr>
        <w:pStyle w:val="Maintext"/>
        <w:rPr>
          <w:rFonts w:asciiTheme="minorHAnsi" w:hAnsiTheme="minorHAnsi" w:cs="Arial"/>
          <w:b/>
          <w:smallCaps/>
          <w:sz w:val="20"/>
          <w:szCs w:val="20"/>
        </w:rPr>
      </w:pPr>
    </w:p>
    <w:p w14:paraId="0A96247E" w14:textId="77777777" w:rsidR="00037647" w:rsidRDefault="00037647" w:rsidP="00046B05">
      <w:pPr>
        <w:pStyle w:val="Maintext"/>
        <w:rPr>
          <w:rFonts w:asciiTheme="minorHAnsi" w:hAnsiTheme="minorHAnsi" w:cs="Arial"/>
          <w:b/>
          <w:smallCaps/>
          <w:sz w:val="20"/>
          <w:szCs w:val="20"/>
        </w:rPr>
      </w:pPr>
    </w:p>
    <w:p w14:paraId="5076BCAD" w14:textId="07B374D8"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investor data record </w:t>
      </w:r>
      <w:r w:rsidRPr="00F4606C">
        <w:rPr>
          <w:rFonts w:asciiTheme="minorHAnsi" w:hAnsiTheme="minorHAnsi" w:cs="Arial"/>
          <w:smallCaps/>
          <w:sz w:val="20"/>
          <w:szCs w:val="20"/>
        </w:rPr>
        <w:t>(extract)</w:t>
      </w:r>
    </w:p>
    <w:p w14:paraId="763124F7" w14:textId="77777777" w:rsidR="00115458" w:rsidRPr="00F4606C" w:rsidRDefault="00115458" w:rsidP="00046B05">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740"/>
        <w:gridCol w:w="2547"/>
        <w:gridCol w:w="2768"/>
      </w:tblGrid>
      <w:tr w:rsidR="00115458" w:rsidRPr="00046B05" w14:paraId="3E33E785" w14:textId="77777777" w:rsidTr="000C1365">
        <w:trPr>
          <w:cantSplit/>
          <w:tblHeader/>
        </w:trPr>
        <w:tc>
          <w:tcPr>
            <w:tcW w:w="589" w:type="pct"/>
            <w:tcBorders>
              <w:top w:val="single" w:sz="6" w:space="0" w:color="auto"/>
              <w:left w:val="single" w:sz="6" w:space="0" w:color="auto"/>
              <w:bottom w:val="single" w:sz="6" w:space="0" w:color="auto"/>
              <w:right w:val="single" w:sz="6" w:space="0" w:color="auto"/>
            </w:tcBorders>
            <w:shd w:val="clear" w:color="auto" w:fill="B3B3B3"/>
            <w:vAlign w:val="center"/>
          </w:tcPr>
          <w:p w14:paraId="56641C0E"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1500" w:type="pct"/>
            <w:tcBorders>
              <w:top w:val="single" w:sz="6" w:space="0" w:color="auto"/>
              <w:left w:val="single" w:sz="6" w:space="0" w:color="auto"/>
              <w:bottom w:val="single" w:sz="6" w:space="0" w:color="auto"/>
              <w:right w:val="single" w:sz="6" w:space="0" w:color="auto"/>
            </w:tcBorders>
            <w:shd w:val="clear" w:color="auto" w:fill="B3B3B3"/>
            <w:vAlign w:val="center"/>
          </w:tcPr>
          <w:p w14:paraId="59951688"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396" w:type="pct"/>
            <w:tcBorders>
              <w:top w:val="single" w:sz="6" w:space="0" w:color="auto"/>
              <w:left w:val="single" w:sz="6" w:space="0" w:color="auto"/>
              <w:bottom w:val="single" w:sz="6" w:space="0" w:color="auto"/>
              <w:right w:val="single" w:sz="6" w:space="0" w:color="auto"/>
            </w:tcBorders>
            <w:shd w:val="clear" w:color="auto" w:fill="B3B3B3"/>
            <w:vAlign w:val="center"/>
          </w:tcPr>
          <w:p w14:paraId="478E4A41"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515" w:type="pct"/>
            <w:tcBorders>
              <w:top w:val="single" w:sz="6" w:space="0" w:color="auto"/>
              <w:left w:val="single" w:sz="6" w:space="0" w:color="auto"/>
              <w:bottom w:val="single" w:sz="6" w:space="0" w:color="auto"/>
              <w:right w:val="single" w:sz="6" w:space="0" w:color="auto"/>
            </w:tcBorders>
            <w:shd w:val="clear" w:color="auto" w:fill="B3B3B3"/>
            <w:vAlign w:val="center"/>
          </w:tcPr>
          <w:p w14:paraId="38C37A34"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61ABA61E" w14:textId="77777777" w:rsidTr="000C1365">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6845AFDB" w14:textId="27233DB6"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sidRPr="00F4606C">
              <w:rPr>
                <w:rFonts w:asciiTheme="minorHAnsi" w:hAnsiTheme="minorHAnsi" w:cs="Arial"/>
                <w:sz w:val="20"/>
                <w:szCs w:val="20"/>
              </w:rPr>
              <w:t>19</w:t>
            </w:r>
            <w:r w:rsidR="00F3445C">
              <w:rPr>
                <w:rFonts w:asciiTheme="minorHAnsi" w:hAnsiTheme="minorHAnsi" w:cs="Arial"/>
                <w:sz w:val="20"/>
                <w:szCs w:val="20"/>
              </w:rPr>
              <w:t>7</w:t>
            </w:r>
          </w:p>
        </w:tc>
        <w:tc>
          <w:tcPr>
            <w:tcW w:w="1500" w:type="pct"/>
            <w:tcBorders>
              <w:top w:val="single" w:sz="6" w:space="0" w:color="auto"/>
              <w:left w:val="single" w:sz="6" w:space="0" w:color="auto"/>
              <w:bottom w:val="single" w:sz="6" w:space="0" w:color="auto"/>
              <w:right w:val="single" w:sz="6" w:space="0" w:color="auto"/>
            </w:tcBorders>
            <w:vAlign w:val="center"/>
          </w:tcPr>
          <w:p w14:paraId="54785CE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396" w:type="pct"/>
            <w:tcBorders>
              <w:top w:val="single" w:sz="6" w:space="0" w:color="auto"/>
              <w:left w:val="single" w:sz="6" w:space="0" w:color="auto"/>
              <w:bottom w:val="single" w:sz="6" w:space="0" w:color="auto"/>
              <w:right w:val="single" w:sz="6" w:space="0" w:color="auto"/>
            </w:tcBorders>
            <w:vAlign w:val="center"/>
          </w:tcPr>
          <w:p w14:paraId="28908C18"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w:t>
            </w:r>
          </w:p>
        </w:tc>
        <w:tc>
          <w:tcPr>
            <w:tcW w:w="1515" w:type="pct"/>
            <w:tcBorders>
              <w:top w:val="single" w:sz="6" w:space="0" w:color="auto"/>
              <w:left w:val="single" w:sz="6" w:space="0" w:color="auto"/>
              <w:bottom w:val="single" w:sz="6" w:space="0" w:color="auto"/>
              <w:right w:val="single" w:sz="6" w:space="0" w:color="auto"/>
            </w:tcBorders>
            <w:vAlign w:val="center"/>
          </w:tcPr>
          <w:p w14:paraId="4C5B327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 = Individual</w:t>
            </w:r>
          </w:p>
        </w:tc>
      </w:tr>
      <w:tr w:rsidR="00115458" w:rsidRPr="00046B05" w14:paraId="49776A5D" w14:textId="77777777" w:rsidTr="000C1365">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1110B128" w14:textId="42BF41CE"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sidRPr="00F4606C">
              <w:rPr>
                <w:rFonts w:asciiTheme="minorHAnsi" w:hAnsiTheme="minorHAnsi" w:cs="Arial"/>
                <w:sz w:val="20"/>
                <w:szCs w:val="20"/>
              </w:rPr>
              <w:t>19</w:t>
            </w:r>
            <w:r w:rsidR="00F3445C">
              <w:rPr>
                <w:rFonts w:asciiTheme="minorHAnsi" w:hAnsiTheme="minorHAnsi" w:cs="Arial"/>
                <w:sz w:val="20"/>
                <w:szCs w:val="20"/>
              </w:rPr>
              <w:t>8</w:t>
            </w:r>
          </w:p>
        </w:tc>
        <w:tc>
          <w:tcPr>
            <w:tcW w:w="1500" w:type="pct"/>
            <w:tcBorders>
              <w:top w:val="single" w:sz="6" w:space="0" w:color="auto"/>
              <w:left w:val="single" w:sz="6" w:space="0" w:color="auto"/>
              <w:bottom w:val="single" w:sz="6" w:space="0" w:color="auto"/>
              <w:right w:val="single" w:sz="6" w:space="0" w:color="auto"/>
            </w:tcBorders>
            <w:vAlign w:val="center"/>
          </w:tcPr>
          <w:p w14:paraId="4869005B"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396" w:type="pct"/>
            <w:tcBorders>
              <w:top w:val="single" w:sz="6" w:space="0" w:color="auto"/>
              <w:left w:val="single" w:sz="6" w:space="0" w:color="auto"/>
              <w:bottom w:val="single" w:sz="6" w:space="0" w:color="auto"/>
              <w:right w:val="single" w:sz="6" w:space="0" w:color="auto"/>
            </w:tcBorders>
            <w:vAlign w:val="center"/>
          </w:tcPr>
          <w:p w14:paraId="7F3F7F1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789456879</w:t>
            </w:r>
          </w:p>
        </w:tc>
        <w:tc>
          <w:tcPr>
            <w:tcW w:w="1515" w:type="pct"/>
            <w:tcBorders>
              <w:top w:val="single" w:sz="6" w:space="0" w:color="auto"/>
              <w:left w:val="single" w:sz="6" w:space="0" w:color="auto"/>
              <w:bottom w:val="single" w:sz="6" w:space="0" w:color="auto"/>
              <w:right w:val="single" w:sz="6" w:space="0" w:color="auto"/>
            </w:tcBorders>
            <w:vAlign w:val="center"/>
          </w:tcPr>
          <w:p w14:paraId="41FAB17A"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TFN of investor</w:t>
            </w:r>
          </w:p>
        </w:tc>
      </w:tr>
      <w:tr w:rsidR="00115458" w:rsidRPr="00046B05" w14:paraId="73DD3FF2" w14:textId="77777777" w:rsidTr="000C1365">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053851D9" w14:textId="3F688FD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197F9B">
              <w:rPr>
                <w:rFonts w:asciiTheme="minorHAnsi" w:hAnsiTheme="minorHAnsi" w:cs="Arial"/>
                <w:sz w:val="20"/>
                <w:szCs w:val="20"/>
              </w:rPr>
              <w:t>201</w:t>
            </w:r>
          </w:p>
        </w:tc>
        <w:tc>
          <w:tcPr>
            <w:tcW w:w="1500" w:type="pct"/>
            <w:tcBorders>
              <w:top w:val="single" w:sz="6" w:space="0" w:color="auto"/>
              <w:left w:val="single" w:sz="6" w:space="0" w:color="auto"/>
              <w:bottom w:val="single" w:sz="6" w:space="0" w:color="auto"/>
              <w:right w:val="single" w:sz="6" w:space="0" w:color="auto"/>
            </w:tcBorders>
            <w:vAlign w:val="center"/>
          </w:tcPr>
          <w:p w14:paraId="5CA8A01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surname</w:t>
            </w:r>
          </w:p>
        </w:tc>
        <w:tc>
          <w:tcPr>
            <w:tcW w:w="1396" w:type="pct"/>
            <w:tcBorders>
              <w:top w:val="single" w:sz="6" w:space="0" w:color="auto"/>
              <w:left w:val="single" w:sz="6" w:space="0" w:color="auto"/>
              <w:bottom w:val="single" w:sz="6" w:space="0" w:color="auto"/>
              <w:right w:val="single" w:sz="6" w:space="0" w:color="auto"/>
            </w:tcBorders>
            <w:vAlign w:val="center"/>
          </w:tcPr>
          <w:p w14:paraId="4C11626C"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Gant</w:t>
            </w:r>
          </w:p>
        </w:tc>
        <w:tc>
          <w:tcPr>
            <w:tcW w:w="1515" w:type="pct"/>
            <w:tcBorders>
              <w:top w:val="single" w:sz="6" w:space="0" w:color="auto"/>
              <w:left w:val="single" w:sz="6" w:space="0" w:color="auto"/>
              <w:bottom w:val="single" w:sz="6" w:space="0" w:color="auto"/>
              <w:right w:val="single" w:sz="6" w:space="0" w:color="auto"/>
            </w:tcBorders>
            <w:vAlign w:val="center"/>
          </w:tcPr>
          <w:p w14:paraId="51F9B68E"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Investor’s surname</w:t>
            </w:r>
          </w:p>
        </w:tc>
      </w:tr>
      <w:tr w:rsidR="00115458" w:rsidRPr="00046B05" w14:paraId="62F1DD89" w14:textId="77777777" w:rsidTr="000C1365">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09EB295E" w14:textId="35CA7F8F"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Pr>
                <w:rFonts w:asciiTheme="minorHAnsi" w:hAnsiTheme="minorHAnsi" w:cs="Arial"/>
                <w:sz w:val="20"/>
                <w:szCs w:val="20"/>
              </w:rPr>
              <w:t>202</w:t>
            </w:r>
          </w:p>
        </w:tc>
        <w:tc>
          <w:tcPr>
            <w:tcW w:w="1500" w:type="pct"/>
            <w:tcBorders>
              <w:top w:val="single" w:sz="6" w:space="0" w:color="auto"/>
              <w:left w:val="single" w:sz="6" w:space="0" w:color="auto"/>
              <w:bottom w:val="single" w:sz="6" w:space="0" w:color="auto"/>
              <w:right w:val="single" w:sz="6" w:space="0" w:color="auto"/>
            </w:tcBorders>
            <w:vAlign w:val="center"/>
          </w:tcPr>
          <w:p w14:paraId="1D9EB7C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first given name</w:t>
            </w:r>
          </w:p>
        </w:tc>
        <w:tc>
          <w:tcPr>
            <w:tcW w:w="1396" w:type="pct"/>
            <w:tcBorders>
              <w:top w:val="single" w:sz="6" w:space="0" w:color="auto"/>
              <w:left w:val="single" w:sz="6" w:space="0" w:color="auto"/>
              <w:bottom w:val="single" w:sz="6" w:space="0" w:color="auto"/>
              <w:right w:val="single" w:sz="6" w:space="0" w:color="auto"/>
            </w:tcBorders>
            <w:vAlign w:val="center"/>
          </w:tcPr>
          <w:p w14:paraId="6CFCB204"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Claudia</w:t>
            </w:r>
          </w:p>
        </w:tc>
        <w:tc>
          <w:tcPr>
            <w:tcW w:w="1515" w:type="pct"/>
            <w:tcBorders>
              <w:top w:val="single" w:sz="6" w:space="0" w:color="auto"/>
              <w:left w:val="single" w:sz="6" w:space="0" w:color="auto"/>
              <w:bottom w:val="single" w:sz="6" w:space="0" w:color="auto"/>
              <w:right w:val="single" w:sz="6" w:space="0" w:color="auto"/>
            </w:tcBorders>
            <w:vAlign w:val="center"/>
          </w:tcPr>
          <w:p w14:paraId="35463F2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Investor’s first given name</w:t>
            </w:r>
          </w:p>
        </w:tc>
      </w:tr>
      <w:tr w:rsidR="00115458" w:rsidRPr="00046B05" w14:paraId="5ABFC72E" w14:textId="77777777" w:rsidTr="000C1365">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73CCC235" w14:textId="7DD7D522"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Pr>
                <w:rFonts w:asciiTheme="minorHAnsi" w:hAnsiTheme="minorHAnsi" w:cs="Arial"/>
                <w:sz w:val="20"/>
                <w:szCs w:val="20"/>
              </w:rPr>
              <w:t>203</w:t>
            </w:r>
          </w:p>
        </w:tc>
        <w:tc>
          <w:tcPr>
            <w:tcW w:w="1500" w:type="pct"/>
            <w:tcBorders>
              <w:top w:val="single" w:sz="6" w:space="0" w:color="auto"/>
              <w:left w:val="single" w:sz="6" w:space="0" w:color="auto"/>
              <w:bottom w:val="single" w:sz="6" w:space="0" w:color="auto"/>
              <w:right w:val="single" w:sz="6" w:space="0" w:color="auto"/>
            </w:tcBorders>
            <w:vAlign w:val="center"/>
          </w:tcPr>
          <w:p w14:paraId="11436B9C"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second given name</w:t>
            </w:r>
          </w:p>
        </w:tc>
        <w:tc>
          <w:tcPr>
            <w:tcW w:w="1396" w:type="pct"/>
            <w:tcBorders>
              <w:top w:val="single" w:sz="6" w:space="0" w:color="auto"/>
              <w:left w:val="single" w:sz="6" w:space="0" w:color="auto"/>
              <w:bottom w:val="single" w:sz="6" w:space="0" w:color="auto"/>
              <w:right w:val="single" w:sz="6" w:space="0" w:color="auto"/>
            </w:tcBorders>
            <w:vAlign w:val="center"/>
          </w:tcPr>
          <w:p w14:paraId="6283F8FE"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Belle</w:t>
            </w:r>
          </w:p>
        </w:tc>
        <w:tc>
          <w:tcPr>
            <w:tcW w:w="1515" w:type="pct"/>
            <w:tcBorders>
              <w:top w:val="single" w:sz="6" w:space="0" w:color="auto"/>
              <w:left w:val="single" w:sz="6" w:space="0" w:color="auto"/>
              <w:bottom w:val="single" w:sz="6" w:space="0" w:color="auto"/>
              <w:right w:val="single" w:sz="6" w:space="0" w:color="auto"/>
            </w:tcBorders>
            <w:vAlign w:val="center"/>
          </w:tcPr>
          <w:p w14:paraId="7BF40063"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Investor’s second given name</w:t>
            </w:r>
          </w:p>
        </w:tc>
      </w:tr>
      <w:tr w:rsidR="00115458" w:rsidRPr="00046B05" w14:paraId="353360E5" w14:textId="77777777" w:rsidTr="000C1365">
        <w:trPr>
          <w:cantSplit/>
          <w:trHeight w:val="276"/>
        </w:trPr>
        <w:tc>
          <w:tcPr>
            <w:tcW w:w="589" w:type="pct"/>
            <w:tcBorders>
              <w:top w:val="single" w:sz="6" w:space="0" w:color="auto"/>
              <w:left w:val="single" w:sz="6" w:space="0" w:color="auto"/>
              <w:bottom w:val="single" w:sz="6" w:space="0" w:color="auto"/>
              <w:right w:val="single" w:sz="6" w:space="0" w:color="auto"/>
            </w:tcBorders>
            <w:vAlign w:val="center"/>
          </w:tcPr>
          <w:p w14:paraId="0A491B3D" w14:textId="712C411A"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Pr>
                <w:rFonts w:asciiTheme="minorHAnsi" w:hAnsiTheme="minorHAnsi" w:cs="Arial"/>
                <w:sz w:val="20"/>
                <w:szCs w:val="20"/>
              </w:rPr>
              <w:t>204</w:t>
            </w:r>
          </w:p>
        </w:tc>
        <w:tc>
          <w:tcPr>
            <w:tcW w:w="1500" w:type="pct"/>
            <w:tcBorders>
              <w:top w:val="single" w:sz="6" w:space="0" w:color="auto"/>
              <w:left w:val="single" w:sz="6" w:space="0" w:color="auto"/>
              <w:bottom w:val="single" w:sz="6" w:space="0" w:color="auto"/>
              <w:right w:val="single" w:sz="6" w:space="0" w:color="auto"/>
            </w:tcBorders>
            <w:vAlign w:val="center"/>
          </w:tcPr>
          <w:p w14:paraId="31A6996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Individual investor date of birth </w:t>
            </w:r>
          </w:p>
        </w:tc>
        <w:tc>
          <w:tcPr>
            <w:tcW w:w="1396" w:type="pct"/>
            <w:tcBorders>
              <w:top w:val="single" w:sz="6" w:space="0" w:color="auto"/>
              <w:left w:val="single" w:sz="6" w:space="0" w:color="auto"/>
              <w:bottom w:val="single" w:sz="6" w:space="0" w:color="auto"/>
              <w:right w:val="single" w:sz="6" w:space="0" w:color="auto"/>
            </w:tcBorders>
            <w:vAlign w:val="center"/>
          </w:tcPr>
          <w:p w14:paraId="5F56C3C7"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17091964</w:t>
            </w:r>
          </w:p>
        </w:tc>
        <w:tc>
          <w:tcPr>
            <w:tcW w:w="1515" w:type="pct"/>
            <w:tcBorders>
              <w:top w:val="single" w:sz="6" w:space="0" w:color="auto"/>
              <w:left w:val="single" w:sz="6" w:space="0" w:color="auto"/>
              <w:bottom w:val="single" w:sz="6" w:space="0" w:color="auto"/>
              <w:right w:val="single" w:sz="6" w:space="0" w:color="auto"/>
            </w:tcBorders>
            <w:vAlign w:val="center"/>
          </w:tcPr>
          <w:p w14:paraId="1EA1833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DOB of investor</w:t>
            </w:r>
          </w:p>
        </w:tc>
      </w:tr>
    </w:tbl>
    <w:p w14:paraId="0F190677" w14:textId="58F55BBA" w:rsidR="00115458" w:rsidRPr="00EC596A" w:rsidRDefault="00115458" w:rsidP="00EC596A">
      <w:pPr>
        <w:pStyle w:val="Heading1"/>
      </w:pPr>
      <w:r>
        <w:rPr>
          <w:szCs w:val="22"/>
        </w:rPr>
        <w:br w:type="page"/>
      </w:r>
      <w:bookmarkStart w:id="657" w:name="_5._Interposed_entities"/>
      <w:bookmarkStart w:id="658" w:name="_Toc232191333"/>
      <w:bookmarkEnd w:id="657"/>
      <w:r w:rsidRPr="00EA693F">
        <w:t xml:space="preserve">5 </w:t>
      </w:r>
      <w:bookmarkStart w:id="659" w:name="Section6"/>
      <w:bookmarkStart w:id="660" w:name="_Toc5192706"/>
      <w:r w:rsidRPr="00B35C0A">
        <w:t>Interposed entities</w:t>
      </w:r>
      <w:bookmarkEnd w:id="655"/>
      <w:bookmarkEnd w:id="658"/>
      <w:bookmarkEnd w:id="659"/>
      <w:bookmarkEnd w:id="660"/>
    </w:p>
    <w:p w14:paraId="4E19AB77"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An interposed entity (the primary investment body) is a third party that is interposed between the investor (the primary investor) and the investment body (the secondary investment body). An entity includes an individual, company, partnership or trust. This section only applies to solicitors, investor directed portfolio services, nominees, custodial services and similar interposed entities that provide an interposed entity service.</w:t>
      </w:r>
    </w:p>
    <w:p w14:paraId="49D3E2D3" w14:textId="77777777" w:rsidR="00115458" w:rsidRPr="00F4606C" w:rsidRDefault="00115458" w:rsidP="00115458">
      <w:pPr>
        <w:pStyle w:val="Maintext"/>
        <w:rPr>
          <w:rFonts w:asciiTheme="minorHAnsi" w:hAnsiTheme="minorHAnsi" w:cs="Arial"/>
          <w:sz w:val="20"/>
          <w:szCs w:val="20"/>
        </w:rPr>
      </w:pPr>
    </w:p>
    <w:p w14:paraId="60B19663"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The primary investment body has the same reporting responsibilities as the secondary investment body but can meet its reporting obligations by providing the identity details, including full name and TFN or ABN where quoted, of the primary investors to the secondary investment body. Otherwise, the primary investment body must assume full reporting responsibility under section 202DDB of the ITAA 1936.  </w:t>
      </w:r>
    </w:p>
    <w:p w14:paraId="17E336B9" w14:textId="77777777" w:rsidR="00115458" w:rsidRPr="00F4606C" w:rsidRDefault="00115458" w:rsidP="00115458">
      <w:pPr>
        <w:pStyle w:val="Maintext"/>
        <w:rPr>
          <w:rFonts w:asciiTheme="minorHAnsi" w:hAnsiTheme="minorHAnsi" w:cs="Arial"/>
          <w:sz w:val="20"/>
          <w:szCs w:val="20"/>
        </w:rPr>
      </w:pPr>
    </w:p>
    <w:p w14:paraId="02B71A1F"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Amounts of income reported to us by the secondary investment body on behalf of the primary investor will be attributed to the primary investor, when they can be matched to the primary investor. If the primary investment body varies the amount paid to the primary investor, for example, by deduction of fees or other costs, the primary investor should be advised to return the gross amount of income and claim the costs as allowable deductions in their tax return.</w:t>
      </w:r>
    </w:p>
    <w:p w14:paraId="4571D29B" w14:textId="77777777" w:rsidR="00115458" w:rsidRPr="00B35C0A" w:rsidRDefault="00115458" w:rsidP="00115458">
      <w:pPr>
        <w:pStyle w:val="Heading2"/>
      </w:pPr>
      <w:bookmarkStart w:id="661" w:name="_Toc232191334"/>
      <w:r w:rsidRPr="00B35C0A">
        <w:t>Reporting requirements</w:t>
      </w:r>
      <w:bookmarkEnd w:id="661"/>
    </w:p>
    <w:p w14:paraId="3AA958C1"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 xml:space="preserve">If a primary investment body places an investment with a secondary investment body on behalf of another investor who is entitled to receive all or part of the investment income paid to the account, the primary investment body should make its interposed entity status known to the secondary investment body. The secondary investment body should report the name and TFN or ABN of the interposed entity at the </w:t>
      </w:r>
      <w:r w:rsidRPr="00F4606C">
        <w:rPr>
          <w:rFonts w:asciiTheme="minorHAnsi" w:hAnsiTheme="minorHAnsi" w:cs="Arial"/>
          <w:i/>
          <w:sz w:val="20"/>
          <w:szCs w:val="20"/>
        </w:rPr>
        <w:t xml:space="preserve">Interposed entity name </w:t>
      </w:r>
      <w:r w:rsidRPr="00F4606C">
        <w:rPr>
          <w:rFonts w:asciiTheme="minorHAnsi" w:hAnsiTheme="minorHAnsi" w:cs="Arial"/>
          <w:sz w:val="20"/>
          <w:szCs w:val="20"/>
        </w:rPr>
        <w:t xml:space="preserve">(9.103) and </w:t>
      </w:r>
      <w:r w:rsidRPr="00F4606C">
        <w:rPr>
          <w:rFonts w:asciiTheme="minorHAnsi" w:hAnsiTheme="minorHAnsi" w:cs="Arial"/>
          <w:i/>
          <w:sz w:val="20"/>
          <w:szCs w:val="20"/>
        </w:rPr>
        <w:t>Interposed entity TFN or ABN</w:t>
      </w:r>
      <w:r w:rsidRPr="00F4606C">
        <w:rPr>
          <w:rFonts w:asciiTheme="minorHAnsi" w:hAnsiTheme="minorHAnsi" w:cs="Arial"/>
          <w:sz w:val="20"/>
          <w:szCs w:val="20"/>
        </w:rPr>
        <w:t xml:space="preserve"> (9.104) fields in the </w:t>
      </w:r>
      <w:r w:rsidRPr="00F4606C">
        <w:rPr>
          <w:rFonts w:asciiTheme="minorHAnsi" w:hAnsiTheme="minorHAnsi" w:cs="Arial"/>
          <w:i/>
          <w:sz w:val="20"/>
          <w:szCs w:val="20"/>
        </w:rPr>
        <w:t>Investment account data record</w:t>
      </w:r>
      <w:r w:rsidRPr="00F4606C">
        <w:rPr>
          <w:rFonts w:asciiTheme="minorHAnsi" w:hAnsiTheme="minorHAnsi" w:cs="Arial"/>
          <w:sz w:val="20"/>
          <w:szCs w:val="20"/>
        </w:rPr>
        <w:t xml:space="preserve">.  </w:t>
      </w:r>
    </w:p>
    <w:p w14:paraId="0DBEC9CB" w14:textId="77777777" w:rsidR="00115458" w:rsidRPr="00F4606C" w:rsidRDefault="00115458" w:rsidP="00115458">
      <w:pPr>
        <w:pStyle w:val="Maintext"/>
        <w:rPr>
          <w:rFonts w:asciiTheme="minorHAnsi" w:hAnsiTheme="minorHAnsi" w:cs="Arial"/>
          <w:sz w:val="20"/>
          <w:szCs w:val="20"/>
        </w:rPr>
      </w:pPr>
    </w:p>
    <w:p w14:paraId="6B5036E0"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Providing the name and TFN or ABN of the primary investment body at the interposed entity fields will help to determine whether the reported investor details belong to the primary investor or the interposed entity.</w:t>
      </w:r>
    </w:p>
    <w:p w14:paraId="7F56302C" w14:textId="77777777" w:rsidR="00115458" w:rsidRPr="00F4606C" w:rsidRDefault="00115458" w:rsidP="00115458">
      <w:pPr>
        <w:pStyle w:val="Maintext"/>
        <w:rPr>
          <w:rFonts w:asciiTheme="minorHAnsi" w:hAnsiTheme="minorHAnsi" w:cs="Arial"/>
          <w:sz w:val="20"/>
          <w:szCs w:val="20"/>
        </w:rPr>
      </w:pPr>
    </w:p>
    <w:p w14:paraId="2883117B"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Where a primary investment body makes known its own identity details to a secondary investment body in connection with an investment it makes on behalf of another investor who is entitled to receive all or part of the income paid into the account, the primary investment body is required to lodge an AIIR containing the identity and payment details of the investors entitled to receive the income. It cannot assign its reporting obligations to the secondary investment body.</w:t>
      </w:r>
    </w:p>
    <w:p w14:paraId="47425B26" w14:textId="77777777" w:rsidR="00115458" w:rsidRPr="00F4606C" w:rsidRDefault="00115458" w:rsidP="00115458">
      <w:pPr>
        <w:pStyle w:val="Maintext"/>
        <w:rPr>
          <w:rFonts w:asciiTheme="minorHAnsi" w:hAnsiTheme="minorHAnsi" w:cs="Arial"/>
          <w:sz w:val="20"/>
          <w:szCs w:val="20"/>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98"/>
      </w:tblGrid>
      <w:tr w:rsidR="00115458" w:rsidRPr="00046B05" w14:paraId="05EF2793" w14:textId="77777777" w:rsidTr="000C1365">
        <w:trPr>
          <w:cantSplit/>
        </w:trPr>
        <w:tc>
          <w:tcPr>
            <w:tcW w:w="9468" w:type="dxa"/>
            <w:tcBorders>
              <w:top w:val="nil"/>
              <w:left w:val="nil"/>
              <w:bottom w:val="nil"/>
              <w:right w:val="nil"/>
            </w:tcBorders>
          </w:tcPr>
          <w:p w14:paraId="57AF94E0"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Reporting the primary investor's TFN with the primary investment body’s name and address in the </w:t>
            </w:r>
            <w:r w:rsidRPr="00F4606C">
              <w:rPr>
                <w:rFonts w:asciiTheme="minorHAnsi" w:hAnsiTheme="minorHAnsi" w:cs="Arial"/>
                <w:i/>
                <w:sz w:val="20"/>
                <w:szCs w:val="20"/>
              </w:rPr>
              <w:t>Investor data record</w:t>
            </w:r>
            <w:r w:rsidRPr="00F4606C">
              <w:rPr>
                <w:rFonts w:asciiTheme="minorHAnsi" w:hAnsiTheme="minorHAnsi" w:cs="Arial"/>
                <w:sz w:val="20"/>
                <w:szCs w:val="20"/>
              </w:rPr>
              <w:t xml:space="preserve"> does not enable the income to be attributed to the primary investor. Neither does reporting the primary investment body as the account holder on behalf of the primary investor when the primary investment body’s TFN or ABN, name and address are reported in the </w:t>
            </w:r>
            <w:r w:rsidRPr="00F4606C">
              <w:rPr>
                <w:rFonts w:asciiTheme="minorHAnsi" w:hAnsiTheme="minorHAnsi" w:cs="Arial"/>
                <w:i/>
                <w:sz w:val="20"/>
                <w:szCs w:val="20"/>
              </w:rPr>
              <w:t>Investor data record</w:t>
            </w:r>
            <w:r w:rsidRPr="00F4606C">
              <w:rPr>
                <w:rFonts w:asciiTheme="minorHAnsi" w:hAnsiTheme="minorHAnsi" w:cs="Arial"/>
                <w:sz w:val="20"/>
                <w:szCs w:val="20"/>
              </w:rPr>
              <w:t>. In these cases, the primary investment body is required to lodge an AIIR containing full identity and payment details for each of its primary investors.</w:t>
            </w:r>
          </w:p>
        </w:tc>
      </w:tr>
      <w:tr w:rsidR="00115458" w:rsidRPr="00046B05" w14:paraId="3AE32C1D" w14:textId="77777777" w:rsidTr="000C1365">
        <w:trPr>
          <w:cantSplit/>
        </w:trPr>
        <w:tc>
          <w:tcPr>
            <w:tcW w:w="9468" w:type="dxa"/>
            <w:tcBorders>
              <w:top w:val="nil"/>
              <w:left w:val="nil"/>
              <w:bottom w:val="nil"/>
              <w:right w:val="nil"/>
            </w:tcBorders>
          </w:tcPr>
          <w:p w14:paraId="42CDEFD8"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 xml:space="preserve"> </w:t>
            </w:r>
          </w:p>
          <w:p w14:paraId="71770935" w14:textId="77777777" w:rsidR="00115458" w:rsidRPr="00F4606C" w:rsidRDefault="00115458" w:rsidP="000C1365">
            <w:pPr>
              <w:pStyle w:val="Maintext"/>
              <w:rPr>
                <w:rFonts w:asciiTheme="minorHAnsi" w:hAnsiTheme="minorHAnsi" w:cs="Arial"/>
                <w:sz w:val="20"/>
                <w:szCs w:val="20"/>
              </w:rPr>
            </w:pPr>
          </w:p>
          <w:p w14:paraId="7EA92AFD" w14:textId="77777777" w:rsidR="00115458" w:rsidRPr="00F4606C" w:rsidRDefault="00115458" w:rsidP="000C1365">
            <w:pPr>
              <w:pStyle w:val="Maintext"/>
              <w:rPr>
                <w:rFonts w:asciiTheme="minorHAnsi" w:hAnsiTheme="minorHAnsi" w:cs="Arial"/>
                <w:sz w:val="20"/>
                <w:szCs w:val="20"/>
              </w:rPr>
            </w:pPr>
            <w:r w:rsidRPr="00F4606C">
              <w:rPr>
                <w:rFonts w:asciiTheme="minorHAnsi" w:hAnsiTheme="minorHAnsi" w:cs="Arial"/>
                <w:sz w:val="20"/>
                <w:szCs w:val="20"/>
              </w:rPr>
              <w:t>Reporting the primary investor's TFN with the interposed entity's name and address details does not enable income to be attributed to the primary investor and on its own, does not confirm the interposed entity status of the reported investor.</w:t>
            </w:r>
          </w:p>
        </w:tc>
      </w:tr>
    </w:tbl>
    <w:p w14:paraId="38202648" w14:textId="77777777" w:rsidR="00115458" w:rsidRPr="00F4606C" w:rsidRDefault="00115458" w:rsidP="00115458">
      <w:pPr>
        <w:pStyle w:val="Maintext"/>
        <w:rPr>
          <w:rFonts w:asciiTheme="minorHAnsi" w:hAnsiTheme="minorHAnsi" w:cs="Arial"/>
          <w:sz w:val="20"/>
          <w:szCs w:val="20"/>
        </w:rPr>
      </w:pPr>
    </w:p>
    <w:p w14:paraId="44697884"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Below is an example of an interposed entity (primary investment body):</w:t>
      </w:r>
    </w:p>
    <w:p w14:paraId="1D412A0F" w14:textId="77777777" w:rsidR="00115458" w:rsidRPr="00F4606C" w:rsidRDefault="00115458" w:rsidP="00115458">
      <w:pPr>
        <w:pStyle w:val="Maintext"/>
        <w:rPr>
          <w:rFonts w:asciiTheme="minorHAnsi" w:hAnsiTheme="minorHAnsi" w:cs="Arial"/>
          <w:sz w:val="20"/>
          <w:szCs w:val="20"/>
        </w:rPr>
      </w:pPr>
    </w:p>
    <w:p w14:paraId="67F74D93" w14:textId="77777777" w:rsidR="00115458" w:rsidRPr="00046B05" w:rsidRDefault="00115458" w:rsidP="00115458">
      <w:r w:rsidRPr="00046B05">
        <w:rPr>
          <w:rFonts w:cs="Arial"/>
          <w:noProof/>
        </w:rPr>
        <mc:AlternateContent>
          <mc:Choice Requires="wpc">
            <w:drawing>
              <wp:inline distT="0" distB="0" distL="0" distR="0" wp14:anchorId="08EDB05A" wp14:editId="2193209F">
                <wp:extent cx="4365625" cy="2035175"/>
                <wp:effectExtent l="9525" t="9525" r="6350" b="1270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5" name="Group 48"/>
                        <wpg:cNvGrpSpPr>
                          <a:grpSpLocks/>
                        </wpg:cNvGrpSpPr>
                        <wpg:grpSpPr bwMode="auto">
                          <a:xfrm>
                            <a:off x="0" y="0"/>
                            <a:ext cx="1981764" cy="2035175"/>
                            <a:chOff x="2832" y="3997"/>
                            <a:chExt cx="2817" cy="3039"/>
                          </a:xfrm>
                        </wpg:grpSpPr>
                        <wps:wsp>
                          <wps:cNvPr id="27" name="Rectangle 49"/>
                          <wps:cNvSpPr>
                            <a:spLocks noChangeArrowheads="1"/>
                          </wps:cNvSpPr>
                          <wps:spPr bwMode="auto">
                            <a:xfrm>
                              <a:off x="2832" y="3997"/>
                              <a:ext cx="2816" cy="480"/>
                            </a:xfrm>
                            <a:prstGeom prst="rect">
                              <a:avLst/>
                            </a:prstGeom>
                            <a:solidFill>
                              <a:srgbClr val="FFFFFF"/>
                            </a:solidFill>
                            <a:ln w="9525">
                              <a:solidFill>
                                <a:srgbClr val="000000"/>
                              </a:solidFill>
                              <a:miter lim="800000"/>
                              <a:headEnd/>
                              <a:tailEnd/>
                            </a:ln>
                          </wps:spPr>
                          <wps:txbx>
                            <w:txbxContent>
                              <w:p w14:paraId="4D01B19E"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Primary investor</w:t>
                                </w:r>
                              </w:p>
                            </w:txbxContent>
                          </wps:txbx>
                          <wps:bodyPr rot="0" vert="horz" wrap="square" lIns="91440" tIns="82800" rIns="91440" bIns="45720" anchor="t" anchorCtr="0" upright="1">
                            <a:noAutofit/>
                          </wps:bodyPr>
                        </wps:wsp>
                        <wps:wsp>
                          <wps:cNvPr id="28" name="Rectangle 50"/>
                          <wps:cNvSpPr>
                            <a:spLocks noChangeArrowheads="1"/>
                          </wps:cNvSpPr>
                          <wps:spPr bwMode="auto">
                            <a:xfrm>
                              <a:off x="2832" y="5277"/>
                              <a:ext cx="2817" cy="479"/>
                            </a:xfrm>
                            <a:prstGeom prst="rect">
                              <a:avLst/>
                            </a:prstGeom>
                            <a:solidFill>
                              <a:srgbClr val="FFFFFF"/>
                            </a:solidFill>
                            <a:ln w="9525">
                              <a:solidFill>
                                <a:srgbClr val="000000"/>
                              </a:solidFill>
                              <a:miter lim="800000"/>
                              <a:headEnd/>
                              <a:tailEnd/>
                            </a:ln>
                          </wps:spPr>
                          <wps:txbx>
                            <w:txbxContent>
                              <w:p w14:paraId="2B1D9A89"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 xml:space="preserve">Interposed entity </w:t>
                                </w:r>
                              </w:p>
                            </w:txbxContent>
                          </wps:txbx>
                          <wps:bodyPr rot="0" vert="horz" wrap="square" lIns="91440" tIns="82800" rIns="91440" bIns="45720" anchor="t" anchorCtr="0" upright="1">
                            <a:noAutofit/>
                          </wps:bodyPr>
                        </wps:wsp>
                        <wps:wsp>
                          <wps:cNvPr id="29" name="Rectangle 51"/>
                          <wps:cNvSpPr>
                            <a:spLocks noChangeArrowheads="1"/>
                          </wps:cNvSpPr>
                          <wps:spPr bwMode="auto">
                            <a:xfrm>
                              <a:off x="2832" y="6557"/>
                              <a:ext cx="2817" cy="479"/>
                            </a:xfrm>
                            <a:prstGeom prst="rect">
                              <a:avLst/>
                            </a:prstGeom>
                            <a:solidFill>
                              <a:srgbClr val="FFFFFF"/>
                            </a:solidFill>
                            <a:ln w="9525">
                              <a:solidFill>
                                <a:srgbClr val="000000"/>
                              </a:solidFill>
                              <a:miter lim="800000"/>
                              <a:headEnd/>
                              <a:tailEnd/>
                            </a:ln>
                          </wps:spPr>
                          <wps:txbx>
                            <w:txbxContent>
                              <w:p w14:paraId="058ED9DD"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Secondary investment body</w:t>
                                </w:r>
                              </w:p>
                            </w:txbxContent>
                          </wps:txbx>
                          <wps:bodyPr rot="0" vert="horz" wrap="square" lIns="91440" tIns="82800" rIns="91440" bIns="45720" anchor="t" anchorCtr="0" upright="1">
                            <a:noAutofit/>
                          </wps:bodyPr>
                        </wps:wsp>
                        <wps:wsp>
                          <wps:cNvPr id="30" name="Line 52"/>
                          <wps:cNvCnPr/>
                          <wps:spPr bwMode="auto">
                            <a:xfrm>
                              <a:off x="4240" y="4477"/>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53"/>
                          <wps:cNvCnPr/>
                          <wps:spPr bwMode="auto">
                            <a:xfrm>
                              <a:off x="4240" y="5757"/>
                              <a:ext cx="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32" name="Group 54"/>
                        <wpg:cNvGrpSpPr>
                          <a:grpSpLocks/>
                        </wpg:cNvGrpSpPr>
                        <wpg:grpSpPr bwMode="auto">
                          <a:xfrm>
                            <a:off x="2383861" y="0"/>
                            <a:ext cx="1981764" cy="2035175"/>
                            <a:chOff x="2832" y="3997"/>
                            <a:chExt cx="2817" cy="3039"/>
                          </a:xfrm>
                        </wpg:grpSpPr>
                        <wps:wsp>
                          <wps:cNvPr id="33" name="Rectangle 55"/>
                          <wps:cNvSpPr>
                            <a:spLocks noChangeArrowheads="1"/>
                          </wps:cNvSpPr>
                          <wps:spPr bwMode="auto">
                            <a:xfrm>
                              <a:off x="2832" y="3997"/>
                              <a:ext cx="2816" cy="480"/>
                            </a:xfrm>
                            <a:prstGeom prst="rect">
                              <a:avLst/>
                            </a:prstGeom>
                            <a:solidFill>
                              <a:srgbClr val="FFFFFF"/>
                            </a:solidFill>
                            <a:ln w="9525">
                              <a:solidFill>
                                <a:srgbClr val="000000"/>
                              </a:solidFill>
                              <a:miter lim="800000"/>
                              <a:headEnd/>
                              <a:tailEnd/>
                            </a:ln>
                          </wps:spPr>
                          <wps:txbx>
                            <w:txbxContent>
                              <w:p w14:paraId="04997CD7"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Charlotte O’Hare</w:t>
                                </w:r>
                              </w:p>
                            </w:txbxContent>
                          </wps:txbx>
                          <wps:bodyPr rot="0" vert="horz" wrap="square" lIns="91440" tIns="82800" rIns="91440" bIns="45720" anchor="t" anchorCtr="0" upright="1">
                            <a:noAutofit/>
                          </wps:bodyPr>
                        </wps:wsp>
                        <wps:wsp>
                          <wps:cNvPr id="34" name="Rectangle 56"/>
                          <wps:cNvSpPr>
                            <a:spLocks noChangeArrowheads="1"/>
                          </wps:cNvSpPr>
                          <wps:spPr bwMode="auto">
                            <a:xfrm>
                              <a:off x="2832" y="5277"/>
                              <a:ext cx="2817" cy="479"/>
                            </a:xfrm>
                            <a:prstGeom prst="rect">
                              <a:avLst/>
                            </a:prstGeom>
                            <a:solidFill>
                              <a:srgbClr val="FFFFFF"/>
                            </a:solidFill>
                            <a:ln w="9525">
                              <a:solidFill>
                                <a:srgbClr val="000000"/>
                              </a:solidFill>
                              <a:miter lim="800000"/>
                              <a:headEnd/>
                              <a:tailEnd/>
                            </a:ln>
                          </wps:spPr>
                          <wps:txbx>
                            <w:txbxContent>
                              <w:p w14:paraId="1664E0CE"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Tara Lawyers &amp; Assoc</w:t>
                                </w:r>
                              </w:p>
                            </w:txbxContent>
                          </wps:txbx>
                          <wps:bodyPr rot="0" vert="horz" wrap="square" lIns="91440" tIns="82800" rIns="91440" bIns="45720" anchor="t" anchorCtr="0" upright="1">
                            <a:noAutofit/>
                          </wps:bodyPr>
                        </wps:wsp>
                        <wps:wsp>
                          <wps:cNvPr id="35" name="Rectangle 57"/>
                          <wps:cNvSpPr>
                            <a:spLocks noChangeArrowheads="1"/>
                          </wps:cNvSpPr>
                          <wps:spPr bwMode="auto">
                            <a:xfrm>
                              <a:off x="2832" y="6557"/>
                              <a:ext cx="2817" cy="479"/>
                            </a:xfrm>
                            <a:prstGeom prst="rect">
                              <a:avLst/>
                            </a:prstGeom>
                            <a:solidFill>
                              <a:srgbClr val="FFFFFF"/>
                            </a:solidFill>
                            <a:ln w="9525">
                              <a:solidFill>
                                <a:srgbClr val="000000"/>
                              </a:solidFill>
                              <a:miter lim="800000"/>
                              <a:headEnd/>
                              <a:tailEnd/>
                            </a:ln>
                          </wps:spPr>
                          <wps:txbx>
                            <w:txbxContent>
                              <w:p w14:paraId="201B7983"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Gable Bank</w:t>
                                </w:r>
                              </w:p>
                            </w:txbxContent>
                          </wps:txbx>
                          <wps:bodyPr rot="0" vert="horz" wrap="square" lIns="91440" tIns="82800" rIns="91440" bIns="45720" anchor="t" anchorCtr="0" upright="1">
                            <a:noAutofit/>
                          </wps:bodyPr>
                        </wps:wsp>
                        <wps:wsp>
                          <wps:cNvPr id="36" name="Line 58"/>
                          <wps:cNvCnPr/>
                          <wps:spPr bwMode="auto">
                            <a:xfrm>
                              <a:off x="4240" y="4477"/>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59"/>
                          <wps:cNvCnPr/>
                          <wps:spPr bwMode="auto">
                            <a:xfrm>
                              <a:off x="4240" y="5757"/>
                              <a:ext cx="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08EDB05A" id="Canvas 41" o:spid="_x0000_s1026" editas="canvas" style="width:343.75pt;height:160.25pt;mso-position-horizontal-relative:char;mso-position-vertical-relative:line" coordsize="43656,2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AKRgQAAK8cAAAOAAAAZHJzL2Uyb0RvYy54bWzsWdtu4zYQfS/QfyD43si62bIQZbHwboIC&#10;aRt02w+gJeqCSqRK0pbTr98hKcmy15u2u4GBdpUHhxIpanjmcGYOdfvm0NRoT4WsOEuwe7PAiLKU&#10;ZxUrEvz7b/c/RBhJRVhGas5ogp+pxG/uvv/utmtj6vGS1xkVCCZhMu7aBJdKtbHjyLSkDZE3vKUM&#10;OnMuGqLgUhROJkgHsze14y0WS6fjImsFT6mUcPed7cR3Zv48p6n6Jc8lVahOMNimzK8wv1v969zd&#10;krgQpC2rtDeDfIEVDakYvHSc6h1RBO1E9clUTZUKLnmublLeODzPq5SaNcBq3MXZajaE7Yk0i0kB&#10;ncFAaL3ivNtC2834fVXXgIYDs8f6nv7fgX+o7q7Z6SB7x4ztx3RtEXdFO7oS3H/my3+19AfBd61Z&#10;eRGnP++fBKqyBHshRow0wCPTj4JIO1C/GsY8iPZD+ySsF6D5yNM/pF3Rab8eX9jBaNv9xDOYj+wU&#10;Nw485KLRU4Br0MHw5HnkCT0olMJNdx25q2WAUQp93sIP3VVomZSWQDf9nBf5HkbQ7a/Xq6Hvff+8&#10;B4/bh/2Fv9a9DontiwHS0Ti9MtgV8giq/DpQP5SkpQZUOQUVbLGg/grbhbCipigwVunXA7ADqtJC&#10;ihjflDCMvhWCdyUlGZjlmlWcPKAvJDjkbzG+gNWANCC1tEgFkdmsI1AkboVUD5Q3SDcSLMB440Gy&#10;f5TKYjoM0Q6VvK4yTXJzIYrtphZoTyAu3Ju/3g0nw2qGugSvQ+Ddy1MszN+lKZpKQYCrqybB0TiI&#10;xBq29ywDM0msSFXbNqxO7zQggYXOMkAdtgcYqG9uefYMiApuAxkEXmiUXPyFUQdBLMHyzx0RFKP6&#10;RwZeWbtBoKOeuYg8MAAjMe3ZmosgXHnQQ1gKUyVYDc2NspFy14qqKOFNroGB8bewW/LKgHy0qrcb&#10;+Hot4kJuOSduaFiijbomcUNv1W/yCXH7LR6sTnf4N0ZcE7dNdDgyZeavzWbrC/wdobomf5dhOPP3&#10;cuC1ntKRfeavgQB42VdjPuQMG38fK0ZR6A0owZANexI9Zv+oBgg8naigXgqC81Dq2gJAJy+Y8fMF&#10;QA1GvFQAjCWuTrJfndehPu3T94VUjtRzC0WlEpUppyA5J7ihGaRlCipJt+xKLiR7m+F1t+bb9ZKp&#10;DzBPnem/hjPD1XlcASfrovnbdaYp8EEo6XhyBcWkVYh1q1VMYWD9eqqItG59LcXk+ZEfLYFN4OZe&#10;Xw9F0f9LN/n+AO1RN4VGB167/DxqzAHpWTdB8NS6yaTvMZbN8mmi+304wPhEPi0nYf9qun+WT5/V&#10;/Ya/fcye5b+V9UP5OR4GTuKvkTHXjr+zfHqZv2NSnOPvNP7Cyea04u7Pss3J1Syf/mPySavXqTOn&#10;5+df7MxZPunT7hMtfJRP0DIfxcyRQP8FT392m14bFX38znj3EQAA//8DAFBLAwQUAAYACAAAACEA&#10;Bb98xdoAAAAFAQAADwAAAGRycy9kb3ducmV2LnhtbEyPzU7DMBCE70i8g7VI3KhNoSUKcSqEANFj&#10;w8/ZjbdxVHsdbLcJb1/DBS4rjWY08221mpxlRwyx9yTheiaAIbVe99RJeH97viqAxaRIK+sJJXxj&#10;hFV9flapUvuRNnhsUsdyCcVSSTApDSXnsTXoVJz5ASl7Ox+cSlmGjuugxlzuLJ8LseRO9ZQXjBrw&#10;0WC7bw5OAqF4amzgr6n9+BzMV9G9rG9HKS8vpod7YAmn9BeGH/yMDnVm2voD6cishPxI+r3ZWxZ3&#10;C2BbCTdzsQBeV/w/fX0CAAD//wMAUEsBAi0AFAAGAAgAAAAhALaDOJL+AAAA4QEAABMAAAAAAAAA&#10;AAAAAAAAAAAAAFtDb250ZW50X1R5cGVzXS54bWxQSwECLQAUAAYACAAAACEAOP0h/9YAAACUAQAA&#10;CwAAAAAAAAAAAAAAAAAvAQAAX3JlbHMvLnJlbHNQSwECLQAUAAYACAAAACEAmKDACkYEAACvHAAA&#10;DgAAAAAAAAAAAAAAAAAuAgAAZHJzL2Uyb0RvYy54bWxQSwECLQAUAAYACAAAACEABb98xdoAAAAF&#10;AQAADwAAAAAAAAAAAAAAAACgBgAAZHJzL2Rvd25yZXYueG1sUEsFBgAAAAAEAAQA8wAAAKc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656;height:20351;visibility:visible;mso-wrap-style:square">
                  <v:fill o:detectmouseclick="t"/>
                  <v:path o:connecttype="none"/>
                </v:shape>
                <v:group id="Group 48" o:spid="_x0000_s1028" style="position:absolute;width:19817;height:20351" coordorigin="2832,3997" coordsize="2817,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9" o:spid="_x0000_s1029" style="position:absolute;left:2832;top:3997;width:28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zpwwAAANsAAAAPAAAAZHJzL2Rvd25yZXYueG1sRI9Pi8Iw&#10;FMTvC36H8IS9rWkr7Eo1igiCB2H9B3p8NM+02LyUJrbdb79ZEPY4zMxvmMVqsLXoqPWVYwXpJAFB&#10;XDhdsVFwOW8/ZiB8QNZYOyYFP+RhtRy9LTDXrucjdadgRISwz1FBGUKTS+mLkiz6iWuIo3d3rcUQ&#10;ZWukbrGPcFvLLEk+pcWK40KJDW1KKh6np1XAHaX9/vuWmMt1erje7ofUZ0ap9/GwnoMINIT/8Ku9&#10;0wqyL/j7En+AXP4CAAD//wMAUEsBAi0AFAAGAAgAAAAhANvh9svuAAAAhQEAABMAAAAAAAAAAAAA&#10;AAAAAAAAAFtDb250ZW50X1R5cGVzXS54bWxQSwECLQAUAAYACAAAACEAWvQsW78AAAAVAQAACwAA&#10;AAAAAAAAAAAAAAAfAQAAX3JlbHMvLnJlbHNQSwECLQAUAAYACAAAACEAAjRs6cMAAADbAAAADwAA&#10;AAAAAAAAAAAAAAAHAgAAZHJzL2Rvd25yZXYueG1sUEsFBgAAAAADAAMAtwAAAPcCAAAAAA==&#10;">
                    <v:textbox inset=",2.3mm">
                      <w:txbxContent>
                        <w:p w14:paraId="4D01B19E"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Primary investor</w:t>
                          </w:r>
                        </w:p>
                      </w:txbxContent>
                    </v:textbox>
                  </v:rect>
                  <v:rect id="Rectangle 50" o:spid="_x0000_s1030" style="position:absolute;left:2832;top:5277;width:28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bwAAAANsAAAAPAAAAZHJzL2Rvd25yZXYueG1sRE/LisIw&#10;FN0L8w/hDrjTtBVEqlGGgQEXA+OjoMtLc03LNDeliW39e7MQXB7Oe7MbbSN66nztWEE6T0AQl07X&#10;bBQU55/ZCoQPyBobx6TgQR5224/JBnPtBj5SfwpGxBD2OSqoQmhzKX1ZkUU/dy1x5G6usxgi7IzU&#10;HQ4x3DYyS5KltFhzbKiwpe+Kyv/T3SrgntLh9++amOKyOFyut0PqM6PU9HP8WoMINIa3+OXeawVZ&#10;HBu/xB8gt08AAAD//wMAUEsBAi0AFAAGAAgAAAAhANvh9svuAAAAhQEAABMAAAAAAAAAAAAAAAAA&#10;AAAAAFtDb250ZW50X1R5cGVzXS54bWxQSwECLQAUAAYACAAAACEAWvQsW78AAAAVAQAACwAAAAAA&#10;AAAAAAAAAAAfAQAAX3JlbHMvLnJlbHNQSwECLQAUAAYACAAAACEAc6v4m8AAAADbAAAADwAAAAAA&#10;AAAAAAAAAAAHAgAAZHJzL2Rvd25yZXYueG1sUEsFBgAAAAADAAMAtwAAAPQCAAAAAA==&#10;">
                    <v:textbox inset=",2.3mm">
                      <w:txbxContent>
                        <w:p w14:paraId="2B1D9A89"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 xml:space="preserve">Interposed entity </w:t>
                          </w:r>
                        </w:p>
                      </w:txbxContent>
                    </v:textbox>
                  </v:rect>
                  <v:rect id="Rectangle 51" o:spid="_x0000_s1031" style="position:absolute;left:2832;top:6557;width:28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10AwwAAANsAAAAPAAAAZHJzL2Rvd25yZXYueG1sRI9Pi8Iw&#10;FMTvC36H8IS9rWkrLGs1igiCB2H9B3p8NM+02LyUJrbdb79ZEPY4zMxvmMVqsLXoqPWVYwXpJAFB&#10;XDhdsVFwOW8/vkD4gKyxdkwKfsjDajl6W2CuXc9H6k7BiAhhn6OCMoQml9IXJVn0E9cQR+/uWosh&#10;ytZI3WIf4baWWZJ8SosVx4USG9qUVDxOT6uAO0r7/fctMZfr9HC93Q+pz4xS7+NhPQcRaAj/4Vd7&#10;pxVkM/j7En+AXP4CAAD//wMAUEsBAi0AFAAGAAgAAAAhANvh9svuAAAAhQEAABMAAAAAAAAAAAAA&#10;AAAAAAAAAFtDb250ZW50X1R5cGVzXS54bWxQSwECLQAUAAYACAAAACEAWvQsW78AAAAVAQAACwAA&#10;AAAAAAAAAAAAAAAfAQAAX3JlbHMvLnJlbHNQSwECLQAUAAYACAAAACEAHOddAMMAAADbAAAADwAA&#10;AAAAAAAAAAAAAAAHAgAAZHJzL2Rvd25yZXYueG1sUEsFBgAAAAADAAMAtwAAAPcCAAAAAA==&#10;">
                    <v:textbox inset=",2.3mm">
                      <w:txbxContent>
                        <w:p w14:paraId="058ED9DD"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Secondary investment body</w:t>
                          </w:r>
                        </w:p>
                      </w:txbxContent>
                    </v:textbox>
                  </v:rect>
                  <v:line id="Line 52" o:spid="_x0000_s1032" style="position:absolute;visibility:visible;mso-wrap-style:square" from="4240,4477" to="4241,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53" o:spid="_x0000_s1033" style="position:absolute;visibility:visible;mso-wrap-style:square" from="4240,5757" to="4240,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v:group id="Group 54" o:spid="_x0000_s1034" style="position:absolute;left:23838;width:19818;height:20351" coordorigin="2832,3997" coordsize="2817,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55" o:spid="_x0000_s1035" style="position:absolute;left:2832;top:3997;width:28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vw3wgAAANsAAAAPAAAAZHJzL2Rvd25yZXYueG1sRI9Pi8Iw&#10;FMTvC36H8IS9rWktiFSjiCDsQfAv6PHRPNNi81KabNv99kZY2OMwM79hluvB1qKj1leOFaSTBARx&#10;4XTFRsH1svuag/ABWWPtmBT8kof1avSxxFy7nk/UnYMREcI+RwVlCE0upS9KsugnriGO3sO1FkOU&#10;rZG6xT7CbS2nSTKTFiuOCyU2tC2peJ5/rALuKO33h3tirrfseLs/jqmfGqU+x8NmASLQEP7Df+1v&#10;rSDL4P0l/gC5egEAAP//AwBQSwECLQAUAAYACAAAACEA2+H2y+4AAACFAQAAEwAAAAAAAAAAAAAA&#10;AAAAAAAAW0NvbnRlbnRfVHlwZXNdLnhtbFBLAQItABQABgAIAAAAIQBa9CxbvwAAABUBAAALAAAA&#10;AAAAAAAAAAAAAB8BAABfcmVscy8ucmVsc1BLAQItABQABgAIAAAAIQD41vw3wgAAANsAAAAPAAAA&#10;AAAAAAAAAAAAAAcCAABkcnMvZG93bnJldi54bWxQSwUGAAAAAAMAAwC3AAAA9gIAAAAA&#10;">
                    <v:textbox inset=",2.3mm">
                      <w:txbxContent>
                        <w:p w14:paraId="04997CD7"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Charlotte O’Hare</w:t>
                          </w:r>
                        </w:p>
                      </w:txbxContent>
                    </v:textbox>
                  </v:rect>
                  <v:rect id="Rectangle 56" o:spid="_x0000_s1036" style="position:absolute;left:2832;top:5277;width:28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2RDwgAAANsAAAAPAAAAZHJzL2Rvd25yZXYueG1sRI9Bi8Iw&#10;FITvwv6H8ARvmlYXkWoUWRD2sKCrgh4fzTMtNi+liW3992ZhweMwM98wq01vK9FS40vHCtJJAoI4&#10;d7pko+B82o0XIHxA1lg5JgVP8rBZfwxWmGnX8S+1x2BEhLDPUEERQp1J6fOCLPqJq4mjd3ONxRBl&#10;Y6RusItwW8lpksylxZLjQoE1fRWU348Pq4BbSruf/TUx58vscLneDqmfGqVGw367BBGoD+/wf/tb&#10;K5h9wt+X+APk+gUAAP//AwBQSwECLQAUAAYACAAAACEA2+H2y+4AAACFAQAAEwAAAAAAAAAAAAAA&#10;AAAAAAAAW0NvbnRlbnRfVHlwZXNdLnhtbFBLAQItABQABgAIAAAAIQBa9CxbvwAAABUBAAALAAAA&#10;AAAAAAAAAAAAAB8BAABfcmVscy8ucmVsc1BLAQItABQABgAIAAAAIQB3P2RDwgAAANsAAAAPAAAA&#10;AAAAAAAAAAAAAAcCAABkcnMvZG93bnJldi54bWxQSwUGAAAAAAMAAwC3AAAA9gIAAAAA&#10;">
                    <v:textbox inset=",2.3mm">
                      <w:txbxContent>
                        <w:p w14:paraId="1664E0CE"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Tara Lawyers &amp; Assoc</w:t>
                          </w:r>
                        </w:p>
                      </w:txbxContent>
                    </v:textbox>
                  </v:rect>
                  <v:rect id="Rectangle 57" o:spid="_x0000_s1037" style="position:absolute;left:2832;top:6557;width:28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HYwgAAANsAAAAPAAAAZHJzL2Rvd25yZXYueG1sRI9Bi8Iw&#10;FITvwv6H8ARvmlZZkWoUWRD2sKCrgh4fzTMtNi+liW3992ZhweMwM98wq01vK9FS40vHCtJJAoI4&#10;d7pko+B82o0XIHxA1lg5JgVP8rBZfwxWmGnX8S+1x2BEhLDPUEERQp1J6fOCLPqJq4mjd3ONxRBl&#10;Y6RusItwW8lpksylxZLjQoE1fRWU348Pq4BbSruf/TUx58vscLneDqmfGqVGw367BBGoD+/wf/tb&#10;K5h9wt+X+APk+gUAAP//AwBQSwECLQAUAAYACAAAACEA2+H2y+4AAACFAQAAEwAAAAAAAAAAAAAA&#10;AAAAAAAAW0NvbnRlbnRfVHlwZXNdLnhtbFBLAQItABQABgAIAAAAIQBa9CxbvwAAABUBAAALAAAA&#10;AAAAAAAAAAAAAB8BAABfcmVscy8ucmVsc1BLAQItABQABgAIAAAAIQAYc8HYwgAAANsAAAAPAAAA&#10;AAAAAAAAAAAAAAcCAABkcnMvZG93bnJldi54bWxQSwUGAAAAAAMAAwC3AAAA9gIAAAAA&#10;">
                    <v:textbox inset=",2.3mm">
                      <w:txbxContent>
                        <w:p w14:paraId="201B7983" w14:textId="77777777" w:rsidR="00115458" w:rsidRDefault="00115458" w:rsidP="00115458">
                          <w:pPr>
                            <w:autoSpaceDE w:val="0"/>
                            <w:autoSpaceDN w:val="0"/>
                            <w:adjustRightInd w:val="0"/>
                            <w:jc w:val="center"/>
                            <w:rPr>
                              <w:rFonts w:cs="Arial"/>
                              <w:color w:val="000000"/>
                              <w:sz w:val="36"/>
                              <w:szCs w:val="36"/>
                            </w:rPr>
                          </w:pPr>
                          <w:r>
                            <w:rPr>
                              <w:rFonts w:cs="Arial"/>
                              <w:color w:val="000000"/>
                              <w:szCs w:val="22"/>
                            </w:rPr>
                            <w:t>Gable Bank</w:t>
                          </w:r>
                        </w:p>
                      </w:txbxContent>
                    </v:textbox>
                  </v:rect>
                  <v:line id="Line 58" o:spid="_x0000_s1038" style="position:absolute;visibility:visible;mso-wrap-style:square" from="4240,4477" to="4241,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59" o:spid="_x0000_s1039" style="position:absolute;visibility:visible;mso-wrap-style:square" from="4240,5757" to="4240,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group>
                <w10:anchorlock/>
              </v:group>
            </w:pict>
          </mc:Fallback>
        </mc:AlternateContent>
      </w:r>
    </w:p>
    <w:p w14:paraId="1567EF39" w14:textId="77777777" w:rsidR="00115458" w:rsidRPr="00046B05" w:rsidRDefault="00115458" w:rsidP="00115458"/>
    <w:p w14:paraId="4F5129FC" w14:textId="77777777" w:rsidR="00115458" w:rsidRPr="00F4606C" w:rsidRDefault="00115458" w:rsidP="00115458">
      <w:pPr>
        <w:pStyle w:val="Head4"/>
        <w:spacing w:before="0"/>
        <w:rPr>
          <w:rFonts w:asciiTheme="minorHAnsi" w:hAnsiTheme="minorHAnsi"/>
          <w:sz w:val="20"/>
          <w:szCs w:val="20"/>
        </w:rPr>
      </w:pPr>
      <w:bookmarkStart w:id="662" w:name="_Toc5192707"/>
      <w:r w:rsidRPr="00F4606C">
        <w:rPr>
          <w:rFonts w:asciiTheme="minorHAnsi" w:hAnsiTheme="minorHAnsi"/>
          <w:sz w:val="20"/>
          <w:szCs w:val="20"/>
        </w:rPr>
        <w:t>Example 5.1 – Primary investment body provides investor’s details to secondary investment body</w:t>
      </w:r>
      <w:bookmarkEnd w:id="662"/>
      <w:r w:rsidRPr="00F4606C">
        <w:rPr>
          <w:rFonts w:asciiTheme="minorHAnsi" w:hAnsiTheme="minorHAnsi"/>
          <w:sz w:val="20"/>
          <w:szCs w:val="20"/>
        </w:rPr>
        <w:t xml:space="preserve"> </w:t>
      </w:r>
    </w:p>
    <w:p w14:paraId="77C47EF0"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Solicitors, Tara Lawyers and Associates (primary investment body) do not wish to take on the responsibility of reporting investment income. Therefore, they provide Charlotte O’Hare's details, including her name and TFN or ABN if quoted, to Gable Bank (secondary investment body) when investing money on her behalf.</w:t>
      </w:r>
    </w:p>
    <w:p w14:paraId="4846A796" w14:textId="77777777" w:rsidR="00115458" w:rsidRPr="00F4606C" w:rsidRDefault="00115458" w:rsidP="00046B05">
      <w:pPr>
        <w:pStyle w:val="Maintext"/>
        <w:rPr>
          <w:rFonts w:asciiTheme="minorHAnsi" w:hAnsiTheme="minorHAnsi" w:cs="Arial"/>
          <w:sz w:val="20"/>
          <w:szCs w:val="20"/>
        </w:rPr>
      </w:pPr>
    </w:p>
    <w:p w14:paraId="5997FCA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Gable Bank reports Charlotte O’Hare's identity and income details in their AIIR and includes the name and TFN or ABN of the interposed entity, Tara Lawyers &amp; Associates, at the </w:t>
      </w:r>
      <w:r w:rsidRPr="00F4606C">
        <w:rPr>
          <w:rFonts w:asciiTheme="minorHAnsi" w:hAnsiTheme="minorHAnsi" w:cs="Arial"/>
          <w:i/>
          <w:sz w:val="20"/>
          <w:szCs w:val="20"/>
        </w:rPr>
        <w:t>Interposed entity name</w:t>
      </w:r>
      <w:r w:rsidRPr="00F4606C">
        <w:rPr>
          <w:rFonts w:asciiTheme="minorHAnsi" w:hAnsiTheme="minorHAnsi" w:cs="Arial"/>
          <w:sz w:val="20"/>
          <w:szCs w:val="20"/>
        </w:rPr>
        <w:t xml:space="preserve"> (9.103) and </w:t>
      </w:r>
      <w:r w:rsidRPr="00F4606C">
        <w:rPr>
          <w:rFonts w:asciiTheme="minorHAnsi" w:hAnsiTheme="minorHAnsi" w:cs="Arial"/>
          <w:i/>
          <w:sz w:val="20"/>
          <w:szCs w:val="20"/>
        </w:rPr>
        <w:t>Interposed entity TFN or ABN</w:t>
      </w:r>
      <w:r w:rsidRPr="00F4606C">
        <w:rPr>
          <w:rFonts w:asciiTheme="minorHAnsi" w:hAnsiTheme="minorHAnsi" w:cs="Arial"/>
          <w:sz w:val="20"/>
          <w:szCs w:val="20"/>
        </w:rPr>
        <w:t xml:space="preserve"> (9.104) fields. The supply of interposed entity details is essential in the event of Charlotte O’Hare being contacted by us as she may not be aware that Tara Lawyers and Associates have invested her funds with the Gable Bank. The interposed entity information is necessary to provide this link. </w:t>
      </w:r>
    </w:p>
    <w:p w14:paraId="36C3B635" w14:textId="77777777" w:rsidR="00115458" w:rsidRPr="00F4606C" w:rsidRDefault="00115458" w:rsidP="00046B05">
      <w:pPr>
        <w:pStyle w:val="Maintext"/>
        <w:rPr>
          <w:rFonts w:asciiTheme="minorHAnsi" w:hAnsiTheme="minorHAnsi" w:cs="Arial"/>
          <w:sz w:val="20"/>
          <w:szCs w:val="20"/>
        </w:rPr>
      </w:pPr>
    </w:p>
    <w:p w14:paraId="0D31E38D" w14:textId="77777777"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 xml:space="preserve">(extract) – </w:t>
      </w:r>
      <w:r w:rsidRPr="00F4606C">
        <w:rPr>
          <w:rFonts w:asciiTheme="minorHAnsi" w:hAnsiTheme="minorHAnsi" w:cs="Arial"/>
          <w:sz w:val="20"/>
          <w:szCs w:val="20"/>
        </w:rPr>
        <w:t>Gable Bank</w:t>
      </w:r>
    </w:p>
    <w:p w14:paraId="4DF358F6" w14:textId="77777777" w:rsidR="00115458" w:rsidRPr="00F4606C" w:rsidRDefault="00115458" w:rsidP="00046B05">
      <w:pPr>
        <w:pStyle w:val="Maintext"/>
        <w:rPr>
          <w:rFonts w:asciiTheme="minorHAnsi" w:hAnsiTheme="minorHAnsi" w:cs="Arial"/>
          <w:sz w:val="20"/>
          <w:szCs w:val="20"/>
        </w:rPr>
      </w:pPr>
    </w:p>
    <w:tbl>
      <w:tblPr>
        <w:tblW w:w="5000" w:type="pct"/>
        <w:tblLook w:val="0000" w:firstRow="0" w:lastRow="0" w:firstColumn="0" w:lastColumn="0" w:noHBand="0" w:noVBand="0"/>
      </w:tblPr>
      <w:tblGrid>
        <w:gridCol w:w="1569"/>
        <w:gridCol w:w="3995"/>
        <w:gridCol w:w="3718"/>
      </w:tblGrid>
      <w:tr w:rsidR="00115458" w:rsidRPr="00046B05" w14:paraId="547F0925" w14:textId="77777777" w:rsidTr="000C1365">
        <w:trPr>
          <w:cantSplit/>
          <w:tblHeader/>
        </w:trPr>
        <w:tc>
          <w:tcPr>
            <w:tcW w:w="845" w:type="pct"/>
            <w:tcBorders>
              <w:top w:val="single" w:sz="6" w:space="0" w:color="auto"/>
              <w:left w:val="single" w:sz="6" w:space="0" w:color="auto"/>
              <w:bottom w:val="single" w:sz="6" w:space="0" w:color="auto"/>
              <w:right w:val="single" w:sz="6" w:space="0" w:color="auto"/>
            </w:tcBorders>
            <w:shd w:val="clear" w:color="auto" w:fill="B3B3B3"/>
          </w:tcPr>
          <w:p w14:paraId="0BA8ACD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2152" w:type="pct"/>
            <w:tcBorders>
              <w:top w:val="single" w:sz="6" w:space="0" w:color="auto"/>
              <w:left w:val="single" w:sz="6" w:space="0" w:color="auto"/>
              <w:bottom w:val="single" w:sz="6" w:space="0" w:color="auto"/>
              <w:right w:val="single" w:sz="6" w:space="0" w:color="auto"/>
            </w:tcBorders>
            <w:shd w:val="clear" w:color="auto" w:fill="B3B3B3"/>
          </w:tcPr>
          <w:p w14:paraId="60FA5A1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2003" w:type="pct"/>
            <w:tcBorders>
              <w:top w:val="single" w:sz="6" w:space="0" w:color="auto"/>
              <w:left w:val="single" w:sz="6" w:space="0" w:color="auto"/>
              <w:bottom w:val="single" w:sz="6" w:space="0" w:color="auto"/>
              <w:right w:val="single" w:sz="6" w:space="0" w:color="auto"/>
            </w:tcBorders>
            <w:shd w:val="clear" w:color="auto" w:fill="B3B3B3"/>
          </w:tcPr>
          <w:p w14:paraId="7F5E01FB"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r>
      <w:tr w:rsidR="00115458" w:rsidRPr="00046B05" w14:paraId="12624A38" w14:textId="77777777" w:rsidTr="000C1365">
        <w:trPr>
          <w:cantSplit/>
          <w:trHeight w:val="276"/>
        </w:trPr>
        <w:tc>
          <w:tcPr>
            <w:tcW w:w="845" w:type="pct"/>
            <w:tcBorders>
              <w:top w:val="single" w:sz="6" w:space="0" w:color="auto"/>
              <w:left w:val="single" w:sz="6" w:space="0" w:color="auto"/>
              <w:bottom w:val="single" w:sz="6" w:space="0" w:color="auto"/>
              <w:right w:val="single" w:sz="6" w:space="0" w:color="auto"/>
            </w:tcBorders>
            <w:vAlign w:val="center"/>
          </w:tcPr>
          <w:p w14:paraId="288EC02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9.103</w:t>
            </w:r>
          </w:p>
        </w:tc>
        <w:tc>
          <w:tcPr>
            <w:tcW w:w="2152" w:type="pct"/>
            <w:tcBorders>
              <w:top w:val="single" w:sz="6" w:space="0" w:color="auto"/>
              <w:left w:val="single" w:sz="6" w:space="0" w:color="auto"/>
              <w:bottom w:val="single" w:sz="6" w:space="0" w:color="auto"/>
              <w:right w:val="single" w:sz="6" w:space="0" w:color="auto"/>
            </w:tcBorders>
            <w:vAlign w:val="center"/>
          </w:tcPr>
          <w:p w14:paraId="076EB81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Interposed entity name</w:t>
            </w:r>
          </w:p>
        </w:tc>
        <w:tc>
          <w:tcPr>
            <w:tcW w:w="2003" w:type="pct"/>
            <w:tcBorders>
              <w:top w:val="single" w:sz="6" w:space="0" w:color="auto"/>
              <w:left w:val="single" w:sz="6" w:space="0" w:color="auto"/>
              <w:bottom w:val="single" w:sz="6" w:space="0" w:color="auto"/>
              <w:right w:val="single" w:sz="6" w:space="0" w:color="auto"/>
            </w:tcBorders>
            <w:vAlign w:val="center"/>
          </w:tcPr>
          <w:p w14:paraId="3D982F7B"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Tara Lawyers and Associates</w:t>
            </w:r>
          </w:p>
        </w:tc>
      </w:tr>
      <w:tr w:rsidR="00115458" w:rsidRPr="00046B05" w14:paraId="7E119ADB" w14:textId="77777777" w:rsidTr="000C1365">
        <w:trPr>
          <w:cantSplit/>
          <w:trHeight w:val="276"/>
        </w:trPr>
        <w:tc>
          <w:tcPr>
            <w:tcW w:w="845" w:type="pct"/>
            <w:tcBorders>
              <w:top w:val="single" w:sz="6" w:space="0" w:color="auto"/>
              <w:left w:val="single" w:sz="6" w:space="0" w:color="auto"/>
              <w:bottom w:val="single" w:sz="6" w:space="0" w:color="auto"/>
              <w:right w:val="single" w:sz="6" w:space="0" w:color="auto"/>
            </w:tcBorders>
            <w:vAlign w:val="center"/>
          </w:tcPr>
          <w:p w14:paraId="5FC5F33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9.104</w:t>
            </w:r>
          </w:p>
        </w:tc>
        <w:tc>
          <w:tcPr>
            <w:tcW w:w="2152" w:type="pct"/>
            <w:tcBorders>
              <w:top w:val="single" w:sz="6" w:space="0" w:color="auto"/>
              <w:left w:val="single" w:sz="6" w:space="0" w:color="auto"/>
              <w:bottom w:val="single" w:sz="6" w:space="0" w:color="auto"/>
              <w:right w:val="single" w:sz="6" w:space="0" w:color="auto"/>
            </w:tcBorders>
            <w:vAlign w:val="center"/>
          </w:tcPr>
          <w:p w14:paraId="4810CA57"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Interposed entity TFN or ABN</w:t>
            </w:r>
          </w:p>
        </w:tc>
        <w:tc>
          <w:tcPr>
            <w:tcW w:w="2003" w:type="pct"/>
            <w:tcBorders>
              <w:top w:val="single" w:sz="6" w:space="0" w:color="auto"/>
              <w:left w:val="single" w:sz="6" w:space="0" w:color="auto"/>
              <w:bottom w:val="single" w:sz="6" w:space="0" w:color="auto"/>
              <w:right w:val="single" w:sz="6" w:space="0" w:color="auto"/>
            </w:tcBorders>
            <w:vAlign w:val="center"/>
          </w:tcPr>
          <w:p w14:paraId="472F566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778889455</w:t>
            </w:r>
          </w:p>
        </w:tc>
      </w:tr>
    </w:tbl>
    <w:p w14:paraId="046EB8AD" w14:textId="77777777" w:rsidR="00115458" w:rsidRPr="00F4606C" w:rsidRDefault="00115458" w:rsidP="00046B05">
      <w:pPr>
        <w:pStyle w:val="Maintext"/>
        <w:rPr>
          <w:rFonts w:asciiTheme="minorHAnsi" w:hAnsiTheme="minorHAnsi" w:cs="Arial"/>
          <w:b/>
          <w:smallCaps/>
          <w:sz w:val="20"/>
          <w:szCs w:val="20"/>
        </w:rPr>
      </w:pPr>
    </w:p>
    <w:p w14:paraId="3C3D5123" w14:textId="77777777" w:rsidR="00830E1B" w:rsidRDefault="00830E1B" w:rsidP="00046B05">
      <w:pPr>
        <w:pStyle w:val="Maintext"/>
        <w:rPr>
          <w:rFonts w:asciiTheme="minorHAnsi" w:hAnsiTheme="minorHAnsi" w:cs="Arial"/>
          <w:b/>
          <w:smallCaps/>
          <w:sz w:val="20"/>
          <w:szCs w:val="20"/>
        </w:rPr>
      </w:pPr>
    </w:p>
    <w:p w14:paraId="6757512E" w14:textId="77777777" w:rsidR="00830E1B" w:rsidRDefault="00830E1B" w:rsidP="00046B05">
      <w:pPr>
        <w:pStyle w:val="Maintext"/>
        <w:rPr>
          <w:rFonts w:asciiTheme="minorHAnsi" w:hAnsiTheme="minorHAnsi" w:cs="Arial"/>
          <w:b/>
          <w:smallCaps/>
          <w:sz w:val="20"/>
          <w:szCs w:val="20"/>
        </w:rPr>
      </w:pPr>
    </w:p>
    <w:p w14:paraId="75A0ED72" w14:textId="77777777" w:rsidR="00830E1B" w:rsidRDefault="00830E1B" w:rsidP="00046B05">
      <w:pPr>
        <w:pStyle w:val="Maintext"/>
        <w:rPr>
          <w:rFonts w:asciiTheme="minorHAnsi" w:hAnsiTheme="minorHAnsi" w:cs="Arial"/>
          <w:b/>
          <w:smallCaps/>
          <w:sz w:val="20"/>
          <w:szCs w:val="20"/>
        </w:rPr>
      </w:pPr>
    </w:p>
    <w:p w14:paraId="40756E64" w14:textId="77777777" w:rsidR="00830E1B" w:rsidRDefault="00830E1B" w:rsidP="00046B05">
      <w:pPr>
        <w:pStyle w:val="Maintext"/>
        <w:rPr>
          <w:rFonts w:asciiTheme="minorHAnsi" w:hAnsiTheme="minorHAnsi" w:cs="Arial"/>
          <w:b/>
          <w:smallCaps/>
          <w:sz w:val="20"/>
          <w:szCs w:val="20"/>
        </w:rPr>
      </w:pPr>
    </w:p>
    <w:p w14:paraId="2D880519" w14:textId="77777777" w:rsidR="00830E1B" w:rsidRDefault="00830E1B" w:rsidP="00046B05">
      <w:pPr>
        <w:pStyle w:val="Maintext"/>
        <w:rPr>
          <w:rFonts w:asciiTheme="minorHAnsi" w:hAnsiTheme="minorHAnsi" w:cs="Arial"/>
          <w:b/>
          <w:smallCaps/>
          <w:sz w:val="20"/>
          <w:szCs w:val="20"/>
        </w:rPr>
      </w:pPr>
    </w:p>
    <w:p w14:paraId="26AF74BB" w14:textId="53062360" w:rsidR="00115458" w:rsidRPr="00F4606C" w:rsidRDefault="00115458" w:rsidP="00046B05">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investor data record </w:t>
      </w:r>
      <w:r w:rsidRPr="00F4606C">
        <w:rPr>
          <w:rFonts w:asciiTheme="minorHAnsi" w:hAnsiTheme="minorHAnsi" w:cs="Arial"/>
          <w:smallCaps/>
          <w:sz w:val="20"/>
          <w:szCs w:val="20"/>
        </w:rPr>
        <w:t xml:space="preserve">(extract) – </w:t>
      </w:r>
      <w:r w:rsidRPr="00F4606C">
        <w:rPr>
          <w:rFonts w:asciiTheme="minorHAnsi" w:hAnsiTheme="minorHAnsi" w:cs="Arial"/>
          <w:sz w:val="20"/>
          <w:szCs w:val="20"/>
        </w:rPr>
        <w:t>Gable Bank</w:t>
      </w:r>
    </w:p>
    <w:p w14:paraId="341DE008" w14:textId="77777777" w:rsidR="00115458" w:rsidRPr="00F4606C" w:rsidRDefault="00115458" w:rsidP="00046B05">
      <w:pPr>
        <w:pStyle w:val="Maintext"/>
        <w:rPr>
          <w:rFonts w:asciiTheme="minorHAnsi" w:hAnsiTheme="minorHAnsi" w:cs="Arial"/>
          <w:sz w:val="20"/>
          <w:szCs w:val="20"/>
        </w:rPr>
      </w:pPr>
    </w:p>
    <w:tbl>
      <w:tblPr>
        <w:tblW w:w="5000" w:type="pct"/>
        <w:tblLook w:val="0000" w:firstRow="0" w:lastRow="0" w:firstColumn="0" w:lastColumn="0" w:noHBand="0" w:noVBand="0"/>
      </w:tblPr>
      <w:tblGrid>
        <w:gridCol w:w="1227"/>
        <w:gridCol w:w="2817"/>
        <w:gridCol w:w="2619"/>
        <w:gridCol w:w="2619"/>
      </w:tblGrid>
      <w:tr w:rsidR="00115458" w:rsidRPr="00046B05" w14:paraId="17F430F1" w14:textId="77777777" w:rsidTr="000C1365">
        <w:trPr>
          <w:cantSplit/>
          <w:tblHeader/>
        </w:trPr>
        <w:tc>
          <w:tcPr>
            <w:tcW w:w="603" w:type="pct"/>
            <w:tcBorders>
              <w:top w:val="single" w:sz="6" w:space="0" w:color="auto"/>
              <w:left w:val="single" w:sz="6" w:space="0" w:color="auto"/>
              <w:bottom w:val="single" w:sz="6" w:space="0" w:color="auto"/>
              <w:right w:val="single" w:sz="6" w:space="0" w:color="auto"/>
            </w:tcBorders>
            <w:shd w:val="clear" w:color="auto" w:fill="B3B3B3"/>
            <w:vAlign w:val="center"/>
          </w:tcPr>
          <w:p w14:paraId="79287249"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Reference number</w:t>
            </w:r>
          </w:p>
        </w:tc>
        <w:tc>
          <w:tcPr>
            <w:tcW w:w="1537" w:type="pct"/>
            <w:tcBorders>
              <w:top w:val="single" w:sz="6" w:space="0" w:color="auto"/>
              <w:left w:val="single" w:sz="6" w:space="0" w:color="auto"/>
              <w:bottom w:val="single" w:sz="6" w:space="0" w:color="auto"/>
              <w:right w:val="single" w:sz="6" w:space="0" w:color="auto"/>
            </w:tcBorders>
            <w:shd w:val="clear" w:color="auto" w:fill="B3B3B3"/>
            <w:vAlign w:val="center"/>
          </w:tcPr>
          <w:p w14:paraId="1FB5637E"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1430" w:type="pct"/>
            <w:tcBorders>
              <w:top w:val="single" w:sz="6" w:space="0" w:color="auto"/>
              <w:left w:val="single" w:sz="6" w:space="0" w:color="auto"/>
              <w:bottom w:val="single" w:sz="6" w:space="0" w:color="auto"/>
              <w:right w:val="single" w:sz="6" w:space="0" w:color="auto"/>
            </w:tcBorders>
            <w:shd w:val="clear" w:color="auto" w:fill="B3B3B3"/>
            <w:vAlign w:val="center"/>
          </w:tcPr>
          <w:p w14:paraId="0CB68DC0"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430" w:type="pct"/>
            <w:tcBorders>
              <w:top w:val="single" w:sz="6" w:space="0" w:color="auto"/>
              <w:left w:val="single" w:sz="6" w:space="0" w:color="auto"/>
              <w:bottom w:val="single" w:sz="6" w:space="0" w:color="auto"/>
              <w:right w:val="single" w:sz="6" w:space="0" w:color="auto"/>
            </w:tcBorders>
            <w:shd w:val="clear" w:color="auto" w:fill="B3B3B3"/>
            <w:vAlign w:val="center"/>
          </w:tcPr>
          <w:p w14:paraId="5268C256" w14:textId="77777777" w:rsidR="00115458" w:rsidRPr="00F4606C" w:rsidRDefault="00115458" w:rsidP="00046B05">
            <w:pPr>
              <w:pStyle w:val="Maintex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046B05" w14:paraId="776AF131" w14:textId="77777777" w:rsidTr="000C1365">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0E063CE9" w14:textId="402F6970"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sidRPr="00F4606C">
              <w:rPr>
                <w:rFonts w:asciiTheme="minorHAnsi" w:hAnsiTheme="minorHAnsi" w:cs="Arial"/>
                <w:sz w:val="20"/>
                <w:szCs w:val="20"/>
              </w:rPr>
              <w:t>19</w:t>
            </w:r>
            <w:r w:rsidR="00F3445C">
              <w:rPr>
                <w:rFonts w:asciiTheme="minorHAnsi" w:hAnsiTheme="minorHAnsi" w:cs="Arial"/>
                <w:sz w:val="20"/>
                <w:szCs w:val="20"/>
              </w:rPr>
              <w:t>7</w:t>
            </w:r>
          </w:p>
        </w:tc>
        <w:tc>
          <w:tcPr>
            <w:tcW w:w="1537" w:type="pct"/>
            <w:tcBorders>
              <w:top w:val="single" w:sz="6" w:space="0" w:color="auto"/>
              <w:left w:val="single" w:sz="6" w:space="0" w:color="auto"/>
              <w:bottom w:val="single" w:sz="6" w:space="0" w:color="auto"/>
              <w:right w:val="single" w:sz="6" w:space="0" w:color="auto"/>
            </w:tcBorders>
            <w:vAlign w:val="center"/>
          </w:tcPr>
          <w:p w14:paraId="205B6254"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entity type</w:t>
            </w:r>
          </w:p>
        </w:tc>
        <w:tc>
          <w:tcPr>
            <w:tcW w:w="1430" w:type="pct"/>
            <w:tcBorders>
              <w:top w:val="single" w:sz="6" w:space="0" w:color="auto"/>
              <w:left w:val="single" w:sz="6" w:space="0" w:color="auto"/>
              <w:bottom w:val="single" w:sz="6" w:space="0" w:color="auto"/>
              <w:right w:val="single" w:sz="6" w:space="0" w:color="auto"/>
            </w:tcBorders>
            <w:vAlign w:val="center"/>
          </w:tcPr>
          <w:p w14:paraId="6CD8066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w:t>
            </w:r>
          </w:p>
        </w:tc>
        <w:tc>
          <w:tcPr>
            <w:tcW w:w="1430" w:type="pct"/>
            <w:tcBorders>
              <w:top w:val="single" w:sz="6" w:space="0" w:color="auto"/>
              <w:left w:val="single" w:sz="6" w:space="0" w:color="auto"/>
              <w:bottom w:val="single" w:sz="6" w:space="0" w:color="auto"/>
              <w:right w:val="single" w:sz="6" w:space="0" w:color="auto"/>
            </w:tcBorders>
            <w:vAlign w:val="center"/>
          </w:tcPr>
          <w:p w14:paraId="3679BD96"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Primary investor’s entity type</w:t>
            </w:r>
          </w:p>
        </w:tc>
      </w:tr>
      <w:tr w:rsidR="00115458" w:rsidRPr="00046B05" w14:paraId="718851AB" w14:textId="77777777" w:rsidTr="000C1365">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5CB3CC80" w14:textId="199E9062"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sidRPr="00F4606C">
              <w:rPr>
                <w:rFonts w:asciiTheme="minorHAnsi" w:hAnsiTheme="minorHAnsi" w:cs="Arial"/>
                <w:sz w:val="20"/>
                <w:szCs w:val="20"/>
              </w:rPr>
              <w:t>19</w:t>
            </w:r>
            <w:r w:rsidR="00F3445C">
              <w:rPr>
                <w:rFonts w:asciiTheme="minorHAnsi" w:hAnsiTheme="minorHAnsi" w:cs="Arial"/>
                <w:sz w:val="20"/>
                <w:szCs w:val="20"/>
              </w:rPr>
              <w:t>8</w:t>
            </w:r>
          </w:p>
        </w:tc>
        <w:tc>
          <w:tcPr>
            <w:tcW w:w="1537" w:type="pct"/>
            <w:tcBorders>
              <w:top w:val="single" w:sz="6" w:space="0" w:color="auto"/>
              <w:left w:val="single" w:sz="6" w:space="0" w:color="auto"/>
              <w:bottom w:val="single" w:sz="6" w:space="0" w:color="auto"/>
              <w:right w:val="single" w:sz="6" w:space="0" w:color="auto"/>
            </w:tcBorders>
            <w:vAlign w:val="center"/>
          </w:tcPr>
          <w:p w14:paraId="78B93352"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Investor tax file number</w:t>
            </w:r>
          </w:p>
        </w:tc>
        <w:tc>
          <w:tcPr>
            <w:tcW w:w="1430" w:type="pct"/>
            <w:tcBorders>
              <w:top w:val="single" w:sz="6" w:space="0" w:color="auto"/>
              <w:left w:val="single" w:sz="6" w:space="0" w:color="auto"/>
              <w:bottom w:val="single" w:sz="6" w:space="0" w:color="auto"/>
              <w:right w:val="single" w:sz="6" w:space="0" w:color="auto"/>
            </w:tcBorders>
            <w:vAlign w:val="center"/>
          </w:tcPr>
          <w:p w14:paraId="73F2D569"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789456879</w:t>
            </w:r>
          </w:p>
        </w:tc>
        <w:tc>
          <w:tcPr>
            <w:tcW w:w="1430" w:type="pct"/>
            <w:tcBorders>
              <w:top w:val="single" w:sz="6" w:space="0" w:color="auto"/>
              <w:left w:val="single" w:sz="6" w:space="0" w:color="auto"/>
              <w:bottom w:val="single" w:sz="6" w:space="0" w:color="auto"/>
              <w:right w:val="single" w:sz="6" w:space="0" w:color="auto"/>
            </w:tcBorders>
            <w:vAlign w:val="center"/>
          </w:tcPr>
          <w:p w14:paraId="45F20A77"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Primary investor’s TFN</w:t>
            </w:r>
          </w:p>
        </w:tc>
      </w:tr>
      <w:tr w:rsidR="00115458" w:rsidRPr="00046B05" w14:paraId="0A1EF254" w14:textId="77777777" w:rsidTr="000C1365">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15B1F02E" w14:textId="265EEFCC"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197F9B">
              <w:rPr>
                <w:rFonts w:asciiTheme="minorHAnsi" w:hAnsiTheme="minorHAnsi" w:cs="Arial"/>
                <w:sz w:val="20"/>
                <w:szCs w:val="20"/>
              </w:rPr>
              <w:t>201</w:t>
            </w:r>
          </w:p>
        </w:tc>
        <w:tc>
          <w:tcPr>
            <w:tcW w:w="1537" w:type="pct"/>
            <w:tcBorders>
              <w:top w:val="single" w:sz="6" w:space="0" w:color="auto"/>
              <w:left w:val="single" w:sz="6" w:space="0" w:color="auto"/>
              <w:bottom w:val="single" w:sz="6" w:space="0" w:color="auto"/>
              <w:right w:val="single" w:sz="6" w:space="0" w:color="auto"/>
            </w:tcBorders>
            <w:vAlign w:val="center"/>
          </w:tcPr>
          <w:p w14:paraId="6657CD48"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surname</w:t>
            </w:r>
          </w:p>
        </w:tc>
        <w:tc>
          <w:tcPr>
            <w:tcW w:w="1430" w:type="pct"/>
            <w:tcBorders>
              <w:top w:val="single" w:sz="6" w:space="0" w:color="auto"/>
              <w:left w:val="single" w:sz="6" w:space="0" w:color="auto"/>
              <w:bottom w:val="single" w:sz="6" w:space="0" w:color="auto"/>
              <w:right w:val="single" w:sz="6" w:space="0" w:color="auto"/>
            </w:tcBorders>
            <w:vAlign w:val="center"/>
          </w:tcPr>
          <w:p w14:paraId="516B2250"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O’Hare</w:t>
            </w:r>
          </w:p>
        </w:tc>
        <w:tc>
          <w:tcPr>
            <w:tcW w:w="1430" w:type="pct"/>
            <w:tcBorders>
              <w:top w:val="single" w:sz="6" w:space="0" w:color="auto"/>
              <w:left w:val="single" w:sz="6" w:space="0" w:color="auto"/>
              <w:bottom w:val="single" w:sz="6" w:space="0" w:color="auto"/>
              <w:right w:val="single" w:sz="6" w:space="0" w:color="auto"/>
            </w:tcBorders>
            <w:vAlign w:val="center"/>
          </w:tcPr>
          <w:p w14:paraId="16104B2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Primary investor’s surname</w:t>
            </w:r>
          </w:p>
        </w:tc>
      </w:tr>
      <w:tr w:rsidR="00115458" w:rsidRPr="00046B05" w14:paraId="3D8534DD" w14:textId="77777777" w:rsidTr="000C1365">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604342FA" w14:textId="62D097D3"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Pr>
                <w:rFonts w:asciiTheme="minorHAnsi" w:hAnsiTheme="minorHAnsi" w:cs="Arial"/>
                <w:sz w:val="20"/>
                <w:szCs w:val="20"/>
              </w:rPr>
              <w:t>202</w:t>
            </w:r>
          </w:p>
        </w:tc>
        <w:tc>
          <w:tcPr>
            <w:tcW w:w="1537" w:type="pct"/>
            <w:tcBorders>
              <w:top w:val="single" w:sz="6" w:space="0" w:color="auto"/>
              <w:left w:val="single" w:sz="6" w:space="0" w:color="auto"/>
              <w:bottom w:val="single" w:sz="6" w:space="0" w:color="auto"/>
              <w:right w:val="single" w:sz="6" w:space="0" w:color="auto"/>
            </w:tcBorders>
            <w:vAlign w:val="center"/>
          </w:tcPr>
          <w:p w14:paraId="0F6D4F1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first given name</w:t>
            </w:r>
          </w:p>
        </w:tc>
        <w:tc>
          <w:tcPr>
            <w:tcW w:w="1430" w:type="pct"/>
            <w:tcBorders>
              <w:top w:val="single" w:sz="6" w:space="0" w:color="auto"/>
              <w:left w:val="single" w:sz="6" w:space="0" w:color="auto"/>
              <w:bottom w:val="single" w:sz="6" w:space="0" w:color="auto"/>
              <w:right w:val="single" w:sz="6" w:space="0" w:color="auto"/>
            </w:tcBorders>
            <w:vAlign w:val="center"/>
          </w:tcPr>
          <w:p w14:paraId="6F7F9F6F" w14:textId="77777777" w:rsidR="00115458" w:rsidRPr="00F4606C" w:rsidRDefault="00115458" w:rsidP="00046B05">
            <w:pPr>
              <w:pStyle w:val="Maintext"/>
              <w:rPr>
                <w:rFonts w:asciiTheme="minorHAnsi" w:hAnsiTheme="minorHAnsi" w:cs="Arial"/>
                <w:caps/>
                <w:sz w:val="20"/>
                <w:szCs w:val="20"/>
              </w:rPr>
            </w:pPr>
            <w:r w:rsidRPr="00F4606C">
              <w:rPr>
                <w:rFonts w:asciiTheme="minorHAnsi" w:hAnsiTheme="minorHAnsi" w:cs="Arial"/>
                <w:caps/>
                <w:sz w:val="20"/>
                <w:szCs w:val="20"/>
              </w:rPr>
              <w:t>charlotte</w:t>
            </w:r>
          </w:p>
        </w:tc>
        <w:tc>
          <w:tcPr>
            <w:tcW w:w="1430" w:type="pct"/>
            <w:tcBorders>
              <w:top w:val="single" w:sz="6" w:space="0" w:color="auto"/>
              <w:left w:val="single" w:sz="6" w:space="0" w:color="auto"/>
              <w:bottom w:val="single" w:sz="6" w:space="0" w:color="auto"/>
              <w:right w:val="single" w:sz="6" w:space="0" w:color="auto"/>
            </w:tcBorders>
            <w:vAlign w:val="center"/>
          </w:tcPr>
          <w:p w14:paraId="0E14581E" w14:textId="77777777" w:rsidR="00115458" w:rsidRPr="00F4606C" w:rsidRDefault="00115458" w:rsidP="007A06E0">
            <w:pPr>
              <w:pStyle w:val="Maintext"/>
              <w:rPr>
                <w:rFonts w:asciiTheme="minorHAnsi" w:hAnsiTheme="minorHAnsi" w:cs="Arial"/>
                <w:sz w:val="20"/>
                <w:szCs w:val="20"/>
              </w:rPr>
            </w:pPr>
            <w:r w:rsidRPr="00F4606C">
              <w:rPr>
                <w:rFonts w:asciiTheme="minorHAnsi" w:hAnsiTheme="minorHAnsi" w:cs="Arial"/>
                <w:sz w:val="20"/>
                <w:szCs w:val="20"/>
              </w:rPr>
              <w:t>Primary investor’s first name</w:t>
            </w:r>
          </w:p>
        </w:tc>
      </w:tr>
      <w:tr w:rsidR="00115458" w:rsidRPr="00046B05" w14:paraId="61EF46C8" w14:textId="77777777" w:rsidTr="000C1365">
        <w:trPr>
          <w:cantSplit/>
          <w:trHeight w:val="276"/>
        </w:trPr>
        <w:tc>
          <w:tcPr>
            <w:tcW w:w="603" w:type="pct"/>
            <w:tcBorders>
              <w:top w:val="single" w:sz="6" w:space="0" w:color="auto"/>
              <w:left w:val="single" w:sz="6" w:space="0" w:color="auto"/>
              <w:bottom w:val="single" w:sz="6" w:space="0" w:color="auto"/>
              <w:right w:val="single" w:sz="6" w:space="0" w:color="auto"/>
            </w:tcBorders>
            <w:vAlign w:val="center"/>
          </w:tcPr>
          <w:p w14:paraId="3A49E471" w14:textId="32A2D8E4"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9.</w:t>
            </w:r>
            <w:r w:rsidR="00F3445C">
              <w:rPr>
                <w:rFonts w:asciiTheme="minorHAnsi" w:hAnsiTheme="minorHAnsi" w:cs="Arial"/>
                <w:sz w:val="20"/>
                <w:szCs w:val="20"/>
              </w:rPr>
              <w:t>204</w:t>
            </w:r>
          </w:p>
        </w:tc>
        <w:tc>
          <w:tcPr>
            <w:tcW w:w="1537" w:type="pct"/>
            <w:tcBorders>
              <w:top w:val="single" w:sz="6" w:space="0" w:color="auto"/>
              <w:left w:val="single" w:sz="6" w:space="0" w:color="auto"/>
              <w:bottom w:val="single" w:sz="6" w:space="0" w:color="auto"/>
              <w:right w:val="single" w:sz="6" w:space="0" w:color="auto"/>
            </w:tcBorders>
            <w:vAlign w:val="center"/>
          </w:tcPr>
          <w:p w14:paraId="3FCD9AF1"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Individual investor date of birth (DDMMCCYY)</w:t>
            </w:r>
          </w:p>
        </w:tc>
        <w:tc>
          <w:tcPr>
            <w:tcW w:w="1430" w:type="pct"/>
            <w:tcBorders>
              <w:top w:val="single" w:sz="6" w:space="0" w:color="auto"/>
              <w:left w:val="single" w:sz="6" w:space="0" w:color="auto"/>
              <w:bottom w:val="single" w:sz="6" w:space="0" w:color="auto"/>
              <w:right w:val="single" w:sz="6" w:space="0" w:color="auto"/>
            </w:tcBorders>
            <w:vAlign w:val="center"/>
          </w:tcPr>
          <w:p w14:paraId="4DBDEBDD"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13091962</w:t>
            </w:r>
          </w:p>
        </w:tc>
        <w:tc>
          <w:tcPr>
            <w:tcW w:w="1430" w:type="pct"/>
            <w:tcBorders>
              <w:top w:val="single" w:sz="6" w:space="0" w:color="auto"/>
              <w:left w:val="single" w:sz="6" w:space="0" w:color="auto"/>
              <w:bottom w:val="single" w:sz="6" w:space="0" w:color="auto"/>
              <w:right w:val="single" w:sz="6" w:space="0" w:color="auto"/>
            </w:tcBorders>
            <w:vAlign w:val="center"/>
          </w:tcPr>
          <w:p w14:paraId="0A0E4EBC"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Primary investor’s date of birth</w:t>
            </w:r>
          </w:p>
        </w:tc>
      </w:tr>
    </w:tbl>
    <w:p w14:paraId="337B413F" w14:textId="77777777" w:rsidR="00115458" w:rsidRPr="00F4606C" w:rsidRDefault="00115458" w:rsidP="00046B05">
      <w:pPr>
        <w:pStyle w:val="Maintext"/>
        <w:rPr>
          <w:rFonts w:asciiTheme="minorHAnsi" w:hAnsiTheme="minorHAnsi" w:cs="Arial"/>
          <w:sz w:val="20"/>
          <w:szCs w:val="20"/>
        </w:rPr>
      </w:pPr>
    </w:p>
    <w:p w14:paraId="1A82D885" w14:textId="77777777" w:rsidR="00115458" w:rsidRPr="00F4606C" w:rsidRDefault="00115458" w:rsidP="00046B05">
      <w:pPr>
        <w:pStyle w:val="Maintext"/>
        <w:rPr>
          <w:rFonts w:asciiTheme="minorHAnsi" w:hAnsiTheme="minorHAnsi" w:cs="Arial"/>
          <w:sz w:val="20"/>
          <w:szCs w:val="20"/>
        </w:rPr>
      </w:pPr>
      <w:r w:rsidRPr="00F4606C">
        <w:rPr>
          <w:rFonts w:asciiTheme="minorHAnsi" w:hAnsiTheme="minorHAnsi" w:cs="Arial"/>
          <w:sz w:val="20"/>
          <w:szCs w:val="20"/>
        </w:rPr>
        <w:t xml:space="preserve">If the primary investment body, Tara Lawyers and Associates, provides its own identity details to the secondary investment body, it is obliged to lodge an AIIR containing the identity and income details of its primary investors.  </w:t>
      </w:r>
    </w:p>
    <w:p w14:paraId="28B9167F" w14:textId="77777777" w:rsidR="00115458" w:rsidRPr="00F4606C" w:rsidRDefault="00115458" w:rsidP="00046B05">
      <w:pPr>
        <w:pStyle w:val="Maintext"/>
        <w:rPr>
          <w:rFonts w:asciiTheme="minorHAnsi" w:hAnsiTheme="minorHAnsi" w:cs="Arial"/>
          <w:sz w:val="20"/>
          <w:szCs w:val="20"/>
        </w:rPr>
      </w:pPr>
    </w:p>
    <w:p w14:paraId="5FA0D81B" w14:textId="77777777" w:rsidR="00115458" w:rsidRPr="00F4606C" w:rsidRDefault="00115458" w:rsidP="00046B05">
      <w:pPr>
        <w:pStyle w:val="Maintext"/>
        <w:rPr>
          <w:rFonts w:asciiTheme="minorHAnsi" w:hAnsiTheme="minorHAnsi" w:cs="Arial"/>
          <w:sz w:val="20"/>
          <w:szCs w:val="20"/>
        </w:rPr>
      </w:pPr>
      <w:bookmarkStart w:id="663" w:name="_Toc358373237"/>
      <w:r w:rsidRPr="00F4606C">
        <w:rPr>
          <w:rFonts w:asciiTheme="minorHAnsi" w:hAnsiTheme="minorHAnsi" w:cs="Arial"/>
          <w:sz w:val="20"/>
          <w:szCs w:val="20"/>
        </w:rPr>
        <w:t xml:space="preserve">All other fields in the </w:t>
      </w:r>
      <w:r w:rsidRPr="00F4606C">
        <w:rPr>
          <w:rFonts w:asciiTheme="minorHAnsi" w:hAnsiTheme="minorHAnsi" w:cs="Arial"/>
          <w:i/>
          <w:sz w:val="20"/>
          <w:szCs w:val="20"/>
        </w:rPr>
        <w:t>Investor Data Record</w:t>
      </w:r>
      <w:r w:rsidRPr="00F4606C">
        <w:rPr>
          <w:rFonts w:asciiTheme="minorHAnsi" w:hAnsiTheme="minorHAnsi" w:cs="Arial"/>
          <w:sz w:val="20"/>
          <w:szCs w:val="20"/>
        </w:rPr>
        <w:t xml:space="preserve"> are also those of the primary investor.</w:t>
      </w:r>
    </w:p>
    <w:p w14:paraId="388F7912" w14:textId="77777777" w:rsidR="00115458" w:rsidRPr="00B35C0A" w:rsidRDefault="00115458" w:rsidP="00115458">
      <w:pPr>
        <w:pStyle w:val="Heading3"/>
      </w:pPr>
      <w:bookmarkStart w:id="664" w:name="_Toc5192708"/>
      <w:bookmarkStart w:id="665" w:name="_Toc232191335"/>
      <w:r w:rsidRPr="00B35C0A">
        <w:t>Non-resident interposed entities/investors</w:t>
      </w:r>
      <w:bookmarkEnd w:id="663"/>
      <w:bookmarkEnd w:id="664"/>
      <w:bookmarkEnd w:id="665"/>
    </w:p>
    <w:p w14:paraId="73248BA4" w14:textId="435AC62F" w:rsidR="00115458" w:rsidRDefault="00115458" w:rsidP="00115458">
      <w:pPr>
        <w:pStyle w:val="Maintext"/>
        <w:rPr>
          <w:rFonts w:cs="Arial"/>
          <w:szCs w:val="22"/>
        </w:rPr>
      </w:pPr>
      <w:r w:rsidRPr="00F4606C">
        <w:rPr>
          <w:rFonts w:asciiTheme="minorHAnsi" w:hAnsiTheme="minorHAnsi" w:cs="Arial"/>
          <w:sz w:val="20"/>
          <w:szCs w:val="20"/>
        </w:rPr>
        <w:t>When a non-resident interposed entity receives income from Australian investments on behalf of primary investors who are also non-residents the Australian investment body withholds amounts from the income paid to the interposed entity. The non-resident entity pays the income (net of withholding tax) to the non-resident primary investors. As the interposed entity is a non-resident for tax purposes, it is not required to lodge an AIIR. The Australian investment body reports the amount of non-resident withholding tax and MIT withholding tax in their AIIR. It would also report other amounts where relevant, including sub</w:t>
      </w:r>
      <w:r w:rsidR="003B0E25">
        <w:rPr>
          <w:rFonts w:asciiTheme="minorHAnsi" w:hAnsiTheme="minorHAnsi" w:cs="Arial"/>
          <w:sz w:val="20"/>
          <w:szCs w:val="20"/>
        </w:rPr>
        <w:t>-</w:t>
      </w:r>
      <w:r w:rsidRPr="00F4606C">
        <w:rPr>
          <w:rFonts w:asciiTheme="minorHAnsi" w:hAnsiTheme="minorHAnsi" w:cs="Arial"/>
          <w:sz w:val="20"/>
          <w:szCs w:val="20"/>
        </w:rPr>
        <w:t>section 98(3) and 98(4) ITAA 1936 assessable amounts</w:t>
      </w:r>
      <w:r w:rsidRPr="00B35C0A">
        <w:rPr>
          <w:rFonts w:cs="Arial"/>
          <w:szCs w:val="22"/>
        </w:rPr>
        <w:t>.</w:t>
      </w:r>
    </w:p>
    <w:p w14:paraId="42B38234" w14:textId="77777777" w:rsidR="00046B05" w:rsidRPr="00B35C0A" w:rsidRDefault="00046B05" w:rsidP="00115458">
      <w:pPr>
        <w:pStyle w:val="Maintext"/>
        <w:rPr>
          <w:rFonts w:cs="Arial"/>
          <w:szCs w:val="22"/>
        </w:rPr>
      </w:pPr>
    </w:p>
    <w:p w14:paraId="018E2A59" w14:textId="68DE590E" w:rsidR="00046B05" w:rsidRDefault="00046B05" w:rsidP="00046B05">
      <w:pPr>
        <w:pStyle w:val="Heading2"/>
        <w:spacing w:before="0" w:after="0" w:line="240" w:lineRule="auto"/>
      </w:pPr>
      <w:bookmarkStart w:id="666" w:name="_Hlk152071517"/>
      <w:bookmarkStart w:id="667" w:name="_Hlk124940293"/>
      <w:bookmarkStart w:id="668" w:name="_Toc232191336"/>
      <w:r w:rsidRPr="006E3058">
        <w:t xml:space="preserve">MITs, AMITs, CCIV sub-fund trusts &amp; interposed entity </w:t>
      </w:r>
      <w:r w:rsidR="0034167F">
        <w:t>label reporting</w:t>
      </w:r>
      <w:bookmarkEnd w:id="668"/>
    </w:p>
    <w:p w14:paraId="4678CAE1" w14:textId="41640993" w:rsidR="00046B05" w:rsidRPr="00046B05" w:rsidRDefault="00046B05" w:rsidP="00F4606C"/>
    <w:bookmarkEnd w:id="666"/>
    <w:p w14:paraId="1E4EADDB" w14:textId="74124064" w:rsidR="00FB3052" w:rsidRPr="00071DAA" w:rsidRDefault="00FB3052" w:rsidP="00FB3052">
      <w:pPr>
        <w:pStyle w:val="Maintext"/>
        <w:rPr>
          <w:rFonts w:asciiTheme="minorHAnsi" w:hAnsiTheme="minorHAnsi" w:cs="Arial"/>
          <w:sz w:val="20"/>
          <w:szCs w:val="20"/>
        </w:rPr>
      </w:pPr>
      <w:r w:rsidRPr="00071DAA">
        <w:rPr>
          <w:rFonts w:asciiTheme="minorHAnsi" w:hAnsiTheme="minorHAnsi" w:cs="Arial"/>
          <w:sz w:val="20"/>
          <w:szCs w:val="20"/>
        </w:rPr>
        <w:t xml:space="preserve">MITs, AMITs and CCIV sub-fund trusts utilising the Global AIIR approach must use the interposed entity labels to provide extra information to the ATO. See </w:t>
      </w:r>
      <w:r w:rsidRPr="00071DAA">
        <w:rPr>
          <w:rFonts w:asciiTheme="minorHAnsi" w:hAnsiTheme="minorHAnsi" w:cs="Arial"/>
          <w:b/>
          <w:bCs/>
          <w:sz w:val="20"/>
          <w:szCs w:val="20"/>
        </w:rPr>
        <w:t>Section 6 – AMIT and attribution CCIV sub-fund trusts</w:t>
      </w:r>
      <w:r w:rsidRPr="00071DAA">
        <w:rPr>
          <w:rFonts w:asciiTheme="minorHAnsi" w:hAnsiTheme="minorHAnsi" w:cs="Arial"/>
          <w:sz w:val="20"/>
          <w:szCs w:val="20"/>
        </w:rPr>
        <w:t xml:space="preserve"> for further information.</w:t>
      </w:r>
    </w:p>
    <w:p w14:paraId="4029A155" w14:textId="77777777" w:rsidR="00115458" w:rsidRPr="00B35C0A" w:rsidRDefault="00115458" w:rsidP="00115458">
      <w:pPr>
        <w:pStyle w:val="Heading2"/>
      </w:pPr>
      <w:bookmarkStart w:id="669" w:name="_Toc360106581"/>
      <w:bookmarkStart w:id="670" w:name="_Toc232191337"/>
      <w:bookmarkEnd w:id="667"/>
      <w:r w:rsidRPr="00B35C0A">
        <w:t>Entities not considered interposed entities</w:t>
      </w:r>
      <w:bookmarkEnd w:id="670"/>
    </w:p>
    <w:p w14:paraId="181F1631" w14:textId="77777777" w:rsidR="00115458" w:rsidRPr="00FB3052" w:rsidRDefault="00115458" w:rsidP="00115458">
      <w:pPr>
        <w:pStyle w:val="Maintext"/>
        <w:rPr>
          <w:rFonts w:asciiTheme="minorHAnsi" w:hAnsiTheme="minorHAnsi" w:cs="Arial"/>
          <w:sz w:val="20"/>
          <w:szCs w:val="20"/>
        </w:rPr>
      </w:pPr>
      <w:r w:rsidRPr="00FB3052">
        <w:rPr>
          <w:rFonts w:asciiTheme="minorHAnsi" w:hAnsiTheme="minorHAnsi" w:cs="Arial"/>
          <w:sz w:val="20"/>
          <w:szCs w:val="20"/>
        </w:rPr>
        <w:t>Unit trusts are not interposed entities. The fact that a fund manager may invest pooled capital in a variety of investments is not relevant. The trustee of a unit trust is an investment body in its own right and issues statements to investors relating to interest and other forms of income paid as a result of the investment.</w:t>
      </w:r>
    </w:p>
    <w:p w14:paraId="7BA3273F" w14:textId="77777777" w:rsidR="00115458" w:rsidRPr="00B35C0A" w:rsidRDefault="00115458" w:rsidP="00115458">
      <w:pPr>
        <w:pStyle w:val="Bullet1"/>
        <w:rPr>
          <w:rFonts w:cs="Arial"/>
        </w:rPr>
      </w:pPr>
    </w:p>
    <w:p w14:paraId="3D2586BC" w14:textId="190CB02A" w:rsidR="00115458" w:rsidRDefault="00115458" w:rsidP="007F7F5A">
      <w:pPr>
        <w:pStyle w:val="Heading1"/>
      </w:pPr>
      <w:bookmarkStart w:id="671" w:name="_Toc467153174"/>
      <w:bookmarkStart w:id="672" w:name="_Toc486500863"/>
      <w:bookmarkStart w:id="673" w:name="_Toc5011650"/>
      <w:bookmarkStart w:id="674" w:name="_Toc5021579"/>
      <w:bookmarkStart w:id="675" w:name="_Toc5023002"/>
      <w:bookmarkStart w:id="676" w:name="_Toc5024426"/>
      <w:bookmarkStart w:id="677" w:name="_Toc5025849"/>
      <w:bookmarkStart w:id="678" w:name="_Toc467153175"/>
      <w:bookmarkStart w:id="679" w:name="_Toc486500864"/>
      <w:bookmarkStart w:id="680" w:name="_Toc5011651"/>
      <w:bookmarkStart w:id="681" w:name="_Toc5021580"/>
      <w:bookmarkStart w:id="682" w:name="_Toc5023003"/>
      <w:bookmarkStart w:id="683" w:name="_Toc5024427"/>
      <w:bookmarkStart w:id="684" w:name="_Toc5025850"/>
      <w:bookmarkStart w:id="685" w:name="_Toc467153176"/>
      <w:bookmarkStart w:id="686" w:name="_Toc486500865"/>
      <w:bookmarkStart w:id="687" w:name="_Toc5011652"/>
      <w:bookmarkStart w:id="688" w:name="_Toc5021581"/>
      <w:bookmarkStart w:id="689" w:name="_Toc5023004"/>
      <w:bookmarkStart w:id="690" w:name="_Toc5024428"/>
      <w:bookmarkStart w:id="691" w:name="_Toc5025851"/>
      <w:bookmarkStart w:id="692" w:name="_Toc467153177"/>
      <w:bookmarkStart w:id="693" w:name="_Toc486500866"/>
      <w:bookmarkStart w:id="694" w:name="_Toc5011653"/>
      <w:bookmarkStart w:id="695" w:name="_Toc5021582"/>
      <w:bookmarkStart w:id="696" w:name="_Toc5023005"/>
      <w:bookmarkStart w:id="697" w:name="_Toc5024429"/>
      <w:bookmarkStart w:id="698" w:name="_Toc5025852"/>
      <w:bookmarkStart w:id="699" w:name="_Toc467153183"/>
      <w:bookmarkStart w:id="700" w:name="_Toc486500872"/>
      <w:bookmarkStart w:id="701" w:name="_Toc5011659"/>
      <w:bookmarkStart w:id="702" w:name="_Toc5021588"/>
      <w:bookmarkStart w:id="703" w:name="_Toc5023011"/>
      <w:bookmarkStart w:id="704" w:name="_Toc5024435"/>
      <w:bookmarkStart w:id="705" w:name="_Toc5025858"/>
      <w:bookmarkStart w:id="706" w:name="_Toc467153185"/>
      <w:bookmarkStart w:id="707" w:name="_Toc486500874"/>
      <w:bookmarkStart w:id="708" w:name="_Toc5011661"/>
      <w:bookmarkStart w:id="709" w:name="_Toc5021590"/>
      <w:bookmarkStart w:id="710" w:name="_Toc5023013"/>
      <w:bookmarkStart w:id="711" w:name="_Toc5024437"/>
      <w:bookmarkStart w:id="712" w:name="_Toc5025860"/>
      <w:bookmarkStart w:id="713" w:name="_Toc467153187"/>
      <w:bookmarkStart w:id="714" w:name="_Toc486500876"/>
      <w:bookmarkStart w:id="715" w:name="_Toc5011663"/>
      <w:bookmarkStart w:id="716" w:name="_Toc5021592"/>
      <w:bookmarkStart w:id="717" w:name="_Toc5023015"/>
      <w:bookmarkStart w:id="718" w:name="_Toc5024439"/>
      <w:bookmarkStart w:id="719" w:name="_Toc5025862"/>
      <w:bookmarkStart w:id="720" w:name="_Toc467153190"/>
      <w:bookmarkStart w:id="721" w:name="_Toc486500879"/>
      <w:bookmarkStart w:id="722" w:name="_Toc5011666"/>
      <w:bookmarkStart w:id="723" w:name="_Toc5021595"/>
      <w:bookmarkStart w:id="724" w:name="_Toc5023018"/>
      <w:bookmarkStart w:id="725" w:name="_Toc5024442"/>
      <w:bookmarkStart w:id="726" w:name="_Toc5025865"/>
      <w:bookmarkStart w:id="727" w:name="_Toc467153191"/>
      <w:bookmarkStart w:id="728" w:name="_Toc486500880"/>
      <w:bookmarkStart w:id="729" w:name="_Toc5011667"/>
      <w:bookmarkStart w:id="730" w:name="_Toc5021596"/>
      <w:bookmarkStart w:id="731" w:name="_Toc5023019"/>
      <w:bookmarkStart w:id="732" w:name="_Toc5024443"/>
      <w:bookmarkStart w:id="733" w:name="_Toc5025866"/>
      <w:bookmarkStart w:id="734" w:name="_Toc467153192"/>
      <w:bookmarkStart w:id="735" w:name="_Toc486500881"/>
      <w:bookmarkStart w:id="736" w:name="_Toc5011668"/>
      <w:bookmarkStart w:id="737" w:name="_Toc5021597"/>
      <w:bookmarkStart w:id="738" w:name="_Toc5023020"/>
      <w:bookmarkStart w:id="739" w:name="_Toc5024444"/>
      <w:bookmarkStart w:id="740" w:name="_Toc5025867"/>
      <w:bookmarkStart w:id="741" w:name="_Toc467153243"/>
      <w:bookmarkStart w:id="742" w:name="_Toc486500932"/>
      <w:bookmarkStart w:id="743" w:name="_Toc5011719"/>
      <w:bookmarkStart w:id="744" w:name="_Toc5021648"/>
      <w:bookmarkStart w:id="745" w:name="_Toc5023071"/>
      <w:bookmarkStart w:id="746" w:name="_Toc5024495"/>
      <w:bookmarkStart w:id="747" w:name="_Toc5025918"/>
      <w:bookmarkStart w:id="748" w:name="_Toc467153245"/>
      <w:bookmarkStart w:id="749" w:name="_Toc486500934"/>
      <w:bookmarkStart w:id="750" w:name="_Toc5011721"/>
      <w:bookmarkStart w:id="751" w:name="_Toc5021650"/>
      <w:bookmarkStart w:id="752" w:name="_Toc5023073"/>
      <w:bookmarkStart w:id="753" w:name="_Toc5024497"/>
      <w:bookmarkStart w:id="754" w:name="_Toc5025920"/>
      <w:bookmarkStart w:id="755" w:name="_Toc467153247"/>
      <w:bookmarkStart w:id="756" w:name="_Toc486500936"/>
      <w:bookmarkStart w:id="757" w:name="_Toc5011723"/>
      <w:bookmarkStart w:id="758" w:name="_Toc5021652"/>
      <w:bookmarkStart w:id="759" w:name="_Toc5023075"/>
      <w:bookmarkStart w:id="760" w:name="_Toc5024499"/>
      <w:bookmarkStart w:id="761" w:name="_Toc5025922"/>
      <w:bookmarkStart w:id="762" w:name="_Toc467153249"/>
      <w:bookmarkStart w:id="763" w:name="_Toc486500938"/>
      <w:bookmarkStart w:id="764" w:name="_Toc5011725"/>
      <w:bookmarkStart w:id="765" w:name="_Toc5021654"/>
      <w:bookmarkStart w:id="766" w:name="_Toc5023077"/>
      <w:bookmarkStart w:id="767" w:name="_Toc5024501"/>
      <w:bookmarkStart w:id="768" w:name="_Toc5025924"/>
      <w:bookmarkStart w:id="769" w:name="_Toc467153323"/>
      <w:bookmarkStart w:id="770" w:name="_Toc486501012"/>
      <w:bookmarkStart w:id="771" w:name="_Toc5011799"/>
      <w:bookmarkStart w:id="772" w:name="_Toc5021728"/>
      <w:bookmarkStart w:id="773" w:name="_Toc5023151"/>
      <w:bookmarkStart w:id="774" w:name="_Toc5024575"/>
      <w:bookmarkStart w:id="775" w:name="_Toc5025998"/>
      <w:bookmarkStart w:id="776" w:name="_Toc467153325"/>
      <w:bookmarkStart w:id="777" w:name="_Toc486501014"/>
      <w:bookmarkStart w:id="778" w:name="_Toc5011801"/>
      <w:bookmarkStart w:id="779" w:name="_Toc5021730"/>
      <w:bookmarkStart w:id="780" w:name="_Toc5023153"/>
      <w:bookmarkStart w:id="781" w:name="_Toc5024577"/>
      <w:bookmarkStart w:id="782" w:name="_Toc5026000"/>
      <w:bookmarkStart w:id="783" w:name="_Toc467153395"/>
      <w:bookmarkStart w:id="784" w:name="_Toc486501084"/>
      <w:bookmarkStart w:id="785" w:name="_Toc5011871"/>
      <w:bookmarkStart w:id="786" w:name="_Toc5021800"/>
      <w:bookmarkStart w:id="787" w:name="_Toc5023223"/>
      <w:bookmarkStart w:id="788" w:name="_Toc5024647"/>
      <w:bookmarkStart w:id="789" w:name="_Toc5026070"/>
      <w:bookmarkEnd w:id="669"/>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B35C0A">
        <w:br w:type="page"/>
      </w:r>
      <w:bookmarkStart w:id="790" w:name="_Toc5010711"/>
      <w:bookmarkStart w:id="791" w:name="_Toc5011124"/>
      <w:bookmarkStart w:id="792" w:name="_Toc5011873"/>
      <w:bookmarkStart w:id="793" w:name="_Toc5019815"/>
      <w:bookmarkStart w:id="794" w:name="_Toc5020226"/>
      <w:bookmarkStart w:id="795" w:name="_Toc5020643"/>
      <w:bookmarkStart w:id="796" w:name="_Toc5021054"/>
      <w:bookmarkStart w:id="797" w:name="_Toc5021802"/>
      <w:bookmarkStart w:id="798" w:name="_Toc5023225"/>
      <w:bookmarkStart w:id="799" w:name="_Toc5024649"/>
      <w:bookmarkStart w:id="800" w:name="_Toc5026072"/>
      <w:bookmarkStart w:id="801" w:name="_Toc5027158"/>
      <w:bookmarkStart w:id="802" w:name="_Toc5192715"/>
      <w:bookmarkStart w:id="803" w:name="_Toc5011874"/>
      <w:bookmarkStart w:id="804" w:name="_Toc5021803"/>
      <w:bookmarkStart w:id="805" w:name="_Toc5023226"/>
      <w:bookmarkStart w:id="806" w:name="_Toc5024650"/>
      <w:bookmarkStart w:id="807" w:name="_Toc5026073"/>
      <w:bookmarkStart w:id="808" w:name="_Toc5010713"/>
      <w:bookmarkStart w:id="809" w:name="_Toc5011126"/>
      <w:bookmarkStart w:id="810" w:name="_Toc5011875"/>
      <w:bookmarkStart w:id="811" w:name="_Toc5019817"/>
      <w:bookmarkStart w:id="812" w:name="_Toc5020228"/>
      <w:bookmarkStart w:id="813" w:name="_Toc5020645"/>
      <w:bookmarkStart w:id="814" w:name="_Toc5021056"/>
      <w:bookmarkStart w:id="815" w:name="_Toc5021804"/>
      <w:bookmarkStart w:id="816" w:name="_Toc5023227"/>
      <w:bookmarkStart w:id="817" w:name="_Toc5024651"/>
      <w:bookmarkStart w:id="818" w:name="_Toc5026074"/>
      <w:bookmarkStart w:id="819" w:name="_Toc5027160"/>
      <w:bookmarkStart w:id="820" w:name="_Toc5192717"/>
      <w:bookmarkStart w:id="821" w:name="_Toc5010714"/>
      <w:bookmarkStart w:id="822" w:name="_Toc5011127"/>
      <w:bookmarkStart w:id="823" w:name="_Toc5011876"/>
      <w:bookmarkStart w:id="824" w:name="_Toc5019818"/>
      <w:bookmarkStart w:id="825" w:name="_Toc5020229"/>
      <w:bookmarkStart w:id="826" w:name="_Toc5020646"/>
      <w:bookmarkStart w:id="827" w:name="_Toc5021057"/>
      <w:bookmarkStart w:id="828" w:name="_Toc5021805"/>
      <w:bookmarkStart w:id="829" w:name="_Toc5023228"/>
      <w:bookmarkStart w:id="830" w:name="_Toc5024652"/>
      <w:bookmarkStart w:id="831" w:name="_Toc5026075"/>
      <w:bookmarkStart w:id="832" w:name="_Toc5027161"/>
      <w:bookmarkStart w:id="833" w:name="_Toc5192718"/>
      <w:bookmarkStart w:id="834" w:name="_Toc5010719"/>
      <w:bookmarkStart w:id="835" w:name="_Toc5011132"/>
      <w:bookmarkStart w:id="836" w:name="_Toc5011881"/>
      <w:bookmarkStart w:id="837" w:name="_Toc5019823"/>
      <w:bookmarkStart w:id="838" w:name="_Toc5020234"/>
      <w:bookmarkStart w:id="839" w:name="_Toc5020651"/>
      <w:bookmarkStart w:id="840" w:name="_Toc5021062"/>
      <w:bookmarkStart w:id="841" w:name="_Toc5021810"/>
      <w:bookmarkStart w:id="842" w:name="_Toc5023233"/>
      <w:bookmarkStart w:id="843" w:name="_Toc5024657"/>
      <w:bookmarkStart w:id="844" w:name="_Toc5026080"/>
      <w:bookmarkStart w:id="845" w:name="_Toc5027166"/>
      <w:bookmarkStart w:id="846" w:name="_Toc5192723"/>
      <w:bookmarkStart w:id="847" w:name="_Toc5010721"/>
      <w:bookmarkStart w:id="848" w:name="_Toc5011134"/>
      <w:bookmarkStart w:id="849" w:name="_Toc5011883"/>
      <w:bookmarkStart w:id="850" w:name="_Toc5019825"/>
      <w:bookmarkStart w:id="851" w:name="_Toc5020236"/>
      <w:bookmarkStart w:id="852" w:name="_Toc5020653"/>
      <w:bookmarkStart w:id="853" w:name="_Toc5021064"/>
      <w:bookmarkStart w:id="854" w:name="_Toc5021812"/>
      <w:bookmarkStart w:id="855" w:name="_Toc5023235"/>
      <w:bookmarkStart w:id="856" w:name="_Toc5024659"/>
      <w:bookmarkStart w:id="857" w:name="_Toc5026082"/>
      <w:bookmarkStart w:id="858" w:name="_Toc5027168"/>
      <w:bookmarkStart w:id="859" w:name="_Toc5192725"/>
      <w:bookmarkStart w:id="860" w:name="_Toc5010723"/>
      <w:bookmarkStart w:id="861" w:name="_Toc5011136"/>
      <w:bookmarkStart w:id="862" w:name="_Toc5011885"/>
      <w:bookmarkStart w:id="863" w:name="_Toc5019827"/>
      <w:bookmarkStart w:id="864" w:name="_Toc5020238"/>
      <w:bookmarkStart w:id="865" w:name="_Toc5020655"/>
      <w:bookmarkStart w:id="866" w:name="_Toc5021066"/>
      <w:bookmarkStart w:id="867" w:name="_Toc5021814"/>
      <w:bookmarkStart w:id="868" w:name="_Toc5023237"/>
      <w:bookmarkStart w:id="869" w:name="_Toc5024661"/>
      <w:bookmarkStart w:id="870" w:name="_Toc5026084"/>
      <w:bookmarkStart w:id="871" w:name="_Toc5027170"/>
      <w:bookmarkStart w:id="872" w:name="_Toc5192727"/>
      <w:bookmarkStart w:id="873" w:name="_Toc5010725"/>
      <w:bookmarkStart w:id="874" w:name="_Toc5011138"/>
      <w:bookmarkStart w:id="875" w:name="_Toc5011887"/>
      <w:bookmarkStart w:id="876" w:name="_Toc5019829"/>
      <w:bookmarkStart w:id="877" w:name="_Toc5020240"/>
      <w:bookmarkStart w:id="878" w:name="_Toc5020657"/>
      <w:bookmarkStart w:id="879" w:name="_Toc5021068"/>
      <w:bookmarkStart w:id="880" w:name="_Toc5021816"/>
      <w:bookmarkStart w:id="881" w:name="_Toc5023239"/>
      <w:bookmarkStart w:id="882" w:name="_Toc5024663"/>
      <w:bookmarkStart w:id="883" w:name="_Toc5026086"/>
      <w:bookmarkStart w:id="884" w:name="_Toc5027172"/>
      <w:bookmarkStart w:id="885" w:name="_Toc5192729"/>
      <w:bookmarkStart w:id="886" w:name="_Toc5011892"/>
      <w:bookmarkStart w:id="887" w:name="_Toc5021821"/>
      <w:bookmarkStart w:id="888" w:name="_Toc5023244"/>
      <w:bookmarkStart w:id="889" w:name="_Toc5024668"/>
      <w:bookmarkStart w:id="890" w:name="_Toc5026091"/>
      <w:bookmarkStart w:id="891" w:name="_Toc5011896"/>
      <w:bookmarkStart w:id="892" w:name="_Toc5021825"/>
      <w:bookmarkStart w:id="893" w:name="_Toc5023248"/>
      <w:bookmarkStart w:id="894" w:name="_Toc5024672"/>
      <w:bookmarkStart w:id="895" w:name="_Toc5026095"/>
      <w:bookmarkStart w:id="896" w:name="_Toc5011900"/>
      <w:bookmarkStart w:id="897" w:name="_Toc5021829"/>
      <w:bookmarkStart w:id="898" w:name="_Toc5023252"/>
      <w:bookmarkStart w:id="899" w:name="_Toc5024676"/>
      <w:bookmarkStart w:id="900" w:name="_Toc5026099"/>
      <w:bookmarkStart w:id="901" w:name="_Toc5011904"/>
      <w:bookmarkStart w:id="902" w:name="_Toc5021833"/>
      <w:bookmarkStart w:id="903" w:name="_Toc5023256"/>
      <w:bookmarkStart w:id="904" w:name="_Toc5024680"/>
      <w:bookmarkStart w:id="905" w:name="_Toc5026103"/>
      <w:bookmarkStart w:id="906" w:name="_Toc5011908"/>
      <w:bookmarkStart w:id="907" w:name="_Toc5021837"/>
      <w:bookmarkStart w:id="908" w:name="_Toc5023260"/>
      <w:bookmarkStart w:id="909" w:name="_Toc5024684"/>
      <w:bookmarkStart w:id="910" w:name="_Toc5026107"/>
      <w:bookmarkStart w:id="911" w:name="_Toc5011912"/>
      <w:bookmarkStart w:id="912" w:name="_Toc5021841"/>
      <w:bookmarkStart w:id="913" w:name="_Toc5023264"/>
      <w:bookmarkStart w:id="914" w:name="_Toc5024688"/>
      <w:bookmarkStart w:id="915" w:name="_Toc5026111"/>
      <w:bookmarkStart w:id="916" w:name="_Toc5010747"/>
      <w:bookmarkStart w:id="917" w:name="_Toc5011160"/>
      <w:bookmarkStart w:id="918" w:name="_Toc5011916"/>
      <w:bookmarkStart w:id="919" w:name="_Toc5019851"/>
      <w:bookmarkStart w:id="920" w:name="_Toc5020262"/>
      <w:bookmarkStart w:id="921" w:name="_Toc5020679"/>
      <w:bookmarkStart w:id="922" w:name="_Toc5021090"/>
      <w:bookmarkStart w:id="923" w:name="_Toc5021845"/>
      <w:bookmarkStart w:id="924" w:name="_Toc5023268"/>
      <w:bookmarkStart w:id="925" w:name="_Toc5024692"/>
      <w:bookmarkStart w:id="926" w:name="_Toc5026115"/>
      <w:bookmarkStart w:id="927" w:name="_Toc5027194"/>
      <w:bookmarkStart w:id="928" w:name="_Toc5192751"/>
      <w:bookmarkStart w:id="929" w:name="_Toc5010749"/>
      <w:bookmarkStart w:id="930" w:name="_Toc5011162"/>
      <w:bookmarkStart w:id="931" w:name="_Toc5011918"/>
      <w:bookmarkStart w:id="932" w:name="_Toc5019853"/>
      <w:bookmarkStart w:id="933" w:name="_Toc5020264"/>
      <w:bookmarkStart w:id="934" w:name="_Toc5020681"/>
      <w:bookmarkStart w:id="935" w:name="_Toc5021092"/>
      <w:bookmarkStart w:id="936" w:name="_Toc5021847"/>
      <w:bookmarkStart w:id="937" w:name="_Toc5023270"/>
      <w:bookmarkStart w:id="938" w:name="_Toc5024694"/>
      <w:bookmarkStart w:id="939" w:name="_Toc5026117"/>
      <w:bookmarkStart w:id="940" w:name="_Toc5027196"/>
      <w:bookmarkStart w:id="941" w:name="_Toc5192753"/>
      <w:bookmarkStart w:id="942" w:name="_Toc5010751"/>
      <w:bookmarkStart w:id="943" w:name="_Toc5011164"/>
      <w:bookmarkStart w:id="944" w:name="_Toc5011920"/>
      <w:bookmarkStart w:id="945" w:name="_Toc5019855"/>
      <w:bookmarkStart w:id="946" w:name="_Toc5020266"/>
      <w:bookmarkStart w:id="947" w:name="_Toc5020683"/>
      <w:bookmarkStart w:id="948" w:name="_Toc5021094"/>
      <w:bookmarkStart w:id="949" w:name="_Toc5021849"/>
      <w:bookmarkStart w:id="950" w:name="_Toc5023272"/>
      <w:bookmarkStart w:id="951" w:name="_Toc5024696"/>
      <w:bookmarkStart w:id="952" w:name="_Toc5026119"/>
      <w:bookmarkStart w:id="953" w:name="_Toc5027198"/>
      <w:bookmarkStart w:id="954" w:name="_Toc5192755"/>
      <w:bookmarkStart w:id="955" w:name="_Toc5011925"/>
      <w:bookmarkStart w:id="956" w:name="_Toc5021854"/>
      <w:bookmarkStart w:id="957" w:name="_Toc5023277"/>
      <w:bookmarkStart w:id="958" w:name="_Toc5024701"/>
      <w:bookmarkStart w:id="959" w:name="_Toc5026124"/>
      <w:bookmarkStart w:id="960" w:name="_Toc5011927"/>
      <w:bookmarkStart w:id="961" w:name="_Toc5021856"/>
      <w:bookmarkStart w:id="962" w:name="_Toc5023279"/>
      <w:bookmarkStart w:id="963" w:name="_Toc5024703"/>
      <w:bookmarkStart w:id="964" w:name="_Toc5026126"/>
      <w:bookmarkStart w:id="965" w:name="_Toc5011929"/>
      <w:bookmarkStart w:id="966" w:name="_Toc5021858"/>
      <w:bookmarkStart w:id="967" w:name="_Toc5023281"/>
      <w:bookmarkStart w:id="968" w:name="_Toc5024705"/>
      <w:bookmarkStart w:id="969" w:name="_Toc5026128"/>
      <w:bookmarkStart w:id="970" w:name="_Toc5011933"/>
      <w:bookmarkStart w:id="971" w:name="_Toc5021862"/>
      <w:bookmarkStart w:id="972" w:name="_Toc5023285"/>
      <w:bookmarkStart w:id="973" w:name="_Toc5024709"/>
      <w:bookmarkStart w:id="974" w:name="_Toc5026132"/>
      <w:bookmarkStart w:id="975" w:name="_Toc5011937"/>
      <w:bookmarkStart w:id="976" w:name="_Toc5021866"/>
      <w:bookmarkStart w:id="977" w:name="_Toc5023289"/>
      <w:bookmarkStart w:id="978" w:name="_Toc5024713"/>
      <w:bookmarkStart w:id="979" w:name="_Toc5026136"/>
      <w:bookmarkStart w:id="980" w:name="_Toc5011941"/>
      <w:bookmarkStart w:id="981" w:name="_Toc5021870"/>
      <w:bookmarkStart w:id="982" w:name="_Toc5023293"/>
      <w:bookmarkStart w:id="983" w:name="_Toc5024717"/>
      <w:bookmarkStart w:id="984" w:name="_Toc5026140"/>
      <w:bookmarkStart w:id="985" w:name="_Toc5011945"/>
      <w:bookmarkStart w:id="986" w:name="_Toc5021874"/>
      <w:bookmarkStart w:id="987" w:name="_Toc5023297"/>
      <w:bookmarkStart w:id="988" w:name="_Toc5024721"/>
      <w:bookmarkStart w:id="989" w:name="_Toc5026144"/>
      <w:bookmarkStart w:id="990" w:name="_Toc5010773"/>
      <w:bookmarkStart w:id="991" w:name="_Toc5011186"/>
      <w:bookmarkStart w:id="992" w:name="_Toc5011949"/>
      <w:bookmarkStart w:id="993" w:name="_Toc5019877"/>
      <w:bookmarkStart w:id="994" w:name="_Toc5020288"/>
      <w:bookmarkStart w:id="995" w:name="_Toc5020705"/>
      <w:bookmarkStart w:id="996" w:name="_Toc5021116"/>
      <w:bookmarkStart w:id="997" w:name="_Toc5021878"/>
      <w:bookmarkStart w:id="998" w:name="_Toc5023301"/>
      <w:bookmarkStart w:id="999" w:name="_Toc5024725"/>
      <w:bookmarkStart w:id="1000" w:name="_Toc5026148"/>
      <w:bookmarkStart w:id="1001" w:name="_Toc5027220"/>
      <w:bookmarkStart w:id="1002" w:name="_Toc5192777"/>
      <w:bookmarkStart w:id="1003" w:name="_Toc5010774"/>
      <w:bookmarkStart w:id="1004" w:name="_Toc5011187"/>
      <w:bookmarkStart w:id="1005" w:name="_Toc5011950"/>
      <w:bookmarkStart w:id="1006" w:name="_Toc5019878"/>
      <w:bookmarkStart w:id="1007" w:name="_Toc5020289"/>
      <w:bookmarkStart w:id="1008" w:name="_Toc5020706"/>
      <w:bookmarkStart w:id="1009" w:name="_Toc5021117"/>
      <w:bookmarkStart w:id="1010" w:name="_Toc5021879"/>
      <w:bookmarkStart w:id="1011" w:name="_Toc5023302"/>
      <w:bookmarkStart w:id="1012" w:name="_Toc5024726"/>
      <w:bookmarkStart w:id="1013" w:name="_Toc5026149"/>
      <w:bookmarkStart w:id="1014" w:name="_Toc5027221"/>
      <w:bookmarkStart w:id="1015" w:name="_Toc5192778"/>
      <w:bookmarkStart w:id="1016" w:name="_Toc5011951"/>
      <w:bookmarkStart w:id="1017" w:name="_Toc5021880"/>
      <w:bookmarkStart w:id="1018" w:name="_Toc5023303"/>
      <w:bookmarkStart w:id="1019" w:name="_Toc5024727"/>
      <w:bookmarkStart w:id="1020" w:name="_Toc5026150"/>
      <w:bookmarkStart w:id="1021" w:name="_Toc5010776"/>
      <w:bookmarkStart w:id="1022" w:name="_Toc5011189"/>
      <w:bookmarkStart w:id="1023" w:name="_Toc5011952"/>
      <w:bookmarkStart w:id="1024" w:name="_Toc5019880"/>
      <w:bookmarkStart w:id="1025" w:name="_Toc5020291"/>
      <w:bookmarkStart w:id="1026" w:name="_Toc5020708"/>
      <w:bookmarkStart w:id="1027" w:name="_Toc5021119"/>
      <w:bookmarkStart w:id="1028" w:name="_Toc5021881"/>
      <w:bookmarkStart w:id="1029" w:name="_Toc5023304"/>
      <w:bookmarkStart w:id="1030" w:name="_Toc5024728"/>
      <w:bookmarkStart w:id="1031" w:name="_Toc5026151"/>
      <w:bookmarkStart w:id="1032" w:name="_Toc5027223"/>
      <w:bookmarkStart w:id="1033" w:name="_Toc5192780"/>
      <w:bookmarkStart w:id="1034" w:name="_Toc5010777"/>
      <w:bookmarkStart w:id="1035" w:name="_Toc5011190"/>
      <w:bookmarkStart w:id="1036" w:name="_Toc5011953"/>
      <w:bookmarkStart w:id="1037" w:name="_Toc5019881"/>
      <w:bookmarkStart w:id="1038" w:name="_Toc5020292"/>
      <w:bookmarkStart w:id="1039" w:name="_Toc5020709"/>
      <w:bookmarkStart w:id="1040" w:name="_Toc5021120"/>
      <w:bookmarkStart w:id="1041" w:name="_Toc5021882"/>
      <w:bookmarkStart w:id="1042" w:name="_Toc5023305"/>
      <w:bookmarkStart w:id="1043" w:name="_Toc5024729"/>
      <w:bookmarkStart w:id="1044" w:name="_Toc5026152"/>
      <w:bookmarkStart w:id="1045" w:name="_Toc5027224"/>
      <w:bookmarkStart w:id="1046" w:name="_Toc5192781"/>
      <w:bookmarkStart w:id="1047" w:name="_Toc5011958"/>
      <w:bookmarkStart w:id="1048" w:name="_Toc5021887"/>
      <w:bookmarkStart w:id="1049" w:name="_Toc5023310"/>
      <w:bookmarkStart w:id="1050" w:name="_Toc5024734"/>
      <w:bookmarkStart w:id="1051" w:name="_Toc5026157"/>
      <w:bookmarkStart w:id="1052" w:name="_Toc5011962"/>
      <w:bookmarkStart w:id="1053" w:name="_Toc5021891"/>
      <w:bookmarkStart w:id="1054" w:name="_Toc5023314"/>
      <w:bookmarkStart w:id="1055" w:name="_Toc5024738"/>
      <w:bookmarkStart w:id="1056" w:name="_Toc5026161"/>
      <w:bookmarkStart w:id="1057" w:name="_Toc5011966"/>
      <w:bookmarkStart w:id="1058" w:name="_Toc5021895"/>
      <w:bookmarkStart w:id="1059" w:name="_Toc5023318"/>
      <w:bookmarkStart w:id="1060" w:name="_Toc5024742"/>
      <w:bookmarkStart w:id="1061" w:name="_Toc5026165"/>
      <w:bookmarkStart w:id="1062" w:name="_Toc5011970"/>
      <w:bookmarkStart w:id="1063" w:name="_Toc5021899"/>
      <w:bookmarkStart w:id="1064" w:name="_Toc5023322"/>
      <w:bookmarkStart w:id="1065" w:name="_Toc5024746"/>
      <w:bookmarkStart w:id="1066" w:name="_Toc5026169"/>
      <w:bookmarkStart w:id="1067" w:name="_Toc5011974"/>
      <w:bookmarkStart w:id="1068" w:name="_Toc5021903"/>
      <w:bookmarkStart w:id="1069" w:name="_Toc5023326"/>
      <w:bookmarkStart w:id="1070" w:name="_Toc5024750"/>
      <w:bookmarkStart w:id="1071" w:name="_Toc5026173"/>
      <w:bookmarkStart w:id="1072" w:name="_Toc5011978"/>
      <w:bookmarkStart w:id="1073" w:name="_Toc5021907"/>
      <w:bookmarkStart w:id="1074" w:name="_Toc5023330"/>
      <w:bookmarkStart w:id="1075" w:name="_Toc5024754"/>
      <w:bookmarkStart w:id="1076" w:name="_Toc5026177"/>
      <w:bookmarkStart w:id="1077" w:name="_Toc5010799"/>
      <w:bookmarkStart w:id="1078" w:name="_Toc5011212"/>
      <w:bookmarkStart w:id="1079" w:name="_Toc5011982"/>
      <w:bookmarkStart w:id="1080" w:name="_Toc5019903"/>
      <w:bookmarkStart w:id="1081" w:name="_Toc5020314"/>
      <w:bookmarkStart w:id="1082" w:name="_Toc5020731"/>
      <w:bookmarkStart w:id="1083" w:name="_Toc5021142"/>
      <w:bookmarkStart w:id="1084" w:name="_Toc5021911"/>
      <w:bookmarkStart w:id="1085" w:name="_Toc5023334"/>
      <w:bookmarkStart w:id="1086" w:name="_Toc5024758"/>
      <w:bookmarkStart w:id="1087" w:name="_Toc5026181"/>
      <w:bookmarkStart w:id="1088" w:name="_Toc5027246"/>
      <w:bookmarkStart w:id="1089" w:name="_Toc5192803"/>
      <w:bookmarkStart w:id="1090" w:name="_Toc5010803"/>
      <w:bookmarkStart w:id="1091" w:name="_Toc5011216"/>
      <w:bookmarkStart w:id="1092" w:name="_Toc5011986"/>
      <w:bookmarkStart w:id="1093" w:name="_Toc5019907"/>
      <w:bookmarkStart w:id="1094" w:name="_Toc5020318"/>
      <w:bookmarkStart w:id="1095" w:name="_Toc5020735"/>
      <w:bookmarkStart w:id="1096" w:name="_Toc5021146"/>
      <w:bookmarkStart w:id="1097" w:name="_Toc5021915"/>
      <w:bookmarkStart w:id="1098" w:name="_Toc5023338"/>
      <w:bookmarkStart w:id="1099" w:name="_Toc5024762"/>
      <w:bookmarkStart w:id="1100" w:name="_Toc5026185"/>
      <w:bookmarkStart w:id="1101" w:name="_Toc5027250"/>
      <w:bookmarkStart w:id="1102" w:name="_Toc5192807"/>
      <w:bookmarkStart w:id="1103" w:name="_Toc5011987"/>
      <w:bookmarkStart w:id="1104" w:name="_Toc5021916"/>
      <w:bookmarkStart w:id="1105" w:name="_Toc5023339"/>
      <w:bookmarkStart w:id="1106" w:name="_Toc5024763"/>
      <w:bookmarkStart w:id="1107" w:name="_Toc5026186"/>
      <w:bookmarkStart w:id="1108" w:name="_Toc5010805"/>
      <w:bookmarkStart w:id="1109" w:name="_Toc5011218"/>
      <w:bookmarkStart w:id="1110" w:name="_Toc5011988"/>
      <w:bookmarkStart w:id="1111" w:name="_Toc5019909"/>
      <w:bookmarkStart w:id="1112" w:name="_Toc5020320"/>
      <w:bookmarkStart w:id="1113" w:name="_Toc5020737"/>
      <w:bookmarkStart w:id="1114" w:name="_Toc5021148"/>
      <w:bookmarkStart w:id="1115" w:name="_Toc5021917"/>
      <w:bookmarkStart w:id="1116" w:name="_Toc5023340"/>
      <w:bookmarkStart w:id="1117" w:name="_Toc5024764"/>
      <w:bookmarkStart w:id="1118" w:name="_Toc5026187"/>
      <w:bookmarkStart w:id="1119" w:name="_Toc5027252"/>
      <w:bookmarkStart w:id="1120" w:name="_Toc5192809"/>
      <w:bookmarkStart w:id="1121" w:name="_Toc5011993"/>
      <w:bookmarkStart w:id="1122" w:name="_Toc5021922"/>
      <w:bookmarkStart w:id="1123" w:name="_Toc5023345"/>
      <w:bookmarkStart w:id="1124" w:name="_Toc5024769"/>
      <w:bookmarkStart w:id="1125" w:name="_Toc5026192"/>
      <w:bookmarkStart w:id="1126" w:name="_Toc5011997"/>
      <w:bookmarkStart w:id="1127" w:name="_Toc5021926"/>
      <w:bookmarkStart w:id="1128" w:name="_Toc5023349"/>
      <w:bookmarkStart w:id="1129" w:name="_Toc5024773"/>
      <w:bookmarkStart w:id="1130" w:name="_Toc5026196"/>
      <w:bookmarkStart w:id="1131" w:name="_Toc5012001"/>
      <w:bookmarkStart w:id="1132" w:name="_Toc5021930"/>
      <w:bookmarkStart w:id="1133" w:name="_Toc5023353"/>
      <w:bookmarkStart w:id="1134" w:name="_Toc5024777"/>
      <w:bookmarkStart w:id="1135" w:name="_Toc5026200"/>
      <w:bookmarkStart w:id="1136" w:name="_Toc5012005"/>
      <w:bookmarkStart w:id="1137" w:name="_Toc5021934"/>
      <w:bookmarkStart w:id="1138" w:name="_Toc5023357"/>
      <w:bookmarkStart w:id="1139" w:name="_Toc5024781"/>
      <w:bookmarkStart w:id="1140" w:name="_Toc5026204"/>
      <w:bookmarkStart w:id="1141" w:name="_Toc5010821"/>
      <w:bookmarkStart w:id="1142" w:name="_Toc5011234"/>
      <w:bookmarkStart w:id="1143" w:name="_Toc5012009"/>
      <w:bookmarkStart w:id="1144" w:name="_Toc5019925"/>
      <w:bookmarkStart w:id="1145" w:name="_Toc5020336"/>
      <w:bookmarkStart w:id="1146" w:name="_Toc5020753"/>
      <w:bookmarkStart w:id="1147" w:name="_Toc5021164"/>
      <w:bookmarkStart w:id="1148" w:name="_Toc5021938"/>
      <w:bookmarkStart w:id="1149" w:name="_Toc5023361"/>
      <w:bookmarkStart w:id="1150" w:name="_Toc5024785"/>
      <w:bookmarkStart w:id="1151" w:name="_Toc5026208"/>
      <w:bookmarkStart w:id="1152" w:name="_Toc5027268"/>
      <w:bookmarkStart w:id="1153" w:name="_Toc5192825"/>
      <w:bookmarkStart w:id="1154" w:name="_Toc5010823"/>
      <w:bookmarkStart w:id="1155" w:name="_Toc5011236"/>
      <w:bookmarkStart w:id="1156" w:name="_Toc5012011"/>
      <w:bookmarkStart w:id="1157" w:name="_Toc5019927"/>
      <w:bookmarkStart w:id="1158" w:name="_Toc5020338"/>
      <w:bookmarkStart w:id="1159" w:name="_Toc5020755"/>
      <w:bookmarkStart w:id="1160" w:name="_Toc5021166"/>
      <w:bookmarkStart w:id="1161" w:name="_Toc5021940"/>
      <w:bookmarkStart w:id="1162" w:name="_Toc5023363"/>
      <w:bookmarkStart w:id="1163" w:name="_Toc5024787"/>
      <w:bookmarkStart w:id="1164" w:name="_Toc5026210"/>
      <w:bookmarkStart w:id="1165" w:name="_Toc5027270"/>
      <w:bookmarkStart w:id="1166" w:name="_Toc5192827"/>
      <w:bookmarkStart w:id="1167" w:name="_Toc5012016"/>
      <w:bookmarkStart w:id="1168" w:name="_Toc5021945"/>
      <w:bookmarkStart w:id="1169" w:name="_Toc5023368"/>
      <w:bookmarkStart w:id="1170" w:name="_Toc5024792"/>
      <w:bookmarkStart w:id="1171" w:name="_Toc5026215"/>
      <w:bookmarkStart w:id="1172" w:name="_Toc5012020"/>
      <w:bookmarkStart w:id="1173" w:name="_Toc5021949"/>
      <w:bookmarkStart w:id="1174" w:name="_Toc5023372"/>
      <w:bookmarkStart w:id="1175" w:name="_Toc5024796"/>
      <w:bookmarkStart w:id="1176" w:name="_Toc5026219"/>
      <w:bookmarkStart w:id="1177" w:name="_Toc5012024"/>
      <w:bookmarkStart w:id="1178" w:name="_Toc5021953"/>
      <w:bookmarkStart w:id="1179" w:name="_Toc5023376"/>
      <w:bookmarkStart w:id="1180" w:name="_Toc5024800"/>
      <w:bookmarkStart w:id="1181" w:name="_Toc5026223"/>
      <w:bookmarkStart w:id="1182" w:name="_Toc5012028"/>
      <w:bookmarkStart w:id="1183" w:name="_Toc5021957"/>
      <w:bookmarkStart w:id="1184" w:name="_Toc5023380"/>
      <w:bookmarkStart w:id="1185" w:name="_Toc5024804"/>
      <w:bookmarkStart w:id="1186" w:name="_Toc5026227"/>
      <w:bookmarkStart w:id="1187" w:name="_Toc5012032"/>
      <w:bookmarkStart w:id="1188" w:name="_Toc5021961"/>
      <w:bookmarkStart w:id="1189" w:name="_Toc5023384"/>
      <w:bookmarkStart w:id="1190" w:name="_Toc5024808"/>
      <w:bookmarkStart w:id="1191" w:name="_Toc5026231"/>
      <w:bookmarkStart w:id="1192" w:name="_Toc5012036"/>
      <w:bookmarkStart w:id="1193" w:name="_Toc5021965"/>
      <w:bookmarkStart w:id="1194" w:name="_Toc5023388"/>
      <w:bookmarkStart w:id="1195" w:name="_Toc5024812"/>
      <w:bookmarkStart w:id="1196" w:name="_Toc5026235"/>
      <w:bookmarkStart w:id="1197" w:name="_Toc5010847"/>
      <w:bookmarkStart w:id="1198" w:name="_Toc5011260"/>
      <w:bookmarkStart w:id="1199" w:name="_Toc5012042"/>
      <w:bookmarkStart w:id="1200" w:name="_Toc5019951"/>
      <w:bookmarkStart w:id="1201" w:name="_Toc5020362"/>
      <w:bookmarkStart w:id="1202" w:name="_Toc5020779"/>
      <w:bookmarkStart w:id="1203" w:name="_Toc5021190"/>
      <w:bookmarkStart w:id="1204" w:name="_Toc5021971"/>
      <w:bookmarkStart w:id="1205" w:name="_Toc5023394"/>
      <w:bookmarkStart w:id="1206" w:name="_Toc5024818"/>
      <w:bookmarkStart w:id="1207" w:name="_Toc5026241"/>
      <w:bookmarkStart w:id="1208" w:name="_Toc5027294"/>
      <w:bookmarkStart w:id="1209" w:name="_Toc5192851"/>
      <w:bookmarkStart w:id="1210" w:name="_Toc5012043"/>
      <w:bookmarkStart w:id="1211" w:name="_Toc5021972"/>
      <w:bookmarkStart w:id="1212" w:name="_Toc5023395"/>
      <w:bookmarkStart w:id="1213" w:name="_Toc5024819"/>
      <w:bookmarkStart w:id="1214" w:name="_Toc5026242"/>
      <w:bookmarkStart w:id="1215" w:name="_Toc5010849"/>
      <w:bookmarkStart w:id="1216" w:name="_Toc5011262"/>
      <w:bookmarkStart w:id="1217" w:name="_Toc5012044"/>
      <w:bookmarkStart w:id="1218" w:name="_Toc5019953"/>
      <w:bookmarkStart w:id="1219" w:name="_Toc5020364"/>
      <w:bookmarkStart w:id="1220" w:name="_Toc5020781"/>
      <w:bookmarkStart w:id="1221" w:name="_Toc5021192"/>
      <w:bookmarkStart w:id="1222" w:name="_Toc5021973"/>
      <w:bookmarkStart w:id="1223" w:name="_Toc5023396"/>
      <w:bookmarkStart w:id="1224" w:name="_Toc5024820"/>
      <w:bookmarkStart w:id="1225" w:name="_Toc5026243"/>
      <w:bookmarkStart w:id="1226" w:name="_Toc5027296"/>
      <w:bookmarkStart w:id="1227" w:name="_Toc5192853"/>
      <w:bookmarkStart w:id="1228" w:name="_Toc5012049"/>
      <w:bookmarkStart w:id="1229" w:name="_Toc5021978"/>
      <w:bookmarkStart w:id="1230" w:name="_Toc5023401"/>
      <w:bookmarkStart w:id="1231" w:name="_Toc5024825"/>
      <w:bookmarkStart w:id="1232" w:name="_Toc5026248"/>
      <w:bookmarkStart w:id="1233" w:name="_Toc5012051"/>
      <w:bookmarkStart w:id="1234" w:name="_Toc5021980"/>
      <w:bookmarkStart w:id="1235" w:name="_Toc5023403"/>
      <w:bookmarkStart w:id="1236" w:name="_Toc5024827"/>
      <w:bookmarkStart w:id="1237" w:name="_Toc5026250"/>
      <w:bookmarkStart w:id="1238" w:name="_Toc5012053"/>
      <w:bookmarkStart w:id="1239" w:name="_Toc5021982"/>
      <w:bookmarkStart w:id="1240" w:name="_Toc5023405"/>
      <w:bookmarkStart w:id="1241" w:name="_Toc5024829"/>
      <w:bookmarkStart w:id="1242" w:name="_Toc5026252"/>
      <w:bookmarkStart w:id="1243" w:name="_Toc5012057"/>
      <w:bookmarkStart w:id="1244" w:name="_Toc5021986"/>
      <w:bookmarkStart w:id="1245" w:name="_Toc5023409"/>
      <w:bookmarkStart w:id="1246" w:name="_Toc5024833"/>
      <w:bookmarkStart w:id="1247" w:name="_Toc5026256"/>
      <w:bookmarkStart w:id="1248" w:name="_Toc5012061"/>
      <w:bookmarkStart w:id="1249" w:name="_Toc5021990"/>
      <w:bookmarkStart w:id="1250" w:name="_Toc5023413"/>
      <w:bookmarkStart w:id="1251" w:name="_Toc5024837"/>
      <w:bookmarkStart w:id="1252" w:name="_Toc5026260"/>
      <w:bookmarkStart w:id="1253" w:name="_Toc5010865"/>
      <w:bookmarkStart w:id="1254" w:name="_Toc5011278"/>
      <w:bookmarkStart w:id="1255" w:name="_Toc5012065"/>
      <w:bookmarkStart w:id="1256" w:name="_Toc5019969"/>
      <w:bookmarkStart w:id="1257" w:name="_Toc5020380"/>
      <w:bookmarkStart w:id="1258" w:name="_Toc5020797"/>
      <w:bookmarkStart w:id="1259" w:name="_Toc5021208"/>
      <w:bookmarkStart w:id="1260" w:name="_Toc5021994"/>
      <w:bookmarkStart w:id="1261" w:name="_Toc5023417"/>
      <w:bookmarkStart w:id="1262" w:name="_Toc5024841"/>
      <w:bookmarkStart w:id="1263" w:name="_Toc5026264"/>
      <w:bookmarkStart w:id="1264" w:name="_Toc5027312"/>
      <w:bookmarkStart w:id="1265" w:name="_Toc5192869"/>
      <w:bookmarkStart w:id="1266" w:name="_Toc5010867"/>
      <w:bookmarkStart w:id="1267" w:name="_Toc5011280"/>
      <w:bookmarkStart w:id="1268" w:name="_Toc5012067"/>
      <w:bookmarkStart w:id="1269" w:name="_Toc5019971"/>
      <w:bookmarkStart w:id="1270" w:name="_Toc5020382"/>
      <w:bookmarkStart w:id="1271" w:name="_Toc5020799"/>
      <w:bookmarkStart w:id="1272" w:name="_Toc5021210"/>
      <w:bookmarkStart w:id="1273" w:name="_Toc5021996"/>
      <w:bookmarkStart w:id="1274" w:name="_Toc5023419"/>
      <w:bookmarkStart w:id="1275" w:name="_Toc5024843"/>
      <w:bookmarkStart w:id="1276" w:name="_Toc5026266"/>
      <w:bookmarkStart w:id="1277" w:name="_Toc5027314"/>
      <w:bookmarkStart w:id="1278" w:name="_Toc5192871"/>
      <w:bookmarkStart w:id="1279" w:name="_Toc5012072"/>
      <w:bookmarkStart w:id="1280" w:name="_Toc5022001"/>
      <w:bookmarkStart w:id="1281" w:name="_Toc5023424"/>
      <w:bookmarkStart w:id="1282" w:name="_Toc5024848"/>
      <w:bookmarkStart w:id="1283" w:name="_Toc5026271"/>
      <w:bookmarkStart w:id="1284" w:name="_Toc5012076"/>
      <w:bookmarkStart w:id="1285" w:name="_Toc5022005"/>
      <w:bookmarkStart w:id="1286" w:name="_Toc5023428"/>
      <w:bookmarkStart w:id="1287" w:name="_Toc5024852"/>
      <w:bookmarkStart w:id="1288" w:name="_Toc5026275"/>
      <w:bookmarkStart w:id="1289" w:name="_Toc5012080"/>
      <w:bookmarkStart w:id="1290" w:name="_Toc5022009"/>
      <w:bookmarkStart w:id="1291" w:name="_Toc5023432"/>
      <w:bookmarkStart w:id="1292" w:name="_Toc5024856"/>
      <w:bookmarkStart w:id="1293" w:name="_Toc5026279"/>
      <w:bookmarkStart w:id="1294" w:name="_Toc5012084"/>
      <w:bookmarkStart w:id="1295" w:name="_Toc5022013"/>
      <w:bookmarkStart w:id="1296" w:name="_Toc5023436"/>
      <w:bookmarkStart w:id="1297" w:name="_Toc5024860"/>
      <w:bookmarkStart w:id="1298" w:name="_Toc5026283"/>
      <w:bookmarkStart w:id="1299" w:name="_Toc5012088"/>
      <w:bookmarkStart w:id="1300" w:name="_Toc5022017"/>
      <w:bookmarkStart w:id="1301" w:name="_Toc5023440"/>
      <w:bookmarkStart w:id="1302" w:name="_Toc5024864"/>
      <w:bookmarkStart w:id="1303" w:name="_Toc5026287"/>
      <w:bookmarkStart w:id="1304" w:name="_Toc5012092"/>
      <w:bookmarkStart w:id="1305" w:name="_Toc5022021"/>
      <w:bookmarkStart w:id="1306" w:name="_Toc5023444"/>
      <w:bookmarkStart w:id="1307" w:name="_Toc5024868"/>
      <w:bookmarkStart w:id="1308" w:name="_Toc5026291"/>
      <w:bookmarkStart w:id="1309" w:name="_Toc5010891"/>
      <w:bookmarkStart w:id="1310" w:name="_Toc5011304"/>
      <w:bookmarkStart w:id="1311" w:name="_Toc5012098"/>
      <w:bookmarkStart w:id="1312" w:name="_Toc5019995"/>
      <w:bookmarkStart w:id="1313" w:name="_Toc5020406"/>
      <w:bookmarkStart w:id="1314" w:name="_Toc5020823"/>
      <w:bookmarkStart w:id="1315" w:name="_Toc5021234"/>
      <w:bookmarkStart w:id="1316" w:name="_Toc5022027"/>
      <w:bookmarkStart w:id="1317" w:name="_Toc5023450"/>
      <w:bookmarkStart w:id="1318" w:name="_Toc5024874"/>
      <w:bookmarkStart w:id="1319" w:name="_Toc5026297"/>
      <w:bookmarkStart w:id="1320" w:name="_Toc5027338"/>
      <w:bookmarkStart w:id="1321" w:name="_Toc5192895"/>
      <w:bookmarkStart w:id="1322" w:name="_Toc5012100"/>
      <w:bookmarkStart w:id="1323" w:name="_Toc5022029"/>
      <w:bookmarkStart w:id="1324" w:name="_Toc5023452"/>
      <w:bookmarkStart w:id="1325" w:name="_Toc5024876"/>
      <w:bookmarkStart w:id="1326" w:name="_Toc5026299"/>
      <w:bookmarkStart w:id="1327" w:name="_Toc5010894"/>
      <w:bookmarkStart w:id="1328" w:name="_Toc5011307"/>
      <w:bookmarkStart w:id="1329" w:name="_Toc5012101"/>
      <w:bookmarkStart w:id="1330" w:name="_Toc5019998"/>
      <w:bookmarkStart w:id="1331" w:name="_Toc5020409"/>
      <w:bookmarkStart w:id="1332" w:name="_Toc5020826"/>
      <w:bookmarkStart w:id="1333" w:name="_Toc5021237"/>
      <w:bookmarkStart w:id="1334" w:name="_Toc5022030"/>
      <w:bookmarkStart w:id="1335" w:name="_Toc5023453"/>
      <w:bookmarkStart w:id="1336" w:name="_Toc5024877"/>
      <w:bookmarkStart w:id="1337" w:name="_Toc5026300"/>
      <w:bookmarkStart w:id="1338" w:name="_Toc5027341"/>
      <w:bookmarkStart w:id="1339" w:name="_Toc5192898"/>
      <w:bookmarkStart w:id="1340" w:name="_Toc5010896"/>
      <w:bookmarkStart w:id="1341" w:name="_Toc5011309"/>
      <w:bookmarkStart w:id="1342" w:name="_Toc5012103"/>
      <w:bookmarkStart w:id="1343" w:name="_Toc5020000"/>
      <w:bookmarkStart w:id="1344" w:name="_Toc5020411"/>
      <w:bookmarkStart w:id="1345" w:name="_Toc5020828"/>
      <w:bookmarkStart w:id="1346" w:name="_Toc5021239"/>
      <w:bookmarkStart w:id="1347" w:name="_Toc5022032"/>
      <w:bookmarkStart w:id="1348" w:name="_Toc5023455"/>
      <w:bookmarkStart w:id="1349" w:name="_Toc5024879"/>
      <w:bookmarkStart w:id="1350" w:name="_Toc5026302"/>
      <w:bookmarkStart w:id="1351" w:name="_Toc5027343"/>
      <w:bookmarkStart w:id="1352" w:name="_Toc5192900"/>
      <w:bookmarkStart w:id="1353" w:name="_Toc5010898"/>
      <w:bookmarkStart w:id="1354" w:name="_Toc5011311"/>
      <w:bookmarkStart w:id="1355" w:name="_Toc5012105"/>
      <w:bookmarkStart w:id="1356" w:name="_Toc5020002"/>
      <w:bookmarkStart w:id="1357" w:name="_Toc5020413"/>
      <w:bookmarkStart w:id="1358" w:name="_Toc5020830"/>
      <w:bookmarkStart w:id="1359" w:name="_Toc5021241"/>
      <w:bookmarkStart w:id="1360" w:name="_Toc5022034"/>
      <w:bookmarkStart w:id="1361" w:name="_Toc5023457"/>
      <w:bookmarkStart w:id="1362" w:name="_Toc5024881"/>
      <w:bookmarkStart w:id="1363" w:name="_Toc5026304"/>
      <w:bookmarkStart w:id="1364" w:name="_Toc5027345"/>
      <w:bookmarkStart w:id="1365" w:name="_Toc5192902"/>
      <w:bookmarkStart w:id="1366" w:name="_Toc5012110"/>
      <w:bookmarkStart w:id="1367" w:name="_Toc5022039"/>
      <w:bookmarkStart w:id="1368" w:name="_Toc5023462"/>
      <w:bookmarkStart w:id="1369" w:name="_Toc5024886"/>
      <w:bookmarkStart w:id="1370" w:name="_Toc5026309"/>
      <w:bookmarkStart w:id="1371" w:name="_Toc5012114"/>
      <w:bookmarkStart w:id="1372" w:name="_Toc5022043"/>
      <w:bookmarkStart w:id="1373" w:name="_Toc5023466"/>
      <w:bookmarkStart w:id="1374" w:name="_Toc5024890"/>
      <w:bookmarkStart w:id="1375" w:name="_Toc5026313"/>
      <w:bookmarkStart w:id="1376" w:name="_Toc5012118"/>
      <w:bookmarkStart w:id="1377" w:name="_Toc5022047"/>
      <w:bookmarkStart w:id="1378" w:name="_Toc5023470"/>
      <w:bookmarkStart w:id="1379" w:name="_Toc5024894"/>
      <w:bookmarkStart w:id="1380" w:name="_Toc5026317"/>
      <w:bookmarkStart w:id="1381" w:name="_Toc5012122"/>
      <w:bookmarkStart w:id="1382" w:name="_Toc5022051"/>
      <w:bookmarkStart w:id="1383" w:name="_Toc5023474"/>
      <w:bookmarkStart w:id="1384" w:name="_Toc5024898"/>
      <w:bookmarkStart w:id="1385" w:name="_Toc5026321"/>
      <w:bookmarkStart w:id="1386" w:name="_Toc5010914"/>
      <w:bookmarkStart w:id="1387" w:name="_Toc5011327"/>
      <w:bookmarkStart w:id="1388" w:name="_Toc5012126"/>
      <w:bookmarkStart w:id="1389" w:name="_Toc5020018"/>
      <w:bookmarkStart w:id="1390" w:name="_Toc5020429"/>
      <w:bookmarkStart w:id="1391" w:name="_Toc5020846"/>
      <w:bookmarkStart w:id="1392" w:name="_Toc5021257"/>
      <w:bookmarkStart w:id="1393" w:name="_Toc5022055"/>
      <w:bookmarkStart w:id="1394" w:name="_Toc5023478"/>
      <w:bookmarkStart w:id="1395" w:name="_Toc5024902"/>
      <w:bookmarkStart w:id="1396" w:name="_Toc5026325"/>
      <w:bookmarkStart w:id="1397" w:name="_Toc5027361"/>
      <w:bookmarkStart w:id="1398" w:name="_Toc5192918"/>
      <w:bookmarkStart w:id="1399" w:name="_Toc5010916"/>
      <w:bookmarkStart w:id="1400" w:name="_Toc5011329"/>
      <w:bookmarkStart w:id="1401" w:name="_Toc5012128"/>
      <w:bookmarkStart w:id="1402" w:name="_Toc5020020"/>
      <w:bookmarkStart w:id="1403" w:name="_Toc5020431"/>
      <w:bookmarkStart w:id="1404" w:name="_Toc5020848"/>
      <w:bookmarkStart w:id="1405" w:name="_Toc5021259"/>
      <w:bookmarkStart w:id="1406" w:name="_Toc5022057"/>
      <w:bookmarkStart w:id="1407" w:name="_Toc5023480"/>
      <w:bookmarkStart w:id="1408" w:name="_Toc5024904"/>
      <w:bookmarkStart w:id="1409" w:name="_Toc5026327"/>
      <w:bookmarkStart w:id="1410" w:name="_Toc5027363"/>
      <w:bookmarkStart w:id="1411" w:name="_Toc5192920"/>
      <w:bookmarkStart w:id="1412" w:name="_Toc5012133"/>
      <w:bookmarkStart w:id="1413" w:name="_Toc5022062"/>
      <w:bookmarkStart w:id="1414" w:name="_Toc5023485"/>
      <w:bookmarkStart w:id="1415" w:name="_Toc5024909"/>
      <w:bookmarkStart w:id="1416" w:name="_Toc5026332"/>
      <w:bookmarkStart w:id="1417" w:name="_Toc5012137"/>
      <w:bookmarkStart w:id="1418" w:name="_Toc5022066"/>
      <w:bookmarkStart w:id="1419" w:name="_Toc5023489"/>
      <w:bookmarkStart w:id="1420" w:name="_Toc5024913"/>
      <w:bookmarkStart w:id="1421" w:name="_Toc5026336"/>
      <w:bookmarkStart w:id="1422" w:name="_Toc5012141"/>
      <w:bookmarkStart w:id="1423" w:name="_Toc5022070"/>
      <w:bookmarkStart w:id="1424" w:name="_Toc5023493"/>
      <w:bookmarkStart w:id="1425" w:name="_Toc5024917"/>
      <w:bookmarkStart w:id="1426" w:name="_Toc5026340"/>
      <w:bookmarkStart w:id="1427" w:name="_Toc5012145"/>
      <w:bookmarkStart w:id="1428" w:name="_Toc5022074"/>
      <w:bookmarkStart w:id="1429" w:name="_Toc5023497"/>
      <w:bookmarkStart w:id="1430" w:name="_Toc5024921"/>
      <w:bookmarkStart w:id="1431" w:name="_Toc5026344"/>
      <w:bookmarkStart w:id="1432" w:name="_Toc5012149"/>
      <w:bookmarkStart w:id="1433" w:name="_Toc5022078"/>
      <w:bookmarkStart w:id="1434" w:name="_Toc5023501"/>
      <w:bookmarkStart w:id="1435" w:name="_Toc5024925"/>
      <w:bookmarkStart w:id="1436" w:name="_Toc5026348"/>
      <w:bookmarkStart w:id="1437" w:name="_Toc5012153"/>
      <w:bookmarkStart w:id="1438" w:name="_Toc5022082"/>
      <w:bookmarkStart w:id="1439" w:name="_Toc5023505"/>
      <w:bookmarkStart w:id="1440" w:name="_Toc5024929"/>
      <w:bookmarkStart w:id="1441" w:name="_Toc5026352"/>
      <w:bookmarkStart w:id="1442" w:name="_Toc5010938"/>
      <w:bookmarkStart w:id="1443" w:name="_Toc5011351"/>
      <w:bookmarkStart w:id="1444" w:name="_Toc5012157"/>
      <w:bookmarkStart w:id="1445" w:name="_Toc5020042"/>
      <w:bookmarkStart w:id="1446" w:name="_Toc5020453"/>
      <w:bookmarkStart w:id="1447" w:name="_Toc5020870"/>
      <w:bookmarkStart w:id="1448" w:name="_Toc5021281"/>
      <w:bookmarkStart w:id="1449" w:name="_Toc5022086"/>
      <w:bookmarkStart w:id="1450" w:name="_Toc5023509"/>
      <w:bookmarkStart w:id="1451" w:name="_Toc5024933"/>
      <w:bookmarkStart w:id="1452" w:name="_Toc5026356"/>
      <w:bookmarkStart w:id="1453" w:name="_Toc5027385"/>
      <w:bookmarkStart w:id="1454" w:name="_Toc5192942"/>
      <w:bookmarkStart w:id="1455" w:name="_Toc5010940"/>
      <w:bookmarkStart w:id="1456" w:name="_Toc5011353"/>
      <w:bookmarkStart w:id="1457" w:name="_Toc5012159"/>
      <w:bookmarkStart w:id="1458" w:name="_Toc5020044"/>
      <w:bookmarkStart w:id="1459" w:name="_Toc5020455"/>
      <w:bookmarkStart w:id="1460" w:name="_Toc5020872"/>
      <w:bookmarkStart w:id="1461" w:name="_Toc5021283"/>
      <w:bookmarkStart w:id="1462" w:name="_Toc5022088"/>
      <w:bookmarkStart w:id="1463" w:name="_Toc5023511"/>
      <w:bookmarkStart w:id="1464" w:name="_Toc5024935"/>
      <w:bookmarkStart w:id="1465" w:name="_Toc5026358"/>
      <w:bookmarkStart w:id="1466" w:name="_Toc5027387"/>
      <w:bookmarkStart w:id="1467" w:name="_Toc5192944"/>
      <w:bookmarkStart w:id="1468" w:name="_Toc5012164"/>
      <w:bookmarkStart w:id="1469" w:name="_Toc5022093"/>
      <w:bookmarkStart w:id="1470" w:name="_Toc5023516"/>
      <w:bookmarkStart w:id="1471" w:name="_Toc5024940"/>
      <w:bookmarkStart w:id="1472" w:name="_Toc5026363"/>
      <w:bookmarkStart w:id="1473" w:name="_Toc5012168"/>
      <w:bookmarkStart w:id="1474" w:name="_Toc5022097"/>
      <w:bookmarkStart w:id="1475" w:name="_Toc5023520"/>
      <w:bookmarkStart w:id="1476" w:name="_Toc5024944"/>
      <w:bookmarkStart w:id="1477" w:name="_Toc5026367"/>
      <w:bookmarkStart w:id="1478" w:name="_Toc5012172"/>
      <w:bookmarkStart w:id="1479" w:name="_Toc5022101"/>
      <w:bookmarkStart w:id="1480" w:name="_Toc5023524"/>
      <w:bookmarkStart w:id="1481" w:name="_Toc5024948"/>
      <w:bookmarkStart w:id="1482" w:name="_Toc5026371"/>
      <w:bookmarkStart w:id="1483" w:name="_Toc5012176"/>
      <w:bookmarkStart w:id="1484" w:name="_Toc5022105"/>
      <w:bookmarkStart w:id="1485" w:name="_Toc5023528"/>
      <w:bookmarkStart w:id="1486" w:name="_Toc5024952"/>
      <w:bookmarkStart w:id="1487" w:name="_Toc5026375"/>
      <w:bookmarkStart w:id="1488" w:name="_Toc5012180"/>
      <w:bookmarkStart w:id="1489" w:name="_Toc5022109"/>
      <w:bookmarkStart w:id="1490" w:name="_Toc5023532"/>
      <w:bookmarkStart w:id="1491" w:name="_Toc5024956"/>
      <w:bookmarkStart w:id="1492" w:name="_Toc5026379"/>
      <w:bookmarkStart w:id="1493" w:name="_Toc5012184"/>
      <w:bookmarkStart w:id="1494" w:name="_Toc5022113"/>
      <w:bookmarkStart w:id="1495" w:name="_Toc5023536"/>
      <w:bookmarkStart w:id="1496" w:name="_Toc5024960"/>
      <w:bookmarkStart w:id="1497" w:name="_Toc5026383"/>
      <w:bookmarkStart w:id="1498" w:name="_Toc5012188"/>
      <w:bookmarkStart w:id="1499" w:name="_Toc5022117"/>
      <w:bookmarkStart w:id="1500" w:name="_Toc5023540"/>
      <w:bookmarkStart w:id="1501" w:name="_Toc5024964"/>
      <w:bookmarkStart w:id="1502" w:name="_Toc5026387"/>
      <w:bookmarkStart w:id="1503" w:name="_Toc5010965"/>
      <w:bookmarkStart w:id="1504" w:name="_Toc5011378"/>
      <w:bookmarkStart w:id="1505" w:name="_Toc5012192"/>
      <w:bookmarkStart w:id="1506" w:name="_Toc5020069"/>
      <w:bookmarkStart w:id="1507" w:name="_Toc5020480"/>
      <w:bookmarkStart w:id="1508" w:name="_Toc5020897"/>
      <w:bookmarkStart w:id="1509" w:name="_Toc5021308"/>
      <w:bookmarkStart w:id="1510" w:name="_Toc5022121"/>
      <w:bookmarkStart w:id="1511" w:name="_Toc5023544"/>
      <w:bookmarkStart w:id="1512" w:name="_Toc5024968"/>
      <w:bookmarkStart w:id="1513" w:name="_Toc5026391"/>
      <w:bookmarkStart w:id="1514" w:name="_Toc5027412"/>
      <w:bookmarkStart w:id="1515" w:name="_Toc5192969"/>
      <w:bookmarkStart w:id="1516" w:name="_Toc5010967"/>
      <w:bookmarkStart w:id="1517" w:name="_Toc5011380"/>
      <w:bookmarkStart w:id="1518" w:name="_Toc5012194"/>
      <w:bookmarkStart w:id="1519" w:name="_Toc5020071"/>
      <w:bookmarkStart w:id="1520" w:name="_Toc5020482"/>
      <w:bookmarkStart w:id="1521" w:name="_Toc5020899"/>
      <w:bookmarkStart w:id="1522" w:name="_Toc5021310"/>
      <w:bookmarkStart w:id="1523" w:name="_Toc5022123"/>
      <w:bookmarkStart w:id="1524" w:name="_Toc5023546"/>
      <w:bookmarkStart w:id="1525" w:name="_Toc5024970"/>
      <w:bookmarkStart w:id="1526" w:name="_Toc5026393"/>
      <w:bookmarkStart w:id="1527" w:name="_Toc5027414"/>
      <w:bookmarkStart w:id="1528" w:name="_Toc5192971"/>
      <w:bookmarkStart w:id="1529" w:name="_Toc5012199"/>
      <w:bookmarkStart w:id="1530" w:name="_Toc5022128"/>
      <w:bookmarkStart w:id="1531" w:name="_Toc5023551"/>
      <w:bookmarkStart w:id="1532" w:name="_Toc5024975"/>
      <w:bookmarkStart w:id="1533" w:name="_Toc5026398"/>
      <w:bookmarkStart w:id="1534" w:name="_Toc5012203"/>
      <w:bookmarkStart w:id="1535" w:name="_Toc5022132"/>
      <w:bookmarkStart w:id="1536" w:name="_Toc5023555"/>
      <w:bookmarkStart w:id="1537" w:name="_Toc5024979"/>
      <w:bookmarkStart w:id="1538" w:name="_Toc5026402"/>
      <w:bookmarkStart w:id="1539" w:name="_Toc5012207"/>
      <w:bookmarkStart w:id="1540" w:name="_Toc5022136"/>
      <w:bookmarkStart w:id="1541" w:name="_Toc5023559"/>
      <w:bookmarkStart w:id="1542" w:name="_Toc5024983"/>
      <w:bookmarkStart w:id="1543" w:name="_Toc5026406"/>
      <w:bookmarkStart w:id="1544" w:name="_Toc5012211"/>
      <w:bookmarkStart w:id="1545" w:name="_Toc5022140"/>
      <w:bookmarkStart w:id="1546" w:name="_Toc5023563"/>
      <w:bookmarkStart w:id="1547" w:name="_Toc5024987"/>
      <w:bookmarkStart w:id="1548" w:name="_Toc5026410"/>
      <w:bookmarkStart w:id="1549" w:name="_Toc5010983"/>
      <w:bookmarkStart w:id="1550" w:name="_Toc5011396"/>
      <w:bookmarkStart w:id="1551" w:name="_Toc5012215"/>
      <w:bookmarkStart w:id="1552" w:name="_Toc5020087"/>
      <w:bookmarkStart w:id="1553" w:name="_Toc5020498"/>
      <w:bookmarkStart w:id="1554" w:name="_Toc5020915"/>
      <w:bookmarkStart w:id="1555" w:name="_Toc5021326"/>
      <w:bookmarkStart w:id="1556" w:name="_Toc5022144"/>
      <w:bookmarkStart w:id="1557" w:name="_Toc5023567"/>
      <w:bookmarkStart w:id="1558" w:name="_Toc5024991"/>
      <w:bookmarkStart w:id="1559" w:name="_Toc5026414"/>
      <w:bookmarkStart w:id="1560" w:name="_Toc5027430"/>
      <w:bookmarkStart w:id="1561" w:name="_Toc5192987"/>
      <w:bookmarkStart w:id="1562" w:name="_Toc5010985"/>
      <w:bookmarkStart w:id="1563" w:name="_Toc5011398"/>
      <w:bookmarkStart w:id="1564" w:name="_Toc5012217"/>
      <w:bookmarkStart w:id="1565" w:name="_Toc5020089"/>
      <w:bookmarkStart w:id="1566" w:name="_Toc5020500"/>
      <w:bookmarkStart w:id="1567" w:name="_Toc5020917"/>
      <w:bookmarkStart w:id="1568" w:name="_Toc5021328"/>
      <w:bookmarkStart w:id="1569" w:name="_Toc5022146"/>
      <w:bookmarkStart w:id="1570" w:name="_Toc5023569"/>
      <w:bookmarkStart w:id="1571" w:name="_Toc5024993"/>
      <w:bookmarkStart w:id="1572" w:name="_Toc5026416"/>
      <w:bookmarkStart w:id="1573" w:name="_Toc5027432"/>
      <w:bookmarkStart w:id="1574" w:name="_Toc5192989"/>
      <w:bookmarkStart w:id="1575" w:name="_Toc5012222"/>
      <w:bookmarkStart w:id="1576" w:name="_Toc5022151"/>
      <w:bookmarkStart w:id="1577" w:name="_Toc5023574"/>
      <w:bookmarkStart w:id="1578" w:name="_Toc5024998"/>
      <w:bookmarkStart w:id="1579" w:name="_Toc5026421"/>
      <w:bookmarkStart w:id="1580" w:name="_Toc5012226"/>
      <w:bookmarkStart w:id="1581" w:name="_Toc5022155"/>
      <w:bookmarkStart w:id="1582" w:name="_Toc5023578"/>
      <w:bookmarkStart w:id="1583" w:name="_Toc5025002"/>
      <w:bookmarkStart w:id="1584" w:name="_Toc5026425"/>
      <w:bookmarkStart w:id="1585" w:name="_Toc5012230"/>
      <w:bookmarkStart w:id="1586" w:name="_Toc5022159"/>
      <w:bookmarkStart w:id="1587" w:name="_Toc5023582"/>
      <w:bookmarkStart w:id="1588" w:name="_Toc5025006"/>
      <w:bookmarkStart w:id="1589" w:name="_Toc5026429"/>
      <w:bookmarkStart w:id="1590" w:name="_Toc5012234"/>
      <w:bookmarkStart w:id="1591" w:name="_Toc5022163"/>
      <w:bookmarkStart w:id="1592" w:name="_Toc5023586"/>
      <w:bookmarkStart w:id="1593" w:name="_Toc5025010"/>
      <w:bookmarkStart w:id="1594" w:name="_Toc5026433"/>
      <w:bookmarkStart w:id="1595" w:name="_Toc5012238"/>
      <w:bookmarkStart w:id="1596" w:name="_Toc5022167"/>
      <w:bookmarkStart w:id="1597" w:name="_Toc5023590"/>
      <w:bookmarkStart w:id="1598" w:name="_Toc5025014"/>
      <w:bookmarkStart w:id="1599" w:name="_Toc5026437"/>
      <w:bookmarkStart w:id="1600" w:name="_Toc5012242"/>
      <w:bookmarkStart w:id="1601" w:name="_Toc5022171"/>
      <w:bookmarkStart w:id="1602" w:name="_Toc5023594"/>
      <w:bookmarkStart w:id="1603" w:name="_Toc5025018"/>
      <w:bookmarkStart w:id="1604" w:name="_Toc5026441"/>
      <w:bookmarkStart w:id="1605" w:name="_Toc5012246"/>
      <w:bookmarkStart w:id="1606" w:name="_Toc5022175"/>
      <w:bookmarkStart w:id="1607" w:name="_Toc5023598"/>
      <w:bookmarkStart w:id="1608" w:name="_Toc5025022"/>
      <w:bookmarkStart w:id="1609" w:name="_Toc5026445"/>
      <w:bookmarkStart w:id="1610" w:name="_Toc5193014"/>
      <w:bookmarkStart w:id="1611" w:name="_Toc232191338"/>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sidR="007F7F5A">
        <w:t xml:space="preserve">6 </w:t>
      </w:r>
      <w:r>
        <w:t>Attribution Managed Investment Trusts</w:t>
      </w:r>
      <w:bookmarkEnd w:id="1610"/>
      <w:r w:rsidR="00FB3052">
        <w:t xml:space="preserve"> &amp; </w:t>
      </w:r>
      <w:r w:rsidR="00FB3052" w:rsidRPr="00581F37">
        <w:t>Attribution CCIV sub-fund Trusts</w:t>
      </w:r>
      <w:bookmarkEnd w:id="1611"/>
      <w:r>
        <w:t xml:space="preserve"> </w:t>
      </w:r>
    </w:p>
    <w:p w14:paraId="63AEB508" w14:textId="7A2D1A0A" w:rsidR="00115458" w:rsidRDefault="00115458" w:rsidP="006A5E27">
      <w:pPr>
        <w:spacing w:after="0" w:line="240" w:lineRule="auto"/>
        <w:rPr>
          <w:b/>
        </w:rPr>
      </w:pPr>
      <w:bookmarkStart w:id="1612" w:name="_Toc361317924"/>
      <w:r>
        <w:t>This section is for AMITs</w:t>
      </w:r>
      <w:r w:rsidR="00FB3052">
        <w:t xml:space="preserve"> and attribution CCIV sub-fund trusts</w:t>
      </w:r>
      <w:r>
        <w:t xml:space="preserve">. It is also relevant to other entities, such as custodians and IDPS platforms reporting attributions received from an AMIT </w:t>
      </w:r>
      <w:r w:rsidR="00FB3052">
        <w:t xml:space="preserve">or attribution CCIV sub-fund trust. </w:t>
      </w:r>
      <w:r>
        <w:t xml:space="preserve">Reporting that may relate to both AMITs and other trusts is included in </w:t>
      </w:r>
      <w:hyperlink w:anchor="Section7" w:history="1">
        <w:r w:rsidR="00FB3052">
          <w:rPr>
            <w:rStyle w:val="Hyperlink"/>
          </w:rPr>
          <w:t>S</w:t>
        </w:r>
        <w:r w:rsidR="00FB3052" w:rsidRPr="00515C77">
          <w:rPr>
            <w:rStyle w:val="Hyperlink"/>
          </w:rPr>
          <w:t>ection 7</w:t>
        </w:r>
        <w:r w:rsidR="00FB3052">
          <w:rPr>
            <w:rStyle w:val="Hyperlink"/>
          </w:rPr>
          <w:t xml:space="preserve"> – Trust reporting</w:t>
        </w:r>
        <w:r w:rsidR="00FB3052" w:rsidRPr="00515C77">
          <w:rPr>
            <w:rStyle w:val="Hyperlink"/>
          </w:rPr>
          <w:t>.</w:t>
        </w:r>
      </w:hyperlink>
    </w:p>
    <w:p w14:paraId="4063F2D6" w14:textId="77777777" w:rsidR="00115458" w:rsidRDefault="00115458" w:rsidP="006A5E27">
      <w:pPr>
        <w:spacing w:after="0" w:line="240" w:lineRule="auto"/>
        <w:rPr>
          <w:rFonts w:cs="Arial"/>
        </w:rPr>
      </w:pPr>
    </w:p>
    <w:p w14:paraId="5567CA0B" w14:textId="77777777" w:rsidR="00115458" w:rsidRPr="00DB1D67" w:rsidRDefault="00115458" w:rsidP="006A5E27">
      <w:pPr>
        <w:spacing w:after="0" w:line="240" w:lineRule="auto"/>
        <w:rPr>
          <w:rFonts w:cs="Arial"/>
        </w:rPr>
      </w:pPr>
      <w:r w:rsidRPr="00DB1D67">
        <w:rPr>
          <w:rFonts w:cs="Arial"/>
        </w:rPr>
        <w:t xml:space="preserve">This section </w:t>
      </w:r>
      <w:r>
        <w:rPr>
          <w:rFonts w:cs="Arial"/>
        </w:rPr>
        <w:t xml:space="preserve">provides reporting guidance and </w:t>
      </w:r>
      <w:r w:rsidRPr="00DB1D67">
        <w:rPr>
          <w:rFonts w:cs="Arial"/>
        </w:rPr>
        <w:t xml:space="preserve">includes a number of examples for reporting </w:t>
      </w:r>
      <w:r>
        <w:rPr>
          <w:rFonts w:cs="Arial"/>
        </w:rPr>
        <w:t xml:space="preserve">attributions received from an AMIT. </w:t>
      </w:r>
    </w:p>
    <w:p w14:paraId="09BEDAB8" w14:textId="77777777" w:rsidR="00115458" w:rsidRDefault="00115458" w:rsidP="006A5E27">
      <w:pPr>
        <w:spacing w:after="0" w:line="240" w:lineRule="auto"/>
      </w:pPr>
    </w:p>
    <w:p w14:paraId="79D98CB2" w14:textId="77777777" w:rsidR="00115458" w:rsidRDefault="00115458" w:rsidP="006A5E27">
      <w:pPr>
        <w:spacing w:after="0" w:line="240" w:lineRule="auto"/>
      </w:pPr>
      <w:r>
        <w:t xml:space="preserve">Under changes enacted in May 2016, an eligible MIT may elect into the attribution regime for the taxation of MITs. </w:t>
      </w:r>
      <w:bookmarkStart w:id="1613" w:name="_Hlk127259263"/>
    </w:p>
    <w:p w14:paraId="29F79049" w14:textId="77777777" w:rsidR="00115458" w:rsidRDefault="00115458" w:rsidP="006A5E27">
      <w:pPr>
        <w:spacing w:after="0" w:line="240" w:lineRule="auto"/>
      </w:pPr>
    </w:p>
    <w:bookmarkEnd w:id="1613"/>
    <w:p w14:paraId="221D9C19" w14:textId="27B101D6" w:rsidR="00115458" w:rsidRDefault="00E46BE1" w:rsidP="00F94DFB">
      <w:pPr>
        <w:spacing w:after="0" w:line="240" w:lineRule="auto"/>
        <w:rPr>
          <w:rFonts w:cs="Arial"/>
        </w:rPr>
      </w:pPr>
      <w:r w:rsidRPr="006E3058">
        <w:t xml:space="preserve">From 1 July 2022 CCIVs were introduced as a new entity type in Australia. An attribution CCIV sub-fund trust will generally be treated as an AMIT for tax purposes. References to an AMIT in this section includes an </w:t>
      </w:r>
      <w:r w:rsidRPr="006E3058">
        <w:rPr>
          <w:rFonts w:cs="Arial"/>
        </w:rPr>
        <w:t>attribution CCIV sub-fund trust.</w:t>
      </w:r>
    </w:p>
    <w:p w14:paraId="4CA03BEB" w14:textId="77777777" w:rsidR="00F94DFB" w:rsidRDefault="00F94DFB" w:rsidP="00F94DFB">
      <w:pPr>
        <w:spacing w:after="0" w:line="240" w:lineRule="auto"/>
      </w:pPr>
    </w:p>
    <w:p w14:paraId="64FA2FCA" w14:textId="77777777" w:rsidR="00115458" w:rsidRPr="00E46BE1" w:rsidRDefault="00115458" w:rsidP="006A5E27">
      <w:pPr>
        <w:spacing w:after="0" w:line="240" w:lineRule="auto"/>
      </w:pPr>
      <w:r w:rsidRPr="00E46BE1">
        <w:t>The attribution regime for MITs:</w:t>
      </w:r>
    </w:p>
    <w:p w14:paraId="6D0847E0" w14:textId="77777777" w:rsidR="00115458" w:rsidRPr="00E46BE1" w:rsidRDefault="00115458" w:rsidP="006A5E27">
      <w:pPr>
        <w:spacing w:after="0" w:line="240" w:lineRule="auto"/>
      </w:pPr>
    </w:p>
    <w:p w14:paraId="71BA4100"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allows AMITs to use an attribution method of tax (in lieu of the existing present entitlement to income method in Division 6 of the ITAA 1936)</w:t>
      </w:r>
    </w:p>
    <w:p w14:paraId="115C9B1C"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allows AMITs to carry forward under- and over-estimates of tax amounts into the discovery income year, generally without adverse tax consequences</w:t>
      </w:r>
    </w:p>
    <w:p w14:paraId="28B72943"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deems AMITs that meet eligibility requirements to be fixed trusts</w:t>
      </w:r>
    </w:p>
    <w:p w14:paraId="15B6A9A3"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allows unit holders in AMITs to make, in certain circumstances, both upward and downward adjustments to the cost base of their unit holdings to eliminate double taxation that may otherwise arise</w:t>
      </w:r>
    </w:p>
    <w:p w14:paraId="1B9691D5" w14:textId="77777777" w:rsidR="00115458" w:rsidRPr="00E46BE1" w:rsidRDefault="00115458" w:rsidP="001601AF">
      <w:pPr>
        <w:pStyle w:val="ListParagraph"/>
        <w:numPr>
          <w:ilvl w:val="0"/>
          <w:numId w:val="48"/>
        </w:numPr>
        <w:spacing w:after="0" w:line="240" w:lineRule="auto"/>
        <w:ind w:left="714" w:hanging="357"/>
        <w:rPr>
          <w:rFonts w:cs="Arial"/>
        </w:rPr>
      </w:pPr>
      <w:r w:rsidRPr="006A5E27">
        <w:rPr>
          <w:rFonts w:cs="Arial"/>
        </w:rPr>
        <w:t>introduces an arm’s length rule for all MITs that aims to ensure related entities undertake transactions between one another in a manner that reflects commercial dealings</w:t>
      </w:r>
    </w:p>
    <w:p w14:paraId="7A655405" w14:textId="77777777" w:rsidR="00115458" w:rsidRPr="006A5E27" w:rsidRDefault="00115458" w:rsidP="001601AF">
      <w:pPr>
        <w:pStyle w:val="ListParagraph"/>
        <w:numPr>
          <w:ilvl w:val="0"/>
          <w:numId w:val="48"/>
        </w:numPr>
        <w:spacing w:after="0" w:line="240" w:lineRule="auto"/>
        <w:ind w:left="714" w:hanging="357"/>
        <w:rPr>
          <w:rFonts w:cs="Arial"/>
        </w:rPr>
      </w:pPr>
      <w:r w:rsidRPr="006A5E27">
        <w:rPr>
          <w:rFonts w:cs="Arial"/>
        </w:rPr>
        <w:t xml:space="preserve">amends the 20% tracing rule for public unit trusts in Division 6C of the </w:t>
      </w:r>
      <w:r w:rsidRPr="006A5E27">
        <w:rPr>
          <w:rFonts w:cs="Arial"/>
          <w:iCs/>
        </w:rPr>
        <w:t>ITAA 1936</w:t>
      </w:r>
      <w:r w:rsidRPr="006A5E27">
        <w:rPr>
          <w:rFonts w:cs="Arial"/>
        </w:rPr>
        <w:t xml:space="preserve"> so it does not apply to super funds and exempt entities that are entitled to a refund of excess imputation credits</w:t>
      </w:r>
    </w:p>
    <w:p w14:paraId="1C553423" w14:textId="77777777" w:rsidR="00115458" w:rsidRPr="00E46BE1" w:rsidRDefault="00115458" w:rsidP="006A5E27">
      <w:pPr>
        <w:spacing w:after="0" w:line="240" w:lineRule="auto"/>
        <w:ind w:left="360"/>
        <w:rPr>
          <w:rFonts w:cs="Arial"/>
        </w:rPr>
      </w:pPr>
    </w:p>
    <w:p w14:paraId="0BBDE0FC" w14:textId="77777777" w:rsidR="00115458" w:rsidRPr="00E46BE1" w:rsidRDefault="00115458" w:rsidP="006A5E27">
      <w:pPr>
        <w:spacing w:after="0" w:line="240" w:lineRule="auto"/>
        <w:rPr>
          <w:rFonts w:cs="Arial"/>
        </w:rPr>
      </w:pPr>
      <w:r w:rsidRPr="00E46BE1">
        <w:rPr>
          <w:rFonts w:cs="Arial"/>
        </w:rPr>
        <w:t xml:space="preserve">All MITs including AMITS must lodge an AIIR under Division 393 of the TAA 1953. The rule of less than 10 investments does not apply to MITs (including AMITs). </w:t>
      </w:r>
    </w:p>
    <w:p w14:paraId="0E6CD4DA" w14:textId="77777777" w:rsidR="00115458" w:rsidRPr="00E46BE1" w:rsidRDefault="00115458" w:rsidP="006A5E27">
      <w:pPr>
        <w:spacing w:after="0" w:line="240" w:lineRule="auto"/>
      </w:pPr>
    </w:p>
    <w:p w14:paraId="002E769B" w14:textId="77777777" w:rsidR="00115458" w:rsidRPr="00E46BE1" w:rsidRDefault="00115458" w:rsidP="006A5E27">
      <w:pPr>
        <w:spacing w:after="0" w:line="240" w:lineRule="auto"/>
      </w:pPr>
      <w:r w:rsidRPr="00E46BE1">
        <w:t>Trusts that do not elect to move to the attribution regime for MITs must continue to fulfil their existing obligations under Division 6 of the ITAA 1936.</w:t>
      </w:r>
    </w:p>
    <w:p w14:paraId="1188CFC2" w14:textId="77777777" w:rsidR="00115458" w:rsidRDefault="00115458" w:rsidP="006A5E27">
      <w:pPr>
        <w:spacing w:after="0" w:line="240" w:lineRule="auto"/>
      </w:pPr>
    </w:p>
    <w:p w14:paraId="489708D7" w14:textId="77777777" w:rsidR="00115458" w:rsidRPr="00E46BE1" w:rsidRDefault="00115458" w:rsidP="006A5E27">
      <w:pPr>
        <w:spacing w:after="0" w:line="240" w:lineRule="auto"/>
      </w:pPr>
      <w:r w:rsidRPr="00E46BE1">
        <w:t>For AMITs, fund payments are defined under section 12A-110 of the TAA 1953. The object of the definition is to ensure the total of fund payments made by the AMIT for an income year equals, as closely as possible, the total of both:</w:t>
      </w:r>
    </w:p>
    <w:p w14:paraId="653AED43" w14:textId="77777777" w:rsidR="00115458" w:rsidRPr="00E46BE1" w:rsidRDefault="00115458" w:rsidP="006A5E27">
      <w:pPr>
        <w:spacing w:after="0" w:line="240" w:lineRule="auto"/>
      </w:pPr>
    </w:p>
    <w:p w14:paraId="20AD087F" w14:textId="77777777" w:rsidR="00115458" w:rsidRPr="006A5E27" w:rsidRDefault="00115458" w:rsidP="001601AF">
      <w:pPr>
        <w:pStyle w:val="ListParagraph"/>
        <w:numPr>
          <w:ilvl w:val="0"/>
          <w:numId w:val="45"/>
        </w:numPr>
        <w:spacing w:after="0" w:line="240" w:lineRule="auto"/>
        <w:rPr>
          <w:rFonts w:cs="Arial"/>
        </w:rPr>
      </w:pPr>
      <w:r w:rsidRPr="006A5E27">
        <w:rPr>
          <w:rFonts w:cs="Arial"/>
        </w:rPr>
        <w:t>its determined member components of an assessable income character, disregarding any excluded components</w:t>
      </w:r>
    </w:p>
    <w:p w14:paraId="292BABDB" w14:textId="75C7731A" w:rsidR="00115458" w:rsidRDefault="00115458" w:rsidP="001601AF">
      <w:pPr>
        <w:pStyle w:val="ListParagraph"/>
        <w:numPr>
          <w:ilvl w:val="0"/>
          <w:numId w:val="45"/>
        </w:numPr>
        <w:spacing w:after="0" w:line="240" w:lineRule="auto"/>
        <w:rPr>
          <w:rFonts w:cs="Arial"/>
        </w:rPr>
      </w:pPr>
      <w:r w:rsidRPr="006A5E27">
        <w:rPr>
          <w:rFonts w:cs="Arial"/>
        </w:rPr>
        <w:t>each capital loss from a CGT asset that is not taxable Australian property to the extent that each capital loss has been applied against capital gains from taxable Australian property.</w:t>
      </w:r>
    </w:p>
    <w:p w14:paraId="7F979737" w14:textId="77777777" w:rsidR="00E46BE1" w:rsidRPr="00E46BE1" w:rsidRDefault="00E46BE1" w:rsidP="00E46BE1">
      <w:pPr>
        <w:pStyle w:val="ListParagraph"/>
        <w:spacing w:after="0" w:line="240" w:lineRule="auto"/>
        <w:rPr>
          <w:rFonts w:cs="Arial"/>
        </w:rPr>
      </w:pPr>
    </w:p>
    <w:p w14:paraId="0B6CC17C" w14:textId="77777777" w:rsidR="00115458" w:rsidRPr="00E46BE1" w:rsidRDefault="00115458" w:rsidP="00E46BE1">
      <w:pPr>
        <w:spacing w:after="0" w:line="240" w:lineRule="auto"/>
      </w:pPr>
      <w:r w:rsidRPr="00E46BE1">
        <w:t>Excluded components include determined member components of the following characters:</w:t>
      </w:r>
    </w:p>
    <w:p w14:paraId="66476C1D" w14:textId="77777777" w:rsidR="00115458" w:rsidRPr="00E46BE1" w:rsidRDefault="00115458" w:rsidP="00E46BE1">
      <w:pPr>
        <w:spacing w:after="0" w:line="240" w:lineRule="auto"/>
      </w:pPr>
    </w:p>
    <w:p w14:paraId="5D0B8BF8" w14:textId="77777777" w:rsidR="00115458" w:rsidRPr="00E46BE1" w:rsidRDefault="00115458" w:rsidP="001601AF">
      <w:pPr>
        <w:pStyle w:val="ListParagraph"/>
        <w:numPr>
          <w:ilvl w:val="0"/>
          <w:numId w:val="49"/>
        </w:numPr>
        <w:spacing w:after="0" w:line="240" w:lineRule="auto"/>
        <w:rPr>
          <w:rFonts w:cs="Arial"/>
        </w:rPr>
      </w:pPr>
      <w:r w:rsidRPr="00E46BE1">
        <w:rPr>
          <w:rFonts w:cs="Arial"/>
        </w:rPr>
        <w:t>discount capital gains and non-discount capital gains from a CGT asset that is not taxable Australian property</w:t>
      </w:r>
    </w:p>
    <w:p w14:paraId="1F059777" w14:textId="77777777" w:rsidR="00115458" w:rsidRPr="00E46BE1" w:rsidRDefault="00115458" w:rsidP="001601AF">
      <w:pPr>
        <w:pStyle w:val="ListParagraph"/>
        <w:numPr>
          <w:ilvl w:val="0"/>
          <w:numId w:val="49"/>
        </w:numPr>
        <w:spacing w:after="0" w:line="240" w:lineRule="auto"/>
        <w:rPr>
          <w:rFonts w:cs="Arial"/>
        </w:rPr>
      </w:pPr>
      <w:r w:rsidRPr="00E46BE1">
        <w:rPr>
          <w:rFonts w:cs="Arial"/>
        </w:rPr>
        <w:t>dividends, interest and royalties that are subject to, or exempted from, a requirement to withhold</w:t>
      </w:r>
    </w:p>
    <w:p w14:paraId="34907910" w14:textId="4D11A2B7" w:rsidR="00115458" w:rsidRDefault="00115458" w:rsidP="001601AF">
      <w:pPr>
        <w:pStyle w:val="ListParagraph"/>
        <w:numPr>
          <w:ilvl w:val="0"/>
          <w:numId w:val="49"/>
        </w:numPr>
        <w:spacing w:after="0" w:line="240" w:lineRule="auto"/>
        <w:rPr>
          <w:rFonts w:cs="Arial"/>
        </w:rPr>
      </w:pPr>
      <w:r w:rsidRPr="00E46BE1">
        <w:rPr>
          <w:rFonts w:cs="Arial"/>
        </w:rPr>
        <w:t>foreign source income.</w:t>
      </w:r>
    </w:p>
    <w:p w14:paraId="389C1994" w14:textId="77777777" w:rsidR="00E46BE1" w:rsidRPr="00E46BE1" w:rsidRDefault="00E46BE1" w:rsidP="00E46BE1">
      <w:pPr>
        <w:pStyle w:val="ListParagraph"/>
        <w:spacing w:after="0" w:line="240" w:lineRule="auto"/>
        <w:rPr>
          <w:rFonts w:cs="Arial"/>
        </w:rPr>
      </w:pPr>
    </w:p>
    <w:p w14:paraId="25812392" w14:textId="77777777" w:rsidR="00115458" w:rsidRPr="00E46BE1" w:rsidRDefault="00115458" w:rsidP="00E46BE1">
      <w:pPr>
        <w:spacing w:after="0" w:line="240" w:lineRule="auto"/>
      </w:pPr>
      <w:r w:rsidRPr="00E46BE1">
        <w:t>A fund payment for an AMIT may be an actual payment or a deemed payment. The amount of the fund payment is worked out using the method statement in subsection 12A-110(5) of the TAA 1953.</w:t>
      </w:r>
    </w:p>
    <w:p w14:paraId="663E59D3" w14:textId="77777777" w:rsidR="00115458" w:rsidRPr="00E46BE1" w:rsidRDefault="00115458" w:rsidP="00E46BE1">
      <w:pPr>
        <w:spacing w:after="0" w:line="240" w:lineRule="auto"/>
      </w:pPr>
    </w:p>
    <w:p w14:paraId="0108DFEE" w14:textId="77777777" w:rsidR="00115458" w:rsidRPr="00E46BE1" w:rsidRDefault="00115458" w:rsidP="00E46BE1">
      <w:pPr>
        <w:spacing w:after="0" w:line="240" w:lineRule="auto"/>
      </w:pPr>
      <w:r w:rsidRPr="00E46BE1">
        <w:t>As part of the method statement, the trustee must work out the reasonable expectation of what the total determined member components will be for each assessable income character, based on the trustee’s knowledge at the time the actual payment is made.</w:t>
      </w:r>
    </w:p>
    <w:p w14:paraId="4C834CA1" w14:textId="77777777" w:rsidR="00115458" w:rsidRPr="00E46BE1" w:rsidRDefault="00115458" w:rsidP="00E46BE1">
      <w:pPr>
        <w:spacing w:after="0" w:line="240" w:lineRule="auto"/>
      </w:pPr>
    </w:p>
    <w:p w14:paraId="2E12CC68" w14:textId="1EA022B0" w:rsidR="00115458" w:rsidRDefault="00115458" w:rsidP="006A5E27">
      <w:pPr>
        <w:spacing w:after="0" w:line="240" w:lineRule="auto"/>
        <w:rPr>
          <w:rFonts w:cs="Arial"/>
          <w:b/>
          <w:smallCaps/>
        </w:rPr>
      </w:pPr>
      <w:r w:rsidRPr="00E46BE1">
        <w:t xml:space="preserve">Additional information is available at </w:t>
      </w:r>
      <w:hyperlink r:id="rId32" w:anchor="NewtaxsystemforMITs" w:history="1">
        <w:r w:rsidRPr="00E46BE1">
          <w:rPr>
            <w:rStyle w:val="Hyperlink"/>
          </w:rPr>
          <w:t>Attribution managed investment trusts | Australian Taxation Office (ato.gov.au)</w:t>
        </w:r>
      </w:hyperlink>
      <w:bookmarkStart w:id="1614" w:name="_Hlk112078052"/>
      <w:bookmarkStart w:id="1615" w:name="_Toc5193015"/>
    </w:p>
    <w:p w14:paraId="1D4553A7" w14:textId="77777777" w:rsidR="0034167F" w:rsidRPr="00071DAA" w:rsidRDefault="0034167F" w:rsidP="0034167F">
      <w:pPr>
        <w:pStyle w:val="Heading2"/>
      </w:pPr>
      <w:bookmarkStart w:id="1616" w:name="_Hlk152071619"/>
      <w:bookmarkStart w:id="1617" w:name="_Toc232191339"/>
      <w:r w:rsidRPr="00071DAA">
        <w:t>MIT, A</w:t>
      </w:r>
      <w:r>
        <w:t>MITS</w:t>
      </w:r>
      <w:r w:rsidRPr="00071DAA">
        <w:t xml:space="preserve"> and </w:t>
      </w:r>
      <w:r>
        <w:t>CCIV</w:t>
      </w:r>
      <w:r w:rsidRPr="00071DAA">
        <w:t xml:space="preserve"> sub-fund trusts</w:t>
      </w:r>
      <w:bookmarkEnd w:id="1617"/>
    </w:p>
    <w:bookmarkEnd w:id="1616"/>
    <w:p w14:paraId="7F7889B8" w14:textId="005F6C12" w:rsidR="0090167B" w:rsidRPr="006E3058" w:rsidRDefault="0090167B" w:rsidP="00F94DFB">
      <w:pPr>
        <w:spacing w:after="0" w:line="240" w:lineRule="auto"/>
      </w:pPr>
      <w:r w:rsidRPr="006E3058">
        <w:t>The ATO has identified two AIIR reporting approaches that achieve effective outcomes for MIT, AMIT and CCIV sub-fund trust</w:t>
      </w:r>
      <w:r w:rsidRPr="006E3058" w:rsidDel="0000194A">
        <w:t xml:space="preserve"> </w:t>
      </w:r>
      <w:r w:rsidRPr="006E3058">
        <w:t>AIIR preparers. MIT, AMIT and CCIV sub-fund trust</w:t>
      </w:r>
      <w:r w:rsidRPr="006E3058" w:rsidDel="0000194A">
        <w:t xml:space="preserve"> </w:t>
      </w:r>
      <w:r w:rsidRPr="006E3058">
        <w:t xml:space="preserve">AIIR preparers should use either the Specific AIIR approach or the Global AIIR approach to meet their reporting obligations. </w:t>
      </w:r>
    </w:p>
    <w:p w14:paraId="55A80E92" w14:textId="77777777" w:rsidR="00115458" w:rsidRPr="006E3058" w:rsidRDefault="00115458" w:rsidP="00F94DFB">
      <w:pPr>
        <w:spacing w:after="0" w:line="240" w:lineRule="auto"/>
        <w:rPr>
          <w:rFonts w:cs="Arial"/>
          <w:b/>
          <w:bCs/>
          <w:iCs/>
          <w:caps/>
          <w:kern w:val="36"/>
          <w:sz w:val="24"/>
          <w:szCs w:val="28"/>
        </w:rPr>
      </w:pPr>
    </w:p>
    <w:p w14:paraId="0431DA80" w14:textId="77777777" w:rsidR="00863883" w:rsidRDefault="00863883" w:rsidP="00F94DFB">
      <w:pPr>
        <w:spacing w:after="0" w:line="240" w:lineRule="auto"/>
        <w:rPr>
          <w:rFonts w:eastAsiaTheme="majorEastAsia" w:cstheme="majorBidi"/>
          <w:b/>
          <w:iCs/>
          <w:sz w:val="24"/>
          <w:szCs w:val="24"/>
        </w:rPr>
      </w:pPr>
      <w:bookmarkStart w:id="1618" w:name="_Hlk152071658"/>
      <w:r>
        <w:rPr>
          <w:rFonts w:eastAsiaTheme="majorEastAsia" w:cstheme="majorBidi"/>
          <w:b/>
          <w:iCs/>
          <w:sz w:val="24"/>
          <w:szCs w:val="24"/>
        </w:rPr>
        <w:t xml:space="preserve">Specific AIIR approach </w:t>
      </w:r>
      <w:bookmarkEnd w:id="1618"/>
    </w:p>
    <w:p w14:paraId="6FD76112" w14:textId="77777777" w:rsidR="00863883" w:rsidRPr="006E3058" w:rsidRDefault="00115458" w:rsidP="00F94DFB">
      <w:pPr>
        <w:spacing w:after="0" w:line="240" w:lineRule="auto"/>
      </w:pPr>
      <w:r w:rsidRPr="006E3058">
        <w:br/>
      </w:r>
      <w:r w:rsidR="00863883" w:rsidRPr="006E3058">
        <w:t>The Specific AIIR approach requires the investment body information of the AIIR to be completed for each MIT, AMIT and CCIV sub-fund trust.  As such, a preparer, such as a custodian, reporting for two trusts</w:t>
      </w:r>
      <w:r w:rsidR="00863883" w:rsidRPr="006E3058" w:rsidDel="0000194A">
        <w:t xml:space="preserve"> </w:t>
      </w:r>
      <w:r w:rsidR="00863883" w:rsidRPr="006E3058">
        <w:t>would be required to prepare [and lodge] two separate AIIRs.</w:t>
      </w:r>
    </w:p>
    <w:p w14:paraId="34B3E567" w14:textId="77777777" w:rsidR="00863883" w:rsidRPr="006E3058" w:rsidRDefault="00863883" w:rsidP="00F94DFB">
      <w:pPr>
        <w:spacing w:after="0" w:line="240" w:lineRule="auto"/>
      </w:pPr>
    </w:p>
    <w:p w14:paraId="7087B159" w14:textId="67C18F81" w:rsidR="00F94DFB" w:rsidRPr="006E3058" w:rsidRDefault="00863883" w:rsidP="00F94DFB">
      <w:pPr>
        <w:spacing w:after="0" w:line="240" w:lineRule="auto"/>
      </w:pPr>
      <w:r w:rsidRPr="006E3058">
        <w:t>For example, the first AIIR would be completed by Smart Wealth Management as custodian for (ACF) Australian Real-estate Sub-fund (utilising the Australian Real-estate Sub-fund’s ABN at the investment body labels) and the second AIIR would be completed by Smart Wealth Management ACF Australian Equity Sub-fund (utilising the Australian Equity Sub-fund’s ABN at the investment body labels).</w:t>
      </w:r>
    </w:p>
    <w:p w14:paraId="2233FBAE" w14:textId="77777777" w:rsidR="00115458" w:rsidRPr="000F7061" w:rsidRDefault="00115458" w:rsidP="00F94DFB">
      <w:pPr>
        <w:spacing w:after="0" w:line="240" w:lineRule="auto"/>
        <w:rPr>
          <w:highlight w:val="yellow"/>
        </w:rPr>
      </w:pPr>
    </w:p>
    <w:p w14:paraId="64D0F8B0" w14:textId="77777777" w:rsidR="0090167B" w:rsidRPr="00071DAA" w:rsidRDefault="0090167B" w:rsidP="00F94DFB">
      <w:pPr>
        <w:pStyle w:val="Maintext"/>
        <w:rPr>
          <w:rFonts w:asciiTheme="minorHAnsi" w:hAnsiTheme="minorHAnsi"/>
          <w:b/>
          <w:sz w:val="20"/>
          <w:szCs w:val="20"/>
        </w:rPr>
      </w:pPr>
      <w:bookmarkStart w:id="1619" w:name="_Hlk152071672"/>
      <w:r w:rsidRPr="00071DAA">
        <w:rPr>
          <w:rFonts w:asciiTheme="minorHAnsi" w:hAnsiTheme="minorHAnsi"/>
          <w:b/>
          <w:sz w:val="20"/>
          <w:szCs w:val="20"/>
        </w:rPr>
        <w:t xml:space="preserve">Example 6.1 – Smart Wealth Management as custodian lodges 2 AIIRs using the Specific AIIR approach </w:t>
      </w:r>
    </w:p>
    <w:bookmarkEnd w:id="1619"/>
    <w:p w14:paraId="3C2A36CE" w14:textId="77777777" w:rsidR="00115458" w:rsidRPr="006E3058" w:rsidRDefault="00115458" w:rsidP="00F94DFB">
      <w:pPr>
        <w:pStyle w:val="Maintext"/>
        <w:rPr>
          <w:b/>
        </w:rPr>
      </w:pPr>
    </w:p>
    <w:p w14:paraId="383E5716" w14:textId="77777777" w:rsidR="0090167B" w:rsidRPr="00071DAA" w:rsidRDefault="0090167B" w:rsidP="00F94DFB">
      <w:pPr>
        <w:pStyle w:val="Maintext"/>
        <w:rPr>
          <w:rFonts w:asciiTheme="minorHAnsi" w:hAnsiTheme="minorHAnsi"/>
          <w:b/>
          <w:sz w:val="20"/>
          <w:szCs w:val="20"/>
        </w:rPr>
      </w:pPr>
      <w:r w:rsidRPr="00071DAA">
        <w:rPr>
          <w:rFonts w:asciiTheme="minorHAnsi" w:hAnsiTheme="minorHAnsi"/>
          <w:bCs/>
          <w:sz w:val="20"/>
          <w:szCs w:val="20"/>
        </w:rPr>
        <w:t>1</w:t>
      </w:r>
      <w:r w:rsidRPr="00071DAA">
        <w:rPr>
          <w:rFonts w:asciiTheme="minorHAnsi" w:hAnsiTheme="minorHAnsi"/>
          <w:bCs/>
          <w:sz w:val="20"/>
          <w:szCs w:val="20"/>
          <w:vertAlign w:val="superscript"/>
        </w:rPr>
        <w:t>st</w:t>
      </w:r>
      <w:r w:rsidRPr="00071DAA">
        <w:rPr>
          <w:rFonts w:asciiTheme="minorHAnsi" w:hAnsiTheme="minorHAnsi"/>
          <w:bCs/>
          <w:sz w:val="20"/>
          <w:szCs w:val="20"/>
        </w:rPr>
        <w:t xml:space="preserve"> AIIR lodgment for Australian Real-estate sub-fund trust</w:t>
      </w:r>
    </w:p>
    <w:p w14:paraId="6C25EF06" w14:textId="77777777" w:rsidR="0090167B" w:rsidRPr="00071DAA" w:rsidRDefault="0090167B" w:rsidP="00F94DFB">
      <w:pPr>
        <w:pStyle w:val="Maintext"/>
        <w:rPr>
          <w:rFonts w:asciiTheme="minorHAnsi" w:hAnsiTheme="minorHAnsi"/>
          <w:b/>
          <w:sz w:val="18"/>
          <w:szCs w:val="18"/>
        </w:rPr>
      </w:pPr>
    </w:p>
    <w:p w14:paraId="3D13CB04" w14:textId="77777777" w:rsidR="00F94DFB" w:rsidRDefault="0090167B" w:rsidP="00F94DFB">
      <w:pPr>
        <w:pStyle w:val="Maintext"/>
        <w:rPr>
          <w:rFonts w:asciiTheme="minorHAnsi" w:hAnsiTheme="minorHAnsi" w:cs="Arial"/>
          <w:b/>
          <w:smallCaps/>
          <w:sz w:val="18"/>
          <w:szCs w:val="18"/>
        </w:rPr>
      </w:pPr>
      <w:r w:rsidRPr="00071DAA">
        <w:rPr>
          <w:rFonts w:asciiTheme="minorHAnsi" w:hAnsiTheme="minorHAnsi" w:cs="Arial"/>
          <w:b/>
          <w:smallCaps/>
          <w:sz w:val="18"/>
          <w:szCs w:val="18"/>
        </w:rPr>
        <w:t xml:space="preserve"> </w:t>
      </w:r>
    </w:p>
    <w:p w14:paraId="71F815A0" w14:textId="77777777" w:rsidR="00F94DFB" w:rsidRDefault="00F94DFB">
      <w:pPr>
        <w:rPr>
          <w:rFonts w:eastAsia="Times New Roman" w:cs="Arial"/>
          <w:b/>
          <w:smallCaps/>
          <w:color w:val="auto"/>
          <w:sz w:val="18"/>
          <w:szCs w:val="18"/>
          <w:lang w:eastAsia="en-AU"/>
        </w:rPr>
      </w:pPr>
      <w:r>
        <w:rPr>
          <w:rFonts w:cs="Arial"/>
          <w:b/>
          <w:smallCaps/>
          <w:sz w:val="18"/>
          <w:szCs w:val="18"/>
        </w:rPr>
        <w:br w:type="page"/>
      </w:r>
    </w:p>
    <w:p w14:paraId="064FB650" w14:textId="3B6021A9" w:rsidR="0090167B" w:rsidRPr="00F94DFB" w:rsidRDefault="0090167B" w:rsidP="00F94DFB">
      <w:pPr>
        <w:pStyle w:val="Maintext"/>
        <w:rPr>
          <w:rFonts w:asciiTheme="minorHAnsi" w:hAnsiTheme="minorHAnsi" w:cs="Arial"/>
          <w:b/>
          <w:smallCaps/>
          <w:sz w:val="18"/>
          <w:szCs w:val="18"/>
        </w:rPr>
      </w:pPr>
      <w:r w:rsidRPr="006016EB">
        <w:rPr>
          <w:rFonts w:asciiTheme="minorHAnsi" w:hAnsiTheme="minorHAnsi" w:cs="Arial"/>
          <w:b/>
          <w:smallCaps/>
          <w:sz w:val="20"/>
          <w:szCs w:val="20"/>
        </w:rPr>
        <w:t xml:space="preserve">Investment body identity data record </w:t>
      </w:r>
      <w:r w:rsidRPr="006016EB">
        <w:rPr>
          <w:rFonts w:asciiTheme="minorHAnsi" w:hAnsiTheme="minorHAnsi" w:cs="Arial"/>
          <w:smallCaps/>
          <w:sz w:val="20"/>
          <w:szCs w:val="20"/>
        </w:rPr>
        <w:t xml:space="preserve">(extract) </w:t>
      </w:r>
    </w:p>
    <w:p w14:paraId="3B11DBBA" w14:textId="77777777" w:rsidR="0090167B" w:rsidRPr="006016EB" w:rsidRDefault="0090167B" w:rsidP="0090167B">
      <w:pPr>
        <w:pStyle w:val="Maintext"/>
        <w:rPr>
          <w:rFonts w:cs="Arial"/>
          <w:b/>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90167B" w:rsidRPr="006E3058" w14:paraId="18CB844F"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7273F0B" w14:textId="77777777" w:rsidR="0090167B" w:rsidRPr="00863883" w:rsidRDefault="0090167B" w:rsidP="000C1365">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7AA65FB" w14:textId="77777777" w:rsidR="0090167B" w:rsidRPr="00863883" w:rsidRDefault="0090167B" w:rsidP="000C1365">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F1737FB" w14:textId="77777777" w:rsidR="0090167B" w:rsidRPr="00863883" w:rsidRDefault="0090167B" w:rsidP="000C1365">
            <w:pPr>
              <w:spacing w:after="0" w:line="240" w:lineRule="auto"/>
              <w:rPr>
                <w:rFonts w:cs="Arial"/>
              </w:rPr>
            </w:pPr>
            <w:r w:rsidRPr="00071DAA">
              <w:rPr>
                <w:rFonts w:cs="Arial"/>
                <w:b/>
                <w:bCs/>
              </w:rPr>
              <w:t>Content</w:t>
            </w:r>
          </w:p>
        </w:tc>
      </w:tr>
      <w:tr w:rsidR="0090167B" w:rsidRPr="006E3058" w14:paraId="5E5A15A1"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29F824C" w14:textId="77777777" w:rsidR="0090167B" w:rsidRPr="00071DAA" w:rsidRDefault="0090167B" w:rsidP="000C1365">
            <w:pPr>
              <w:spacing w:after="0" w:line="240" w:lineRule="auto"/>
              <w:rPr>
                <w:rFonts w:cs="Arial"/>
              </w:rPr>
            </w:pPr>
            <w:r w:rsidRPr="00071DAA">
              <w:rPr>
                <w:rFonts w:cs="Arial"/>
              </w:rPr>
              <w:t>9.30</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4C566EE8" w14:textId="77777777" w:rsidR="0090167B" w:rsidRPr="00071DAA" w:rsidRDefault="0090167B" w:rsidP="000C1365">
            <w:pPr>
              <w:spacing w:after="0" w:line="240" w:lineRule="auto"/>
              <w:rPr>
                <w:rFonts w:cs="Arial"/>
              </w:rPr>
            </w:pPr>
            <w:r w:rsidRPr="00071DAA">
              <w:rPr>
                <w:rFonts w:cs="Arial"/>
              </w:rPr>
              <w:t>Financial year</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2AE99732" w14:textId="375A41B0" w:rsidR="0090167B" w:rsidRPr="00071DAA" w:rsidRDefault="0090167B" w:rsidP="000C1365">
            <w:pPr>
              <w:spacing w:after="0" w:line="240" w:lineRule="auto"/>
              <w:rPr>
                <w:rFonts w:cs="Arial"/>
              </w:rPr>
            </w:pPr>
            <w:r w:rsidRPr="00071DAA">
              <w:rPr>
                <w:rFonts w:cs="Arial"/>
              </w:rPr>
              <w:t>202</w:t>
            </w:r>
            <w:r w:rsidR="00BC5A1B">
              <w:rPr>
                <w:rFonts w:cs="Arial"/>
              </w:rPr>
              <w:t>6</w:t>
            </w:r>
          </w:p>
        </w:tc>
      </w:tr>
      <w:tr w:rsidR="0090167B" w:rsidRPr="006E3058" w14:paraId="44D390DE"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CB1BB" w14:textId="77777777" w:rsidR="0090167B" w:rsidRPr="00071DAA" w:rsidRDefault="0090167B" w:rsidP="000C1365">
            <w:pPr>
              <w:spacing w:after="0" w:line="240" w:lineRule="auto"/>
              <w:rPr>
                <w:rFonts w:cs="Arial"/>
              </w:rPr>
            </w:pPr>
            <w:r w:rsidRPr="00071DAA">
              <w:rPr>
                <w:rFonts w:cs="Arial"/>
              </w:rPr>
              <w:t>9.31</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B3085" w14:textId="77777777" w:rsidR="0090167B" w:rsidRPr="00071DAA" w:rsidRDefault="0090167B" w:rsidP="000C1365">
            <w:pPr>
              <w:spacing w:after="0" w:line="240" w:lineRule="auto"/>
              <w:rPr>
                <w:rFonts w:cs="Arial"/>
              </w:rPr>
            </w:pPr>
            <w:r w:rsidRPr="00071DAA">
              <w:rPr>
                <w:rFonts w:cs="Arial"/>
              </w:rPr>
              <w:t>Investment body Australian business number (ABN) or withholding payer number (WPN)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13323" w14:textId="77777777" w:rsidR="0090167B" w:rsidRPr="00071DAA" w:rsidRDefault="0090167B" w:rsidP="000C1365">
            <w:pPr>
              <w:spacing w:after="0" w:line="240" w:lineRule="auto"/>
              <w:rPr>
                <w:rFonts w:cs="Arial"/>
              </w:rPr>
            </w:pPr>
            <w:r w:rsidRPr="00071DAA">
              <w:rPr>
                <w:rFonts w:cs="Arial"/>
              </w:rPr>
              <w:t>ABN of Australian real estate sub-fund trust</w:t>
            </w:r>
          </w:p>
        </w:tc>
      </w:tr>
      <w:tr w:rsidR="0090167B" w:rsidRPr="006E3058" w14:paraId="6BE6CF4D"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9759C" w14:textId="77777777" w:rsidR="0090167B" w:rsidRPr="00071DAA" w:rsidRDefault="0090167B" w:rsidP="000C1365">
            <w:pPr>
              <w:spacing w:after="0" w:line="240" w:lineRule="auto"/>
              <w:rPr>
                <w:rFonts w:cs="Arial"/>
              </w:rPr>
            </w:pPr>
            <w:r w:rsidRPr="00071DAA">
              <w:rPr>
                <w:rFonts w:cs="Arial"/>
              </w:rPr>
              <w:t>9.33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196CB" w14:textId="77777777" w:rsidR="0090167B" w:rsidRPr="00071DAA" w:rsidRDefault="0090167B" w:rsidP="000C1365">
            <w:pPr>
              <w:spacing w:after="0" w:line="240" w:lineRule="auto"/>
              <w:rPr>
                <w:rFonts w:cs="Arial"/>
              </w:rPr>
            </w:pPr>
            <w:r w:rsidRPr="00071DAA">
              <w:rPr>
                <w:rFonts w:cs="Arial"/>
              </w:rPr>
              <w:t>Investment body registered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2E1A2" w14:textId="77777777" w:rsidR="0090167B" w:rsidRPr="00071DAA" w:rsidRDefault="0090167B" w:rsidP="000C1365">
            <w:pPr>
              <w:spacing w:after="0" w:line="240" w:lineRule="auto"/>
              <w:rPr>
                <w:rFonts w:cs="Arial"/>
              </w:rPr>
            </w:pPr>
            <w:r w:rsidRPr="00071DAA">
              <w:rPr>
                <w:rFonts w:cs="Arial"/>
              </w:rPr>
              <w:t>Australian real estate sub-fund trust</w:t>
            </w:r>
          </w:p>
        </w:tc>
      </w:tr>
      <w:tr w:rsidR="0090167B" w:rsidRPr="006E3058" w14:paraId="258CD023"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BB9CE" w14:textId="77777777" w:rsidR="0090167B" w:rsidRPr="00071DAA" w:rsidRDefault="0090167B" w:rsidP="000C1365">
            <w:pPr>
              <w:spacing w:after="0" w:line="240" w:lineRule="auto"/>
              <w:rPr>
                <w:rFonts w:cs="Arial"/>
              </w:rPr>
            </w:pPr>
            <w:r w:rsidRPr="00071DAA">
              <w:rPr>
                <w:rFonts w:cs="Arial"/>
              </w:rPr>
              <w:t>9.48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3DEFE" w14:textId="77777777" w:rsidR="0090167B" w:rsidRPr="00071DAA" w:rsidRDefault="0090167B" w:rsidP="000C1365">
            <w:pPr>
              <w:spacing w:after="0" w:line="240" w:lineRule="auto"/>
              <w:rPr>
                <w:rFonts w:cs="Arial"/>
              </w:rPr>
            </w:pPr>
            <w:r w:rsidRPr="00071DAA">
              <w:rPr>
                <w:rFonts w:cs="Arial"/>
              </w:rPr>
              <w:t>Investment body entity 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8E70DE" w14:textId="77777777" w:rsidR="0090167B" w:rsidRPr="00071DAA" w:rsidRDefault="0090167B" w:rsidP="000C1365">
            <w:pPr>
              <w:spacing w:after="0" w:line="240" w:lineRule="auto"/>
              <w:rPr>
                <w:rFonts w:cs="Arial"/>
              </w:rPr>
            </w:pPr>
            <w:r w:rsidRPr="00071DAA">
              <w:rPr>
                <w:rFonts w:cs="Arial"/>
              </w:rPr>
              <w:t>T</w:t>
            </w:r>
          </w:p>
        </w:tc>
      </w:tr>
      <w:tr w:rsidR="0090167B" w:rsidRPr="006E3058" w14:paraId="474FAFDE"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9A03D" w14:textId="77777777" w:rsidR="0090167B" w:rsidRPr="00071DAA" w:rsidRDefault="0090167B" w:rsidP="000C1365">
            <w:pPr>
              <w:spacing w:after="0" w:line="240" w:lineRule="auto"/>
              <w:rPr>
                <w:rFonts w:cs="Arial"/>
              </w:rPr>
            </w:pPr>
            <w:r w:rsidRPr="00071DAA">
              <w:rPr>
                <w:rFonts w:cs="Arial"/>
              </w:rPr>
              <w:t>9.49</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50F9D" w14:textId="77777777" w:rsidR="0090167B" w:rsidRPr="00071DAA" w:rsidRDefault="0090167B" w:rsidP="000C1365">
            <w:pPr>
              <w:spacing w:after="0" w:line="240" w:lineRule="auto"/>
              <w:rPr>
                <w:rFonts w:cs="Arial"/>
              </w:rPr>
            </w:pPr>
            <w:r w:rsidRPr="00071DAA">
              <w:rPr>
                <w:rFonts w:cs="Arial"/>
              </w:rPr>
              <w:t>Investment body entity sub-type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4D080" w14:textId="77777777" w:rsidR="0090167B" w:rsidRPr="00071DAA" w:rsidRDefault="0090167B" w:rsidP="000C1365">
            <w:pPr>
              <w:spacing w:after="0" w:line="240" w:lineRule="auto"/>
              <w:rPr>
                <w:rFonts w:cs="Arial"/>
              </w:rPr>
            </w:pPr>
            <w:r w:rsidRPr="00071DAA">
              <w:rPr>
                <w:rFonts w:cs="Arial"/>
              </w:rPr>
              <w:t>AMT</w:t>
            </w:r>
          </w:p>
        </w:tc>
      </w:tr>
    </w:tbl>
    <w:p w14:paraId="571AAAAB" w14:textId="77777777" w:rsidR="0090167B" w:rsidRPr="006E3058" w:rsidRDefault="0090167B" w:rsidP="0090167B"/>
    <w:p w14:paraId="351245DA" w14:textId="77777777" w:rsidR="0090167B" w:rsidRPr="00071DAA" w:rsidRDefault="0090167B" w:rsidP="0090167B">
      <w:pPr>
        <w:pStyle w:val="Maintext"/>
        <w:rPr>
          <w:rFonts w:asciiTheme="minorHAnsi" w:hAnsiTheme="minorHAnsi"/>
          <w:bCs/>
          <w:sz w:val="20"/>
          <w:szCs w:val="20"/>
        </w:rPr>
      </w:pPr>
      <w:r w:rsidRPr="00071DAA">
        <w:rPr>
          <w:rFonts w:asciiTheme="minorHAnsi" w:hAnsiTheme="minorHAnsi"/>
          <w:bCs/>
          <w:sz w:val="20"/>
          <w:szCs w:val="20"/>
        </w:rPr>
        <w:t>2</w:t>
      </w:r>
      <w:r w:rsidRPr="00071DAA">
        <w:rPr>
          <w:rFonts w:asciiTheme="minorHAnsi" w:hAnsiTheme="minorHAnsi"/>
          <w:bCs/>
          <w:sz w:val="20"/>
          <w:szCs w:val="20"/>
          <w:vertAlign w:val="superscript"/>
        </w:rPr>
        <w:t>nd</w:t>
      </w:r>
      <w:r w:rsidRPr="00071DAA">
        <w:rPr>
          <w:rFonts w:asciiTheme="minorHAnsi" w:hAnsiTheme="minorHAnsi"/>
          <w:bCs/>
          <w:sz w:val="20"/>
          <w:szCs w:val="20"/>
        </w:rPr>
        <w:t xml:space="preserve"> AIIR lodgment for Australian Equity sub-fund trust</w:t>
      </w:r>
    </w:p>
    <w:p w14:paraId="190E8CF9" w14:textId="77777777" w:rsidR="0090167B" w:rsidRPr="006E3058" w:rsidRDefault="0090167B" w:rsidP="0090167B">
      <w:pPr>
        <w:rPr>
          <w:rFonts w:cs="Arial"/>
          <w:b/>
          <w:bCs/>
          <w:iCs/>
          <w:caps/>
          <w:kern w:val="36"/>
          <w:sz w:val="24"/>
          <w:szCs w:val="28"/>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90167B" w:rsidRPr="006E3058" w14:paraId="6F349F65"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E42D897" w14:textId="77777777" w:rsidR="0090167B" w:rsidRPr="00863883" w:rsidRDefault="0090167B" w:rsidP="000C1365">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57BF22C" w14:textId="77777777" w:rsidR="0090167B" w:rsidRPr="00863883" w:rsidRDefault="0090167B" w:rsidP="000C1365">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F06493E" w14:textId="77777777" w:rsidR="0090167B" w:rsidRPr="00863883" w:rsidRDefault="0090167B" w:rsidP="000C1365">
            <w:pPr>
              <w:spacing w:after="0" w:line="240" w:lineRule="auto"/>
              <w:rPr>
                <w:rFonts w:cs="Arial"/>
              </w:rPr>
            </w:pPr>
            <w:r w:rsidRPr="00071DAA">
              <w:rPr>
                <w:rFonts w:cs="Arial"/>
                <w:b/>
                <w:bCs/>
              </w:rPr>
              <w:t>Content</w:t>
            </w:r>
          </w:p>
        </w:tc>
      </w:tr>
      <w:tr w:rsidR="0090167B" w:rsidRPr="006E3058" w14:paraId="294D8471"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0D3D7A8" w14:textId="77777777" w:rsidR="0090167B" w:rsidRPr="00071DAA" w:rsidRDefault="0090167B" w:rsidP="000C1365">
            <w:pPr>
              <w:spacing w:after="0" w:line="240" w:lineRule="auto"/>
              <w:rPr>
                <w:rFonts w:cs="Arial"/>
              </w:rPr>
            </w:pPr>
            <w:r w:rsidRPr="00071DAA">
              <w:rPr>
                <w:rFonts w:cs="Arial"/>
              </w:rPr>
              <w:t>9.30</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6A052C82" w14:textId="77777777" w:rsidR="0090167B" w:rsidRPr="00071DAA" w:rsidRDefault="0090167B" w:rsidP="000C1365">
            <w:pPr>
              <w:spacing w:after="0" w:line="240" w:lineRule="auto"/>
              <w:rPr>
                <w:rFonts w:cs="Arial"/>
              </w:rPr>
            </w:pPr>
            <w:r w:rsidRPr="00071DAA">
              <w:rPr>
                <w:rFonts w:cs="Arial"/>
              </w:rPr>
              <w:t>Financial year</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63896751" w14:textId="5F7C620D" w:rsidR="0090167B" w:rsidRPr="00071DAA" w:rsidRDefault="0090167B" w:rsidP="000C1365">
            <w:pPr>
              <w:spacing w:after="0" w:line="240" w:lineRule="auto"/>
              <w:rPr>
                <w:rFonts w:cs="Arial"/>
              </w:rPr>
            </w:pPr>
            <w:r w:rsidRPr="00071DAA">
              <w:rPr>
                <w:rFonts w:cs="Arial"/>
              </w:rPr>
              <w:t>202</w:t>
            </w:r>
            <w:r w:rsidR="00BC5A1B">
              <w:rPr>
                <w:rFonts w:cs="Arial"/>
              </w:rPr>
              <w:t>6</w:t>
            </w:r>
          </w:p>
        </w:tc>
      </w:tr>
      <w:tr w:rsidR="0090167B" w:rsidRPr="006E3058" w14:paraId="44361CF5"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E99C0" w14:textId="77777777" w:rsidR="0090167B" w:rsidRPr="00071DAA" w:rsidRDefault="0090167B" w:rsidP="000C1365">
            <w:pPr>
              <w:spacing w:after="0" w:line="240" w:lineRule="auto"/>
              <w:rPr>
                <w:rFonts w:cs="Arial"/>
              </w:rPr>
            </w:pPr>
            <w:r w:rsidRPr="00071DAA">
              <w:rPr>
                <w:rFonts w:cs="Arial"/>
              </w:rPr>
              <w:t>9.31</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D2526" w14:textId="77777777" w:rsidR="0090167B" w:rsidRPr="00071DAA" w:rsidRDefault="0090167B" w:rsidP="000C1365">
            <w:pPr>
              <w:spacing w:after="0" w:line="240" w:lineRule="auto"/>
              <w:rPr>
                <w:rFonts w:cs="Arial"/>
              </w:rPr>
            </w:pPr>
            <w:r w:rsidRPr="00071DAA">
              <w:rPr>
                <w:rFonts w:cs="Arial"/>
              </w:rPr>
              <w:t>Investment body Australian business number (ABN) or withholding payer number (WPN)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7312C" w14:textId="77777777" w:rsidR="0090167B" w:rsidRPr="00071DAA" w:rsidRDefault="0090167B" w:rsidP="000C1365">
            <w:pPr>
              <w:spacing w:after="0" w:line="240" w:lineRule="auto"/>
              <w:rPr>
                <w:rFonts w:cs="Arial"/>
              </w:rPr>
            </w:pPr>
            <w:r w:rsidRPr="00071DAA">
              <w:rPr>
                <w:rFonts w:cs="Arial"/>
              </w:rPr>
              <w:t>ABN of Australian equity sub-fund trust</w:t>
            </w:r>
          </w:p>
        </w:tc>
      </w:tr>
      <w:tr w:rsidR="0090167B" w:rsidRPr="006E3058" w14:paraId="7BCB1B0A"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1B0C7" w14:textId="77777777" w:rsidR="0090167B" w:rsidRPr="00071DAA" w:rsidRDefault="0090167B" w:rsidP="000C1365">
            <w:pPr>
              <w:spacing w:after="0" w:line="240" w:lineRule="auto"/>
              <w:rPr>
                <w:rFonts w:cs="Arial"/>
              </w:rPr>
            </w:pPr>
            <w:r w:rsidRPr="00071DAA">
              <w:rPr>
                <w:rFonts w:cs="Arial"/>
              </w:rPr>
              <w:t>9.33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7B0F6" w14:textId="77777777" w:rsidR="0090167B" w:rsidRPr="00071DAA" w:rsidRDefault="0090167B" w:rsidP="000C1365">
            <w:pPr>
              <w:spacing w:after="0" w:line="240" w:lineRule="auto"/>
              <w:rPr>
                <w:rFonts w:cs="Arial"/>
              </w:rPr>
            </w:pPr>
            <w:r w:rsidRPr="00071DAA">
              <w:rPr>
                <w:rFonts w:cs="Arial"/>
              </w:rPr>
              <w:t>Investment body reg</w:t>
            </w:r>
            <w:r>
              <w:rPr>
                <w:rFonts w:cs="Arial"/>
              </w:rPr>
              <w:t>ist</w:t>
            </w:r>
            <w:r w:rsidRPr="00071DAA">
              <w:rPr>
                <w:rFonts w:cs="Arial"/>
              </w:rPr>
              <w:t>ered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CB225" w14:textId="77777777" w:rsidR="0090167B" w:rsidRPr="00071DAA" w:rsidRDefault="0090167B" w:rsidP="000C1365">
            <w:pPr>
              <w:spacing w:after="0" w:line="240" w:lineRule="auto"/>
              <w:rPr>
                <w:rFonts w:cs="Arial"/>
              </w:rPr>
            </w:pPr>
            <w:r w:rsidRPr="00071DAA">
              <w:rPr>
                <w:rFonts w:cs="Arial"/>
              </w:rPr>
              <w:t>Australian equity sub-fund trust</w:t>
            </w:r>
          </w:p>
        </w:tc>
      </w:tr>
      <w:tr w:rsidR="0090167B" w:rsidRPr="006E3058" w14:paraId="302C3F4E"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95A86" w14:textId="77777777" w:rsidR="0090167B" w:rsidRPr="00071DAA" w:rsidRDefault="0090167B" w:rsidP="000C1365">
            <w:pPr>
              <w:spacing w:after="0" w:line="240" w:lineRule="auto"/>
              <w:rPr>
                <w:rFonts w:cs="Arial"/>
              </w:rPr>
            </w:pPr>
            <w:r w:rsidRPr="00071DAA">
              <w:rPr>
                <w:rFonts w:cs="Arial"/>
              </w:rPr>
              <w:t>9.48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A550" w14:textId="77777777" w:rsidR="0090167B" w:rsidRPr="00071DAA" w:rsidRDefault="0090167B" w:rsidP="000C1365">
            <w:pPr>
              <w:spacing w:after="0" w:line="240" w:lineRule="auto"/>
              <w:rPr>
                <w:rFonts w:cs="Arial"/>
              </w:rPr>
            </w:pPr>
            <w:r w:rsidRPr="00071DAA">
              <w:rPr>
                <w:rFonts w:cs="Arial"/>
              </w:rPr>
              <w:t>Investment body entity 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CD7B6" w14:textId="77777777" w:rsidR="0090167B" w:rsidRPr="00071DAA" w:rsidRDefault="0090167B" w:rsidP="000C1365">
            <w:pPr>
              <w:spacing w:after="0" w:line="240" w:lineRule="auto"/>
              <w:rPr>
                <w:rFonts w:cs="Arial"/>
              </w:rPr>
            </w:pPr>
            <w:r w:rsidRPr="00071DAA">
              <w:rPr>
                <w:rFonts w:cs="Arial"/>
              </w:rPr>
              <w:t>T</w:t>
            </w:r>
          </w:p>
        </w:tc>
      </w:tr>
      <w:tr w:rsidR="0090167B" w:rsidRPr="006E3058" w14:paraId="11B9CF1F"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5532D" w14:textId="77777777" w:rsidR="0090167B" w:rsidRPr="00071DAA" w:rsidRDefault="0090167B" w:rsidP="000C1365">
            <w:pPr>
              <w:spacing w:after="0" w:line="240" w:lineRule="auto"/>
              <w:rPr>
                <w:rFonts w:cs="Arial"/>
              </w:rPr>
            </w:pPr>
            <w:r w:rsidRPr="00071DAA">
              <w:rPr>
                <w:rFonts w:cs="Arial"/>
              </w:rPr>
              <w:t>9.49</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D4B5E6" w14:textId="77777777" w:rsidR="0090167B" w:rsidRPr="00071DAA" w:rsidRDefault="0090167B" w:rsidP="000C1365">
            <w:pPr>
              <w:spacing w:after="0" w:line="240" w:lineRule="auto"/>
              <w:rPr>
                <w:rFonts w:cs="Arial"/>
              </w:rPr>
            </w:pPr>
            <w:r w:rsidRPr="00071DAA">
              <w:rPr>
                <w:rFonts w:cs="Arial"/>
              </w:rPr>
              <w:t>Investment body entity sub-type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2F626" w14:textId="77777777" w:rsidR="0090167B" w:rsidRPr="00071DAA" w:rsidRDefault="0090167B" w:rsidP="000C1365">
            <w:pPr>
              <w:spacing w:after="0" w:line="240" w:lineRule="auto"/>
              <w:rPr>
                <w:rFonts w:cs="Arial"/>
              </w:rPr>
            </w:pPr>
            <w:r w:rsidRPr="00071DAA">
              <w:rPr>
                <w:rFonts w:cs="Arial"/>
              </w:rPr>
              <w:t>AMT</w:t>
            </w:r>
          </w:p>
        </w:tc>
      </w:tr>
    </w:tbl>
    <w:p w14:paraId="204B9E66" w14:textId="77777777" w:rsidR="0090167B" w:rsidRPr="006E3058" w:rsidRDefault="0090167B" w:rsidP="0090167B">
      <w:pPr>
        <w:rPr>
          <w:rFonts w:cs="Arial"/>
          <w:b/>
          <w:bCs/>
          <w:iCs/>
          <w:caps/>
          <w:kern w:val="36"/>
          <w:sz w:val="24"/>
          <w:szCs w:val="28"/>
        </w:rPr>
      </w:pPr>
    </w:p>
    <w:p w14:paraId="3F4F46F1" w14:textId="77777777" w:rsidR="0090167B" w:rsidRDefault="0090167B" w:rsidP="006016EB">
      <w:pPr>
        <w:spacing w:after="0" w:line="240" w:lineRule="auto"/>
        <w:rPr>
          <w:rFonts w:eastAsiaTheme="majorEastAsia" w:cstheme="majorBidi"/>
          <w:b/>
          <w:iCs/>
          <w:sz w:val="24"/>
          <w:szCs w:val="24"/>
        </w:rPr>
      </w:pPr>
      <w:r>
        <w:rPr>
          <w:rFonts w:eastAsiaTheme="majorEastAsia" w:cstheme="majorBidi"/>
          <w:b/>
          <w:iCs/>
          <w:sz w:val="24"/>
          <w:szCs w:val="24"/>
        </w:rPr>
        <w:t xml:space="preserve">Global AIIR approach </w:t>
      </w:r>
    </w:p>
    <w:p w14:paraId="26B5C344" w14:textId="77777777" w:rsidR="006016EB" w:rsidRPr="00071DAA" w:rsidRDefault="00115458" w:rsidP="006016EB">
      <w:pPr>
        <w:spacing w:after="0" w:line="240" w:lineRule="auto"/>
      </w:pPr>
      <w:r w:rsidRPr="006E3058">
        <w:br/>
      </w:r>
      <w:r w:rsidR="006016EB" w:rsidRPr="006016EB">
        <w:t>The Global approach allows larger preparers to complete a single AIIR in relation to multiple trusts (MIT, AMIT or CCIV sub-fund). The Global approach requires the AIIR preparer to utilise the Interposed Entity TFN/ABN (ABN preferred) and Interposed Entity Name fields in the Investment Account Data Record to provide the details of the trust that distributed/attributed the amounts to the investor.</w:t>
      </w:r>
    </w:p>
    <w:p w14:paraId="2610D6FB" w14:textId="77777777" w:rsidR="006016EB" w:rsidRPr="00071DAA" w:rsidRDefault="006016EB" w:rsidP="006016EB">
      <w:pPr>
        <w:spacing w:after="0" w:line="240" w:lineRule="auto"/>
      </w:pPr>
    </w:p>
    <w:p w14:paraId="6F141566" w14:textId="77777777" w:rsidR="006016EB" w:rsidRPr="00071DAA" w:rsidRDefault="006016EB" w:rsidP="006016EB">
      <w:pPr>
        <w:spacing w:after="0" w:line="240" w:lineRule="auto"/>
      </w:pPr>
      <w:r w:rsidRPr="00071DAA">
        <w:t xml:space="preserve">Where an AIIR preparer is attributing/distributing amounts from more than one fund (MIT, AMIT or CCIV sub-fund trust) the amounts from each different fund must be recorded separately within the investor level labels of the AIIR. </w:t>
      </w:r>
    </w:p>
    <w:p w14:paraId="7085EF6D" w14:textId="77777777" w:rsidR="006016EB" w:rsidRPr="00071DAA" w:rsidRDefault="006016EB" w:rsidP="006016EB">
      <w:pPr>
        <w:spacing w:after="0" w:line="240" w:lineRule="auto"/>
      </w:pPr>
    </w:p>
    <w:p w14:paraId="0604BD99" w14:textId="50859968" w:rsidR="00E8336A" w:rsidRPr="006016EB" w:rsidRDefault="006016EB" w:rsidP="00E8336A">
      <w:pPr>
        <w:spacing w:after="0" w:line="240" w:lineRule="auto"/>
      </w:pPr>
      <w:r w:rsidRPr="00071DAA">
        <w:t>For example, the Smart Wealth Management investment body would prepare a single AIIR using the Smart Wealth Management’s ABN at the investment body labels and identify the Australian Real-estate sub-fund at the interposed entity investor level labels relating to its investor attribution/distribution amounts. The Smart Wealth Management investment body would then include the Australian Equity sub-fund details at the interposed entity investor level labels relating to</w:t>
      </w:r>
      <w:bookmarkEnd w:id="1614"/>
      <w:r w:rsidR="00E8336A">
        <w:t xml:space="preserve"> </w:t>
      </w:r>
      <w:r w:rsidR="00E8336A" w:rsidRPr="00071DAA">
        <w:t>its investor attribution/distribution amounts.</w:t>
      </w:r>
    </w:p>
    <w:p w14:paraId="7EEA482E" w14:textId="77777777" w:rsidR="00E8336A" w:rsidRPr="006E3058" w:rsidRDefault="00E8336A" w:rsidP="00E8336A"/>
    <w:p w14:paraId="7CE0165A" w14:textId="77777777" w:rsidR="00E8336A" w:rsidRPr="006016EB" w:rsidRDefault="00E8336A" w:rsidP="00AF69BB">
      <w:pPr>
        <w:spacing w:after="0" w:line="240" w:lineRule="auto"/>
        <w:rPr>
          <w:b/>
          <w:bCs/>
        </w:rPr>
      </w:pPr>
      <w:r w:rsidRPr="006016EB">
        <w:rPr>
          <w:b/>
          <w:bCs/>
        </w:rPr>
        <w:t>Example 6.2 – Smart Wealth Management lodges 1 AIIR using the Global AIIR approach</w:t>
      </w:r>
    </w:p>
    <w:p w14:paraId="6314A8A4" w14:textId="77777777" w:rsidR="00F94DFB" w:rsidRDefault="00F94DFB" w:rsidP="00E8336A">
      <w:pPr>
        <w:pStyle w:val="Maintext"/>
        <w:rPr>
          <w:rFonts w:asciiTheme="minorHAnsi" w:hAnsiTheme="minorHAnsi"/>
          <w:bCs/>
          <w:sz w:val="20"/>
          <w:szCs w:val="20"/>
        </w:rPr>
      </w:pPr>
    </w:p>
    <w:p w14:paraId="468870C5" w14:textId="7C22EE15" w:rsidR="00E8336A" w:rsidRPr="00071DAA" w:rsidRDefault="00E8336A" w:rsidP="00E8336A">
      <w:pPr>
        <w:pStyle w:val="Maintext"/>
        <w:rPr>
          <w:rFonts w:asciiTheme="minorHAnsi" w:hAnsiTheme="minorHAnsi"/>
          <w:bCs/>
          <w:sz w:val="20"/>
          <w:szCs w:val="20"/>
        </w:rPr>
      </w:pPr>
      <w:r w:rsidRPr="00071DAA">
        <w:rPr>
          <w:rFonts w:asciiTheme="minorHAnsi" w:hAnsiTheme="minorHAnsi"/>
          <w:bCs/>
          <w:sz w:val="20"/>
          <w:szCs w:val="20"/>
        </w:rPr>
        <w:t>Smart Wealth Management lodges a single AIIR reporting attributions for Australian Real-estate sub-fund and Australian Equity sub-fund trusts</w:t>
      </w:r>
    </w:p>
    <w:p w14:paraId="7B5B0F7A" w14:textId="77777777" w:rsidR="00E8336A" w:rsidRPr="00071DAA" w:rsidRDefault="00E8336A" w:rsidP="00E8336A">
      <w:pPr>
        <w:pStyle w:val="Maintext"/>
        <w:rPr>
          <w:rFonts w:asciiTheme="minorHAnsi" w:hAnsiTheme="minorHAnsi"/>
          <w:bCs/>
          <w:sz w:val="20"/>
          <w:szCs w:val="20"/>
        </w:rPr>
      </w:pPr>
    </w:p>
    <w:p w14:paraId="6F6DBA52" w14:textId="77777777" w:rsidR="00E8336A" w:rsidRPr="00071DAA" w:rsidRDefault="00E8336A" w:rsidP="00E8336A">
      <w:pPr>
        <w:pStyle w:val="Maintext"/>
        <w:rPr>
          <w:rFonts w:asciiTheme="minorHAnsi" w:hAnsiTheme="minorHAnsi" w:cs="Arial"/>
          <w:smallCaps/>
          <w:sz w:val="20"/>
          <w:szCs w:val="20"/>
        </w:rPr>
      </w:pPr>
      <w:r w:rsidRPr="00071DAA">
        <w:rPr>
          <w:rFonts w:asciiTheme="minorHAnsi" w:hAnsiTheme="minorHAnsi" w:cs="Arial"/>
          <w:b/>
          <w:smallCaps/>
          <w:sz w:val="20"/>
          <w:szCs w:val="20"/>
        </w:rPr>
        <w:t xml:space="preserve">Investment body identity data record </w:t>
      </w:r>
      <w:r w:rsidRPr="00071DAA">
        <w:rPr>
          <w:rFonts w:asciiTheme="minorHAnsi" w:hAnsiTheme="minorHAnsi" w:cs="Arial"/>
          <w:smallCaps/>
          <w:sz w:val="20"/>
          <w:szCs w:val="20"/>
        </w:rPr>
        <w:t xml:space="preserve">(extract) </w:t>
      </w:r>
    </w:p>
    <w:p w14:paraId="5F91D77E" w14:textId="77777777" w:rsidR="00E8336A" w:rsidRPr="00071DAA" w:rsidRDefault="00E8336A" w:rsidP="00E8336A">
      <w:pPr>
        <w:pStyle w:val="Maintext"/>
        <w:rPr>
          <w:rFonts w:asciiTheme="minorHAnsi" w:hAnsiTheme="minorHAnsi" w:cs="Arial"/>
          <w:b/>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E8336A" w:rsidRPr="00F03058" w14:paraId="1A4BB0DF"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904F8C7" w14:textId="77777777" w:rsidR="00E8336A" w:rsidRPr="00F03058" w:rsidRDefault="00E8336A" w:rsidP="000C1365">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EC8DBBC" w14:textId="77777777" w:rsidR="00E8336A" w:rsidRPr="00F03058" w:rsidRDefault="00E8336A" w:rsidP="000C1365">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AA29570" w14:textId="77777777" w:rsidR="00E8336A" w:rsidRPr="00F03058" w:rsidRDefault="00E8336A" w:rsidP="000C1365">
            <w:pPr>
              <w:spacing w:after="0" w:line="240" w:lineRule="auto"/>
              <w:rPr>
                <w:rFonts w:cs="Arial"/>
              </w:rPr>
            </w:pPr>
            <w:r w:rsidRPr="00071DAA">
              <w:rPr>
                <w:rFonts w:cs="Arial"/>
                <w:b/>
                <w:bCs/>
              </w:rPr>
              <w:t>Content</w:t>
            </w:r>
          </w:p>
        </w:tc>
      </w:tr>
      <w:tr w:rsidR="00E8336A" w:rsidRPr="00F03058" w14:paraId="7DC8C607"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4CD23EA" w14:textId="77777777" w:rsidR="00E8336A" w:rsidRPr="00071DAA" w:rsidRDefault="00E8336A" w:rsidP="000C1365">
            <w:pPr>
              <w:spacing w:after="0" w:line="240" w:lineRule="auto"/>
              <w:rPr>
                <w:rFonts w:cs="Arial"/>
              </w:rPr>
            </w:pPr>
            <w:r w:rsidRPr="00071DAA">
              <w:rPr>
                <w:rFonts w:cs="Arial"/>
              </w:rPr>
              <w:t>9.30</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2CE7BE19" w14:textId="77777777" w:rsidR="00E8336A" w:rsidRPr="00071DAA" w:rsidRDefault="00E8336A" w:rsidP="000C1365">
            <w:pPr>
              <w:spacing w:after="0" w:line="240" w:lineRule="auto"/>
              <w:rPr>
                <w:rFonts w:cs="Arial"/>
              </w:rPr>
            </w:pPr>
            <w:r w:rsidRPr="00071DAA">
              <w:rPr>
                <w:rFonts w:cs="Arial"/>
              </w:rPr>
              <w:t>Financial year</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517482BF" w14:textId="3EE88B6D" w:rsidR="00E8336A" w:rsidRPr="00071DAA" w:rsidRDefault="00E8336A" w:rsidP="000C1365">
            <w:pPr>
              <w:spacing w:after="0" w:line="240" w:lineRule="auto"/>
              <w:rPr>
                <w:rFonts w:cs="Arial"/>
              </w:rPr>
            </w:pPr>
            <w:r w:rsidRPr="00071DAA">
              <w:rPr>
                <w:rFonts w:cs="Arial"/>
              </w:rPr>
              <w:t>202</w:t>
            </w:r>
            <w:r w:rsidR="00BC5A1B">
              <w:rPr>
                <w:rFonts w:cs="Arial"/>
              </w:rPr>
              <w:t>6</w:t>
            </w:r>
          </w:p>
        </w:tc>
      </w:tr>
      <w:tr w:rsidR="00E8336A" w:rsidRPr="00F03058" w14:paraId="73848A8E"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20949" w14:textId="77777777" w:rsidR="00E8336A" w:rsidRPr="00071DAA" w:rsidRDefault="00E8336A" w:rsidP="000C1365">
            <w:pPr>
              <w:spacing w:after="0" w:line="240" w:lineRule="auto"/>
              <w:rPr>
                <w:rFonts w:cs="Arial"/>
              </w:rPr>
            </w:pPr>
            <w:r w:rsidRPr="00071DAA">
              <w:rPr>
                <w:rFonts w:cs="Arial"/>
              </w:rPr>
              <w:t>9.31</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AEA0B" w14:textId="77777777" w:rsidR="00E8336A" w:rsidRPr="00071DAA" w:rsidRDefault="00E8336A" w:rsidP="000C1365">
            <w:pPr>
              <w:spacing w:after="0" w:line="240" w:lineRule="auto"/>
              <w:rPr>
                <w:rFonts w:cs="Arial"/>
              </w:rPr>
            </w:pPr>
            <w:r w:rsidRPr="00071DAA">
              <w:rPr>
                <w:rFonts w:cs="Arial"/>
              </w:rPr>
              <w:t>Investment body Australian business number (ABN) or withholding payer number (WPN)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18E80" w14:textId="77777777" w:rsidR="00E8336A" w:rsidRPr="00071DAA" w:rsidRDefault="00E8336A" w:rsidP="000C1365">
            <w:pPr>
              <w:spacing w:after="0" w:line="240" w:lineRule="auto"/>
              <w:rPr>
                <w:rFonts w:cs="Arial"/>
              </w:rPr>
            </w:pPr>
            <w:r w:rsidRPr="00071DAA">
              <w:rPr>
                <w:rFonts w:cs="Arial"/>
              </w:rPr>
              <w:t>ABN of Smart Wealth Management</w:t>
            </w:r>
          </w:p>
        </w:tc>
      </w:tr>
      <w:tr w:rsidR="00E8336A" w:rsidRPr="00F03058" w14:paraId="705D4F17"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4636B" w14:textId="77777777" w:rsidR="00E8336A" w:rsidRPr="00071DAA" w:rsidRDefault="00E8336A" w:rsidP="000C1365">
            <w:pPr>
              <w:spacing w:after="0" w:line="240" w:lineRule="auto"/>
              <w:rPr>
                <w:rFonts w:cs="Arial"/>
              </w:rPr>
            </w:pPr>
            <w:r w:rsidRPr="00071DAA">
              <w:rPr>
                <w:rFonts w:cs="Arial"/>
              </w:rPr>
              <w:t>9.33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6E733" w14:textId="77777777" w:rsidR="00E8336A" w:rsidRPr="00071DAA" w:rsidRDefault="00E8336A" w:rsidP="000C1365">
            <w:pPr>
              <w:spacing w:after="0" w:line="240" w:lineRule="auto"/>
              <w:rPr>
                <w:rFonts w:cs="Arial"/>
              </w:rPr>
            </w:pPr>
            <w:r w:rsidRPr="00071DAA">
              <w:rPr>
                <w:rFonts w:cs="Arial"/>
              </w:rPr>
              <w:t>Investment body registered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05582" w14:textId="77777777" w:rsidR="00E8336A" w:rsidRPr="00071DAA" w:rsidRDefault="00E8336A" w:rsidP="000C1365">
            <w:pPr>
              <w:spacing w:after="0" w:line="240" w:lineRule="auto"/>
              <w:rPr>
                <w:rFonts w:cs="Arial"/>
              </w:rPr>
            </w:pPr>
            <w:r w:rsidRPr="00071DAA">
              <w:rPr>
                <w:rFonts w:cs="Arial"/>
              </w:rPr>
              <w:t>Smart Wealth Management</w:t>
            </w:r>
          </w:p>
        </w:tc>
      </w:tr>
      <w:tr w:rsidR="00E8336A" w:rsidRPr="00F03058" w14:paraId="65A746F8"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010A7" w14:textId="77777777" w:rsidR="00E8336A" w:rsidRPr="00071DAA" w:rsidRDefault="00E8336A" w:rsidP="000C1365">
            <w:pPr>
              <w:spacing w:after="0" w:line="240" w:lineRule="auto"/>
              <w:rPr>
                <w:rFonts w:cs="Arial"/>
              </w:rPr>
            </w:pPr>
            <w:r w:rsidRPr="00071DAA">
              <w:rPr>
                <w:rFonts w:cs="Arial"/>
              </w:rPr>
              <w:t>9.48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BB4B3" w14:textId="77777777" w:rsidR="00E8336A" w:rsidRPr="00071DAA" w:rsidRDefault="00E8336A" w:rsidP="000C1365">
            <w:pPr>
              <w:spacing w:after="0" w:line="240" w:lineRule="auto"/>
              <w:rPr>
                <w:rFonts w:cs="Arial"/>
              </w:rPr>
            </w:pPr>
            <w:r w:rsidRPr="00071DAA">
              <w:rPr>
                <w:rFonts w:cs="Arial"/>
              </w:rPr>
              <w:t>Investment body entity 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035A9" w14:textId="77777777" w:rsidR="00E8336A" w:rsidRPr="00071DAA" w:rsidRDefault="00E8336A" w:rsidP="000C1365">
            <w:pPr>
              <w:spacing w:after="0" w:line="240" w:lineRule="auto"/>
              <w:rPr>
                <w:rFonts w:cs="Arial"/>
              </w:rPr>
            </w:pPr>
            <w:r w:rsidRPr="00071DAA">
              <w:rPr>
                <w:rFonts w:cs="Arial"/>
              </w:rPr>
              <w:t>T</w:t>
            </w:r>
          </w:p>
        </w:tc>
      </w:tr>
      <w:tr w:rsidR="00E8336A" w:rsidRPr="00F03058" w14:paraId="6FA69C53"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A893C" w14:textId="77777777" w:rsidR="00E8336A" w:rsidRPr="00071DAA" w:rsidRDefault="00E8336A" w:rsidP="000C1365">
            <w:pPr>
              <w:spacing w:after="0" w:line="240" w:lineRule="auto"/>
              <w:rPr>
                <w:rFonts w:cs="Arial"/>
              </w:rPr>
            </w:pPr>
            <w:r w:rsidRPr="00071DAA">
              <w:rPr>
                <w:rFonts w:cs="Arial"/>
              </w:rPr>
              <w:t>9.49</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FA746" w14:textId="77777777" w:rsidR="00E8336A" w:rsidRPr="00071DAA" w:rsidRDefault="00E8336A" w:rsidP="000C1365">
            <w:pPr>
              <w:spacing w:after="0" w:line="240" w:lineRule="auto"/>
              <w:rPr>
                <w:rFonts w:cs="Arial"/>
              </w:rPr>
            </w:pPr>
            <w:r w:rsidRPr="00071DAA">
              <w:rPr>
                <w:rFonts w:cs="Arial"/>
              </w:rPr>
              <w:t>Investment body entity sub-type code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11887" w14:textId="77777777" w:rsidR="00E8336A" w:rsidRPr="00071DAA" w:rsidRDefault="00E8336A" w:rsidP="000C1365">
            <w:pPr>
              <w:spacing w:after="0" w:line="240" w:lineRule="auto"/>
              <w:rPr>
                <w:rFonts w:cs="Arial"/>
              </w:rPr>
            </w:pPr>
            <w:r w:rsidRPr="00071DAA">
              <w:rPr>
                <w:rFonts w:cs="Arial"/>
              </w:rPr>
              <w:t>AMT</w:t>
            </w:r>
          </w:p>
        </w:tc>
      </w:tr>
    </w:tbl>
    <w:p w14:paraId="65C81F93" w14:textId="77777777" w:rsidR="00E8336A" w:rsidRPr="00F03058" w:rsidRDefault="00E8336A" w:rsidP="00E8336A">
      <w:pPr>
        <w:spacing w:after="0" w:line="240" w:lineRule="auto"/>
      </w:pPr>
    </w:p>
    <w:p w14:paraId="49703B52" w14:textId="77777777" w:rsidR="00E8336A" w:rsidRPr="00071DAA" w:rsidRDefault="00E8336A" w:rsidP="00E8336A">
      <w:pPr>
        <w:pStyle w:val="Maintext"/>
        <w:rPr>
          <w:rFonts w:asciiTheme="minorHAnsi" w:hAnsiTheme="minorHAnsi"/>
          <w:bCs/>
          <w:sz w:val="20"/>
          <w:szCs w:val="20"/>
        </w:rPr>
      </w:pPr>
      <w:r w:rsidRPr="00071DAA">
        <w:rPr>
          <w:rFonts w:asciiTheme="minorHAnsi" w:hAnsiTheme="minorHAnsi"/>
          <w:bCs/>
          <w:sz w:val="20"/>
          <w:szCs w:val="20"/>
        </w:rPr>
        <w:t>Smart Wealth Management reports an attribution to Tom Jones from Australian Real-estate sub-fund trust</w:t>
      </w:r>
    </w:p>
    <w:p w14:paraId="71A0885C" w14:textId="77777777" w:rsidR="00E8336A" w:rsidRPr="00F03058" w:rsidRDefault="00E8336A" w:rsidP="00E8336A">
      <w:pPr>
        <w:spacing w:after="0" w:line="240" w:lineRule="auto"/>
      </w:pPr>
    </w:p>
    <w:p w14:paraId="369C2DE1" w14:textId="58F186C8" w:rsidR="00E8336A" w:rsidRPr="00AF69BB" w:rsidRDefault="00E8336A" w:rsidP="00E226DE">
      <w:pPr>
        <w:pStyle w:val="Maintext"/>
        <w:rPr>
          <w:rFonts w:cs="Arial"/>
          <w:bCs/>
          <w:smallCaps/>
        </w:rPr>
      </w:pPr>
      <w:r w:rsidRPr="00F03058">
        <w:rPr>
          <w:rFonts w:asciiTheme="minorHAnsi" w:hAnsiTheme="minorHAnsi" w:cs="Arial"/>
          <w:b/>
          <w:smallCaps/>
          <w:sz w:val="20"/>
          <w:szCs w:val="20"/>
        </w:rPr>
        <w:t xml:space="preserve">investment account data record </w:t>
      </w:r>
      <w:r w:rsidRPr="00AF69BB">
        <w:rPr>
          <w:rFonts w:asciiTheme="minorHAnsi" w:hAnsiTheme="minorHAnsi" w:cs="Arial"/>
          <w:bCs/>
          <w:smallCaps/>
          <w:sz w:val="20"/>
          <w:szCs w:val="20"/>
        </w:rPr>
        <w:t>(extract)</w:t>
      </w:r>
    </w:p>
    <w:p w14:paraId="44CC9E77" w14:textId="77777777" w:rsidR="00E8336A" w:rsidRPr="00E226DE" w:rsidRDefault="00E8336A" w:rsidP="00E226DE">
      <w:pPr>
        <w:pStyle w:val="Maintext"/>
        <w:rPr>
          <w:rFonts w:cs="Arial"/>
          <w:b/>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E8336A" w:rsidRPr="00F03058" w14:paraId="49B27213"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098DF57" w14:textId="77777777" w:rsidR="00E8336A" w:rsidRPr="00F03058" w:rsidRDefault="00E8336A" w:rsidP="000C1365">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3BCD4D7" w14:textId="77777777" w:rsidR="00E8336A" w:rsidRPr="00F03058" w:rsidRDefault="00E8336A" w:rsidP="000C1365">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E3DF37B" w14:textId="77777777" w:rsidR="00E8336A" w:rsidRPr="00F03058" w:rsidRDefault="00E8336A" w:rsidP="000C1365">
            <w:pPr>
              <w:spacing w:after="0" w:line="240" w:lineRule="auto"/>
              <w:rPr>
                <w:rFonts w:cs="Arial"/>
              </w:rPr>
            </w:pPr>
            <w:r w:rsidRPr="00071DAA">
              <w:rPr>
                <w:rFonts w:cs="Arial"/>
                <w:b/>
                <w:bCs/>
              </w:rPr>
              <w:t>Content</w:t>
            </w:r>
          </w:p>
        </w:tc>
      </w:tr>
      <w:tr w:rsidR="00E8336A" w:rsidRPr="00F03058" w14:paraId="39AFC528"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F2C2D" w14:textId="77777777" w:rsidR="00E8336A" w:rsidRPr="00F03058" w:rsidRDefault="00E8336A" w:rsidP="000C1365">
            <w:pPr>
              <w:spacing w:after="0" w:line="240" w:lineRule="auto"/>
              <w:rPr>
                <w:rFonts w:cs="Arial"/>
              </w:rPr>
            </w:pPr>
            <w:r w:rsidRPr="00071DAA">
              <w:rPr>
                <w:rFonts w:cs="Arial"/>
              </w:rPr>
              <w:t>9.67</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FDE9C0D" w14:textId="77777777" w:rsidR="00E8336A" w:rsidRPr="00F03058" w:rsidRDefault="00E8336A" w:rsidP="000C1365">
            <w:pPr>
              <w:spacing w:after="0" w:line="240" w:lineRule="auto"/>
              <w:rPr>
                <w:rFonts w:cs="Arial"/>
              </w:rPr>
            </w:pPr>
            <w:r w:rsidRPr="00071DAA">
              <w:rPr>
                <w:rFonts w:cs="Arial"/>
              </w:rPr>
              <w:t>Account name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A159988" w14:textId="77777777" w:rsidR="00E8336A" w:rsidRPr="00F03058" w:rsidRDefault="00E8336A" w:rsidP="000C1365">
            <w:pPr>
              <w:spacing w:after="0" w:line="240" w:lineRule="auto"/>
              <w:rPr>
                <w:rFonts w:cs="Arial"/>
              </w:rPr>
            </w:pPr>
            <w:r w:rsidRPr="00071DAA">
              <w:rPr>
                <w:rFonts w:cs="Arial"/>
              </w:rPr>
              <w:t>Tom Jones</w:t>
            </w:r>
          </w:p>
        </w:tc>
      </w:tr>
      <w:tr w:rsidR="00E8336A" w:rsidRPr="00F03058" w14:paraId="300A288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2B65B3" w14:textId="77777777" w:rsidR="00E8336A" w:rsidRPr="00F03058" w:rsidRDefault="00E8336A" w:rsidP="000C1365">
            <w:pPr>
              <w:spacing w:after="0" w:line="240" w:lineRule="auto"/>
              <w:rPr>
                <w:rFonts w:cs="Arial"/>
              </w:rPr>
            </w:pPr>
            <w:r w:rsidRPr="00071DAA">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6E95985" w14:textId="77777777" w:rsidR="00E8336A" w:rsidRPr="00F03058" w:rsidRDefault="00E8336A" w:rsidP="000C1365">
            <w:pPr>
              <w:spacing w:after="0" w:line="240" w:lineRule="auto"/>
              <w:rPr>
                <w:rFonts w:cs="Arial"/>
              </w:rPr>
            </w:pPr>
            <w:r w:rsidRPr="00071DAA">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11C26D3" w14:textId="62514ABD" w:rsidR="00E8336A" w:rsidRPr="00071DAA" w:rsidRDefault="00E8336A" w:rsidP="000C1365">
            <w:pPr>
              <w:spacing w:after="0" w:line="240" w:lineRule="auto"/>
              <w:rPr>
                <w:rFonts w:cs="Arial"/>
              </w:rPr>
            </w:pPr>
            <w:r w:rsidRPr="00071DAA">
              <w:rPr>
                <w:rFonts w:cs="Arial"/>
              </w:rPr>
              <w:t>0109202</w:t>
            </w:r>
            <w:r w:rsidR="00956F9B">
              <w:rPr>
                <w:rFonts w:cs="Arial"/>
              </w:rPr>
              <w:t>5</w:t>
            </w:r>
          </w:p>
        </w:tc>
      </w:tr>
      <w:tr w:rsidR="00E8336A" w:rsidRPr="00F03058" w14:paraId="1DBC882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1552E" w14:textId="77777777" w:rsidR="00E8336A" w:rsidRPr="00F03058" w:rsidRDefault="00E8336A" w:rsidP="000C1365">
            <w:pPr>
              <w:spacing w:after="0" w:line="240" w:lineRule="auto"/>
              <w:rPr>
                <w:rFonts w:cs="Arial"/>
              </w:rPr>
            </w:pPr>
            <w:r w:rsidRPr="00071DAA">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3ED830A" w14:textId="77777777" w:rsidR="00E8336A" w:rsidRPr="00F03058" w:rsidRDefault="00E8336A" w:rsidP="000C1365">
            <w:pPr>
              <w:spacing w:after="0" w:line="240" w:lineRule="auto"/>
              <w:rPr>
                <w:rFonts w:cs="Arial"/>
              </w:rPr>
            </w:pPr>
            <w:r w:rsidRPr="00071DAA">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9C8F71B" w14:textId="77777777" w:rsidR="00E8336A" w:rsidRPr="00071DAA" w:rsidRDefault="00E8336A" w:rsidP="000C1365">
            <w:pPr>
              <w:spacing w:after="0" w:line="240" w:lineRule="auto"/>
              <w:rPr>
                <w:rFonts w:cs="Arial"/>
              </w:rPr>
            </w:pPr>
            <w:r w:rsidRPr="00071DAA">
              <w:rPr>
                <w:rFonts w:cs="Arial"/>
              </w:rPr>
              <w:t>0</w:t>
            </w:r>
          </w:p>
        </w:tc>
      </w:tr>
      <w:tr w:rsidR="00E8336A" w:rsidRPr="00F03058" w14:paraId="4C43268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DC44" w14:textId="77777777" w:rsidR="00E8336A" w:rsidRPr="00F03058" w:rsidRDefault="00E8336A" w:rsidP="000C1365">
            <w:pPr>
              <w:spacing w:after="0" w:line="240" w:lineRule="auto"/>
              <w:rPr>
                <w:rFonts w:cs="Arial"/>
              </w:rPr>
            </w:pPr>
            <w:r w:rsidRPr="00071DAA">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F71FAF7" w14:textId="77777777" w:rsidR="00E8336A" w:rsidRPr="00F03058" w:rsidRDefault="00E8336A" w:rsidP="000C1365">
            <w:pPr>
              <w:spacing w:after="0" w:line="240" w:lineRule="auto"/>
              <w:rPr>
                <w:rFonts w:cs="Arial"/>
              </w:rPr>
            </w:pPr>
            <w:r w:rsidRPr="00071DAA">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2B59C8A" w14:textId="77777777" w:rsidR="00E8336A" w:rsidRPr="00071DAA" w:rsidRDefault="00E8336A" w:rsidP="000C1365">
            <w:pPr>
              <w:spacing w:after="0" w:line="240" w:lineRule="auto"/>
              <w:rPr>
                <w:rFonts w:cs="Arial"/>
              </w:rPr>
            </w:pPr>
            <w:r w:rsidRPr="00071DAA">
              <w:rPr>
                <w:rFonts w:cs="Arial"/>
              </w:rPr>
              <w:t>AMT</w:t>
            </w:r>
          </w:p>
        </w:tc>
      </w:tr>
      <w:tr w:rsidR="00E8336A" w:rsidRPr="00F03058" w14:paraId="1E4454E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2B2047" w14:textId="77777777" w:rsidR="00E8336A" w:rsidRPr="00F03058" w:rsidRDefault="00E8336A" w:rsidP="000C1365">
            <w:pPr>
              <w:spacing w:after="0" w:line="240" w:lineRule="auto"/>
              <w:rPr>
                <w:rFonts w:cs="Arial"/>
              </w:rPr>
            </w:pPr>
            <w:r w:rsidRPr="00071DAA">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8225F3" w14:textId="77777777" w:rsidR="00E8336A" w:rsidRPr="00F03058" w:rsidRDefault="00E8336A" w:rsidP="000C1365">
            <w:pPr>
              <w:spacing w:after="0" w:line="240" w:lineRule="auto"/>
              <w:rPr>
                <w:rFonts w:cs="Arial"/>
              </w:rPr>
            </w:pPr>
            <w:r w:rsidRPr="00071DAA">
              <w:rPr>
                <w:rFonts w:cs="Arial"/>
              </w:rPr>
              <w:t>Interest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7F6B32C" w14:textId="77777777" w:rsidR="00E8336A" w:rsidRPr="00F03058" w:rsidRDefault="00E8336A" w:rsidP="000C1365">
            <w:pPr>
              <w:spacing w:after="0" w:line="240" w:lineRule="auto"/>
              <w:rPr>
                <w:rFonts w:cs="Arial"/>
              </w:rPr>
            </w:pPr>
            <w:r w:rsidRPr="00071DAA">
              <w:rPr>
                <w:rFonts w:cs="Arial"/>
              </w:rPr>
              <w:t>000000100000</w:t>
            </w:r>
          </w:p>
        </w:tc>
      </w:tr>
      <w:tr w:rsidR="00E8336A" w:rsidRPr="00F03058" w14:paraId="47C4DE3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7B2646" w14:textId="77777777" w:rsidR="00E8336A" w:rsidRPr="00F03058" w:rsidRDefault="00E8336A" w:rsidP="000C1365">
            <w:pPr>
              <w:spacing w:after="0" w:line="240" w:lineRule="auto"/>
              <w:rPr>
                <w:rFonts w:cs="Arial"/>
              </w:rPr>
            </w:pPr>
            <w:r w:rsidRPr="00071DAA">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5780FEB" w14:textId="77777777" w:rsidR="00E8336A" w:rsidRPr="00F03058" w:rsidRDefault="00E8336A" w:rsidP="000C1365">
            <w:pPr>
              <w:spacing w:after="0" w:line="240" w:lineRule="auto"/>
              <w:rPr>
                <w:rFonts w:cs="Arial"/>
              </w:rPr>
            </w:pPr>
            <w:r w:rsidRPr="00071DAA">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A075E99" w14:textId="77777777" w:rsidR="00E8336A" w:rsidRPr="00F03058" w:rsidRDefault="00E8336A" w:rsidP="000C1365">
            <w:pPr>
              <w:spacing w:after="0" w:line="240" w:lineRule="auto"/>
              <w:rPr>
                <w:rFonts w:cs="Arial"/>
              </w:rPr>
            </w:pPr>
            <w:r w:rsidRPr="00071DAA">
              <w:rPr>
                <w:rFonts w:cs="Arial"/>
              </w:rPr>
              <w:t>000000700000</w:t>
            </w:r>
          </w:p>
        </w:tc>
      </w:tr>
      <w:tr w:rsidR="00E8336A" w:rsidRPr="00F03058" w14:paraId="3595CFF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9428" w14:textId="77777777" w:rsidR="00E8336A" w:rsidRPr="00F03058" w:rsidRDefault="00E8336A" w:rsidP="000C1365">
            <w:pPr>
              <w:spacing w:after="0" w:line="240" w:lineRule="auto"/>
              <w:rPr>
                <w:rFonts w:cs="Arial"/>
              </w:rPr>
            </w:pPr>
            <w:r w:rsidRPr="00071DAA">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079BADD" w14:textId="77777777" w:rsidR="00E8336A" w:rsidRPr="00F03058" w:rsidRDefault="00E8336A" w:rsidP="000C1365">
            <w:pPr>
              <w:spacing w:after="0" w:line="240" w:lineRule="auto"/>
              <w:rPr>
                <w:rFonts w:cs="Arial"/>
              </w:rPr>
            </w:pPr>
            <w:r w:rsidRPr="00071DAA">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902A58C" w14:textId="77777777" w:rsidR="00E8336A" w:rsidRPr="00F03058" w:rsidRDefault="00E8336A" w:rsidP="000C1365">
            <w:pPr>
              <w:spacing w:after="0" w:line="240" w:lineRule="auto"/>
              <w:rPr>
                <w:rFonts w:cs="Arial"/>
              </w:rPr>
            </w:pPr>
            <w:r w:rsidRPr="00071DAA">
              <w:rPr>
                <w:rFonts w:cs="Arial"/>
              </w:rPr>
              <w:t>000000000000</w:t>
            </w:r>
          </w:p>
        </w:tc>
      </w:tr>
      <w:tr w:rsidR="00E8336A" w:rsidRPr="00F03058" w14:paraId="0618FC7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803FB" w14:textId="77777777" w:rsidR="00E8336A" w:rsidRPr="00F03058" w:rsidRDefault="00E8336A" w:rsidP="000C1365">
            <w:pPr>
              <w:spacing w:after="0" w:line="240" w:lineRule="auto"/>
              <w:rPr>
                <w:rFonts w:cs="Arial"/>
              </w:rPr>
            </w:pPr>
            <w:r w:rsidRPr="00071DAA">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9D986F" w14:textId="77777777" w:rsidR="00E8336A" w:rsidRPr="00F03058" w:rsidRDefault="00E8336A" w:rsidP="000C1365">
            <w:pPr>
              <w:spacing w:after="0" w:line="240" w:lineRule="auto"/>
              <w:rPr>
                <w:rFonts w:cs="Arial"/>
              </w:rPr>
            </w:pPr>
            <w:r w:rsidRPr="00071DAA">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EEDDBDF" w14:textId="77777777" w:rsidR="00E8336A" w:rsidRPr="00F03058" w:rsidRDefault="00E8336A" w:rsidP="000C1365">
            <w:pPr>
              <w:spacing w:after="0" w:line="240" w:lineRule="auto"/>
              <w:rPr>
                <w:rFonts w:cs="Arial"/>
              </w:rPr>
            </w:pPr>
            <w:r w:rsidRPr="00071DAA">
              <w:rPr>
                <w:rFonts w:cs="Arial"/>
              </w:rPr>
              <w:t>000000000000</w:t>
            </w:r>
          </w:p>
        </w:tc>
      </w:tr>
      <w:tr w:rsidR="00E8336A" w:rsidRPr="00F03058" w14:paraId="7BEA43D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9A1DDA" w14:textId="77777777" w:rsidR="00E8336A" w:rsidRPr="00F03058" w:rsidRDefault="00E8336A" w:rsidP="000C1365">
            <w:pPr>
              <w:spacing w:after="0" w:line="240" w:lineRule="auto"/>
              <w:rPr>
                <w:rFonts w:cs="Arial"/>
              </w:rPr>
            </w:pPr>
            <w:r w:rsidRPr="00071DAA">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77E5A6" w14:textId="77777777" w:rsidR="00E8336A" w:rsidRPr="00F03058" w:rsidRDefault="00E8336A" w:rsidP="000C1365">
            <w:pPr>
              <w:spacing w:after="0" w:line="240" w:lineRule="auto"/>
              <w:rPr>
                <w:rFonts w:cs="Arial"/>
              </w:rPr>
            </w:pPr>
            <w:r w:rsidRPr="00071DAA">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8B1E6A7" w14:textId="77777777" w:rsidR="00E8336A" w:rsidRPr="00F03058" w:rsidRDefault="00E8336A" w:rsidP="000C1365">
            <w:pPr>
              <w:spacing w:after="0" w:line="240" w:lineRule="auto"/>
              <w:rPr>
                <w:rFonts w:cs="Arial"/>
              </w:rPr>
            </w:pPr>
            <w:r w:rsidRPr="00071DAA">
              <w:rPr>
                <w:rFonts w:cs="Arial"/>
              </w:rPr>
              <w:t>000000000000</w:t>
            </w:r>
          </w:p>
        </w:tc>
      </w:tr>
      <w:tr w:rsidR="00E8336A" w:rsidRPr="00F03058" w14:paraId="11368DC4"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3AAC7C" w14:textId="77777777" w:rsidR="00E8336A" w:rsidRPr="00F03058" w:rsidRDefault="00E8336A" w:rsidP="000C1365">
            <w:pPr>
              <w:spacing w:after="0" w:line="240" w:lineRule="auto"/>
              <w:rPr>
                <w:rFonts w:cs="Arial"/>
              </w:rPr>
            </w:pPr>
            <w:r w:rsidRPr="00071DAA">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F7EF3C" w14:textId="77777777" w:rsidR="00E8336A" w:rsidRPr="00F03058" w:rsidRDefault="00E8336A" w:rsidP="000C1365">
            <w:pPr>
              <w:spacing w:after="0" w:line="240" w:lineRule="auto"/>
              <w:rPr>
                <w:rFonts w:cs="Arial"/>
              </w:rPr>
            </w:pPr>
            <w:r w:rsidRPr="00071DAA">
              <w:rPr>
                <w:rFonts w:cs="Arial"/>
              </w:rPr>
              <w:t>Other taxable Australian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0A190A3" w14:textId="77777777" w:rsidR="00E8336A" w:rsidRPr="00F03058" w:rsidRDefault="00E8336A" w:rsidP="000C1365">
            <w:pPr>
              <w:spacing w:after="0" w:line="240" w:lineRule="auto"/>
              <w:rPr>
                <w:rFonts w:cs="Arial"/>
              </w:rPr>
            </w:pPr>
            <w:r w:rsidRPr="00071DAA">
              <w:rPr>
                <w:rFonts w:cs="Arial"/>
              </w:rPr>
              <w:t>000000500000</w:t>
            </w:r>
          </w:p>
        </w:tc>
      </w:tr>
      <w:tr w:rsidR="00E8336A" w:rsidRPr="00F03058" w14:paraId="2786D13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E955CB" w14:textId="77777777" w:rsidR="00E8336A" w:rsidRPr="00F03058" w:rsidRDefault="00E8336A" w:rsidP="000C1365">
            <w:pPr>
              <w:spacing w:after="0" w:line="240" w:lineRule="auto"/>
              <w:rPr>
                <w:rFonts w:cs="Arial"/>
              </w:rPr>
            </w:pPr>
            <w:r w:rsidRPr="00071DAA">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68D326D" w14:textId="77777777" w:rsidR="00E8336A" w:rsidRPr="00F03058" w:rsidRDefault="00E8336A" w:rsidP="000C1365">
            <w:pPr>
              <w:spacing w:after="0" w:line="240" w:lineRule="auto"/>
              <w:rPr>
                <w:rFonts w:cs="Arial"/>
              </w:rPr>
            </w:pPr>
            <w:r w:rsidRPr="00071DAA">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1D445CE" w14:textId="77777777" w:rsidR="00E8336A" w:rsidRPr="00F03058" w:rsidRDefault="00E8336A" w:rsidP="000C1365">
            <w:pPr>
              <w:spacing w:after="0" w:line="240" w:lineRule="auto"/>
              <w:rPr>
                <w:rFonts w:cs="Arial"/>
              </w:rPr>
            </w:pPr>
            <w:r w:rsidRPr="00071DAA">
              <w:rPr>
                <w:rFonts w:cs="Arial"/>
              </w:rPr>
              <w:t>000001300000</w:t>
            </w:r>
          </w:p>
        </w:tc>
      </w:tr>
      <w:tr w:rsidR="00E8336A" w:rsidRPr="00F03058" w14:paraId="021E47F3"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61674" w14:textId="77777777" w:rsidR="00E8336A" w:rsidRPr="00F03058" w:rsidRDefault="00E8336A" w:rsidP="000C1365">
            <w:pPr>
              <w:spacing w:after="0" w:line="240" w:lineRule="auto"/>
              <w:rPr>
                <w:rFonts w:cs="Arial"/>
              </w:rPr>
            </w:pPr>
            <w:r w:rsidRPr="00071DAA">
              <w:rPr>
                <w:rFonts w:cs="Arial"/>
              </w:rPr>
              <w:t>9.98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865AA" w14:textId="77777777" w:rsidR="00E8336A" w:rsidRPr="00F03058" w:rsidRDefault="00E8336A" w:rsidP="000C1365">
            <w:pPr>
              <w:spacing w:after="0" w:line="240" w:lineRule="auto"/>
              <w:rPr>
                <w:rFonts w:cs="Arial"/>
              </w:rPr>
            </w:pPr>
            <w:r w:rsidRPr="00071DAA">
              <w:rPr>
                <w:rFonts w:cs="Arial"/>
              </w:rPr>
              <w:t>Other allowable trust deductions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0F89D" w14:textId="77777777" w:rsidR="00E8336A" w:rsidRPr="00F03058" w:rsidRDefault="00E8336A" w:rsidP="000C1365">
            <w:pPr>
              <w:spacing w:after="0" w:line="240" w:lineRule="auto"/>
              <w:rPr>
                <w:rFonts w:cs="Arial"/>
              </w:rPr>
            </w:pPr>
            <w:r w:rsidRPr="00071DAA">
              <w:rPr>
                <w:rFonts w:cs="Arial"/>
              </w:rPr>
              <w:t>000000000000</w:t>
            </w:r>
          </w:p>
        </w:tc>
      </w:tr>
      <w:tr w:rsidR="00E8336A" w:rsidRPr="00F03058" w14:paraId="450439EA"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AEF7F" w14:textId="77777777" w:rsidR="00E8336A" w:rsidRPr="00071DAA" w:rsidRDefault="00E8336A" w:rsidP="000C1365">
            <w:pPr>
              <w:spacing w:after="0" w:line="240" w:lineRule="auto"/>
              <w:rPr>
                <w:rFonts w:cs="Arial"/>
              </w:rPr>
            </w:pPr>
            <w:r w:rsidRPr="00071DAA">
              <w:rPr>
                <w:rFonts w:cs="Arial"/>
              </w:rPr>
              <w:t>9.103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2BA26" w14:textId="77777777" w:rsidR="00E8336A" w:rsidRPr="00071DAA" w:rsidRDefault="00E8336A" w:rsidP="000C1365">
            <w:pPr>
              <w:spacing w:after="0" w:line="240" w:lineRule="auto"/>
              <w:rPr>
                <w:rFonts w:cs="Arial"/>
              </w:rPr>
            </w:pPr>
            <w:r w:rsidRPr="00071DAA">
              <w:rPr>
                <w:rFonts w:cs="Arial"/>
              </w:rPr>
              <w:t>Interposed entity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C1A92" w14:textId="77777777" w:rsidR="00E8336A" w:rsidRPr="00071DAA" w:rsidRDefault="00E8336A" w:rsidP="000C1365">
            <w:pPr>
              <w:spacing w:after="0" w:line="240" w:lineRule="auto"/>
              <w:rPr>
                <w:rFonts w:cs="Arial"/>
              </w:rPr>
            </w:pPr>
            <w:r w:rsidRPr="00071DAA">
              <w:rPr>
                <w:rFonts w:cs="Arial"/>
              </w:rPr>
              <w:t>Australian Real-estate sub-fund trust</w:t>
            </w:r>
          </w:p>
        </w:tc>
      </w:tr>
      <w:tr w:rsidR="00E8336A" w:rsidRPr="00F03058" w14:paraId="4CBDDBBE"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EAEE8" w14:textId="77777777" w:rsidR="00E8336A" w:rsidRPr="00071DAA" w:rsidRDefault="00E8336A" w:rsidP="000C1365">
            <w:pPr>
              <w:spacing w:after="0" w:line="240" w:lineRule="auto"/>
              <w:rPr>
                <w:rFonts w:cs="Arial"/>
              </w:rPr>
            </w:pPr>
            <w:r w:rsidRPr="00071DAA">
              <w:rPr>
                <w:rFonts w:cs="Arial"/>
              </w:rPr>
              <w:t>9.104</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8DF82" w14:textId="77777777" w:rsidR="00E8336A" w:rsidRPr="00071DAA" w:rsidRDefault="00E8336A" w:rsidP="000C1365">
            <w:pPr>
              <w:spacing w:after="0" w:line="240" w:lineRule="auto"/>
              <w:rPr>
                <w:rFonts w:cs="Arial"/>
              </w:rPr>
            </w:pPr>
            <w:r w:rsidRPr="00071DAA">
              <w:rPr>
                <w:rFonts w:cs="Arial"/>
              </w:rPr>
              <w:t>Interposed entity TFN or ABN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36747" w14:textId="77777777" w:rsidR="00E8336A" w:rsidRPr="00071DAA" w:rsidRDefault="00E8336A" w:rsidP="000C1365">
            <w:pPr>
              <w:spacing w:after="0" w:line="240" w:lineRule="auto"/>
              <w:rPr>
                <w:rFonts w:cs="Arial"/>
              </w:rPr>
            </w:pPr>
            <w:r w:rsidRPr="00071DAA">
              <w:rPr>
                <w:rFonts w:cs="Arial"/>
              </w:rPr>
              <w:t>10100100100</w:t>
            </w:r>
          </w:p>
        </w:tc>
      </w:tr>
    </w:tbl>
    <w:p w14:paraId="4C6089B0" w14:textId="77777777" w:rsidR="00115458" w:rsidRPr="006E3058" w:rsidRDefault="00115458" w:rsidP="00115458">
      <w:pPr>
        <w:rPr>
          <w:rFonts w:cs="Arial"/>
        </w:rPr>
      </w:pPr>
    </w:p>
    <w:p w14:paraId="2C40E2AE" w14:textId="41E1DB56" w:rsidR="00D26CA7" w:rsidRDefault="00D26CA7" w:rsidP="00D26CA7">
      <w:pPr>
        <w:spacing w:after="0" w:line="240" w:lineRule="auto"/>
        <w:rPr>
          <w:rFonts w:cs="Arial"/>
          <w:smallCaps/>
        </w:rPr>
      </w:pPr>
      <w:r w:rsidRPr="006E3058">
        <w:rPr>
          <w:rFonts w:cs="Arial"/>
          <w:b/>
          <w:smallCaps/>
        </w:rPr>
        <w:t xml:space="preserve">supplementary income account data record </w:t>
      </w:r>
      <w:r w:rsidRPr="006E3058">
        <w:rPr>
          <w:rFonts w:cs="Arial"/>
          <w:smallCaps/>
        </w:rPr>
        <w:t>(extract)</w:t>
      </w:r>
    </w:p>
    <w:p w14:paraId="10A858AC" w14:textId="77777777" w:rsidR="009B6E03" w:rsidRPr="006E3058" w:rsidRDefault="009B6E03" w:rsidP="00D26CA7">
      <w:pPr>
        <w:spacing w:after="0" w:line="240" w:lineRule="auto"/>
        <w:rPr>
          <w:rFonts w:cs="Arial"/>
          <w:b/>
          <w:smallCaps/>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27"/>
        <w:gridCol w:w="5160"/>
        <w:gridCol w:w="2827"/>
      </w:tblGrid>
      <w:tr w:rsidR="00D26CA7" w:rsidRPr="006E3058" w14:paraId="11261AB5" w14:textId="77777777" w:rsidTr="07237D93">
        <w:trPr>
          <w:cantSplit/>
          <w:trHeight w:val="495"/>
          <w:tblHeader/>
        </w:trPr>
        <w:tc>
          <w:tcPr>
            <w:tcW w:w="666" w:type="pct"/>
            <w:shd w:val="clear" w:color="auto" w:fill="B3B3B3"/>
            <w:tcMar>
              <w:top w:w="0" w:type="dxa"/>
              <w:left w:w="108" w:type="dxa"/>
              <w:bottom w:w="0" w:type="dxa"/>
              <w:right w:w="108" w:type="dxa"/>
            </w:tcMar>
            <w:vAlign w:val="center"/>
          </w:tcPr>
          <w:p w14:paraId="039C6A5B" w14:textId="77777777" w:rsidR="00D26CA7" w:rsidRPr="00AF69BB" w:rsidRDefault="00D26CA7" w:rsidP="000C1365">
            <w:pPr>
              <w:spacing w:after="0" w:line="240" w:lineRule="auto"/>
              <w:rPr>
                <w:rFonts w:cs="Arial"/>
              </w:rPr>
            </w:pPr>
            <w:r w:rsidRPr="00071DAA">
              <w:rPr>
                <w:rFonts w:cs="Arial"/>
                <w:b/>
                <w:bCs/>
              </w:rPr>
              <w:t>Reference number</w:t>
            </w:r>
          </w:p>
        </w:tc>
        <w:tc>
          <w:tcPr>
            <w:tcW w:w="2800" w:type="pct"/>
            <w:shd w:val="clear" w:color="auto" w:fill="B3B3B3"/>
            <w:tcMar>
              <w:top w:w="0" w:type="dxa"/>
              <w:left w:w="108" w:type="dxa"/>
              <w:bottom w:w="0" w:type="dxa"/>
              <w:right w:w="108" w:type="dxa"/>
            </w:tcMar>
            <w:vAlign w:val="center"/>
          </w:tcPr>
          <w:p w14:paraId="22A8D0D2" w14:textId="77777777" w:rsidR="00D26CA7" w:rsidRPr="00AF69BB" w:rsidRDefault="00D26CA7" w:rsidP="000C1365">
            <w:pPr>
              <w:spacing w:after="0" w:line="240" w:lineRule="auto"/>
              <w:rPr>
                <w:rFonts w:cs="Arial"/>
              </w:rPr>
            </w:pPr>
            <w:r w:rsidRPr="00071DAA">
              <w:rPr>
                <w:rFonts w:cs="Arial"/>
                <w:b/>
                <w:bCs/>
              </w:rPr>
              <w:t>Field name</w:t>
            </w:r>
          </w:p>
        </w:tc>
        <w:tc>
          <w:tcPr>
            <w:tcW w:w="1534" w:type="pct"/>
            <w:shd w:val="clear" w:color="auto" w:fill="B3B3B3"/>
            <w:tcMar>
              <w:top w:w="0" w:type="dxa"/>
              <w:left w:w="108" w:type="dxa"/>
              <w:bottom w:w="0" w:type="dxa"/>
              <w:right w:w="108" w:type="dxa"/>
            </w:tcMar>
            <w:vAlign w:val="center"/>
          </w:tcPr>
          <w:p w14:paraId="415FBEC3" w14:textId="77777777" w:rsidR="00D26CA7" w:rsidRPr="00AF69BB" w:rsidRDefault="00D26CA7" w:rsidP="000C1365">
            <w:pPr>
              <w:spacing w:after="0" w:line="240" w:lineRule="auto"/>
              <w:rPr>
                <w:rFonts w:cs="Arial"/>
              </w:rPr>
            </w:pPr>
            <w:r w:rsidRPr="00071DAA">
              <w:rPr>
                <w:rFonts w:cs="Arial"/>
                <w:b/>
                <w:bCs/>
              </w:rPr>
              <w:t>Content</w:t>
            </w:r>
          </w:p>
        </w:tc>
      </w:tr>
      <w:tr w:rsidR="00D26CA7" w:rsidRPr="006E3058" w14:paraId="64132DB7" w14:textId="77777777" w:rsidTr="07237D93">
        <w:trPr>
          <w:cantSplit/>
          <w:trHeight w:val="270"/>
        </w:trPr>
        <w:tc>
          <w:tcPr>
            <w:tcW w:w="666" w:type="pct"/>
            <w:tcMar>
              <w:top w:w="0" w:type="dxa"/>
              <w:left w:w="108" w:type="dxa"/>
              <w:bottom w:w="0" w:type="dxa"/>
              <w:right w:w="108" w:type="dxa"/>
            </w:tcMar>
            <w:vAlign w:val="center"/>
          </w:tcPr>
          <w:p w14:paraId="7DDB3963" w14:textId="77777777" w:rsidR="00D26CA7" w:rsidRPr="00AF69BB" w:rsidRDefault="00D26CA7" w:rsidP="000C1365">
            <w:pPr>
              <w:spacing w:after="0" w:line="240" w:lineRule="auto"/>
              <w:rPr>
                <w:rFonts w:cs="Arial"/>
              </w:rPr>
            </w:pPr>
            <w:r w:rsidRPr="00071DAA">
              <w:rPr>
                <w:rFonts w:cs="Arial"/>
              </w:rPr>
              <w:t>9.119</w:t>
            </w:r>
          </w:p>
        </w:tc>
        <w:tc>
          <w:tcPr>
            <w:tcW w:w="2800" w:type="pct"/>
            <w:tcMar>
              <w:top w:w="0" w:type="dxa"/>
              <w:left w:w="108" w:type="dxa"/>
              <w:bottom w:w="0" w:type="dxa"/>
              <w:right w:w="108" w:type="dxa"/>
            </w:tcMar>
            <w:vAlign w:val="center"/>
          </w:tcPr>
          <w:p w14:paraId="5E358E8A" w14:textId="77777777" w:rsidR="00D26CA7" w:rsidRPr="00AF69BB" w:rsidRDefault="00D26CA7" w:rsidP="000C1365">
            <w:pPr>
              <w:spacing w:after="0" w:line="240" w:lineRule="auto"/>
              <w:rPr>
                <w:rFonts w:cs="Arial"/>
              </w:rPr>
            </w:pPr>
            <w:r w:rsidRPr="00071DAA">
              <w:rPr>
                <w:rFonts w:cs="Arial"/>
              </w:rPr>
              <w:t>Unfranked distributions from trusts (cents)</w:t>
            </w:r>
          </w:p>
        </w:tc>
        <w:tc>
          <w:tcPr>
            <w:tcW w:w="1534" w:type="pct"/>
            <w:tcMar>
              <w:top w:w="0" w:type="dxa"/>
              <w:left w:w="108" w:type="dxa"/>
              <w:bottom w:w="0" w:type="dxa"/>
              <w:right w:w="108" w:type="dxa"/>
            </w:tcMar>
            <w:vAlign w:val="center"/>
          </w:tcPr>
          <w:p w14:paraId="47AA1C79" w14:textId="77777777" w:rsidR="00D26CA7" w:rsidRPr="00AF69BB" w:rsidRDefault="00D26CA7" w:rsidP="000C1365">
            <w:pPr>
              <w:spacing w:after="0" w:line="240" w:lineRule="auto"/>
              <w:rPr>
                <w:rFonts w:cs="Arial"/>
              </w:rPr>
            </w:pPr>
            <w:r w:rsidRPr="00071DAA">
              <w:rPr>
                <w:rFonts w:cs="Arial"/>
              </w:rPr>
              <w:t>000000700000</w:t>
            </w:r>
          </w:p>
        </w:tc>
      </w:tr>
    </w:tbl>
    <w:p w14:paraId="4F0AE0C2" w14:textId="77777777" w:rsidR="009B6E03" w:rsidRDefault="009B6E03" w:rsidP="00D26CA7">
      <w:pPr>
        <w:spacing w:after="0" w:line="240" w:lineRule="auto"/>
        <w:rPr>
          <w:rFonts w:cs="Arial"/>
          <w:b/>
          <w:smallCaps/>
          <w:szCs w:val="22"/>
        </w:rPr>
      </w:pPr>
    </w:p>
    <w:p w14:paraId="5EE78666" w14:textId="77777777" w:rsidR="009B6E03" w:rsidRDefault="009B6E03">
      <w:pPr>
        <w:rPr>
          <w:rFonts w:cs="Arial"/>
          <w:b/>
          <w:smallCaps/>
          <w:szCs w:val="22"/>
        </w:rPr>
      </w:pPr>
      <w:r>
        <w:rPr>
          <w:rFonts w:cs="Arial"/>
          <w:b/>
          <w:smallCaps/>
          <w:szCs w:val="22"/>
        </w:rPr>
        <w:br w:type="page"/>
      </w:r>
    </w:p>
    <w:p w14:paraId="422F1569" w14:textId="25B2FED9" w:rsidR="00D26CA7" w:rsidRPr="006E3058" w:rsidRDefault="00D26CA7" w:rsidP="00D26CA7">
      <w:pPr>
        <w:spacing w:after="0" w:line="240" w:lineRule="auto"/>
        <w:rPr>
          <w:rFonts w:cs="Arial"/>
          <w:szCs w:val="22"/>
        </w:rPr>
      </w:pPr>
      <w:r w:rsidRPr="006E3058">
        <w:rPr>
          <w:rFonts w:cs="Arial"/>
          <w:b/>
          <w:smallCaps/>
          <w:szCs w:val="22"/>
        </w:rPr>
        <w:t>investor data record</w:t>
      </w:r>
      <w:r w:rsidRPr="006E3058">
        <w:rPr>
          <w:rFonts w:cs="Arial"/>
          <w:szCs w:val="22"/>
        </w:rPr>
        <w:t xml:space="preserve"> </w:t>
      </w:r>
      <w:r w:rsidRPr="006E3058">
        <w:rPr>
          <w:rFonts w:cs="Arial"/>
          <w:smallCaps/>
          <w:szCs w:val="22"/>
        </w:rPr>
        <w:t>(extract)</w:t>
      </w:r>
    </w:p>
    <w:p w14:paraId="2355229B" w14:textId="77777777" w:rsidR="00D26CA7" w:rsidRPr="006E3058" w:rsidRDefault="00D26CA7" w:rsidP="00D26CA7">
      <w:pPr>
        <w:rPr>
          <w:rFonts w:cs="Arial"/>
        </w:rPr>
      </w:pPr>
    </w:p>
    <w:tbl>
      <w:tblPr>
        <w:tblW w:w="5000" w:type="pct"/>
        <w:tblLook w:val="0000" w:firstRow="0" w:lastRow="0" w:firstColumn="0" w:lastColumn="0" w:noHBand="0" w:noVBand="0"/>
      </w:tblPr>
      <w:tblGrid>
        <w:gridCol w:w="1227"/>
        <w:gridCol w:w="5202"/>
        <w:gridCol w:w="2853"/>
      </w:tblGrid>
      <w:tr w:rsidR="00D26CA7" w:rsidRPr="006E3058" w14:paraId="34A0C211" w14:textId="77777777" w:rsidTr="000C1365">
        <w:trPr>
          <w:cantSplit/>
          <w:trHeight w:val="495"/>
          <w:tblHeader/>
        </w:trPr>
        <w:tc>
          <w:tcPr>
            <w:tcW w:w="586" w:type="pct"/>
            <w:tcBorders>
              <w:top w:val="single" w:sz="6" w:space="0" w:color="auto"/>
              <w:left w:val="single" w:sz="6" w:space="0" w:color="auto"/>
              <w:bottom w:val="single" w:sz="6" w:space="0" w:color="auto"/>
              <w:right w:val="single" w:sz="6" w:space="0" w:color="auto"/>
            </w:tcBorders>
            <w:shd w:val="clear" w:color="auto" w:fill="B3B3B3"/>
            <w:vAlign w:val="center"/>
          </w:tcPr>
          <w:p w14:paraId="141D5666" w14:textId="77777777" w:rsidR="00D26CA7" w:rsidRPr="00071DAA" w:rsidRDefault="00D26CA7" w:rsidP="000C1365">
            <w:pPr>
              <w:spacing w:after="0" w:line="240" w:lineRule="auto"/>
              <w:rPr>
                <w:rFonts w:cs="Arial"/>
                <w:b/>
                <w:bCs/>
              </w:rPr>
            </w:pPr>
            <w:r w:rsidRPr="00071DAA">
              <w:rPr>
                <w:rFonts w:cs="Arial"/>
                <w:b/>
                <w:bCs/>
              </w:rPr>
              <w:t>Reference number</w:t>
            </w:r>
          </w:p>
        </w:tc>
        <w:tc>
          <w:tcPr>
            <w:tcW w:w="2840" w:type="pct"/>
            <w:tcBorders>
              <w:top w:val="single" w:sz="6" w:space="0" w:color="auto"/>
              <w:left w:val="single" w:sz="6" w:space="0" w:color="auto"/>
              <w:bottom w:val="single" w:sz="6" w:space="0" w:color="auto"/>
              <w:right w:val="single" w:sz="6" w:space="0" w:color="auto"/>
            </w:tcBorders>
            <w:shd w:val="clear" w:color="auto" w:fill="B3B3B3"/>
            <w:vAlign w:val="center"/>
          </w:tcPr>
          <w:p w14:paraId="44884279" w14:textId="77777777" w:rsidR="00D26CA7" w:rsidRPr="00071DAA" w:rsidRDefault="00D26CA7" w:rsidP="000C1365">
            <w:pPr>
              <w:spacing w:after="0" w:line="240" w:lineRule="auto"/>
              <w:rPr>
                <w:rFonts w:cs="Arial"/>
                <w:b/>
                <w:bCs/>
              </w:rPr>
            </w:pPr>
            <w:r w:rsidRPr="00071DAA">
              <w:rPr>
                <w:rFonts w:cs="Arial"/>
                <w:b/>
                <w:bCs/>
              </w:rPr>
              <w:t>Field name</w:t>
            </w:r>
          </w:p>
        </w:tc>
        <w:tc>
          <w:tcPr>
            <w:tcW w:w="1574" w:type="pct"/>
            <w:tcBorders>
              <w:top w:val="single" w:sz="6" w:space="0" w:color="auto"/>
              <w:left w:val="single" w:sz="6" w:space="0" w:color="auto"/>
              <w:bottom w:val="single" w:sz="6" w:space="0" w:color="auto"/>
              <w:right w:val="single" w:sz="6" w:space="0" w:color="auto"/>
            </w:tcBorders>
            <w:shd w:val="clear" w:color="auto" w:fill="B3B3B3"/>
            <w:vAlign w:val="center"/>
          </w:tcPr>
          <w:p w14:paraId="3A6AF75F" w14:textId="77777777" w:rsidR="00D26CA7" w:rsidRPr="00071DAA" w:rsidRDefault="00D26CA7" w:rsidP="000C1365">
            <w:pPr>
              <w:spacing w:after="0" w:line="240" w:lineRule="auto"/>
              <w:rPr>
                <w:rFonts w:cs="Arial"/>
                <w:b/>
                <w:bCs/>
              </w:rPr>
            </w:pPr>
            <w:r w:rsidRPr="00071DAA">
              <w:rPr>
                <w:rFonts w:cs="Arial"/>
                <w:b/>
                <w:bCs/>
              </w:rPr>
              <w:t>Content</w:t>
            </w:r>
          </w:p>
        </w:tc>
      </w:tr>
      <w:tr w:rsidR="00D26CA7" w:rsidRPr="006E3058" w14:paraId="4BEECFE6" w14:textId="77777777" w:rsidTr="00427C84">
        <w:trPr>
          <w:cantSplit/>
          <w:trHeight w:val="270"/>
        </w:trPr>
        <w:tc>
          <w:tcPr>
            <w:tcW w:w="586" w:type="pct"/>
            <w:tcBorders>
              <w:top w:val="nil"/>
              <w:left w:val="single" w:sz="8" w:space="0" w:color="auto"/>
              <w:bottom w:val="single" w:sz="8" w:space="0" w:color="auto"/>
              <w:right w:val="single" w:sz="8" w:space="0" w:color="auto"/>
            </w:tcBorders>
            <w:vAlign w:val="center"/>
          </w:tcPr>
          <w:p w14:paraId="1641D5C1" w14:textId="0CAAA626" w:rsidR="00D26CA7" w:rsidRPr="00071DAA" w:rsidRDefault="00D26CA7" w:rsidP="000C1365">
            <w:pPr>
              <w:spacing w:after="0" w:line="240" w:lineRule="auto"/>
              <w:rPr>
                <w:rFonts w:cs="Arial"/>
              </w:rPr>
            </w:pPr>
            <w:r w:rsidRPr="00071DAA">
              <w:rPr>
                <w:rFonts w:cs="Arial"/>
              </w:rPr>
              <w:t>9.</w:t>
            </w:r>
            <w:r w:rsidR="0009105B" w:rsidRPr="00071DAA">
              <w:rPr>
                <w:rFonts w:cs="Arial"/>
              </w:rPr>
              <w:t>19</w:t>
            </w:r>
            <w:r w:rsidR="0009105B">
              <w:rPr>
                <w:rFonts w:cs="Arial"/>
              </w:rPr>
              <w:t>7</w:t>
            </w:r>
          </w:p>
        </w:tc>
        <w:tc>
          <w:tcPr>
            <w:tcW w:w="2840" w:type="pct"/>
            <w:tcBorders>
              <w:top w:val="nil"/>
              <w:left w:val="nil"/>
              <w:bottom w:val="single" w:sz="8" w:space="0" w:color="auto"/>
              <w:right w:val="single" w:sz="8" w:space="0" w:color="auto"/>
            </w:tcBorders>
            <w:vAlign w:val="center"/>
          </w:tcPr>
          <w:p w14:paraId="76B1FCD7" w14:textId="77777777" w:rsidR="00D26CA7" w:rsidRPr="00071DAA" w:rsidRDefault="00D26CA7" w:rsidP="000C1365">
            <w:pPr>
              <w:spacing w:after="0" w:line="240" w:lineRule="auto"/>
              <w:rPr>
                <w:rFonts w:cs="Arial"/>
              </w:rPr>
            </w:pPr>
            <w:r w:rsidRPr="00071DAA">
              <w:rPr>
                <w:rFonts w:cs="Arial"/>
              </w:rPr>
              <w:t>Investor entity type</w:t>
            </w:r>
          </w:p>
        </w:tc>
        <w:tc>
          <w:tcPr>
            <w:tcW w:w="1574" w:type="pct"/>
            <w:tcBorders>
              <w:top w:val="nil"/>
              <w:left w:val="nil"/>
              <w:bottom w:val="single" w:sz="8" w:space="0" w:color="auto"/>
              <w:right w:val="single" w:sz="8" w:space="0" w:color="auto"/>
            </w:tcBorders>
            <w:vAlign w:val="center"/>
          </w:tcPr>
          <w:p w14:paraId="253DB8FF" w14:textId="77777777" w:rsidR="00D26CA7" w:rsidRPr="00071DAA" w:rsidRDefault="00D26CA7" w:rsidP="000C1365">
            <w:pPr>
              <w:spacing w:after="0" w:line="240" w:lineRule="auto"/>
              <w:rPr>
                <w:rFonts w:cs="Arial"/>
              </w:rPr>
            </w:pPr>
            <w:r w:rsidRPr="00071DAA">
              <w:rPr>
                <w:rFonts w:cs="Arial"/>
              </w:rPr>
              <w:t>I</w:t>
            </w:r>
          </w:p>
        </w:tc>
      </w:tr>
      <w:tr w:rsidR="00D26CA7" w:rsidRPr="006E3058" w14:paraId="7C153F44" w14:textId="77777777" w:rsidTr="00427C84">
        <w:trPr>
          <w:cantSplit/>
          <w:trHeight w:val="270"/>
        </w:trPr>
        <w:tc>
          <w:tcPr>
            <w:tcW w:w="586" w:type="pct"/>
            <w:tcBorders>
              <w:top w:val="nil"/>
              <w:left w:val="single" w:sz="8" w:space="0" w:color="auto"/>
              <w:bottom w:val="single" w:sz="8" w:space="0" w:color="auto"/>
              <w:right w:val="single" w:sz="8" w:space="0" w:color="auto"/>
            </w:tcBorders>
            <w:vAlign w:val="center"/>
          </w:tcPr>
          <w:p w14:paraId="23AA8C6A" w14:textId="659F7F27" w:rsidR="00D26CA7" w:rsidRPr="00071DAA" w:rsidRDefault="00D26CA7" w:rsidP="000C1365">
            <w:pPr>
              <w:spacing w:after="0" w:line="240" w:lineRule="auto"/>
              <w:rPr>
                <w:rFonts w:cs="Arial"/>
              </w:rPr>
            </w:pPr>
            <w:r w:rsidRPr="00071DAA">
              <w:rPr>
                <w:rFonts w:cs="Arial"/>
              </w:rPr>
              <w:t>9.</w:t>
            </w:r>
            <w:r w:rsidR="0009105B" w:rsidRPr="00071DAA">
              <w:rPr>
                <w:rFonts w:cs="Arial"/>
              </w:rPr>
              <w:t>19</w:t>
            </w:r>
            <w:r w:rsidR="0009105B">
              <w:rPr>
                <w:rFonts w:cs="Arial"/>
              </w:rPr>
              <w:t>8</w:t>
            </w:r>
          </w:p>
        </w:tc>
        <w:tc>
          <w:tcPr>
            <w:tcW w:w="2840" w:type="pct"/>
            <w:tcBorders>
              <w:top w:val="nil"/>
              <w:left w:val="nil"/>
              <w:bottom w:val="single" w:sz="8" w:space="0" w:color="auto"/>
              <w:right w:val="single" w:sz="8" w:space="0" w:color="auto"/>
            </w:tcBorders>
            <w:vAlign w:val="center"/>
          </w:tcPr>
          <w:p w14:paraId="60D97A86" w14:textId="77777777" w:rsidR="00D26CA7" w:rsidRPr="00071DAA" w:rsidRDefault="00D26CA7" w:rsidP="000C1365">
            <w:pPr>
              <w:spacing w:after="0" w:line="240" w:lineRule="auto"/>
              <w:rPr>
                <w:rFonts w:cs="Arial"/>
              </w:rPr>
            </w:pPr>
            <w:r w:rsidRPr="00071DAA">
              <w:rPr>
                <w:rFonts w:cs="Arial"/>
              </w:rPr>
              <w:t>Investor tax file number</w:t>
            </w:r>
          </w:p>
        </w:tc>
        <w:tc>
          <w:tcPr>
            <w:tcW w:w="1574" w:type="pct"/>
            <w:tcBorders>
              <w:top w:val="nil"/>
              <w:left w:val="nil"/>
              <w:bottom w:val="single" w:sz="8" w:space="0" w:color="auto"/>
              <w:right w:val="single" w:sz="8" w:space="0" w:color="auto"/>
            </w:tcBorders>
            <w:vAlign w:val="center"/>
          </w:tcPr>
          <w:p w14:paraId="123E537B" w14:textId="77777777" w:rsidR="00D26CA7" w:rsidRPr="00071DAA" w:rsidRDefault="00D26CA7" w:rsidP="000C1365">
            <w:pPr>
              <w:spacing w:after="0" w:line="240" w:lineRule="auto"/>
              <w:rPr>
                <w:rFonts w:cs="Arial"/>
              </w:rPr>
            </w:pPr>
            <w:r w:rsidRPr="00071DAA">
              <w:rPr>
                <w:rFonts w:cs="Arial"/>
              </w:rPr>
              <w:t>965477891</w:t>
            </w:r>
          </w:p>
        </w:tc>
      </w:tr>
      <w:tr w:rsidR="00D26CA7" w:rsidRPr="006E3058" w14:paraId="01624F66" w14:textId="77777777" w:rsidTr="00427C84">
        <w:trPr>
          <w:cantSplit/>
          <w:trHeight w:val="270"/>
        </w:trPr>
        <w:tc>
          <w:tcPr>
            <w:tcW w:w="586" w:type="pct"/>
            <w:tcBorders>
              <w:top w:val="nil"/>
              <w:left w:val="single" w:sz="8" w:space="0" w:color="auto"/>
              <w:bottom w:val="single" w:sz="8" w:space="0" w:color="auto"/>
              <w:right w:val="single" w:sz="8" w:space="0" w:color="auto"/>
            </w:tcBorders>
            <w:vAlign w:val="center"/>
          </w:tcPr>
          <w:p w14:paraId="56290CA3" w14:textId="7E631C9A" w:rsidR="00D26CA7" w:rsidRPr="00071DAA" w:rsidRDefault="00D26CA7" w:rsidP="000C1365">
            <w:pPr>
              <w:spacing w:after="0" w:line="240" w:lineRule="auto"/>
              <w:rPr>
                <w:rFonts w:cs="Arial"/>
              </w:rPr>
            </w:pPr>
            <w:r w:rsidRPr="00071DAA">
              <w:rPr>
                <w:rFonts w:cs="Arial"/>
              </w:rPr>
              <w:t>9.</w:t>
            </w:r>
            <w:r w:rsidR="00197F9B">
              <w:rPr>
                <w:rFonts w:cs="Arial"/>
              </w:rPr>
              <w:t>201</w:t>
            </w:r>
          </w:p>
        </w:tc>
        <w:tc>
          <w:tcPr>
            <w:tcW w:w="2840" w:type="pct"/>
            <w:tcBorders>
              <w:top w:val="nil"/>
              <w:left w:val="nil"/>
              <w:bottom w:val="single" w:sz="8" w:space="0" w:color="auto"/>
              <w:right w:val="single" w:sz="8" w:space="0" w:color="auto"/>
            </w:tcBorders>
            <w:vAlign w:val="center"/>
          </w:tcPr>
          <w:p w14:paraId="7FD6A9A5" w14:textId="77777777" w:rsidR="00D26CA7" w:rsidRPr="00071DAA" w:rsidRDefault="00D26CA7" w:rsidP="000C1365">
            <w:pPr>
              <w:spacing w:after="0" w:line="240" w:lineRule="auto"/>
              <w:rPr>
                <w:rFonts w:cs="Arial"/>
              </w:rPr>
            </w:pPr>
            <w:r w:rsidRPr="00071DAA">
              <w:rPr>
                <w:rFonts w:cs="Arial"/>
              </w:rPr>
              <w:t>Individual investor surname</w:t>
            </w:r>
          </w:p>
        </w:tc>
        <w:tc>
          <w:tcPr>
            <w:tcW w:w="1574" w:type="pct"/>
            <w:tcBorders>
              <w:top w:val="nil"/>
              <w:left w:val="nil"/>
              <w:bottom w:val="single" w:sz="8" w:space="0" w:color="auto"/>
              <w:right w:val="single" w:sz="8" w:space="0" w:color="auto"/>
            </w:tcBorders>
            <w:vAlign w:val="center"/>
          </w:tcPr>
          <w:p w14:paraId="69371660" w14:textId="77777777" w:rsidR="00D26CA7" w:rsidRPr="00071DAA" w:rsidRDefault="00D26CA7" w:rsidP="000C1365">
            <w:pPr>
              <w:spacing w:after="0" w:line="240" w:lineRule="auto"/>
              <w:rPr>
                <w:rFonts w:cs="Arial"/>
              </w:rPr>
            </w:pPr>
            <w:r w:rsidRPr="00071DAA">
              <w:rPr>
                <w:rFonts w:cs="Arial"/>
              </w:rPr>
              <w:t>Jones</w:t>
            </w:r>
          </w:p>
        </w:tc>
      </w:tr>
      <w:tr w:rsidR="00D26CA7" w:rsidRPr="006E3058" w14:paraId="48A74D0E" w14:textId="77777777" w:rsidTr="00427C84">
        <w:trPr>
          <w:cantSplit/>
          <w:trHeight w:val="270"/>
        </w:trPr>
        <w:tc>
          <w:tcPr>
            <w:tcW w:w="586" w:type="pct"/>
            <w:tcBorders>
              <w:top w:val="nil"/>
              <w:left w:val="single" w:sz="8" w:space="0" w:color="auto"/>
              <w:bottom w:val="single" w:sz="8" w:space="0" w:color="auto"/>
              <w:right w:val="single" w:sz="8" w:space="0" w:color="auto"/>
            </w:tcBorders>
            <w:vAlign w:val="center"/>
          </w:tcPr>
          <w:p w14:paraId="338CAC76" w14:textId="4CC60162" w:rsidR="00D26CA7" w:rsidRPr="00071DAA" w:rsidRDefault="00D26CA7" w:rsidP="000C1365">
            <w:pPr>
              <w:spacing w:after="0" w:line="240" w:lineRule="auto"/>
              <w:rPr>
                <w:rFonts w:cs="Arial"/>
              </w:rPr>
            </w:pPr>
            <w:r w:rsidRPr="00071DAA">
              <w:rPr>
                <w:rFonts w:cs="Arial"/>
              </w:rPr>
              <w:t>9.</w:t>
            </w:r>
            <w:r w:rsidR="0009105B">
              <w:rPr>
                <w:rFonts w:cs="Arial"/>
              </w:rPr>
              <w:t>202</w:t>
            </w:r>
          </w:p>
        </w:tc>
        <w:tc>
          <w:tcPr>
            <w:tcW w:w="2840" w:type="pct"/>
            <w:tcBorders>
              <w:top w:val="nil"/>
              <w:left w:val="nil"/>
              <w:bottom w:val="single" w:sz="8" w:space="0" w:color="auto"/>
              <w:right w:val="single" w:sz="8" w:space="0" w:color="auto"/>
            </w:tcBorders>
            <w:vAlign w:val="center"/>
          </w:tcPr>
          <w:p w14:paraId="36C0EB62" w14:textId="77777777" w:rsidR="00D26CA7" w:rsidRPr="00071DAA" w:rsidRDefault="00D26CA7" w:rsidP="000C1365">
            <w:pPr>
              <w:spacing w:after="0" w:line="240" w:lineRule="auto"/>
              <w:rPr>
                <w:rFonts w:cs="Arial"/>
              </w:rPr>
            </w:pPr>
            <w:r w:rsidRPr="00071DAA">
              <w:rPr>
                <w:rFonts w:cs="Arial"/>
              </w:rPr>
              <w:t>Individual investor first given name</w:t>
            </w:r>
          </w:p>
        </w:tc>
        <w:tc>
          <w:tcPr>
            <w:tcW w:w="1574" w:type="pct"/>
            <w:tcBorders>
              <w:top w:val="nil"/>
              <w:left w:val="nil"/>
              <w:bottom w:val="single" w:sz="8" w:space="0" w:color="auto"/>
              <w:right w:val="single" w:sz="8" w:space="0" w:color="auto"/>
            </w:tcBorders>
            <w:vAlign w:val="center"/>
          </w:tcPr>
          <w:p w14:paraId="2212DCA4" w14:textId="77777777" w:rsidR="00D26CA7" w:rsidRPr="00071DAA" w:rsidRDefault="00D26CA7" w:rsidP="000C1365">
            <w:pPr>
              <w:spacing w:after="0" w:line="240" w:lineRule="auto"/>
              <w:rPr>
                <w:rFonts w:cs="Arial"/>
              </w:rPr>
            </w:pPr>
            <w:r w:rsidRPr="00071DAA">
              <w:rPr>
                <w:rFonts w:cs="Arial"/>
              </w:rPr>
              <w:t>Tom</w:t>
            </w:r>
          </w:p>
        </w:tc>
      </w:tr>
      <w:tr w:rsidR="00D26CA7" w:rsidRPr="006E3058" w14:paraId="6B238C2B" w14:textId="77777777" w:rsidTr="00427C84">
        <w:trPr>
          <w:cantSplit/>
          <w:trHeight w:val="270"/>
        </w:trPr>
        <w:tc>
          <w:tcPr>
            <w:tcW w:w="586" w:type="pct"/>
            <w:tcBorders>
              <w:top w:val="nil"/>
              <w:left w:val="single" w:sz="8" w:space="0" w:color="auto"/>
              <w:bottom w:val="single" w:sz="8" w:space="0" w:color="auto"/>
              <w:right w:val="single" w:sz="8" w:space="0" w:color="auto"/>
            </w:tcBorders>
            <w:vAlign w:val="center"/>
          </w:tcPr>
          <w:p w14:paraId="5543E4E1" w14:textId="27C7DCB3" w:rsidR="00D26CA7" w:rsidRPr="00071DAA" w:rsidRDefault="00D26CA7" w:rsidP="000C1365">
            <w:pPr>
              <w:spacing w:after="0" w:line="240" w:lineRule="auto"/>
              <w:rPr>
                <w:rFonts w:cs="Arial"/>
              </w:rPr>
            </w:pPr>
            <w:r w:rsidRPr="00071DAA">
              <w:rPr>
                <w:rFonts w:cs="Arial"/>
              </w:rPr>
              <w:t>9.</w:t>
            </w:r>
            <w:r w:rsidR="0009105B">
              <w:rPr>
                <w:rFonts w:cs="Arial"/>
              </w:rPr>
              <w:t>203</w:t>
            </w:r>
          </w:p>
        </w:tc>
        <w:tc>
          <w:tcPr>
            <w:tcW w:w="2840" w:type="pct"/>
            <w:tcBorders>
              <w:top w:val="nil"/>
              <w:left w:val="nil"/>
              <w:bottom w:val="single" w:sz="8" w:space="0" w:color="auto"/>
              <w:right w:val="single" w:sz="8" w:space="0" w:color="auto"/>
            </w:tcBorders>
            <w:vAlign w:val="center"/>
          </w:tcPr>
          <w:p w14:paraId="28B080EE" w14:textId="77777777" w:rsidR="00D26CA7" w:rsidRPr="00071DAA" w:rsidRDefault="00D26CA7" w:rsidP="000C1365">
            <w:pPr>
              <w:spacing w:after="0" w:line="240" w:lineRule="auto"/>
              <w:rPr>
                <w:rFonts w:cs="Arial"/>
              </w:rPr>
            </w:pPr>
            <w:r w:rsidRPr="00071DAA">
              <w:rPr>
                <w:rFonts w:cs="Arial"/>
              </w:rPr>
              <w:t>Individual investor second given name</w:t>
            </w:r>
          </w:p>
        </w:tc>
        <w:tc>
          <w:tcPr>
            <w:tcW w:w="1574" w:type="pct"/>
            <w:tcBorders>
              <w:top w:val="nil"/>
              <w:left w:val="nil"/>
              <w:bottom w:val="single" w:sz="8" w:space="0" w:color="auto"/>
              <w:right w:val="single" w:sz="8" w:space="0" w:color="auto"/>
            </w:tcBorders>
            <w:vAlign w:val="center"/>
          </w:tcPr>
          <w:p w14:paraId="164EE13D" w14:textId="77777777" w:rsidR="00D26CA7" w:rsidRPr="00071DAA" w:rsidRDefault="00D26CA7" w:rsidP="000C1365">
            <w:pPr>
              <w:spacing w:after="0" w:line="240" w:lineRule="auto"/>
              <w:rPr>
                <w:rFonts w:cs="Arial"/>
              </w:rPr>
            </w:pPr>
            <w:r w:rsidRPr="00071DAA">
              <w:rPr>
                <w:rFonts w:cs="Arial"/>
              </w:rPr>
              <w:t>Blank fill</w:t>
            </w:r>
          </w:p>
        </w:tc>
      </w:tr>
    </w:tbl>
    <w:p w14:paraId="4DC53180" w14:textId="77777777" w:rsidR="00D26CA7" w:rsidRPr="006E3058" w:rsidRDefault="00D26CA7" w:rsidP="00D26CA7"/>
    <w:p w14:paraId="2108DA49" w14:textId="16D7E0B7" w:rsidR="00D26CA7" w:rsidRPr="00071DAA" w:rsidRDefault="00D26CA7" w:rsidP="00D26CA7">
      <w:pPr>
        <w:pStyle w:val="Maintext"/>
        <w:rPr>
          <w:rFonts w:asciiTheme="minorHAnsi" w:hAnsiTheme="minorHAnsi"/>
          <w:bCs/>
          <w:sz w:val="20"/>
          <w:szCs w:val="20"/>
        </w:rPr>
      </w:pPr>
      <w:r w:rsidRPr="00071DAA">
        <w:rPr>
          <w:rFonts w:asciiTheme="minorHAnsi" w:hAnsiTheme="minorHAnsi"/>
          <w:bCs/>
          <w:sz w:val="20"/>
          <w:szCs w:val="20"/>
        </w:rPr>
        <w:t>Smart Wealth Management reports an attribution to Jane Jones from Australian Equity sub-fund trust</w:t>
      </w:r>
      <w:r w:rsidR="00F94DFB">
        <w:rPr>
          <w:rFonts w:asciiTheme="minorHAnsi" w:hAnsiTheme="minorHAnsi"/>
          <w:bCs/>
          <w:sz w:val="20"/>
          <w:szCs w:val="20"/>
        </w:rPr>
        <w:t>.</w:t>
      </w:r>
    </w:p>
    <w:p w14:paraId="6BAAF3BD" w14:textId="77777777" w:rsidR="00D26CA7" w:rsidRPr="006E3058" w:rsidRDefault="00D26CA7" w:rsidP="00D26CA7"/>
    <w:p w14:paraId="185595F8" w14:textId="77777777" w:rsidR="00D26CA7" w:rsidRPr="006E3058" w:rsidRDefault="00D26CA7" w:rsidP="00D26CA7">
      <w:pPr>
        <w:spacing w:after="0" w:line="240" w:lineRule="auto"/>
        <w:rPr>
          <w:rFonts w:cs="Arial"/>
          <w:smallCaps/>
        </w:rPr>
      </w:pPr>
      <w:r w:rsidRPr="006E3058">
        <w:rPr>
          <w:rFonts w:cs="Arial"/>
          <w:b/>
          <w:smallCaps/>
        </w:rPr>
        <w:t xml:space="preserve">investment account data record </w:t>
      </w:r>
      <w:r w:rsidRPr="006E3058">
        <w:rPr>
          <w:rFonts w:cs="Arial"/>
          <w:smallCaps/>
        </w:rPr>
        <w:t>(extract)</w:t>
      </w:r>
    </w:p>
    <w:p w14:paraId="26670BC2" w14:textId="77777777" w:rsidR="00D26CA7" w:rsidRPr="006E3058" w:rsidRDefault="00D26CA7" w:rsidP="00D26CA7">
      <w:pPr>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D26CA7" w:rsidRPr="006E3058" w14:paraId="44AAF2D6"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A3AE1F3" w14:textId="77777777" w:rsidR="00D26CA7" w:rsidRPr="00AF69BB" w:rsidRDefault="00D26CA7" w:rsidP="000C1365">
            <w:pPr>
              <w:spacing w:after="0" w:line="240" w:lineRule="auto"/>
              <w:rPr>
                <w:rFonts w:cs="Arial"/>
              </w:rPr>
            </w:pPr>
            <w:r w:rsidRPr="00071DAA">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FFB0444" w14:textId="77777777" w:rsidR="00D26CA7" w:rsidRPr="00AF69BB" w:rsidRDefault="00D26CA7" w:rsidP="000C1365">
            <w:pPr>
              <w:spacing w:after="0" w:line="240" w:lineRule="auto"/>
              <w:rPr>
                <w:rFonts w:cs="Arial"/>
              </w:rPr>
            </w:pPr>
            <w:r w:rsidRPr="00071DAA">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BDF6823" w14:textId="77777777" w:rsidR="00D26CA7" w:rsidRPr="00AF69BB" w:rsidRDefault="00D26CA7" w:rsidP="000C1365">
            <w:pPr>
              <w:spacing w:after="0" w:line="240" w:lineRule="auto"/>
              <w:rPr>
                <w:rFonts w:cs="Arial"/>
              </w:rPr>
            </w:pPr>
            <w:r w:rsidRPr="00071DAA">
              <w:rPr>
                <w:rFonts w:cs="Arial"/>
                <w:b/>
                <w:bCs/>
              </w:rPr>
              <w:t>Content</w:t>
            </w:r>
          </w:p>
        </w:tc>
      </w:tr>
      <w:tr w:rsidR="00D26CA7" w:rsidRPr="006E3058" w14:paraId="6D8E1A9B"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32D9C6" w14:textId="77777777" w:rsidR="00D26CA7" w:rsidRPr="00AF69BB" w:rsidRDefault="00D26CA7" w:rsidP="000C1365">
            <w:pPr>
              <w:spacing w:after="0" w:line="240" w:lineRule="auto"/>
              <w:rPr>
                <w:rFonts w:cs="Arial"/>
              </w:rPr>
            </w:pPr>
            <w:r w:rsidRPr="00071DAA">
              <w:rPr>
                <w:rFonts w:cs="Arial"/>
              </w:rPr>
              <w:t>9.67</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2D97F8F" w14:textId="77777777" w:rsidR="00D26CA7" w:rsidRPr="00AF69BB" w:rsidRDefault="00D26CA7" w:rsidP="000C1365">
            <w:pPr>
              <w:spacing w:after="0" w:line="240" w:lineRule="auto"/>
              <w:rPr>
                <w:rFonts w:cs="Arial"/>
              </w:rPr>
            </w:pPr>
            <w:r w:rsidRPr="00071DAA">
              <w:rPr>
                <w:rFonts w:cs="Arial"/>
              </w:rPr>
              <w:t>Account name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CFF69E3" w14:textId="77777777" w:rsidR="00D26CA7" w:rsidRPr="00AF69BB" w:rsidRDefault="00D26CA7" w:rsidP="000C1365">
            <w:pPr>
              <w:spacing w:after="0" w:line="240" w:lineRule="auto"/>
              <w:rPr>
                <w:rFonts w:cs="Arial"/>
              </w:rPr>
            </w:pPr>
            <w:r w:rsidRPr="00071DAA">
              <w:rPr>
                <w:rFonts w:cs="Arial"/>
              </w:rPr>
              <w:t xml:space="preserve">Jane Jones </w:t>
            </w:r>
          </w:p>
        </w:tc>
      </w:tr>
      <w:tr w:rsidR="00D26CA7" w:rsidRPr="006E3058" w14:paraId="17A0F14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F90EF" w14:textId="77777777" w:rsidR="00D26CA7" w:rsidRPr="00AF69BB" w:rsidRDefault="00D26CA7" w:rsidP="000C1365">
            <w:pPr>
              <w:spacing w:after="0" w:line="240" w:lineRule="auto"/>
              <w:rPr>
                <w:rFonts w:cs="Arial"/>
              </w:rPr>
            </w:pPr>
            <w:r w:rsidRPr="00071DAA">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7881EEE" w14:textId="77777777" w:rsidR="00D26CA7" w:rsidRPr="00AF69BB" w:rsidRDefault="00D26CA7" w:rsidP="000C1365">
            <w:pPr>
              <w:spacing w:after="0" w:line="240" w:lineRule="auto"/>
              <w:rPr>
                <w:rFonts w:cs="Arial"/>
              </w:rPr>
            </w:pPr>
            <w:r w:rsidRPr="00071DAA">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C175EEA" w14:textId="4AF38893" w:rsidR="00D26CA7" w:rsidRPr="00AF69BB" w:rsidRDefault="00D26CA7" w:rsidP="000C1365">
            <w:pPr>
              <w:spacing w:after="0" w:line="240" w:lineRule="auto"/>
              <w:rPr>
                <w:rFonts w:cs="Arial"/>
              </w:rPr>
            </w:pPr>
            <w:r w:rsidRPr="00071DAA">
              <w:rPr>
                <w:rFonts w:cs="Arial"/>
              </w:rPr>
              <w:t>3006202</w:t>
            </w:r>
            <w:r w:rsidR="00676DB1">
              <w:rPr>
                <w:rFonts w:cs="Arial"/>
              </w:rPr>
              <w:t>6</w:t>
            </w:r>
          </w:p>
        </w:tc>
      </w:tr>
      <w:tr w:rsidR="00D26CA7" w:rsidRPr="006E3058" w14:paraId="31B8308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5FCF4" w14:textId="77777777" w:rsidR="00D26CA7" w:rsidRPr="00AF69BB" w:rsidRDefault="00D26CA7" w:rsidP="000C1365">
            <w:pPr>
              <w:spacing w:after="0" w:line="240" w:lineRule="auto"/>
              <w:rPr>
                <w:rFonts w:cs="Arial"/>
              </w:rPr>
            </w:pPr>
            <w:r w:rsidRPr="00071DAA">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1D5D849" w14:textId="77777777" w:rsidR="00D26CA7" w:rsidRPr="00AF69BB" w:rsidRDefault="00D26CA7" w:rsidP="000C1365">
            <w:pPr>
              <w:spacing w:after="0" w:line="240" w:lineRule="auto"/>
              <w:rPr>
                <w:rFonts w:cs="Arial"/>
              </w:rPr>
            </w:pPr>
            <w:r w:rsidRPr="00071DAA">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3D73279" w14:textId="77777777" w:rsidR="00D26CA7" w:rsidRPr="00AF69BB" w:rsidRDefault="00D26CA7" w:rsidP="000C1365">
            <w:pPr>
              <w:spacing w:after="0" w:line="240" w:lineRule="auto"/>
              <w:rPr>
                <w:rFonts w:cs="Arial"/>
              </w:rPr>
            </w:pPr>
            <w:r w:rsidRPr="00071DAA">
              <w:rPr>
                <w:rFonts w:cs="Arial"/>
              </w:rPr>
              <w:t>0</w:t>
            </w:r>
          </w:p>
        </w:tc>
      </w:tr>
      <w:tr w:rsidR="00D26CA7" w:rsidRPr="006E3058" w14:paraId="4238A304"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29E24B" w14:textId="77777777" w:rsidR="00D26CA7" w:rsidRPr="00AF69BB" w:rsidRDefault="00D26CA7" w:rsidP="000C1365">
            <w:pPr>
              <w:spacing w:after="0" w:line="240" w:lineRule="auto"/>
              <w:rPr>
                <w:rFonts w:cs="Arial"/>
              </w:rPr>
            </w:pPr>
            <w:r w:rsidRPr="00071DAA">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DAFC6A" w14:textId="77777777" w:rsidR="00D26CA7" w:rsidRPr="00AF69BB" w:rsidRDefault="00D26CA7" w:rsidP="000C1365">
            <w:pPr>
              <w:spacing w:after="0" w:line="240" w:lineRule="auto"/>
              <w:rPr>
                <w:rFonts w:cs="Arial"/>
              </w:rPr>
            </w:pPr>
            <w:r w:rsidRPr="00071DAA">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B122595" w14:textId="77777777" w:rsidR="00D26CA7" w:rsidRPr="00AF69BB" w:rsidRDefault="00D26CA7" w:rsidP="000C1365">
            <w:pPr>
              <w:spacing w:after="0" w:line="240" w:lineRule="auto"/>
              <w:rPr>
                <w:rFonts w:cs="Arial"/>
              </w:rPr>
            </w:pPr>
            <w:r w:rsidRPr="00071DAA">
              <w:rPr>
                <w:rFonts w:cs="Arial"/>
              </w:rPr>
              <w:t>AMT</w:t>
            </w:r>
          </w:p>
        </w:tc>
      </w:tr>
      <w:tr w:rsidR="00D26CA7" w:rsidRPr="006E3058" w14:paraId="79714D1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D29AC9" w14:textId="77777777" w:rsidR="00D26CA7" w:rsidRPr="00AF69BB" w:rsidRDefault="00D26CA7" w:rsidP="000C1365">
            <w:pPr>
              <w:spacing w:after="0" w:line="240" w:lineRule="auto"/>
              <w:rPr>
                <w:rFonts w:cs="Arial"/>
              </w:rPr>
            </w:pPr>
            <w:r w:rsidRPr="00071DAA">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788CBB0" w14:textId="77777777" w:rsidR="00D26CA7" w:rsidRPr="00AF69BB" w:rsidRDefault="00D26CA7" w:rsidP="000C1365">
            <w:pPr>
              <w:spacing w:after="0" w:line="240" w:lineRule="auto"/>
              <w:rPr>
                <w:rFonts w:cs="Arial"/>
              </w:rPr>
            </w:pPr>
            <w:r w:rsidRPr="00071DAA">
              <w:rPr>
                <w:rFonts w:cs="Arial"/>
              </w:rPr>
              <w:t>Interest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5FB0165" w14:textId="77777777" w:rsidR="00D26CA7" w:rsidRPr="00AF69BB" w:rsidRDefault="00D26CA7" w:rsidP="000C1365">
            <w:pPr>
              <w:spacing w:after="0" w:line="240" w:lineRule="auto"/>
              <w:rPr>
                <w:rFonts w:cs="Arial"/>
              </w:rPr>
            </w:pPr>
            <w:r w:rsidRPr="00071DAA">
              <w:rPr>
                <w:rFonts w:cs="Arial"/>
              </w:rPr>
              <w:t>000000000000</w:t>
            </w:r>
          </w:p>
        </w:tc>
      </w:tr>
      <w:tr w:rsidR="00D26CA7" w:rsidRPr="006E3058" w14:paraId="4998777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A75D8D" w14:textId="77777777" w:rsidR="00D26CA7" w:rsidRPr="00AF69BB" w:rsidRDefault="00D26CA7" w:rsidP="000C1365">
            <w:pPr>
              <w:spacing w:after="0" w:line="240" w:lineRule="auto"/>
              <w:rPr>
                <w:rFonts w:cs="Arial"/>
              </w:rPr>
            </w:pPr>
            <w:r w:rsidRPr="00071DAA">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1BC96CE" w14:textId="77777777" w:rsidR="00D26CA7" w:rsidRPr="00AF69BB" w:rsidRDefault="00D26CA7" w:rsidP="000C1365">
            <w:pPr>
              <w:spacing w:after="0" w:line="240" w:lineRule="auto"/>
              <w:rPr>
                <w:rFonts w:cs="Arial"/>
              </w:rPr>
            </w:pPr>
            <w:r w:rsidRPr="00071DAA">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AF23999" w14:textId="77777777" w:rsidR="00D26CA7" w:rsidRPr="00AF69BB" w:rsidRDefault="00D26CA7" w:rsidP="000C1365">
            <w:pPr>
              <w:spacing w:after="0" w:line="240" w:lineRule="auto"/>
              <w:rPr>
                <w:rFonts w:cs="Arial"/>
              </w:rPr>
            </w:pPr>
            <w:r w:rsidRPr="00071DAA">
              <w:rPr>
                <w:rFonts w:cs="Arial"/>
              </w:rPr>
              <w:t>000000000000</w:t>
            </w:r>
          </w:p>
        </w:tc>
      </w:tr>
      <w:tr w:rsidR="00D26CA7" w:rsidRPr="006E3058" w14:paraId="3DECB06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2C5570" w14:textId="77777777" w:rsidR="00D26CA7" w:rsidRPr="00AF69BB" w:rsidRDefault="00D26CA7" w:rsidP="000C1365">
            <w:pPr>
              <w:spacing w:after="0" w:line="240" w:lineRule="auto"/>
              <w:rPr>
                <w:rFonts w:cs="Arial"/>
              </w:rPr>
            </w:pPr>
            <w:r w:rsidRPr="00071DAA">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4D6ACE3" w14:textId="77777777" w:rsidR="00D26CA7" w:rsidRPr="00AF69BB" w:rsidRDefault="00D26CA7" w:rsidP="000C1365">
            <w:pPr>
              <w:spacing w:after="0" w:line="240" w:lineRule="auto"/>
              <w:rPr>
                <w:rFonts w:cs="Arial"/>
              </w:rPr>
            </w:pPr>
            <w:r w:rsidRPr="00071DAA">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AB35C67" w14:textId="77777777" w:rsidR="00D26CA7" w:rsidRPr="00AF69BB" w:rsidRDefault="00D26CA7" w:rsidP="000C1365">
            <w:pPr>
              <w:spacing w:after="0" w:line="240" w:lineRule="auto"/>
              <w:rPr>
                <w:rFonts w:cs="Arial"/>
              </w:rPr>
            </w:pPr>
            <w:r w:rsidRPr="00071DAA">
              <w:rPr>
                <w:rFonts w:cs="Arial"/>
              </w:rPr>
              <w:t>000000000000</w:t>
            </w:r>
          </w:p>
        </w:tc>
      </w:tr>
      <w:tr w:rsidR="00D26CA7" w:rsidRPr="006E3058" w14:paraId="35EB2899"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379F0E" w14:textId="77777777" w:rsidR="00D26CA7" w:rsidRPr="00AF69BB" w:rsidRDefault="00D26CA7" w:rsidP="000C1365">
            <w:pPr>
              <w:spacing w:after="0" w:line="240" w:lineRule="auto"/>
              <w:rPr>
                <w:rFonts w:cs="Arial"/>
              </w:rPr>
            </w:pPr>
            <w:r w:rsidRPr="00071DAA">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DB4CD" w14:textId="77777777" w:rsidR="00D26CA7" w:rsidRPr="00AF69BB" w:rsidRDefault="00D26CA7" w:rsidP="000C1365">
            <w:pPr>
              <w:spacing w:after="0" w:line="240" w:lineRule="auto"/>
              <w:rPr>
                <w:rFonts w:cs="Arial"/>
              </w:rPr>
            </w:pPr>
            <w:r w:rsidRPr="00071DAA">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6DF8B6" w14:textId="77777777" w:rsidR="00D26CA7" w:rsidRPr="00AF69BB" w:rsidRDefault="00D26CA7" w:rsidP="000C1365">
            <w:pPr>
              <w:spacing w:after="0" w:line="240" w:lineRule="auto"/>
              <w:rPr>
                <w:rFonts w:cs="Arial"/>
              </w:rPr>
            </w:pPr>
            <w:r w:rsidRPr="00071DAA">
              <w:rPr>
                <w:rFonts w:cs="Arial"/>
              </w:rPr>
              <w:t>000001015000</w:t>
            </w:r>
          </w:p>
        </w:tc>
      </w:tr>
      <w:tr w:rsidR="00D26CA7" w:rsidRPr="006E3058" w14:paraId="6B341A1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813E31" w14:textId="77777777" w:rsidR="00D26CA7" w:rsidRPr="00AF69BB" w:rsidRDefault="00D26CA7" w:rsidP="000C1365">
            <w:pPr>
              <w:spacing w:after="0" w:line="240" w:lineRule="auto"/>
              <w:rPr>
                <w:rFonts w:cs="Arial"/>
              </w:rPr>
            </w:pPr>
            <w:r w:rsidRPr="00071DAA">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E3B91A8" w14:textId="77777777" w:rsidR="00D26CA7" w:rsidRPr="00AF69BB" w:rsidRDefault="00D26CA7" w:rsidP="000C1365">
            <w:pPr>
              <w:spacing w:after="0" w:line="240" w:lineRule="auto"/>
              <w:rPr>
                <w:rFonts w:cs="Arial"/>
              </w:rPr>
            </w:pPr>
            <w:r w:rsidRPr="00071DAA">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E4F81D2" w14:textId="77777777" w:rsidR="00D26CA7" w:rsidRPr="00AF69BB" w:rsidRDefault="00D26CA7" w:rsidP="000C1365">
            <w:pPr>
              <w:spacing w:after="0" w:line="240" w:lineRule="auto"/>
              <w:rPr>
                <w:rFonts w:cs="Arial"/>
              </w:rPr>
            </w:pPr>
            <w:r w:rsidRPr="00071DAA">
              <w:rPr>
                <w:rFonts w:cs="Arial"/>
              </w:rPr>
              <w:t>000000435000</w:t>
            </w:r>
          </w:p>
        </w:tc>
      </w:tr>
      <w:tr w:rsidR="00D26CA7" w:rsidRPr="006E3058" w14:paraId="593F12D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D91B00" w14:textId="77777777" w:rsidR="00D26CA7" w:rsidRPr="00AF69BB" w:rsidRDefault="00D26CA7" w:rsidP="000C1365">
            <w:pPr>
              <w:spacing w:after="0" w:line="240" w:lineRule="auto"/>
              <w:rPr>
                <w:rFonts w:cs="Arial"/>
              </w:rPr>
            </w:pPr>
            <w:r w:rsidRPr="00071DAA">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BEDAF95" w14:textId="77777777" w:rsidR="00D26CA7" w:rsidRPr="00AF69BB" w:rsidRDefault="00D26CA7" w:rsidP="000C1365">
            <w:pPr>
              <w:spacing w:after="0" w:line="240" w:lineRule="auto"/>
              <w:rPr>
                <w:rFonts w:cs="Arial"/>
              </w:rPr>
            </w:pPr>
            <w:r w:rsidRPr="00071DAA">
              <w:rPr>
                <w:rFonts w:cs="Arial"/>
              </w:rPr>
              <w:t>Other taxable Australian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875C623" w14:textId="77777777" w:rsidR="00D26CA7" w:rsidRPr="00AF69BB" w:rsidRDefault="00D26CA7" w:rsidP="000C1365">
            <w:pPr>
              <w:spacing w:after="0" w:line="240" w:lineRule="auto"/>
              <w:rPr>
                <w:rFonts w:cs="Arial"/>
              </w:rPr>
            </w:pPr>
            <w:r w:rsidRPr="00071DAA">
              <w:rPr>
                <w:rFonts w:cs="Arial"/>
              </w:rPr>
              <w:t>000000000000</w:t>
            </w:r>
          </w:p>
        </w:tc>
      </w:tr>
      <w:tr w:rsidR="00D26CA7" w:rsidRPr="006E3058" w14:paraId="03821359"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C2B21F" w14:textId="77777777" w:rsidR="00D26CA7" w:rsidRPr="00AF69BB" w:rsidRDefault="00D26CA7" w:rsidP="000C1365">
            <w:pPr>
              <w:spacing w:after="0" w:line="240" w:lineRule="auto"/>
              <w:rPr>
                <w:rFonts w:cs="Arial"/>
              </w:rPr>
            </w:pPr>
            <w:r w:rsidRPr="00071DAA">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383E4E" w14:textId="77777777" w:rsidR="00D26CA7" w:rsidRPr="00AF69BB" w:rsidRDefault="00D26CA7" w:rsidP="000C1365">
            <w:pPr>
              <w:spacing w:after="0" w:line="240" w:lineRule="auto"/>
              <w:rPr>
                <w:rFonts w:cs="Arial"/>
              </w:rPr>
            </w:pPr>
            <w:r w:rsidRPr="00071DAA">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BBB1784" w14:textId="77777777" w:rsidR="00D26CA7" w:rsidRPr="00AF69BB" w:rsidRDefault="00D26CA7" w:rsidP="000C1365">
            <w:pPr>
              <w:spacing w:after="0" w:line="240" w:lineRule="auto"/>
              <w:rPr>
                <w:rFonts w:cs="Arial"/>
              </w:rPr>
            </w:pPr>
            <w:r w:rsidRPr="00071DAA">
              <w:rPr>
                <w:rFonts w:cs="Arial"/>
              </w:rPr>
              <w:t>000000000000</w:t>
            </w:r>
          </w:p>
        </w:tc>
      </w:tr>
      <w:tr w:rsidR="00D26CA7" w:rsidRPr="006E3058" w14:paraId="1C269780"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D027E" w14:textId="77777777" w:rsidR="00D26CA7" w:rsidRPr="00AF69BB" w:rsidRDefault="00D26CA7" w:rsidP="000C1365">
            <w:pPr>
              <w:spacing w:after="0" w:line="240" w:lineRule="auto"/>
              <w:rPr>
                <w:rFonts w:cs="Arial"/>
              </w:rPr>
            </w:pPr>
            <w:r w:rsidRPr="00071DAA">
              <w:rPr>
                <w:rFonts w:cs="Arial"/>
              </w:rPr>
              <w:t>9.98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5685A" w14:textId="77777777" w:rsidR="00D26CA7" w:rsidRPr="00AF69BB" w:rsidRDefault="00D26CA7" w:rsidP="000C1365">
            <w:pPr>
              <w:spacing w:after="0" w:line="240" w:lineRule="auto"/>
              <w:rPr>
                <w:rFonts w:cs="Arial"/>
              </w:rPr>
            </w:pPr>
            <w:r w:rsidRPr="00071DAA">
              <w:rPr>
                <w:rFonts w:cs="Arial"/>
              </w:rPr>
              <w:t>Other allowable trust deductions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11099" w14:textId="77777777" w:rsidR="00D26CA7" w:rsidRPr="00AF69BB" w:rsidRDefault="00D26CA7" w:rsidP="000C1365">
            <w:pPr>
              <w:spacing w:after="0" w:line="240" w:lineRule="auto"/>
              <w:rPr>
                <w:rFonts w:cs="Arial"/>
              </w:rPr>
            </w:pPr>
            <w:r w:rsidRPr="00071DAA">
              <w:rPr>
                <w:rFonts w:cs="Arial"/>
              </w:rPr>
              <w:t>000000000000</w:t>
            </w:r>
          </w:p>
        </w:tc>
      </w:tr>
      <w:tr w:rsidR="00D26CA7" w:rsidRPr="006E3058" w14:paraId="6CE33950"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EBBC8" w14:textId="77777777" w:rsidR="00D26CA7" w:rsidRPr="00071DAA" w:rsidRDefault="00D26CA7" w:rsidP="000C1365">
            <w:pPr>
              <w:spacing w:after="0" w:line="240" w:lineRule="auto"/>
              <w:rPr>
                <w:rFonts w:cs="Arial"/>
              </w:rPr>
            </w:pPr>
            <w:r w:rsidRPr="00071DAA">
              <w:rPr>
                <w:rFonts w:cs="Arial"/>
              </w:rPr>
              <w:t>9.103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6968F" w14:textId="77777777" w:rsidR="00D26CA7" w:rsidRPr="00071DAA" w:rsidRDefault="00D26CA7" w:rsidP="000C1365">
            <w:pPr>
              <w:spacing w:after="0" w:line="240" w:lineRule="auto"/>
              <w:rPr>
                <w:rFonts w:cs="Arial"/>
              </w:rPr>
            </w:pPr>
            <w:r w:rsidRPr="00071DAA">
              <w:rPr>
                <w:rFonts w:cs="Arial"/>
              </w:rPr>
              <w:t>Interposed entity name</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AE0E9" w14:textId="77777777" w:rsidR="00D26CA7" w:rsidRPr="00071DAA" w:rsidDel="008E3AD6" w:rsidRDefault="00D26CA7" w:rsidP="000C1365">
            <w:pPr>
              <w:spacing w:after="0" w:line="240" w:lineRule="auto"/>
              <w:rPr>
                <w:rFonts w:cs="Arial"/>
              </w:rPr>
            </w:pPr>
            <w:r w:rsidRPr="00071DAA">
              <w:rPr>
                <w:rFonts w:cs="Arial"/>
              </w:rPr>
              <w:t>Australian Equity sub-fund trust</w:t>
            </w:r>
          </w:p>
        </w:tc>
      </w:tr>
      <w:tr w:rsidR="00D26CA7" w:rsidRPr="006E3058" w14:paraId="099CDCAB"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A96C4" w14:textId="77777777" w:rsidR="00D26CA7" w:rsidRPr="00071DAA" w:rsidRDefault="00D26CA7" w:rsidP="000C1365">
            <w:pPr>
              <w:spacing w:after="0" w:line="240" w:lineRule="auto"/>
              <w:rPr>
                <w:rFonts w:cs="Arial"/>
              </w:rPr>
            </w:pPr>
            <w:r w:rsidRPr="00071DAA">
              <w:rPr>
                <w:rFonts w:cs="Arial"/>
              </w:rPr>
              <w:t>9.104</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6BBD6" w14:textId="77777777" w:rsidR="00D26CA7" w:rsidRPr="00071DAA" w:rsidRDefault="00D26CA7" w:rsidP="000C1365">
            <w:pPr>
              <w:spacing w:after="0" w:line="240" w:lineRule="auto"/>
              <w:rPr>
                <w:rFonts w:cs="Arial"/>
              </w:rPr>
            </w:pPr>
            <w:r w:rsidRPr="00071DAA">
              <w:rPr>
                <w:rFonts w:cs="Arial"/>
              </w:rPr>
              <w:t>Interposed entity TFN or ABN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0EA64" w14:textId="77777777" w:rsidR="00D26CA7" w:rsidRPr="00071DAA" w:rsidRDefault="00D26CA7" w:rsidP="000C1365">
            <w:pPr>
              <w:spacing w:after="0" w:line="240" w:lineRule="auto"/>
              <w:rPr>
                <w:rFonts w:cs="Arial"/>
              </w:rPr>
            </w:pPr>
            <w:r w:rsidRPr="00071DAA">
              <w:rPr>
                <w:rFonts w:cs="Arial"/>
              </w:rPr>
              <w:t>10100100111</w:t>
            </w:r>
          </w:p>
        </w:tc>
      </w:tr>
    </w:tbl>
    <w:p w14:paraId="61CA3388" w14:textId="77777777" w:rsidR="00D26CA7" w:rsidRPr="006E3058" w:rsidRDefault="00D26CA7" w:rsidP="00D26CA7">
      <w:pPr>
        <w:rPr>
          <w:rFonts w:cs="Arial"/>
        </w:rPr>
      </w:pPr>
    </w:p>
    <w:p w14:paraId="2527D714" w14:textId="12ED7609" w:rsidR="00D26CA7" w:rsidRDefault="00D26CA7" w:rsidP="00D26CA7">
      <w:pPr>
        <w:spacing w:after="0" w:line="240" w:lineRule="auto"/>
        <w:rPr>
          <w:rFonts w:cs="Arial"/>
          <w:smallCaps/>
        </w:rPr>
      </w:pPr>
      <w:r w:rsidRPr="006E3058">
        <w:rPr>
          <w:rFonts w:cs="Arial"/>
          <w:b/>
          <w:smallCaps/>
        </w:rPr>
        <w:t xml:space="preserve">supplementary income account data record </w:t>
      </w:r>
      <w:r w:rsidRPr="006E3058">
        <w:rPr>
          <w:rFonts w:cs="Arial"/>
          <w:smallCaps/>
        </w:rPr>
        <w:t>(extract)</w:t>
      </w:r>
    </w:p>
    <w:p w14:paraId="3AD5E534" w14:textId="77777777" w:rsidR="009B6E03" w:rsidRPr="006E3058" w:rsidRDefault="009B6E03" w:rsidP="00D26CA7">
      <w:pPr>
        <w:spacing w:after="0" w:line="240" w:lineRule="auto"/>
        <w:rPr>
          <w:rFonts w:cs="Arial"/>
          <w:b/>
          <w:smallCaps/>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26"/>
        <w:gridCol w:w="5210"/>
        <w:gridCol w:w="2878"/>
      </w:tblGrid>
      <w:tr w:rsidR="00D26CA7" w:rsidRPr="006E3058" w14:paraId="1AAFB552" w14:textId="77777777" w:rsidTr="0023547A">
        <w:trPr>
          <w:cantSplit/>
          <w:trHeight w:val="495"/>
          <w:tblHeader/>
        </w:trPr>
        <w:tc>
          <w:tcPr>
            <w:tcW w:w="611" w:type="pct"/>
            <w:shd w:val="clear" w:color="auto" w:fill="B3B3B3"/>
            <w:tcMar>
              <w:top w:w="0" w:type="dxa"/>
              <w:left w:w="108" w:type="dxa"/>
              <w:bottom w:w="0" w:type="dxa"/>
              <w:right w:w="108" w:type="dxa"/>
            </w:tcMar>
            <w:vAlign w:val="center"/>
          </w:tcPr>
          <w:p w14:paraId="44EC90F1" w14:textId="77777777" w:rsidR="00D26CA7" w:rsidRPr="006E3058" w:rsidRDefault="00D26CA7" w:rsidP="000C1365">
            <w:pPr>
              <w:rPr>
                <w:rFonts w:cs="Arial"/>
              </w:rPr>
            </w:pPr>
            <w:r w:rsidRPr="006E3058">
              <w:rPr>
                <w:rFonts w:cs="Arial"/>
                <w:b/>
                <w:bCs/>
                <w:sz w:val="18"/>
                <w:szCs w:val="18"/>
              </w:rPr>
              <w:t>Reference number</w:t>
            </w:r>
          </w:p>
        </w:tc>
        <w:tc>
          <w:tcPr>
            <w:tcW w:w="2827" w:type="pct"/>
            <w:shd w:val="clear" w:color="auto" w:fill="B3B3B3"/>
            <w:tcMar>
              <w:top w:w="0" w:type="dxa"/>
              <w:left w:w="108" w:type="dxa"/>
              <w:bottom w:w="0" w:type="dxa"/>
              <w:right w:w="108" w:type="dxa"/>
            </w:tcMar>
            <w:vAlign w:val="center"/>
          </w:tcPr>
          <w:p w14:paraId="42815733" w14:textId="77777777" w:rsidR="00D26CA7" w:rsidRPr="006E3058" w:rsidRDefault="00D26CA7" w:rsidP="000C1365">
            <w:pPr>
              <w:rPr>
                <w:rFonts w:cs="Arial"/>
              </w:rPr>
            </w:pPr>
            <w:r w:rsidRPr="006E3058">
              <w:rPr>
                <w:rFonts w:cs="Arial"/>
                <w:b/>
                <w:bCs/>
                <w:sz w:val="18"/>
                <w:szCs w:val="18"/>
              </w:rPr>
              <w:t>Field name</w:t>
            </w:r>
          </w:p>
        </w:tc>
        <w:tc>
          <w:tcPr>
            <w:tcW w:w="1562" w:type="pct"/>
            <w:shd w:val="clear" w:color="auto" w:fill="B3B3B3"/>
            <w:tcMar>
              <w:top w:w="0" w:type="dxa"/>
              <w:left w:w="108" w:type="dxa"/>
              <w:bottom w:w="0" w:type="dxa"/>
              <w:right w:w="108" w:type="dxa"/>
            </w:tcMar>
            <w:vAlign w:val="center"/>
          </w:tcPr>
          <w:p w14:paraId="76FB1DB6" w14:textId="77777777" w:rsidR="00D26CA7" w:rsidRPr="006E3058" w:rsidRDefault="00D26CA7" w:rsidP="000C1365">
            <w:pPr>
              <w:rPr>
                <w:rFonts w:cs="Arial"/>
              </w:rPr>
            </w:pPr>
            <w:r w:rsidRPr="006E3058">
              <w:rPr>
                <w:rFonts w:cs="Arial"/>
                <w:b/>
                <w:bCs/>
                <w:sz w:val="18"/>
                <w:szCs w:val="18"/>
              </w:rPr>
              <w:t>Content</w:t>
            </w:r>
          </w:p>
        </w:tc>
      </w:tr>
      <w:tr w:rsidR="00D26CA7" w:rsidRPr="006E3058" w14:paraId="6D82A199" w14:textId="77777777" w:rsidTr="0023547A">
        <w:trPr>
          <w:cantSplit/>
          <w:trHeight w:val="270"/>
        </w:trPr>
        <w:tc>
          <w:tcPr>
            <w:tcW w:w="611" w:type="pct"/>
            <w:tcMar>
              <w:top w:w="0" w:type="dxa"/>
              <w:left w:w="108" w:type="dxa"/>
              <w:bottom w:w="0" w:type="dxa"/>
              <w:right w:w="108" w:type="dxa"/>
            </w:tcMar>
            <w:vAlign w:val="center"/>
          </w:tcPr>
          <w:p w14:paraId="61CBDB56" w14:textId="77777777" w:rsidR="00D26CA7" w:rsidRPr="006E3058" w:rsidRDefault="00D26CA7" w:rsidP="000C1365">
            <w:pPr>
              <w:rPr>
                <w:rFonts w:cs="Arial"/>
              </w:rPr>
            </w:pPr>
            <w:r w:rsidRPr="006E3058">
              <w:rPr>
                <w:rFonts w:cs="Arial"/>
                <w:sz w:val="18"/>
                <w:szCs w:val="18"/>
              </w:rPr>
              <w:t>9.120</w:t>
            </w:r>
          </w:p>
        </w:tc>
        <w:tc>
          <w:tcPr>
            <w:tcW w:w="2827" w:type="pct"/>
            <w:tcMar>
              <w:top w:w="0" w:type="dxa"/>
              <w:left w:w="108" w:type="dxa"/>
              <w:bottom w:w="0" w:type="dxa"/>
              <w:right w:w="108" w:type="dxa"/>
            </w:tcMar>
            <w:vAlign w:val="center"/>
          </w:tcPr>
          <w:p w14:paraId="64AA5632" w14:textId="77777777" w:rsidR="00D26CA7" w:rsidRPr="006E3058" w:rsidRDefault="00D26CA7" w:rsidP="000C1365">
            <w:pPr>
              <w:rPr>
                <w:rFonts w:cs="Arial"/>
              </w:rPr>
            </w:pPr>
            <w:r w:rsidRPr="006E3058">
              <w:rPr>
                <w:rFonts w:cs="Arial"/>
                <w:sz w:val="18"/>
                <w:szCs w:val="18"/>
              </w:rPr>
              <w:t>Franked distributions from trusts (cents)</w:t>
            </w:r>
          </w:p>
        </w:tc>
        <w:tc>
          <w:tcPr>
            <w:tcW w:w="1562" w:type="pct"/>
            <w:tcMar>
              <w:top w:w="0" w:type="dxa"/>
              <w:left w:w="108" w:type="dxa"/>
              <w:bottom w:w="0" w:type="dxa"/>
              <w:right w:w="108" w:type="dxa"/>
            </w:tcMar>
            <w:vAlign w:val="center"/>
          </w:tcPr>
          <w:p w14:paraId="75B9A1D7" w14:textId="77777777" w:rsidR="00D26CA7" w:rsidRPr="006E3058" w:rsidRDefault="00D26CA7" w:rsidP="000C1365">
            <w:pPr>
              <w:rPr>
                <w:rFonts w:cs="Arial"/>
              </w:rPr>
            </w:pPr>
            <w:r w:rsidRPr="006E3058">
              <w:rPr>
                <w:rFonts w:cs="Arial"/>
                <w:sz w:val="18"/>
                <w:szCs w:val="18"/>
              </w:rPr>
              <w:t>000001450000</w:t>
            </w:r>
          </w:p>
        </w:tc>
      </w:tr>
    </w:tbl>
    <w:p w14:paraId="477E6B62" w14:textId="77777777" w:rsidR="00D26CA7" w:rsidRPr="006E3058" w:rsidRDefault="00D26CA7" w:rsidP="00D26CA7">
      <w:pPr>
        <w:rPr>
          <w:rFonts w:cs="Arial"/>
          <w:b/>
          <w:smallCaps/>
          <w:szCs w:val="22"/>
        </w:rPr>
      </w:pPr>
    </w:p>
    <w:p w14:paraId="75965AB8" w14:textId="77777777" w:rsidR="009B6E03" w:rsidRDefault="009B6E03">
      <w:pPr>
        <w:rPr>
          <w:rFonts w:cs="Arial"/>
          <w:b/>
          <w:smallCaps/>
          <w:szCs w:val="22"/>
        </w:rPr>
      </w:pPr>
      <w:r>
        <w:rPr>
          <w:rFonts w:cs="Arial"/>
          <w:b/>
          <w:smallCaps/>
          <w:szCs w:val="22"/>
        </w:rPr>
        <w:br w:type="page"/>
      </w:r>
    </w:p>
    <w:p w14:paraId="57EA71BB" w14:textId="2E14F8B7" w:rsidR="00D26CA7" w:rsidRPr="006E3058" w:rsidRDefault="00D26CA7" w:rsidP="00D26CA7">
      <w:pPr>
        <w:rPr>
          <w:rFonts w:cs="Arial"/>
          <w:szCs w:val="22"/>
        </w:rPr>
      </w:pPr>
      <w:r w:rsidRPr="006E3058">
        <w:rPr>
          <w:rFonts w:cs="Arial"/>
          <w:b/>
          <w:smallCaps/>
          <w:szCs w:val="22"/>
        </w:rPr>
        <w:t>investor data record</w:t>
      </w:r>
      <w:r w:rsidRPr="006E3058">
        <w:rPr>
          <w:rFonts w:cs="Arial"/>
          <w:szCs w:val="22"/>
        </w:rPr>
        <w:t xml:space="preserve"> </w:t>
      </w:r>
      <w:r w:rsidRPr="006E3058">
        <w:rPr>
          <w:rFonts w:cs="Arial"/>
          <w:smallCaps/>
          <w:szCs w:val="22"/>
        </w:rPr>
        <w:t>(extract)</w:t>
      </w:r>
    </w:p>
    <w:tbl>
      <w:tblPr>
        <w:tblW w:w="5000" w:type="pct"/>
        <w:tblLook w:val="0000" w:firstRow="0" w:lastRow="0" w:firstColumn="0" w:lastColumn="0" w:noHBand="0" w:noVBand="0"/>
      </w:tblPr>
      <w:tblGrid>
        <w:gridCol w:w="1227"/>
        <w:gridCol w:w="5202"/>
        <w:gridCol w:w="2853"/>
      </w:tblGrid>
      <w:tr w:rsidR="00D26CA7" w:rsidRPr="006E3058" w14:paraId="25680A05" w14:textId="77777777" w:rsidTr="0023547A">
        <w:trPr>
          <w:cantSplit/>
          <w:trHeight w:val="495"/>
          <w:tblHeader/>
        </w:trPr>
        <w:tc>
          <w:tcPr>
            <w:tcW w:w="661" w:type="pct"/>
            <w:tcBorders>
              <w:top w:val="single" w:sz="6" w:space="0" w:color="auto"/>
              <w:left w:val="single" w:sz="6" w:space="0" w:color="auto"/>
              <w:bottom w:val="single" w:sz="6" w:space="0" w:color="auto"/>
              <w:right w:val="single" w:sz="6" w:space="0" w:color="auto"/>
            </w:tcBorders>
            <w:shd w:val="clear" w:color="auto" w:fill="B3B3B3"/>
            <w:vAlign w:val="center"/>
          </w:tcPr>
          <w:p w14:paraId="77664509" w14:textId="77777777" w:rsidR="00D26CA7" w:rsidRPr="00F4606C" w:rsidRDefault="00D26CA7" w:rsidP="00F4606C">
            <w:pPr>
              <w:spacing w:after="0" w:line="240" w:lineRule="auto"/>
              <w:rPr>
                <w:rFonts w:cs="Arial"/>
                <w:b/>
                <w:bCs/>
              </w:rPr>
            </w:pPr>
            <w:r w:rsidRPr="00F4606C">
              <w:rPr>
                <w:rFonts w:cs="Arial"/>
                <w:b/>
                <w:bCs/>
              </w:rPr>
              <w:t>Reference number</w:t>
            </w:r>
          </w:p>
        </w:tc>
        <w:tc>
          <w:tcPr>
            <w:tcW w:w="2802" w:type="pct"/>
            <w:tcBorders>
              <w:top w:val="single" w:sz="6" w:space="0" w:color="auto"/>
              <w:left w:val="single" w:sz="6" w:space="0" w:color="auto"/>
              <w:bottom w:val="single" w:sz="6" w:space="0" w:color="auto"/>
              <w:right w:val="single" w:sz="6" w:space="0" w:color="auto"/>
            </w:tcBorders>
            <w:shd w:val="clear" w:color="auto" w:fill="B3B3B3"/>
            <w:vAlign w:val="center"/>
          </w:tcPr>
          <w:p w14:paraId="297366F4" w14:textId="77777777" w:rsidR="00D26CA7" w:rsidRPr="00F4606C" w:rsidRDefault="00D26CA7" w:rsidP="00F4606C">
            <w:pPr>
              <w:spacing w:after="0" w:line="240" w:lineRule="auto"/>
              <w:rPr>
                <w:rFonts w:cs="Arial"/>
                <w:b/>
                <w:bCs/>
              </w:rPr>
            </w:pPr>
            <w:r w:rsidRPr="00F4606C">
              <w:rPr>
                <w:rFonts w:cs="Arial"/>
                <w:b/>
                <w:bCs/>
              </w:rPr>
              <w:t>Field name</w:t>
            </w:r>
          </w:p>
        </w:tc>
        <w:tc>
          <w:tcPr>
            <w:tcW w:w="1537" w:type="pct"/>
            <w:tcBorders>
              <w:top w:val="single" w:sz="6" w:space="0" w:color="auto"/>
              <w:left w:val="single" w:sz="6" w:space="0" w:color="auto"/>
              <w:bottom w:val="single" w:sz="6" w:space="0" w:color="auto"/>
              <w:right w:val="single" w:sz="6" w:space="0" w:color="auto"/>
            </w:tcBorders>
            <w:shd w:val="clear" w:color="auto" w:fill="B3B3B3"/>
            <w:vAlign w:val="center"/>
          </w:tcPr>
          <w:p w14:paraId="4B415BB5" w14:textId="77777777" w:rsidR="00D26CA7" w:rsidRPr="00F4606C" w:rsidRDefault="00D26CA7" w:rsidP="00F4606C">
            <w:pPr>
              <w:spacing w:after="0" w:line="240" w:lineRule="auto"/>
              <w:rPr>
                <w:rFonts w:cs="Arial"/>
                <w:b/>
                <w:bCs/>
              </w:rPr>
            </w:pPr>
            <w:r w:rsidRPr="00F4606C">
              <w:rPr>
                <w:rFonts w:cs="Arial"/>
                <w:b/>
                <w:bCs/>
              </w:rPr>
              <w:t>Content</w:t>
            </w:r>
          </w:p>
        </w:tc>
      </w:tr>
      <w:tr w:rsidR="00D26CA7" w:rsidRPr="006E3058" w14:paraId="22A876CE" w14:textId="77777777" w:rsidTr="0023547A">
        <w:trPr>
          <w:cantSplit/>
          <w:trHeight w:val="270"/>
        </w:trPr>
        <w:tc>
          <w:tcPr>
            <w:tcW w:w="661" w:type="pct"/>
            <w:tcBorders>
              <w:top w:val="nil"/>
              <w:left w:val="single" w:sz="8" w:space="0" w:color="auto"/>
              <w:bottom w:val="single" w:sz="8" w:space="0" w:color="auto"/>
              <w:right w:val="single" w:sz="8" w:space="0" w:color="auto"/>
            </w:tcBorders>
            <w:vAlign w:val="center"/>
          </w:tcPr>
          <w:p w14:paraId="23551E6F" w14:textId="159D9136" w:rsidR="00D26CA7" w:rsidRPr="00F4606C" w:rsidRDefault="00D26CA7" w:rsidP="00F4606C">
            <w:pPr>
              <w:spacing w:after="0" w:line="240" w:lineRule="auto"/>
              <w:rPr>
                <w:rFonts w:cs="Arial"/>
              </w:rPr>
            </w:pPr>
            <w:r w:rsidRPr="00F4606C">
              <w:rPr>
                <w:rFonts w:cs="Arial"/>
              </w:rPr>
              <w:t>9.19</w:t>
            </w:r>
            <w:r w:rsidR="00C87547">
              <w:rPr>
                <w:rFonts w:cs="Arial"/>
              </w:rPr>
              <w:t>7</w:t>
            </w:r>
          </w:p>
        </w:tc>
        <w:tc>
          <w:tcPr>
            <w:tcW w:w="2802" w:type="pct"/>
            <w:tcBorders>
              <w:top w:val="nil"/>
              <w:left w:val="nil"/>
              <w:bottom w:val="single" w:sz="8" w:space="0" w:color="auto"/>
              <w:right w:val="single" w:sz="8" w:space="0" w:color="auto"/>
            </w:tcBorders>
            <w:vAlign w:val="center"/>
          </w:tcPr>
          <w:p w14:paraId="137D6025" w14:textId="77777777" w:rsidR="00D26CA7" w:rsidRPr="00F4606C" w:rsidRDefault="00D26CA7" w:rsidP="00F4606C">
            <w:pPr>
              <w:spacing w:after="0" w:line="240" w:lineRule="auto"/>
              <w:rPr>
                <w:rFonts w:cs="Arial"/>
              </w:rPr>
            </w:pPr>
            <w:r w:rsidRPr="00F4606C">
              <w:rPr>
                <w:rFonts w:cs="Arial"/>
              </w:rPr>
              <w:t>Investor entity type</w:t>
            </w:r>
          </w:p>
        </w:tc>
        <w:tc>
          <w:tcPr>
            <w:tcW w:w="1537" w:type="pct"/>
            <w:tcBorders>
              <w:top w:val="nil"/>
              <w:left w:val="nil"/>
              <w:bottom w:val="single" w:sz="8" w:space="0" w:color="auto"/>
              <w:right w:val="single" w:sz="8" w:space="0" w:color="auto"/>
            </w:tcBorders>
            <w:vAlign w:val="center"/>
          </w:tcPr>
          <w:p w14:paraId="4BDE1A6C" w14:textId="77777777" w:rsidR="00D26CA7" w:rsidRPr="00F4606C" w:rsidRDefault="00D26CA7" w:rsidP="00F4606C">
            <w:pPr>
              <w:spacing w:after="0" w:line="240" w:lineRule="auto"/>
              <w:rPr>
                <w:rFonts w:cs="Arial"/>
              </w:rPr>
            </w:pPr>
            <w:r w:rsidRPr="00F4606C">
              <w:rPr>
                <w:rFonts w:cs="Arial"/>
              </w:rPr>
              <w:t>T</w:t>
            </w:r>
          </w:p>
        </w:tc>
      </w:tr>
      <w:tr w:rsidR="00D26CA7" w:rsidRPr="006E3058" w14:paraId="6F757A2D" w14:textId="77777777" w:rsidTr="0023547A">
        <w:trPr>
          <w:cantSplit/>
          <w:trHeight w:val="270"/>
        </w:trPr>
        <w:tc>
          <w:tcPr>
            <w:tcW w:w="661" w:type="pct"/>
            <w:tcBorders>
              <w:top w:val="nil"/>
              <w:left w:val="single" w:sz="8" w:space="0" w:color="auto"/>
              <w:bottom w:val="single" w:sz="8" w:space="0" w:color="auto"/>
              <w:right w:val="single" w:sz="8" w:space="0" w:color="auto"/>
            </w:tcBorders>
            <w:vAlign w:val="center"/>
          </w:tcPr>
          <w:p w14:paraId="33E280F2" w14:textId="123971EC" w:rsidR="00D26CA7" w:rsidRPr="00F4606C" w:rsidRDefault="00D26CA7" w:rsidP="00F4606C">
            <w:pPr>
              <w:spacing w:after="0" w:line="240" w:lineRule="auto"/>
              <w:rPr>
                <w:rFonts w:cs="Arial"/>
              </w:rPr>
            </w:pPr>
            <w:r w:rsidRPr="00F4606C">
              <w:rPr>
                <w:rFonts w:cs="Arial"/>
              </w:rPr>
              <w:t>9.19</w:t>
            </w:r>
            <w:r w:rsidR="00C87547">
              <w:rPr>
                <w:rFonts w:cs="Arial"/>
              </w:rPr>
              <w:t>8</w:t>
            </w:r>
          </w:p>
        </w:tc>
        <w:tc>
          <w:tcPr>
            <w:tcW w:w="2802" w:type="pct"/>
            <w:tcBorders>
              <w:top w:val="nil"/>
              <w:left w:val="nil"/>
              <w:bottom w:val="single" w:sz="8" w:space="0" w:color="auto"/>
              <w:right w:val="single" w:sz="8" w:space="0" w:color="auto"/>
            </w:tcBorders>
            <w:vAlign w:val="center"/>
          </w:tcPr>
          <w:p w14:paraId="1379A207" w14:textId="77777777" w:rsidR="00D26CA7" w:rsidRPr="00F4606C" w:rsidRDefault="00D26CA7" w:rsidP="00F4606C">
            <w:pPr>
              <w:spacing w:after="0" w:line="240" w:lineRule="auto"/>
              <w:rPr>
                <w:rFonts w:cs="Arial"/>
              </w:rPr>
            </w:pPr>
            <w:r w:rsidRPr="00F4606C">
              <w:rPr>
                <w:rFonts w:cs="Arial"/>
              </w:rPr>
              <w:t>Investor tax file number</w:t>
            </w:r>
          </w:p>
        </w:tc>
        <w:tc>
          <w:tcPr>
            <w:tcW w:w="1537" w:type="pct"/>
            <w:tcBorders>
              <w:top w:val="nil"/>
              <w:left w:val="nil"/>
              <w:bottom w:val="single" w:sz="8" w:space="0" w:color="auto"/>
              <w:right w:val="single" w:sz="8" w:space="0" w:color="auto"/>
            </w:tcBorders>
            <w:vAlign w:val="center"/>
          </w:tcPr>
          <w:p w14:paraId="3C499F6A" w14:textId="77777777" w:rsidR="00D26CA7" w:rsidRPr="00F4606C" w:rsidRDefault="00D26CA7" w:rsidP="00F4606C">
            <w:pPr>
              <w:spacing w:after="0" w:line="240" w:lineRule="auto"/>
              <w:rPr>
                <w:rFonts w:cs="Arial"/>
              </w:rPr>
            </w:pPr>
            <w:r w:rsidRPr="00F4606C">
              <w:rPr>
                <w:rFonts w:cs="Arial"/>
              </w:rPr>
              <w:t>965477891</w:t>
            </w:r>
          </w:p>
        </w:tc>
      </w:tr>
      <w:tr w:rsidR="00D26CA7" w:rsidRPr="006E3058" w14:paraId="7A0A72C9" w14:textId="77777777" w:rsidTr="0023547A">
        <w:trPr>
          <w:cantSplit/>
          <w:trHeight w:val="270"/>
        </w:trPr>
        <w:tc>
          <w:tcPr>
            <w:tcW w:w="661" w:type="pct"/>
            <w:tcBorders>
              <w:top w:val="nil"/>
              <w:left w:val="single" w:sz="8" w:space="0" w:color="auto"/>
              <w:bottom w:val="single" w:sz="8" w:space="0" w:color="auto"/>
              <w:right w:val="single" w:sz="8" w:space="0" w:color="auto"/>
            </w:tcBorders>
            <w:vAlign w:val="center"/>
          </w:tcPr>
          <w:p w14:paraId="08DCF3EE" w14:textId="6510CD89" w:rsidR="00D26CA7" w:rsidRPr="00F4606C" w:rsidRDefault="00D26CA7" w:rsidP="00F4606C">
            <w:pPr>
              <w:spacing w:after="0" w:line="240" w:lineRule="auto"/>
              <w:rPr>
                <w:rFonts w:cs="Arial"/>
              </w:rPr>
            </w:pPr>
            <w:r w:rsidRPr="00F4606C">
              <w:rPr>
                <w:rFonts w:cs="Arial"/>
              </w:rPr>
              <w:t>9.</w:t>
            </w:r>
            <w:r w:rsidR="00197F9B">
              <w:rPr>
                <w:rFonts w:cs="Arial"/>
              </w:rPr>
              <w:t>201</w:t>
            </w:r>
          </w:p>
        </w:tc>
        <w:tc>
          <w:tcPr>
            <w:tcW w:w="2802" w:type="pct"/>
            <w:tcBorders>
              <w:top w:val="nil"/>
              <w:left w:val="nil"/>
              <w:bottom w:val="single" w:sz="8" w:space="0" w:color="auto"/>
              <w:right w:val="single" w:sz="8" w:space="0" w:color="auto"/>
            </w:tcBorders>
            <w:vAlign w:val="center"/>
          </w:tcPr>
          <w:p w14:paraId="1F86B460" w14:textId="77777777" w:rsidR="00D26CA7" w:rsidRPr="00F4606C" w:rsidRDefault="00D26CA7" w:rsidP="00F4606C">
            <w:pPr>
              <w:spacing w:after="0" w:line="240" w:lineRule="auto"/>
              <w:rPr>
                <w:rFonts w:cs="Arial"/>
              </w:rPr>
            </w:pPr>
            <w:r w:rsidRPr="00F4606C">
              <w:rPr>
                <w:rFonts w:cs="Arial"/>
              </w:rPr>
              <w:t>Individual investor surname</w:t>
            </w:r>
          </w:p>
        </w:tc>
        <w:tc>
          <w:tcPr>
            <w:tcW w:w="1537" w:type="pct"/>
            <w:tcBorders>
              <w:top w:val="nil"/>
              <w:left w:val="nil"/>
              <w:bottom w:val="single" w:sz="8" w:space="0" w:color="auto"/>
              <w:right w:val="single" w:sz="8" w:space="0" w:color="auto"/>
            </w:tcBorders>
            <w:vAlign w:val="center"/>
          </w:tcPr>
          <w:p w14:paraId="0DC28239" w14:textId="77777777" w:rsidR="00D26CA7" w:rsidRPr="00F4606C" w:rsidRDefault="00D26CA7" w:rsidP="00F4606C">
            <w:pPr>
              <w:spacing w:after="0" w:line="240" w:lineRule="auto"/>
              <w:rPr>
                <w:rFonts w:cs="Arial"/>
              </w:rPr>
            </w:pPr>
            <w:r w:rsidRPr="00F4606C">
              <w:rPr>
                <w:rFonts w:cs="Arial"/>
              </w:rPr>
              <w:t>Jones</w:t>
            </w:r>
          </w:p>
        </w:tc>
      </w:tr>
      <w:tr w:rsidR="00D26CA7" w:rsidRPr="006E3058" w14:paraId="7DEE773A" w14:textId="77777777" w:rsidTr="0023547A">
        <w:trPr>
          <w:cantSplit/>
          <w:trHeight w:val="270"/>
        </w:trPr>
        <w:tc>
          <w:tcPr>
            <w:tcW w:w="661" w:type="pct"/>
            <w:tcBorders>
              <w:top w:val="nil"/>
              <w:left w:val="single" w:sz="8" w:space="0" w:color="auto"/>
              <w:bottom w:val="single" w:sz="8" w:space="0" w:color="auto"/>
              <w:right w:val="single" w:sz="8" w:space="0" w:color="auto"/>
            </w:tcBorders>
            <w:vAlign w:val="center"/>
          </w:tcPr>
          <w:p w14:paraId="7DE27E0E" w14:textId="1E3B3D6B" w:rsidR="00D26CA7" w:rsidRPr="00F4606C" w:rsidRDefault="00D26CA7" w:rsidP="00F4606C">
            <w:pPr>
              <w:spacing w:after="0" w:line="240" w:lineRule="auto"/>
              <w:rPr>
                <w:rFonts w:cs="Arial"/>
              </w:rPr>
            </w:pPr>
            <w:r w:rsidRPr="00F4606C">
              <w:rPr>
                <w:rFonts w:cs="Arial"/>
              </w:rPr>
              <w:t>9.</w:t>
            </w:r>
            <w:r w:rsidR="00C87547">
              <w:rPr>
                <w:rFonts w:cs="Arial"/>
              </w:rPr>
              <w:t>202</w:t>
            </w:r>
          </w:p>
        </w:tc>
        <w:tc>
          <w:tcPr>
            <w:tcW w:w="2802" w:type="pct"/>
            <w:tcBorders>
              <w:top w:val="nil"/>
              <w:left w:val="nil"/>
              <w:bottom w:val="single" w:sz="8" w:space="0" w:color="auto"/>
              <w:right w:val="single" w:sz="8" w:space="0" w:color="auto"/>
            </w:tcBorders>
            <w:vAlign w:val="center"/>
          </w:tcPr>
          <w:p w14:paraId="750AD4CC" w14:textId="77777777" w:rsidR="00D26CA7" w:rsidRPr="00F4606C" w:rsidRDefault="00D26CA7" w:rsidP="00F4606C">
            <w:pPr>
              <w:spacing w:after="0" w:line="240" w:lineRule="auto"/>
              <w:rPr>
                <w:rFonts w:cs="Arial"/>
              </w:rPr>
            </w:pPr>
            <w:r w:rsidRPr="00F4606C">
              <w:rPr>
                <w:rFonts w:cs="Arial"/>
              </w:rPr>
              <w:t>Individual investor first given name</w:t>
            </w:r>
          </w:p>
        </w:tc>
        <w:tc>
          <w:tcPr>
            <w:tcW w:w="1537" w:type="pct"/>
            <w:tcBorders>
              <w:top w:val="nil"/>
              <w:left w:val="nil"/>
              <w:bottom w:val="single" w:sz="8" w:space="0" w:color="auto"/>
              <w:right w:val="single" w:sz="8" w:space="0" w:color="auto"/>
            </w:tcBorders>
            <w:vAlign w:val="center"/>
          </w:tcPr>
          <w:p w14:paraId="3B927DBC" w14:textId="77777777" w:rsidR="00D26CA7" w:rsidRPr="00F4606C" w:rsidRDefault="00D26CA7" w:rsidP="00F4606C">
            <w:pPr>
              <w:spacing w:after="0" w:line="240" w:lineRule="auto"/>
              <w:rPr>
                <w:rFonts w:cs="Arial"/>
              </w:rPr>
            </w:pPr>
            <w:r w:rsidRPr="00F4606C">
              <w:rPr>
                <w:rFonts w:cs="Arial"/>
              </w:rPr>
              <w:t>Jane</w:t>
            </w:r>
          </w:p>
        </w:tc>
      </w:tr>
      <w:tr w:rsidR="00D26CA7" w:rsidRPr="00EB65FE" w14:paraId="44FBCEE8" w14:textId="77777777" w:rsidTr="0023547A">
        <w:trPr>
          <w:cantSplit/>
          <w:trHeight w:val="270"/>
        </w:trPr>
        <w:tc>
          <w:tcPr>
            <w:tcW w:w="661" w:type="pct"/>
            <w:tcBorders>
              <w:top w:val="nil"/>
              <w:left w:val="single" w:sz="8" w:space="0" w:color="auto"/>
              <w:bottom w:val="single" w:sz="8" w:space="0" w:color="auto"/>
              <w:right w:val="single" w:sz="8" w:space="0" w:color="auto"/>
            </w:tcBorders>
            <w:vAlign w:val="center"/>
          </w:tcPr>
          <w:p w14:paraId="4060D56B" w14:textId="64CD5208" w:rsidR="00D26CA7" w:rsidRPr="00F4606C" w:rsidRDefault="00D26CA7" w:rsidP="00F4606C">
            <w:pPr>
              <w:spacing w:after="0" w:line="240" w:lineRule="auto"/>
              <w:rPr>
                <w:rFonts w:cs="Arial"/>
              </w:rPr>
            </w:pPr>
            <w:r w:rsidRPr="00F4606C">
              <w:rPr>
                <w:rFonts w:cs="Arial"/>
              </w:rPr>
              <w:t>9.</w:t>
            </w:r>
            <w:r w:rsidR="00C87547">
              <w:rPr>
                <w:rFonts w:cs="Arial"/>
              </w:rPr>
              <w:t>203</w:t>
            </w:r>
          </w:p>
        </w:tc>
        <w:tc>
          <w:tcPr>
            <w:tcW w:w="2802" w:type="pct"/>
            <w:tcBorders>
              <w:top w:val="nil"/>
              <w:left w:val="nil"/>
              <w:bottom w:val="single" w:sz="8" w:space="0" w:color="auto"/>
              <w:right w:val="single" w:sz="8" w:space="0" w:color="auto"/>
            </w:tcBorders>
            <w:vAlign w:val="center"/>
          </w:tcPr>
          <w:p w14:paraId="5DE852B2" w14:textId="77777777" w:rsidR="00D26CA7" w:rsidRPr="00F4606C" w:rsidRDefault="00D26CA7" w:rsidP="00F4606C">
            <w:pPr>
              <w:spacing w:after="0" w:line="240" w:lineRule="auto"/>
              <w:rPr>
                <w:rFonts w:cs="Arial"/>
              </w:rPr>
            </w:pPr>
            <w:r w:rsidRPr="00F4606C">
              <w:rPr>
                <w:rFonts w:cs="Arial"/>
              </w:rPr>
              <w:t>Individual investor second given name</w:t>
            </w:r>
          </w:p>
        </w:tc>
        <w:tc>
          <w:tcPr>
            <w:tcW w:w="1537" w:type="pct"/>
            <w:tcBorders>
              <w:top w:val="nil"/>
              <w:left w:val="nil"/>
              <w:bottom w:val="single" w:sz="8" w:space="0" w:color="auto"/>
              <w:right w:val="single" w:sz="8" w:space="0" w:color="auto"/>
            </w:tcBorders>
            <w:vAlign w:val="center"/>
          </w:tcPr>
          <w:p w14:paraId="34B954ED" w14:textId="77777777" w:rsidR="00D26CA7" w:rsidRPr="00F4606C" w:rsidRDefault="00D26CA7" w:rsidP="00F4606C">
            <w:pPr>
              <w:spacing w:after="0" w:line="240" w:lineRule="auto"/>
              <w:rPr>
                <w:rFonts w:cs="Arial"/>
              </w:rPr>
            </w:pPr>
            <w:r w:rsidRPr="00F4606C">
              <w:rPr>
                <w:rFonts w:cs="Arial"/>
              </w:rPr>
              <w:t>Blank fill</w:t>
            </w:r>
          </w:p>
        </w:tc>
      </w:tr>
    </w:tbl>
    <w:p w14:paraId="31BF9ED0" w14:textId="77777777" w:rsidR="00115458" w:rsidRPr="00C27564" w:rsidRDefault="00115458" w:rsidP="00115458">
      <w:pPr>
        <w:pStyle w:val="Heading2"/>
      </w:pPr>
      <w:bookmarkStart w:id="1620" w:name="_Toc232191340"/>
      <w:r w:rsidRPr="003228AA">
        <w:t>AMMA statement</w:t>
      </w:r>
      <w:bookmarkEnd w:id="1615"/>
      <w:bookmarkEnd w:id="1620"/>
    </w:p>
    <w:p w14:paraId="1F3C7033" w14:textId="77777777" w:rsidR="00115458" w:rsidRPr="00E8336A" w:rsidRDefault="00115458" w:rsidP="00F4606C">
      <w:pPr>
        <w:spacing w:after="0" w:line="240" w:lineRule="auto"/>
      </w:pPr>
      <w:r w:rsidRPr="00E8336A">
        <w:t>For an AMIT, the AMMA statement replaces the Standard distribution statement (SDS).</w:t>
      </w:r>
    </w:p>
    <w:p w14:paraId="6CA917D0" w14:textId="565D3AA1" w:rsidR="00115458" w:rsidRDefault="00115458" w:rsidP="00E8336A">
      <w:pPr>
        <w:pStyle w:val="Maintext"/>
        <w:rPr>
          <w:rFonts w:asciiTheme="minorHAnsi" w:hAnsiTheme="minorHAnsi"/>
          <w:sz w:val="20"/>
          <w:szCs w:val="20"/>
        </w:rPr>
      </w:pPr>
      <w:r w:rsidRPr="00F4606C">
        <w:rPr>
          <w:rFonts w:asciiTheme="minorHAnsi" w:hAnsiTheme="minorHAnsi"/>
          <w:sz w:val="20"/>
          <w:szCs w:val="20"/>
        </w:rPr>
        <w:t>The details reported in the AIIR will mirror the information provided to investors in the AMMA statement, which will include the information each investor will need to complete their tax return.</w:t>
      </w:r>
    </w:p>
    <w:p w14:paraId="519F0416" w14:textId="77777777" w:rsidR="003B64E2" w:rsidRPr="00F4606C" w:rsidRDefault="003B64E2" w:rsidP="00F4606C">
      <w:pPr>
        <w:pStyle w:val="Maintext"/>
        <w:rPr>
          <w:rFonts w:asciiTheme="minorHAnsi" w:hAnsiTheme="minorHAnsi"/>
          <w:sz w:val="20"/>
          <w:szCs w:val="20"/>
        </w:rPr>
      </w:pPr>
    </w:p>
    <w:p w14:paraId="2E0364C0" w14:textId="77777777" w:rsidR="00115458" w:rsidRPr="00F4606C" w:rsidRDefault="00115458" w:rsidP="00F4606C">
      <w:pPr>
        <w:pStyle w:val="Maintext"/>
        <w:rPr>
          <w:rFonts w:asciiTheme="minorHAnsi" w:hAnsiTheme="minorHAnsi"/>
          <w:sz w:val="20"/>
          <w:szCs w:val="20"/>
        </w:rPr>
      </w:pPr>
      <w:hyperlink w:anchor="Section8" w:history="1">
        <w:r w:rsidRPr="00F4606C">
          <w:rPr>
            <w:rStyle w:val="Hyperlink"/>
            <w:rFonts w:asciiTheme="minorHAnsi" w:hAnsiTheme="minorHAnsi"/>
            <w:szCs w:val="20"/>
          </w:rPr>
          <w:t>Section 8</w:t>
        </w:r>
      </w:hyperlink>
      <w:r w:rsidRPr="00F4606C">
        <w:rPr>
          <w:rFonts w:asciiTheme="minorHAnsi" w:hAnsiTheme="minorHAnsi"/>
          <w:sz w:val="20"/>
          <w:szCs w:val="20"/>
        </w:rPr>
        <w:t xml:space="preserve"> provides more detailed information on the AMMA and alignment between the AIIR, AMMA, SDS and the ITR. </w:t>
      </w:r>
    </w:p>
    <w:p w14:paraId="533CD9AA" w14:textId="77777777" w:rsidR="00115458" w:rsidRPr="00F4606C" w:rsidRDefault="00115458" w:rsidP="00965892">
      <w:pPr>
        <w:pStyle w:val="Heading2"/>
      </w:pPr>
      <w:bookmarkStart w:id="1621" w:name="_Toc232191341"/>
      <w:r w:rsidRPr="00F4606C">
        <w:t>General Information</w:t>
      </w:r>
      <w:bookmarkEnd w:id="1621"/>
    </w:p>
    <w:p w14:paraId="60772646" w14:textId="77777777" w:rsidR="00115458" w:rsidRPr="00965892" w:rsidRDefault="00115458" w:rsidP="00115458">
      <w:pPr>
        <w:pStyle w:val="Heading3"/>
      </w:pPr>
      <w:bookmarkStart w:id="1622" w:name="_Toc232191342"/>
      <w:r w:rsidRPr="00965892">
        <w:t>Mandatory and conditional fields for AMITs</w:t>
      </w:r>
      <w:bookmarkEnd w:id="1622"/>
      <w:r w:rsidRPr="00965892">
        <w:t xml:space="preserve"> </w:t>
      </w:r>
    </w:p>
    <w:p w14:paraId="56042B43" w14:textId="77777777" w:rsidR="00115458" w:rsidRDefault="00115458" w:rsidP="00F4606C">
      <w:pPr>
        <w:spacing w:after="0" w:line="240" w:lineRule="auto"/>
      </w:pPr>
      <w:r>
        <w:t xml:space="preserve">Below are the fields applicable to AMITs or entities reporting attributions from AMITs.  Some fields are also completed by other trusts – see </w:t>
      </w:r>
      <w:r w:rsidRPr="00930202">
        <w:rPr>
          <w:b/>
          <w:bCs/>
        </w:rPr>
        <w:t>Section 7 Trust reporting</w:t>
      </w:r>
      <w:r>
        <w:t xml:space="preserve"> for further information. </w:t>
      </w:r>
    </w:p>
    <w:p w14:paraId="78FC8F64" w14:textId="77777777" w:rsidR="00115458" w:rsidRDefault="00115458" w:rsidP="00115458"/>
    <w:tbl>
      <w:tblPr>
        <w:tblW w:w="88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265"/>
        <w:gridCol w:w="1560"/>
      </w:tblGrid>
      <w:tr w:rsidR="00115458" w:rsidRPr="00703672" w14:paraId="4324188B" w14:textId="77777777" w:rsidTr="000C1365">
        <w:trPr>
          <w:trHeight w:val="510"/>
          <w:tblHeader/>
        </w:trPr>
        <w:tc>
          <w:tcPr>
            <w:tcW w:w="1008" w:type="dxa"/>
            <w:shd w:val="clear" w:color="000000" w:fill="BFBFBF"/>
            <w:vAlign w:val="center"/>
            <w:hideMark/>
          </w:tcPr>
          <w:p w14:paraId="0C15D84E" w14:textId="77777777" w:rsidR="00115458" w:rsidRPr="00703672" w:rsidRDefault="00115458" w:rsidP="00F4606C">
            <w:pPr>
              <w:spacing w:after="0" w:line="240" w:lineRule="auto"/>
              <w:rPr>
                <w:rFonts w:cs="Arial"/>
                <w:b/>
                <w:bCs/>
                <w:color w:val="000000"/>
              </w:rPr>
            </w:pPr>
            <w:r w:rsidRPr="00703672">
              <w:rPr>
                <w:rFonts w:cs="Arial"/>
                <w:b/>
                <w:bCs/>
                <w:color w:val="000000"/>
              </w:rPr>
              <w:t>Ref No.</w:t>
            </w:r>
          </w:p>
        </w:tc>
        <w:tc>
          <w:tcPr>
            <w:tcW w:w="6265" w:type="dxa"/>
            <w:shd w:val="clear" w:color="000000" w:fill="BFBFBF"/>
            <w:vAlign w:val="center"/>
            <w:hideMark/>
          </w:tcPr>
          <w:p w14:paraId="3D17EE3F" w14:textId="20AFCCC3" w:rsidR="00115458" w:rsidRPr="00703672" w:rsidRDefault="00115458" w:rsidP="00F4606C">
            <w:pPr>
              <w:spacing w:after="0" w:line="240" w:lineRule="auto"/>
              <w:rPr>
                <w:rFonts w:cs="Arial"/>
                <w:b/>
                <w:bCs/>
                <w:color w:val="000000"/>
              </w:rPr>
            </w:pPr>
            <w:r w:rsidRPr="00703672">
              <w:rPr>
                <w:rFonts w:cs="Arial"/>
                <w:b/>
                <w:bCs/>
                <w:color w:val="000000"/>
              </w:rPr>
              <w:t>AIIR Electronic Reporting Specification v1</w:t>
            </w:r>
            <w:r w:rsidR="005D03ED">
              <w:rPr>
                <w:rFonts w:cs="Arial"/>
                <w:b/>
                <w:bCs/>
                <w:color w:val="000000"/>
              </w:rPr>
              <w:t>4</w:t>
            </w:r>
          </w:p>
        </w:tc>
        <w:tc>
          <w:tcPr>
            <w:tcW w:w="1560" w:type="dxa"/>
            <w:shd w:val="clear" w:color="000000" w:fill="BFBFBF"/>
          </w:tcPr>
          <w:p w14:paraId="72B27449" w14:textId="77777777" w:rsidR="00115458" w:rsidRPr="00703672" w:rsidRDefault="00115458" w:rsidP="00F4606C">
            <w:pPr>
              <w:spacing w:after="0" w:line="240" w:lineRule="auto"/>
              <w:rPr>
                <w:rFonts w:cs="Arial"/>
                <w:b/>
                <w:bCs/>
                <w:color w:val="000000"/>
              </w:rPr>
            </w:pPr>
            <w:r w:rsidRPr="00703672">
              <w:rPr>
                <w:rFonts w:cs="Arial"/>
                <w:b/>
                <w:bCs/>
                <w:color w:val="000000"/>
              </w:rPr>
              <w:t>Field Type</w:t>
            </w:r>
          </w:p>
        </w:tc>
      </w:tr>
      <w:tr w:rsidR="00115458" w:rsidRPr="00703672" w14:paraId="1B4DF957" w14:textId="77777777" w:rsidTr="000C1365">
        <w:trPr>
          <w:trHeight w:val="300"/>
        </w:trPr>
        <w:tc>
          <w:tcPr>
            <w:tcW w:w="7273" w:type="dxa"/>
            <w:gridSpan w:val="2"/>
            <w:shd w:val="clear" w:color="000000" w:fill="D9D9D9"/>
            <w:noWrap/>
            <w:vAlign w:val="center"/>
            <w:hideMark/>
          </w:tcPr>
          <w:p w14:paraId="5ACE686F" w14:textId="77777777" w:rsidR="00115458" w:rsidRPr="00703672" w:rsidRDefault="00115458" w:rsidP="00F4606C">
            <w:pPr>
              <w:spacing w:after="0" w:line="240" w:lineRule="auto"/>
              <w:rPr>
                <w:rFonts w:cs="Arial"/>
                <w:b/>
                <w:color w:val="000000"/>
              </w:rPr>
            </w:pPr>
            <w:r w:rsidRPr="00703672">
              <w:rPr>
                <w:rFonts w:cs="Arial"/>
                <w:b/>
                <w:color w:val="000000"/>
              </w:rPr>
              <w:t>Investment Body Identity Data Record</w:t>
            </w:r>
          </w:p>
        </w:tc>
        <w:tc>
          <w:tcPr>
            <w:tcW w:w="1560" w:type="dxa"/>
            <w:shd w:val="clear" w:color="000000" w:fill="D9D9D9"/>
          </w:tcPr>
          <w:p w14:paraId="3B893F4B" w14:textId="77777777" w:rsidR="00115458" w:rsidRPr="00703672" w:rsidRDefault="00115458" w:rsidP="00F4606C">
            <w:pPr>
              <w:spacing w:after="0" w:line="240" w:lineRule="auto"/>
              <w:rPr>
                <w:rFonts w:cs="Arial"/>
                <w:b/>
                <w:color w:val="000000"/>
              </w:rPr>
            </w:pPr>
          </w:p>
        </w:tc>
      </w:tr>
      <w:tr w:rsidR="00115458" w:rsidRPr="00703672" w14:paraId="6613EAF8" w14:textId="77777777" w:rsidTr="00427C84">
        <w:trPr>
          <w:trHeight w:val="255"/>
        </w:trPr>
        <w:tc>
          <w:tcPr>
            <w:tcW w:w="1008" w:type="dxa"/>
            <w:noWrap/>
            <w:vAlign w:val="center"/>
            <w:hideMark/>
          </w:tcPr>
          <w:p w14:paraId="196330F6" w14:textId="77777777" w:rsidR="00115458" w:rsidRPr="00703672" w:rsidRDefault="00115458" w:rsidP="00F4606C">
            <w:pPr>
              <w:spacing w:after="0" w:line="240" w:lineRule="auto"/>
              <w:rPr>
                <w:rFonts w:cs="Arial"/>
                <w:color w:val="000000"/>
              </w:rPr>
            </w:pPr>
            <w:r w:rsidRPr="00703672">
              <w:rPr>
                <w:rFonts w:cs="Arial"/>
                <w:color w:val="000000"/>
              </w:rPr>
              <w:t>9.48</w:t>
            </w:r>
          </w:p>
        </w:tc>
        <w:tc>
          <w:tcPr>
            <w:tcW w:w="6265" w:type="dxa"/>
            <w:vAlign w:val="center"/>
            <w:hideMark/>
          </w:tcPr>
          <w:p w14:paraId="0D5A033E" w14:textId="77777777" w:rsidR="00115458" w:rsidRPr="00703672" w:rsidRDefault="00115458" w:rsidP="00F4606C">
            <w:pPr>
              <w:spacing w:after="0" w:line="240" w:lineRule="auto"/>
              <w:rPr>
                <w:rFonts w:cs="Arial"/>
                <w:color w:val="000000"/>
              </w:rPr>
            </w:pPr>
            <w:r w:rsidRPr="00703672">
              <w:rPr>
                <w:rFonts w:cs="Arial"/>
                <w:color w:val="000000"/>
              </w:rPr>
              <w:t>Investment body entity type code</w:t>
            </w:r>
          </w:p>
        </w:tc>
        <w:tc>
          <w:tcPr>
            <w:tcW w:w="1560" w:type="dxa"/>
          </w:tcPr>
          <w:p w14:paraId="513B2C00" w14:textId="77777777" w:rsidR="00115458" w:rsidRPr="00703672" w:rsidRDefault="00115458" w:rsidP="00F4606C">
            <w:pPr>
              <w:spacing w:after="0" w:line="240" w:lineRule="auto"/>
              <w:rPr>
                <w:rFonts w:cs="Arial"/>
                <w:color w:val="000000"/>
              </w:rPr>
            </w:pPr>
            <w:r w:rsidRPr="00703672">
              <w:rPr>
                <w:rFonts w:cs="Arial"/>
                <w:color w:val="000000"/>
              </w:rPr>
              <w:t>Mandatory</w:t>
            </w:r>
          </w:p>
        </w:tc>
      </w:tr>
      <w:tr w:rsidR="00115458" w:rsidRPr="00703672" w14:paraId="0D1CA249" w14:textId="77777777" w:rsidTr="00427C84">
        <w:trPr>
          <w:trHeight w:val="255"/>
        </w:trPr>
        <w:tc>
          <w:tcPr>
            <w:tcW w:w="1008" w:type="dxa"/>
            <w:noWrap/>
            <w:vAlign w:val="center"/>
            <w:hideMark/>
          </w:tcPr>
          <w:p w14:paraId="252A064F" w14:textId="77777777" w:rsidR="00115458" w:rsidRPr="00703672" w:rsidRDefault="00115458" w:rsidP="00F4606C">
            <w:pPr>
              <w:spacing w:after="0" w:line="240" w:lineRule="auto"/>
              <w:rPr>
                <w:rFonts w:cs="Arial"/>
                <w:color w:val="000000"/>
              </w:rPr>
            </w:pPr>
            <w:r w:rsidRPr="00703672">
              <w:rPr>
                <w:rFonts w:cs="Arial"/>
                <w:color w:val="000000"/>
              </w:rPr>
              <w:t>9.49</w:t>
            </w:r>
          </w:p>
        </w:tc>
        <w:tc>
          <w:tcPr>
            <w:tcW w:w="6265" w:type="dxa"/>
            <w:vAlign w:val="center"/>
            <w:hideMark/>
          </w:tcPr>
          <w:p w14:paraId="5840D2D9" w14:textId="77777777" w:rsidR="00115458" w:rsidRPr="00703672" w:rsidRDefault="00115458" w:rsidP="00F4606C">
            <w:pPr>
              <w:spacing w:after="0" w:line="240" w:lineRule="auto"/>
              <w:rPr>
                <w:rFonts w:cs="Arial"/>
                <w:color w:val="000000"/>
              </w:rPr>
            </w:pPr>
            <w:r w:rsidRPr="00703672">
              <w:rPr>
                <w:rFonts w:cs="Arial"/>
                <w:color w:val="000000"/>
              </w:rPr>
              <w:t>Investment body entity sub-type code</w:t>
            </w:r>
          </w:p>
        </w:tc>
        <w:tc>
          <w:tcPr>
            <w:tcW w:w="1560" w:type="dxa"/>
          </w:tcPr>
          <w:p w14:paraId="49E5B9FB" w14:textId="77777777" w:rsidR="00115458" w:rsidRPr="00703672" w:rsidRDefault="00115458" w:rsidP="00F4606C">
            <w:pPr>
              <w:spacing w:after="0" w:line="240" w:lineRule="auto"/>
              <w:rPr>
                <w:rFonts w:cs="Arial"/>
                <w:color w:val="000000"/>
              </w:rPr>
            </w:pPr>
            <w:r w:rsidRPr="00703672">
              <w:rPr>
                <w:rFonts w:cs="Arial"/>
              </w:rPr>
              <w:t>Mandatory</w:t>
            </w:r>
          </w:p>
        </w:tc>
      </w:tr>
      <w:tr w:rsidR="00115458" w:rsidRPr="00703672" w14:paraId="62528D5B" w14:textId="77777777" w:rsidTr="000C1365">
        <w:trPr>
          <w:trHeight w:val="300"/>
        </w:trPr>
        <w:tc>
          <w:tcPr>
            <w:tcW w:w="7273" w:type="dxa"/>
            <w:gridSpan w:val="2"/>
            <w:shd w:val="clear" w:color="000000" w:fill="D9D9D9"/>
            <w:noWrap/>
            <w:vAlign w:val="center"/>
            <w:hideMark/>
          </w:tcPr>
          <w:p w14:paraId="1E8A84AB" w14:textId="77777777" w:rsidR="00115458" w:rsidRPr="00703672" w:rsidRDefault="00115458" w:rsidP="00F4606C">
            <w:pPr>
              <w:spacing w:after="0" w:line="240" w:lineRule="auto"/>
              <w:rPr>
                <w:rFonts w:cs="Arial"/>
                <w:b/>
                <w:color w:val="000000"/>
              </w:rPr>
            </w:pPr>
            <w:r w:rsidRPr="00703672">
              <w:rPr>
                <w:rFonts w:cs="Arial"/>
                <w:b/>
                <w:color w:val="000000"/>
              </w:rPr>
              <w:t>Investment Account Data Record</w:t>
            </w:r>
          </w:p>
        </w:tc>
        <w:tc>
          <w:tcPr>
            <w:tcW w:w="1560" w:type="dxa"/>
            <w:shd w:val="clear" w:color="000000" w:fill="D9D9D9"/>
          </w:tcPr>
          <w:p w14:paraId="431045CC" w14:textId="77777777" w:rsidR="00115458" w:rsidRPr="00703672" w:rsidRDefault="00115458" w:rsidP="00F4606C">
            <w:pPr>
              <w:spacing w:after="0" w:line="240" w:lineRule="auto"/>
              <w:rPr>
                <w:rFonts w:cs="Arial"/>
                <w:b/>
                <w:color w:val="000000"/>
              </w:rPr>
            </w:pPr>
          </w:p>
        </w:tc>
      </w:tr>
      <w:tr w:rsidR="00115458" w:rsidRPr="00703672" w14:paraId="216A53E6" w14:textId="77777777" w:rsidTr="00427C84">
        <w:trPr>
          <w:trHeight w:val="255"/>
        </w:trPr>
        <w:tc>
          <w:tcPr>
            <w:tcW w:w="1008" w:type="dxa"/>
            <w:noWrap/>
            <w:vAlign w:val="center"/>
          </w:tcPr>
          <w:p w14:paraId="1405CBA1" w14:textId="77777777" w:rsidR="00115458" w:rsidRPr="00703672" w:rsidRDefault="00115458" w:rsidP="00F4606C">
            <w:pPr>
              <w:spacing w:after="0" w:line="240" w:lineRule="auto"/>
              <w:rPr>
                <w:rFonts w:cs="Arial"/>
                <w:color w:val="000000"/>
              </w:rPr>
            </w:pPr>
            <w:r w:rsidRPr="00703672">
              <w:rPr>
                <w:rFonts w:cs="Arial"/>
                <w:color w:val="000000"/>
              </w:rPr>
              <w:t>9.71</w:t>
            </w:r>
          </w:p>
        </w:tc>
        <w:tc>
          <w:tcPr>
            <w:tcW w:w="6265" w:type="dxa"/>
            <w:vAlign w:val="center"/>
          </w:tcPr>
          <w:p w14:paraId="3D61A4B9" w14:textId="77777777" w:rsidR="00115458" w:rsidRPr="00703672" w:rsidRDefault="00115458" w:rsidP="00F4606C">
            <w:pPr>
              <w:spacing w:after="0" w:line="240" w:lineRule="auto"/>
              <w:rPr>
                <w:rFonts w:cs="Arial"/>
              </w:rPr>
            </w:pPr>
            <w:r w:rsidRPr="00703672">
              <w:rPr>
                <w:rFonts w:cs="Arial"/>
              </w:rPr>
              <w:t>Type of investment</w:t>
            </w:r>
          </w:p>
        </w:tc>
        <w:tc>
          <w:tcPr>
            <w:tcW w:w="1560" w:type="dxa"/>
          </w:tcPr>
          <w:p w14:paraId="65F920C0" w14:textId="77777777" w:rsidR="00115458" w:rsidRPr="00703672" w:rsidRDefault="00115458" w:rsidP="00F4606C">
            <w:pPr>
              <w:spacing w:after="0" w:line="240" w:lineRule="auto"/>
              <w:rPr>
                <w:rFonts w:cs="Arial"/>
              </w:rPr>
            </w:pPr>
            <w:r w:rsidRPr="00703672">
              <w:rPr>
                <w:rFonts w:cs="Arial"/>
              </w:rPr>
              <w:t>Mandatory</w:t>
            </w:r>
          </w:p>
        </w:tc>
      </w:tr>
      <w:tr w:rsidR="00115458" w:rsidRPr="00703672" w14:paraId="124BF6FA" w14:textId="77777777" w:rsidTr="00427C84">
        <w:trPr>
          <w:trHeight w:val="284"/>
        </w:trPr>
        <w:tc>
          <w:tcPr>
            <w:tcW w:w="1008" w:type="dxa"/>
            <w:noWrap/>
            <w:vAlign w:val="center"/>
          </w:tcPr>
          <w:p w14:paraId="0721527C" w14:textId="77777777" w:rsidR="00115458" w:rsidRPr="00703672" w:rsidRDefault="00115458" w:rsidP="00F4606C">
            <w:pPr>
              <w:spacing w:after="0" w:line="240" w:lineRule="auto"/>
              <w:rPr>
                <w:rFonts w:cs="Arial"/>
                <w:color w:val="000000"/>
              </w:rPr>
            </w:pPr>
            <w:r w:rsidRPr="00703672">
              <w:rPr>
                <w:rFonts w:cs="Arial"/>
                <w:color w:val="000000"/>
              </w:rPr>
              <w:t>9.72</w:t>
            </w:r>
          </w:p>
        </w:tc>
        <w:tc>
          <w:tcPr>
            <w:tcW w:w="6265" w:type="dxa"/>
            <w:vAlign w:val="center"/>
          </w:tcPr>
          <w:p w14:paraId="24660DCE" w14:textId="77777777" w:rsidR="00115458" w:rsidRPr="00703672" w:rsidRDefault="00115458" w:rsidP="00F4606C">
            <w:pPr>
              <w:spacing w:after="0" w:line="240" w:lineRule="auto"/>
              <w:rPr>
                <w:rFonts w:cs="Arial"/>
              </w:rPr>
            </w:pPr>
            <w:r w:rsidRPr="00703672">
              <w:rPr>
                <w:rFonts w:cs="Arial"/>
              </w:rPr>
              <w:t>Type of payment</w:t>
            </w:r>
          </w:p>
        </w:tc>
        <w:tc>
          <w:tcPr>
            <w:tcW w:w="1560" w:type="dxa"/>
          </w:tcPr>
          <w:p w14:paraId="7A2C587F" w14:textId="77777777" w:rsidR="00115458" w:rsidRPr="00703672" w:rsidRDefault="00115458" w:rsidP="00F4606C">
            <w:pPr>
              <w:spacing w:after="0" w:line="240" w:lineRule="auto"/>
              <w:rPr>
                <w:rFonts w:cs="Arial"/>
              </w:rPr>
            </w:pPr>
            <w:r w:rsidRPr="00703672">
              <w:rPr>
                <w:rFonts w:cs="Arial"/>
              </w:rPr>
              <w:t>Mandatory</w:t>
            </w:r>
          </w:p>
        </w:tc>
      </w:tr>
      <w:tr w:rsidR="00115458" w:rsidRPr="00703672" w14:paraId="4CF30E15" w14:textId="77777777" w:rsidTr="00427C84">
        <w:trPr>
          <w:trHeight w:val="284"/>
        </w:trPr>
        <w:tc>
          <w:tcPr>
            <w:tcW w:w="1008" w:type="dxa"/>
            <w:noWrap/>
            <w:vAlign w:val="center"/>
            <w:hideMark/>
          </w:tcPr>
          <w:p w14:paraId="074E8B99" w14:textId="77777777" w:rsidR="00115458" w:rsidRPr="00703672" w:rsidRDefault="00115458" w:rsidP="00F4606C">
            <w:pPr>
              <w:spacing w:after="0" w:line="240" w:lineRule="auto"/>
              <w:rPr>
                <w:rFonts w:cs="Arial"/>
                <w:color w:val="000000"/>
              </w:rPr>
            </w:pPr>
            <w:r w:rsidRPr="00703672">
              <w:rPr>
                <w:rFonts w:cs="Arial"/>
                <w:color w:val="000000"/>
              </w:rPr>
              <w:t>9.74</w:t>
            </w:r>
          </w:p>
        </w:tc>
        <w:tc>
          <w:tcPr>
            <w:tcW w:w="6265" w:type="dxa"/>
            <w:vAlign w:val="center"/>
            <w:hideMark/>
          </w:tcPr>
          <w:p w14:paraId="6B4E1797" w14:textId="77777777" w:rsidR="00115458" w:rsidRPr="00703672" w:rsidRDefault="00115458" w:rsidP="00F4606C">
            <w:pPr>
              <w:spacing w:after="0" w:line="240" w:lineRule="auto"/>
              <w:rPr>
                <w:rFonts w:cs="Arial"/>
              </w:rPr>
            </w:pPr>
            <w:r w:rsidRPr="00703672">
              <w:rPr>
                <w:rFonts w:cs="Arial"/>
              </w:rPr>
              <w:t>TFN withholding tax deducted</w:t>
            </w:r>
          </w:p>
        </w:tc>
        <w:tc>
          <w:tcPr>
            <w:tcW w:w="1560" w:type="dxa"/>
          </w:tcPr>
          <w:p w14:paraId="2DEBDFBC"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6EC35FA0" w14:textId="77777777" w:rsidTr="00427C84">
        <w:trPr>
          <w:trHeight w:val="284"/>
        </w:trPr>
        <w:tc>
          <w:tcPr>
            <w:tcW w:w="1008" w:type="dxa"/>
            <w:noWrap/>
            <w:vAlign w:val="center"/>
            <w:hideMark/>
          </w:tcPr>
          <w:p w14:paraId="23700CDA" w14:textId="77777777" w:rsidR="00115458" w:rsidRPr="00703672" w:rsidRDefault="00115458" w:rsidP="00F4606C">
            <w:pPr>
              <w:spacing w:after="0" w:line="240" w:lineRule="auto"/>
              <w:rPr>
                <w:rFonts w:cs="Arial"/>
                <w:color w:val="000000"/>
              </w:rPr>
            </w:pPr>
            <w:r w:rsidRPr="00703672">
              <w:rPr>
                <w:rFonts w:cs="Arial"/>
                <w:color w:val="000000"/>
              </w:rPr>
              <w:t>9.75</w:t>
            </w:r>
          </w:p>
        </w:tc>
        <w:tc>
          <w:tcPr>
            <w:tcW w:w="6265" w:type="dxa"/>
            <w:vAlign w:val="center"/>
            <w:hideMark/>
          </w:tcPr>
          <w:p w14:paraId="1CA9DD24" w14:textId="77777777" w:rsidR="00115458" w:rsidRPr="00703672" w:rsidRDefault="00115458" w:rsidP="00F4606C">
            <w:pPr>
              <w:spacing w:after="0" w:line="240" w:lineRule="auto"/>
              <w:rPr>
                <w:rFonts w:cs="Arial"/>
              </w:rPr>
            </w:pPr>
            <w:r w:rsidRPr="00703672">
              <w:rPr>
                <w:rFonts w:cs="Arial"/>
              </w:rPr>
              <w:t>TFN withholding tax refunded</w:t>
            </w:r>
          </w:p>
        </w:tc>
        <w:tc>
          <w:tcPr>
            <w:tcW w:w="1560" w:type="dxa"/>
          </w:tcPr>
          <w:p w14:paraId="3B956EAB"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14B74A18" w14:textId="77777777" w:rsidTr="00427C84">
        <w:trPr>
          <w:trHeight w:val="284"/>
        </w:trPr>
        <w:tc>
          <w:tcPr>
            <w:tcW w:w="1008" w:type="dxa"/>
            <w:noWrap/>
            <w:vAlign w:val="center"/>
            <w:hideMark/>
          </w:tcPr>
          <w:p w14:paraId="58385E3B" w14:textId="77777777" w:rsidR="00115458" w:rsidRPr="00703672" w:rsidRDefault="00115458" w:rsidP="00F4606C">
            <w:pPr>
              <w:spacing w:after="0" w:line="240" w:lineRule="auto"/>
              <w:rPr>
                <w:rFonts w:cs="Arial"/>
                <w:color w:val="000000"/>
              </w:rPr>
            </w:pPr>
            <w:r w:rsidRPr="00703672">
              <w:rPr>
                <w:rFonts w:cs="Arial"/>
                <w:color w:val="000000"/>
              </w:rPr>
              <w:t>9.76</w:t>
            </w:r>
          </w:p>
        </w:tc>
        <w:tc>
          <w:tcPr>
            <w:tcW w:w="6265" w:type="dxa"/>
            <w:vAlign w:val="center"/>
            <w:hideMark/>
          </w:tcPr>
          <w:p w14:paraId="0583E6DD" w14:textId="77777777" w:rsidR="00115458" w:rsidRPr="00703672" w:rsidRDefault="00115458" w:rsidP="00F4606C">
            <w:pPr>
              <w:spacing w:after="0" w:line="240" w:lineRule="auto"/>
              <w:rPr>
                <w:rFonts w:cs="Arial"/>
              </w:rPr>
            </w:pPr>
            <w:r w:rsidRPr="00703672">
              <w:rPr>
                <w:rFonts w:cs="Arial"/>
              </w:rPr>
              <w:t>Non-resident withholding amount deducted</w:t>
            </w:r>
          </w:p>
        </w:tc>
        <w:tc>
          <w:tcPr>
            <w:tcW w:w="1560" w:type="dxa"/>
          </w:tcPr>
          <w:p w14:paraId="303C4F34"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74D60E35" w14:textId="77777777" w:rsidTr="00427C84">
        <w:trPr>
          <w:trHeight w:val="284"/>
        </w:trPr>
        <w:tc>
          <w:tcPr>
            <w:tcW w:w="1008" w:type="dxa"/>
            <w:noWrap/>
            <w:vAlign w:val="center"/>
            <w:hideMark/>
          </w:tcPr>
          <w:p w14:paraId="56A24A24" w14:textId="77777777" w:rsidR="00115458" w:rsidRPr="00703672" w:rsidRDefault="00115458" w:rsidP="00F4606C">
            <w:pPr>
              <w:spacing w:after="0" w:line="240" w:lineRule="auto"/>
              <w:rPr>
                <w:rFonts w:cs="Arial"/>
                <w:color w:val="000000"/>
              </w:rPr>
            </w:pPr>
            <w:r w:rsidRPr="00703672">
              <w:rPr>
                <w:rFonts w:cs="Arial"/>
                <w:color w:val="000000"/>
              </w:rPr>
              <w:t>9.79</w:t>
            </w:r>
          </w:p>
        </w:tc>
        <w:tc>
          <w:tcPr>
            <w:tcW w:w="6265" w:type="dxa"/>
            <w:vAlign w:val="center"/>
            <w:hideMark/>
          </w:tcPr>
          <w:p w14:paraId="2B033599" w14:textId="77777777" w:rsidR="00115458" w:rsidRPr="00703672" w:rsidRDefault="00115458" w:rsidP="00F4606C">
            <w:pPr>
              <w:spacing w:after="0" w:line="240" w:lineRule="auto"/>
              <w:rPr>
                <w:rFonts w:cs="Arial"/>
                <w:color w:val="000000"/>
              </w:rPr>
            </w:pPr>
            <w:r w:rsidRPr="00703672">
              <w:rPr>
                <w:rFonts w:cs="Arial"/>
                <w:color w:val="000000"/>
              </w:rPr>
              <w:t xml:space="preserve">Interest </w:t>
            </w:r>
          </w:p>
        </w:tc>
        <w:tc>
          <w:tcPr>
            <w:tcW w:w="1560" w:type="dxa"/>
          </w:tcPr>
          <w:p w14:paraId="352C055A"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7A5659D2" w14:textId="77777777" w:rsidTr="00427C84">
        <w:trPr>
          <w:trHeight w:val="284"/>
        </w:trPr>
        <w:tc>
          <w:tcPr>
            <w:tcW w:w="1008" w:type="dxa"/>
            <w:noWrap/>
            <w:vAlign w:val="center"/>
            <w:hideMark/>
          </w:tcPr>
          <w:p w14:paraId="52EBF027" w14:textId="77777777" w:rsidR="00115458" w:rsidRPr="00703672" w:rsidRDefault="00115458" w:rsidP="00F4606C">
            <w:pPr>
              <w:spacing w:after="0" w:line="240" w:lineRule="auto"/>
              <w:rPr>
                <w:rFonts w:cs="Arial"/>
                <w:color w:val="000000"/>
              </w:rPr>
            </w:pPr>
            <w:r w:rsidRPr="00703672">
              <w:rPr>
                <w:rFonts w:cs="Arial"/>
                <w:color w:val="000000"/>
              </w:rPr>
              <w:t>9.80</w:t>
            </w:r>
          </w:p>
        </w:tc>
        <w:tc>
          <w:tcPr>
            <w:tcW w:w="6265" w:type="dxa"/>
            <w:vAlign w:val="center"/>
            <w:hideMark/>
          </w:tcPr>
          <w:p w14:paraId="4068ED65" w14:textId="77777777" w:rsidR="00115458" w:rsidRPr="00703672" w:rsidRDefault="00115458" w:rsidP="00F4606C">
            <w:pPr>
              <w:spacing w:after="0" w:line="240" w:lineRule="auto"/>
              <w:rPr>
                <w:rFonts w:cs="Arial"/>
                <w:color w:val="000000"/>
              </w:rPr>
            </w:pPr>
            <w:r w:rsidRPr="00703672">
              <w:rPr>
                <w:rFonts w:cs="Arial"/>
                <w:color w:val="000000"/>
              </w:rPr>
              <w:t xml:space="preserve">Unfranked dividends not declared to be conduit foreign income </w:t>
            </w:r>
          </w:p>
        </w:tc>
        <w:tc>
          <w:tcPr>
            <w:tcW w:w="1560" w:type="dxa"/>
          </w:tcPr>
          <w:p w14:paraId="146824BE"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450ED1EB" w14:textId="77777777" w:rsidTr="00427C84">
        <w:trPr>
          <w:trHeight w:val="284"/>
        </w:trPr>
        <w:tc>
          <w:tcPr>
            <w:tcW w:w="1008" w:type="dxa"/>
            <w:noWrap/>
            <w:vAlign w:val="center"/>
            <w:hideMark/>
          </w:tcPr>
          <w:p w14:paraId="5DC0D475" w14:textId="77777777" w:rsidR="00115458" w:rsidRPr="00703672" w:rsidRDefault="00115458" w:rsidP="00F4606C">
            <w:pPr>
              <w:spacing w:after="0" w:line="240" w:lineRule="auto"/>
              <w:rPr>
                <w:rFonts w:cs="Arial"/>
                <w:color w:val="000000"/>
              </w:rPr>
            </w:pPr>
            <w:r w:rsidRPr="00703672">
              <w:rPr>
                <w:rFonts w:cs="Arial"/>
                <w:color w:val="000000"/>
              </w:rPr>
              <w:t>9.81</w:t>
            </w:r>
          </w:p>
        </w:tc>
        <w:tc>
          <w:tcPr>
            <w:tcW w:w="6265" w:type="dxa"/>
            <w:vAlign w:val="center"/>
            <w:hideMark/>
          </w:tcPr>
          <w:p w14:paraId="49A3806B" w14:textId="77777777" w:rsidR="00115458" w:rsidRPr="00703672" w:rsidRDefault="00115458" w:rsidP="00F4606C">
            <w:pPr>
              <w:spacing w:after="0" w:line="240" w:lineRule="auto"/>
              <w:rPr>
                <w:rFonts w:cs="Arial"/>
                <w:color w:val="000000"/>
              </w:rPr>
            </w:pPr>
            <w:r w:rsidRPr="00703672">
              <w:rPr>
                <w:rFonts w:cs="Arial"/>
                <w:color w:val="000000"/>
              </w:rPr>
              <w:t xml:space="preserve">Unfranked dividends declared to be conduit foreign income </w:t>
            </w:r>
          </w:p>
        </w:tc>
        <w:tc>
          <w:tcPr>
            <w:tcW w:w="1560" w:type="dxa"/>
          </w:tcPr>
          <w:p w14:paraId="208262A3"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3BDCBC97" w14:textId="77777777" w:rsidTr="00427C84">
        <w:trPr>
          <w:trHeight w:val="284"/>
        </w:trPr>
        <w:tc>
          <w:tcPr>
            <w:tcW w:w="1008" w:type="dxa"/>
            <w:noWrap/>
            <w:vAlign w:val="center"/>
            <w:hideMark/>
          </w:tcPr>
          <w:p w14:paraId="649801E1" w14:textId="77777777" w:rsidR="00115458" w:rsidRPr="00703672" w:rsidRDefault="00115458" w:rsidP="00F4606C">
            <w:pPr>
              <w:spacing w:after="0" w:line="240" w:lineRule="auto"/>
              <w:rPr>
                <w:rFonts w:cs="Arial"/>
                <w:color w:val="000000"/>
              </w:rPr>
            </w:pPr>
            <w:r w:rsidRPr="00703672">
              <w:rPr>
                <w:rFonts w:cs="Arial"/>
                <w:color w:val="000000"/>
              </w:rPr>
              <w:t>9.82</w:t>
            </w:r>
          </w:p>
        </w:tc>
        <w:tc>
          <w:tcPr>
            <w:tcW w:w="6265" w:type="dxa"/>
            <w:vAlign w:val="center"/>
            <w:hideMark/>
          </w:tcPr>
          <w:p w14:paraId="368D08F4" w14:textId="77777777" w:rsidR="00115458" w:rsidRPr="00703672" w:rsidRDefault="00115458" w:rsidP="00F4606C">
            <w:pPr>
              <w:spacing w:after="0" w:line="240" w:lineRule="auto"/>
              <w:rPr>
                <w:rFonts w:cs="Arial"/>
                <w:color w:val="000000"/>
              </w:rPr>
            </w:pPr>
            <w:r w:rsidRPr="00703672">
              <w:rPr>
                <w:rFonts w:cs="Arial"/>
                <w:color w:val="000000"/>
              </w:rPr>
              <w:t xml:space="preserve">Franked dividends </w:t>
            </w:r>
          </w:p>
        </w:tc>
        <w:tc>
          <w:tcPr>
            <w:tcW w:w="1560" w:type="dxa"/>
          </w:tcPr>
          <w:p w14:paraId="5B9D47EA"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20DACB38" w14:textId="77777777" w:rsidTr="00427C84">
        <w:trPr>
          <w:trHeight w:val="284"/>
        </w:trPr>
        <w:tc>
          <w:tcPr>
            <w:tcW w:w="1008" w:type="dxa"/>
            <w:noWrap/>
            <w:vAlign w:val="center"/>
            <w:hideMark/>
          </w:tcPr>
          <w:p w14:paraId="1E3BCBDE" w14:textId="77777777" w:rsidR="00115458" w:rsidRPr="00703672" w:rsidRDefault="00115458" w:rsidP="00F4606C">
            <w:pPr>
              <w:spacing w:after="0" w:line="240" w:lineRule="auto"/>
              <w:rPr>
                <w:rFonts w:cs="Arial"/>
                <w:color w:val="000000"/>
              </w:rPr>
            </w:pPr>
            <w:r w:rsidRPr="00703672">
              <w:rPr>
                <w:rFonts w:cs="Arial"/>
                <w:color w:val="000000"/>
              </w:rPr>
              <w:t>9.83</w:t>
            </w:r>
          </w:p>
        </w:tc>
        <w:tc>
          <w:tcPr>
            <w:tcW w:w="6265" w:type="dxa"/>
            <w:vAlign w:val="center"/>
            <w:hideMark/>
          </w:tcPr>
          <w:p w14:paraId="7708C369" w14:textId="77777777" w:rsidR="00115458" w:rsidRPr="00703672" w:rsidRDefault="00115458" w:rsidP="00F4606C">
            <w:pPr>
              <w:spacing w:after="0" w:line="240" w:lineRule="auto"/>
              <w:rPr>
                <w:rFonts w:cs="Arial"/>
                <w:color w:val="000000"/>
              </w:rPr>
            </w:pPr>
            <w:r w:rsidRPr="00703672">
              <w:rPr>
                <w:rFonts w:cs="Arial"/>
                <w:color w:val="000000"/>
              </w:rPr>
              <w:t xml:space="preserve">Franking credit </w:t>
            </w:r>
          </w:p>
        </w:tc>
        <w:tc>
          <w:tcPr>
            <w:tcW w:w="1560" w:type="dxa"/>
          </w:tcPr>
          <w:p w14:paraId="263D8317"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6AA3B270" w14:textId="77777777" w:rsidTr="00427C84">
        <w:trPr>
          <w:trHeight w:val="284"/>
        </w:trPr>
        <w:tc>
          <w:tcPr>
            <w:tcW w:w="1008" w:type="dxa"/>
            <w:noWrap/>
            <w:vAlign w:val="center"/>
            <w:hideMark/>
          </w:tcPr>
          <w:p w14:paraId="04B2F039" w14:textId="77777777" w:rsidR="00115458" w:rsidRPr="00703672" w:rsidRDefault="00115458" w:rsidP="00F4606C">
            <w:pPr>
              <w:spacing w:after="0" w:line="240" w:lineRule="auto"/>
              <w:rPr>
                <w:rFonts w:cs="Arial"/>
                <w:color w:val="000000"/>
              </w:rPr>
            </w:pPr>
            <w:r w:rsidRPr="00703672">
              <w:rPr>
                <w:rFonts w:cs="Arial"/>
                <w:color w:val="000000"/>
              </w:rPr>
              <w:t>9.84</w:t>
            </w:r>
          </w:p>
        </w:tc>
        <w:tc>
          <w:tcPr>
            <w:tcW w:w="6265" w:type="dxa"/>
            <w:vAlign w:val="center"/>
            <w:hideMark/>
          </w:tcPr>
          <w:p w14:paraId="5FB67C1E" w14:textId="77777777" w:rsidR="00115458" w:rsidRPr="00703672" w:rsidRDefault="00115458" w:rsidP="00F4606C">
            <w:pPr>
              <w:spacing w:after="0" w:line="240" w:lineRule="auto"/>
              <w:rPr>
                <w:rFonts w:cs="Arial"/>
                <w:color w:val="000000"/>
              </w:rPr>
            </w:pPr>
            <w:r w:rsidRPr="00703672">
              <w:rPr>
                <w:rFonts w:cs="Arial"/>
                <w:color w:val="000000"/>
              </w:rPr>
              <w:t xml:space="preserve">Other taxable Australian income </w:t>
            </w:r>
          </w:p>
        </w:tc>
        <w:tc>
          <w:tcPr>
            <w:tcW w:w="1560" w:type="dxa"/>
          </w:tcPr>
          <w:p w14:paraId="76C47AB0"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60F4E7C4" w14:textId="77777777" w:rsidTr="00427C84">
        <w:trPr>
          <w:trHeight w:val="284"/>
        </w:trPr>
        <w:tc>
          <w:tcPr>
            <w:tcW w:w="1008" w:type="dxa"/>
            <w:noWrap/>
            <w:vAlign w:val="center"/>
            <w:hideMark/>
          </w:tcPr>
          <w:p w14:paraId="2501604F" w14:textId="77777777" w:rsidR="00115458" w:rsidRPr="00703672" w:rsidRDefault="00115458" w:rsidP="00F4606C">
            <w:pPr>
              <w:spacing w:after="0" w:line="240" w:lineRule="auto"/>
              <w:rPr>
                <w:rFonts w:cs="Arial"/>
                <w:color w:val="000000"/>
              </w:rPr>
            </w:pPr>
            <w:r w:rsidRPr="00703672">
              <w:rPr>
                <w:rFonts w:cs="Arial"/>
                <w:color w:val="000000"/>
              </w:rPr>
              <w:t>9.85</w:t>
            </w:r>
          </w:p>
        </w:tc>
        <w:tc>
          <w:tcPr>
            <w:tcW w:w="6265" w:type="dxa"/>
            <w:vAlign w:val="center"/>
            <w:hideMark/>
          </w:tcPr>
          <w:p w14:paraId="40D88693" w14:textId="77777777" w:rsidR="00115458" w:rsidRPr="00703672" w:rsidRDefault="00115458" w:rsidP="00F4606C">
            <w:pPr>
              <w:spacing w:after="0" w:line="240" w:lineRule="auto"/>
              <w:rPr>
                <w:rFonts w:cs="Arial"/>
                <w:color w:val="000000"/>
              </w:rPr>
            </w:pPr>
            <w:r w:rsidRPr="00703672">
              <w:rPr>
                <w:rFonts w:cs="Arial"/>
                <w:color w:val="000000"/>
              </w:rPr>
              <w:t xml:space="preserve">Non-primary production income </w:t>
            </w:r>
          </w:p>
        </w:tc>
        <w:tc>
          <w:tcPr>
            <w:tcW w:w="1560" w:type="dxa"/>
          </w:tcPr>
          <w:p w14:paraId="4DAF8101"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1453712F" w14:textId="77777777" w:rsidTr="00427C84">
        <w:trPr>
          <w:trHeight w:val="284"/>
        </w:trPr>
        <w:tc>
          <w:tcPr>
            <w:tcW w:w="1008" w:type="dxa"/>
            <w:noWrap/>
            <w:vAlign w:val="center"/>
            <w:hideMark/>
          </w:tcPr>
          <w:p w14:paraId="2E6C3354" w14:textId="77777777" w:rsidR="00115458" w:rsidRPr="00703672" w:rsidRDefault="00115458" w:rsidP="00F4606C">
            <w:pPr>
              <w:spacing w:after="0" w:line="240" w:lineRule="auto"/>
              <w:rPr>
                <w:rFonts w:cs="Arial"/>
                <w:color w:val="000000"/>
              </w:rPr>
            </w:pPr>
            <w:r w:rsidRPr="00703672">
              <w:rPr>
                <w:rFonts w:cs="Arial"/>
                <w:color w:val="000000"/>
              </w:rPr>
              <w:t>9.86</w:t>
            </w:r>
          </w:p>
        </w:tc>
        <w:tc>
          <w:tcPr>
            <w:tcW w:w="6265" w:type="dxa"/>
            <w:vAlign w:val="center"/>
            <w:hideMark/>
          </w:tcPr>
          <w:p w14:paraId="07F9F14A" w14:textId="77777777" w:rsidR="00115458" w:rsidRPr="00703672" w:rsidRDefault="00115458" w:rsidP="00F4606C">
            <w:pPr>
              <w:spacing w:after="0" w:line="240" w:lineRule="auto"/>
              <w:rPr>
                <w:rFonts w:cs="Arial"/>
              </w:rPr>
            </w:pPr>
            <w:r w:rsidRPr="00703672">
              <w:rPr>
                <w:rFonts w:cs="Arial"/>
              </w:rPr>
              <w:t>Deductions relating to Non-primary production distributions</w:t>
            </w:r>
          </w:p>
        </w:tc>
        <w:tc>
          <w:tcPr>
            <w:tcW w:w="1560" w:type="dxa"/>
          </w:tcPr>
          <w:p w14:paraId="1AAA5A35"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20EC53A0" w14:textId="77777777" w:rsidTr="00427C84">
        <w:trPr>
          <w:trHeight w:val="284"/>
        </w:trPr>
        <w:tc>
          <w:tcPr>
            <w:tcW w:w="1008" w:type="dxa"/>
            <w:noWrap/>
            <w:vAlign w:val="center"/>
            <w:hideMark/>
          </w:tcPr>
          <w:p w14:paraId="6029C7F4" w14:textId="77777777" w:rsidR="00115458" w:rsidRPr="00703672" w:rsidRDefault="00115458" w:rsidP="00F4606C">
            <w:pPr>
              <w:spacing w:after="0" w:line="240" w:lineRule="auto"/>
              <w:rPr>
                <w:rFonts w:cs="Arial"/>
                <w:color w:val="000000"/>
              </w:rPr>
            </w:pPr>
            <w:r w:rsidRPr="00703672">
              <w:rPr>
                <w:rFonts w:cs="Arial"/>
                <w:color w:val="000000"/>
              </w:rPr>
              <w:t>9.87</w:t>
            </w:r>
          </w:p>
        </w:tc>
        <w:tc>
          <w:tcPr>
            <w:tcW w:w="6265" w:type="dxa"/>
            <w:vAlign w:val="center"/>
            <w:hideMark/>
          </w:tcPr>
          <w:p w14:paraId="3DE8B81A" w14:textId="77777777" w:rsidR="00115458" w:rsidRPr="00703672" w:rsidRDefault="00115458" w:rsidP="00F4606C">
            <w:pPr>
              <w:spacing w:after="0" w:line="240" w:lineRule="auto"/>
              <w:rPr>
                <w:rFonts w:cs="Arial"/>
              </w:rPr>
            </w:pPr>
            <w:r w:rsidRPr="00703672">
              <w:rPr>
                <w:rFonts w:cs="Arial"/>
              </w:rPr>
              <w:t>CGT concession amount or AMIT CGT gross up amount</w:t>
            </w:r>
          </w:p>
        </w:tc>
        <w:tc>
          <w:tcPr>
            <w:tcW w:w="1560" w:type="dxa"/>
          </w:tcPr>
          <w:p w14:paraId="23EB9CD5"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6BBDF6A9" w14:textId="77777777" w:rsidTr="00427C84">
        <w:trPr>
          <w:trHeight w:val="284"/>
        </w:trPr>
        <w:tc>
          <w:tcPr>
            <w:tcW w:w="1008" w:type="dxa"/>
            <w:noWrap/>
            <w:vAlign w:val="center"/>
            <w:hideMark/>
          </w:tcPr>
          <w:p w14:paraId="2550D61A" w14:textId="77777777" w:rsidR="00115458" w:rsidRPr="00703672" w:rsidRDefault="00115458" w:rsidP="00F4606C">
            <w:pPr>
              <w:spacing w:after="0" w:line="240" w:lineRule="auto"/>
              <w:rPr>
                <w:rFonts w:cs="Arial"/>
                <w:color w:val="000000"/>
              </w:rPr>
            </w:pPr>
            <w:r w:rsidRPr="00703672">
              <w:rPr>
                <w:rFonts w:cs="Arial"/>
                <w:color w:val="000000"/>
              </w:rPr>
              <w:t>9.88</w:t>
            </w:r>
          </w:p>
        </w:tc>
        <w:tc>
          <w:tcPr>
            <w:tcW w:w="6265" w:type="dxa"/>
            <w:vAlign w:val="center"/>
            <w:hideMark/>
          </w:tcPr>
          <w:p w14:paraId="29326708" w14:textId="77777777" w:rsidR="00115458" w:rsidRPr="00703672" w:rsidRDefault="00115458" w:rsidP="00F4606C">
            <w:pPr>
              <w:spacing w:after="0" w:line="240" w:lineRule="auto"/>
              <w:rPr>
                <w:rFonts w:cs="Arial"/>
                <w:color w:val="000000"/>
              </w:rPr>
            </w:pPr>
            <w:r w:rsidRPr="00703672">
              <w:rPr>
                <w:rFonts w:cs="Arial"/>
                <w:color w:val="000000"/>
              </w:rPr>
              <w:t xml:space="preserve">Net capital gain </w:t>
            </w:r>
          </w:p>
        </w:tc>
        <w:tc>
          <w:tcPr>
            <w:tcW w:w="1560" w:type="dxa"/>
          </w:tcPr>
          <w:p w14:paraId="0DA7719B"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1DAFF044" w14:textId="77777777" w:rsidTr="00427C84">
        <w:trPr>
          <w:trHeight w:val="284"/>
        </w:trPr>
        <w:tc>
          <w:tcPr>
            <w:tcW w:w="1008" w:type="dxa"/>
            <w:noWrap/>
            <w:vAlign w:val="center"/>
            <w:hideMark/>
          </w:tcPr>
          <w:p w14:paraId="71ACA9CD" w14:textId="77777777" w:rsidR="00115458" w:rsidRPr="00703672" w:rsidRDefault="00115458" w:rsidP="00F4606C">
            <w:pPr>
              <w:spacing w:after="0" w:line="240" w:lineRule="auto"/>
              <w:rPr>
                <w:rFonts w:cs="Arial"/>
                <w:color w:val="000000"/>
              </w:rPr>
            </w:pPr>
            <w:r w:rsidRPr="00703672">
              <w:rPr>
                <w:rFonts w:cs="Arial"/>
                <w:color w:val="000000"/>
              </w:rPr>
              <w:t>9.89</w:t>
            </w:r>
          </w:p>
        </w:tc>
        <w:tc>
          <w:tcPr>
            <w:tcW w:w="6265" w:type="dxa"/>
            <w:vAlign w:val="center"/>
            <w:hideMark/>
          </w:tcPr>
          <w:p w14:paraId="07FB19C8" w14:textId="77777777" w:rsidR="00115458" w:rsidRPr="00703672" w:rsidRDefault="00115458" w:rsidP="00F4606C">
            <w:pPr>
              <w:spacing w:after="0" w:line="240" w:lineRule="auto"/>
              <w:rPr>
                <w:rFonts w:cs="Arial"/>
                <w:color w:val="000000"/>
              </w:rPr>
            </w:pPr>
            <w:r w:rsidRPr="00703672">
              <w:rPr>
                <w:rFonts w:cs="Arial"/>
                <w:color w:val="000000"/>
              </w:rPr>
              <w:t xml:space="preserve">Total current year capital gains </w:t>
            </w:r>
          </w:p>
        </w:tc>
        <w:tc>
          <w:tcPr>
            <w:tcW w:w="1560" w:type="dxa"/>
          </w:tcPr>
          <w:p w14:paraId="4718CE52"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0A85C485" w14:textId="77777777" w:rsidTr="00427C84">
        <w:trPr>
          <w:trHeight w:val="284"/>
        </w:trPr>
        <w:tc>
          <w:tcPr>
            <w:tcW w:w="1008" w:type="dxa"/>
            <w:noWrap/>
            <w:vAlign w:val="center"/>
            <w:hideMark/>
          </w:tcPr>
          <w:p w14:paraId="01A11754" w14:textId="77777777" w:rsidR="00115458" w:rsidRPr="00703672" w:rsidRDefault="00115458" w:rsidP="00F4606C">
            <w:pPr>
              <w:spacing w:after="0" w:line="240" w:lineRule="auto"/>
              <w:rPr>
                <w:rFonts w:cs="Arial"/>
                <w:color w:val="000000"/>
              </w:rPr>
            </w:pPr>
            <w:r w:rsidRPr="00703672">
              <w:rPr>
                <w:rFonts w:cs="Arial"/>
                <w:color w:val="000000"/>
              </w:rPr>
              <w:t>9.90</w:t>
            </w:r>
          </w:p>
        </w:tc>
        <w:tc>
          <w:tcPr>
            <w:tcW w:w="6265" w:type="dxa"/>
            <w:vAlign w:val="center"/>
            <w:hideMark/>
          </w:tcPr>
          <w:p w14:paraId="1C08B4F4" w14:textId="77777777" w:rsidR="00115458" w:rsidRPr="00703672" w:rsidRDefault="00115458" w:rsidP="00F4606C">
            <w:pPr>
              <w:spacing w:after="0" w:line="240" w:lineRule="auto"/>
              <w:rPr>
                <w:rFonts w:cs="Arial"/>
                <w:color w:val="000000"/>
              </w:rPr>
            </w:pPr>
            <w:r w:rsidRPr="00703672">
              <w:rPr>
                <w:rFonts w:cs="Arial"/>
                <w:color w:val="000000"/>
              </w:rPr>
              <w:t xml:space="preserve">Taxable foreign capital gains </w:t>
            </w:r>
          </w:p>
        </w:tc>
        <w:tc>
          <w:tcPr>
            <w:tcW w:w="1560" w:type="dxa"/>
          </w:tcPr>
          <w:p w14:paraId="1512BA67"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70631927" w14:textId="77777777" w:rsidTr="00427C84">
        <w:trPr>
          <w:trHeight w:val="284"/>
        </w:trPr>
        <w:tc>
          <w:tcPr>
            <w:tcW w:w="1008" w:type="dxa"/>
            <w:noWrap/>
            <w:vAlign w:val="center"/>
            <w:hideMark/>
          </w:tcPr>
          <w:p w14:paraId="48D0DBE6" w14:textId="77777777" w:rsidR="00115458" w:rsidRPr="00703672" w:rsidRDefault="00115458" w:rsidP="00F4606C">
            <w:pPr>
              <w:spacing w:after="0" w:line="240" w:lineRule="auto"/>
              <w:rPr>
                <w:rFonts w:cs="Arial"/>
                <w:color w:val="000000"/>
              </w:rPr>
            </w:pPr>
            <w:r w:rsidRPr="00703672">
              <w:rPr>
                <w:rFonts w:cs="Arial"/>
                <w:color w:val="000000"/>
              </w:rPr>
              <w:t>9.91</w:t>
            </w:r>
          </w:p>
        </w:tc>
        <w:tc>
          <w:tcPr>
            <w:tcW w:w="6265" w:type="dxa"/>
            <w:vAlign w:val="center"/>
            <w:hideMark/>
          </w:tcPr>
          <w:p w14:paraId="0F90E3E2" w14:textId="77777777" w:rsidR="00115458" w:rsidRPr="00703672" w:rsidRDefault="00115458" w:rsidP="00F4606C">
            <w:pPr>
              <w:spacing w:after="0" w:line="240" w:lineRule="auto"/>
              <w:rPr>
                <w:rFonts w:cs="Arial"/>
                <w:color w:val="000000"/>
              </w:rPr>
            </w:pPr>
            <w:r w:rsidRPr="00703672">
              <w:rPr>
                <w:rFonts w:cs="Arial"/>
                <w:color w:val="000000"/>
              </w:rPr>
              <w:t xml:space="preserve">Assessable foreign source income </w:t>
            </w:r>
          </w:p>
        </w:tc>
        <w:tc>
          <w:tcPr>
            <w:tcW w:w="1560" w:type="dxa"/>
          </w:tcPr>
          <w:p w14:paraId="4482FE50"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2ED5C7D7" w14:textId="77777777" w:rsidTr="00427C84">
        <w:trPr>
          <w:trHeight w:val="284"/>
        </w:trPr>
        <w:tc>
          <w:tcPr>
            <w:tcW w:w="1008" w:type="dxa"/>
            <w:noWrap/>
            <w:vAlign w:val="center"/>
            <w:hideMark/>
          </w:tcPr>
          <w:p w14:paraId="24C8E20F" w14:textId="77777777" w:rsidR="00115458" w:rsidRPr="00703672" w:rsidRDefault="00115458" w:rsidP="00F4606C">
            <w:pPr>
              <w:spacing w:after="0" w:line="240" w:lineRule="auto"/>
              <w:rPr>
                <w:rFonts w:cs="Arial"/>
                <w:color w:val="000000"/>
              </w:rPr>
            </w:pPr>
            <w:r w:rsidRPr="00703672">
              <w:rPr>
                <w:rFonts w:cs="Arial"/>
                <w:color w:val="000000"/>
              </w:rPr>
              <w:t>9.92</w:t>
            </w:r>
          </w:p>
        </w:tc>
        <w:tc>
          <w:tcPr>
            <w:tcW w:w="6265" w:type="dxa"/>
            <w:vAlign w:val="center"/>
            <w:hideMark/>
          </w:tcPr>
          <w:p w14:paraId="49951AB6" w14:textId="77777777" w:rsidR="00115458" w:rsidRPr="00703672" w:rsidRDefault="00115458" w:rsidP="00F4606C">
            <w:pPr>
              <w:spacing w:after="0" w:line="240" w:lineRule="auto"/>
              <w:rPr>
                <w:rFonts w:cs="Arial"/>
                <w:color w:val="000000"/>
              </w:rPr>
            </w:pPr>
            <w:r w:rsidRPr="00703672">
              <w:rPr>
                <w:rFonts w:cs="Arial"/>
                <w:color w:val="000000"/>
              </w:rPr>
              <w:t xml:space="preserve">Other net foreign source income </w:t>
            </w:r>
          </w:p>
        </w:tc>
        <w:tc>
          <w:tcPr>
            <w:tcW w:w="1560" w:type="dxa"/>
          </w:tcPr>
          <w:p w14:paraId="782E99F8"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03394804" w14:textId="77777777" w:rsidTr="00427C84">
        <w:trPr>
          <w:trHeight w:val="284"/>
        </w:trPr>
        <w:tc>
          <w:tcPr>
            <w:tcW w:w="1008" w:type="dxa"/>
            <w:noWrap/>
            <w:vAlign w:val="center"/>
            <w:hideMark/>
          </w:tcPr>
          <w:p w14:paraId="5A60499D" w14:textId="77777777" w:rsidR="00115458" w:rsidRPr="00703672" w:rsidRDefault="00115458" w:rsidP="00F4606C">
            <w:pPr>
              <w:spacing w:after="0" w:line="240" w:lineRule="auto"/>
              <w:rPr>
                <w:rFonts w:cs="Arial"/>
                <w:color w:val="000000"/>
              </w:rPr>
            </w:pPr>
            <w:r w:rsidRPr="00703672">
              <w:rPr>
                <w:rFonts w:cs="Arial"/>
                <w:color w:val="000000"/>
              </w:rPr>
              <w:t>9.93</w:t>
            </w:r>
          </w:p>
        </w:tc>
        <w:tc>
          <w:tcPr>
            <w:tcW w:w="6265" w:type="dxa"/>
            <w:vAlign w:val="center"/>
            <w:hideMark/>
          </w:tcPr>
          <w:p w14:paraId="3AF4E2F4" w14:textId="77777777" w:rsidR="00115458" w:rsidRPr="00703672" w:rsidRDefault="00115458" w:rsidP="00F4606C">
            <w:pPr>
              <w:spacing w:after="0" w:line="240" w:lineRule="auto"/>
              <w:rPr>
                <w:rFonts w:cs="Arial"/>
                <w:color w:val="000000"/>
              </w:rPr>
            </w:pPr>
            <w:r w:rsidRPr="00703672">
              <w:rPr>
                <w:rFonts w:cs="Arial"/>
                <w:color w:val="000000"/>
              </w:rPr>
              <w:t xml:space="preserve">Foreign income tax offset </w:t>
            </w:r>
          </w:p>
        </w:tc>
        <w:tc>
          <w:tcPr>
            <w:tcW w:w="1560" w:type="dxa"/>
          </w:tcPr>
          <w:p w14:paraId="5FB37917"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192CAD8C" w14:textId="77777777" w:rsidTr="00427C84">
        <w:trPr>
          <w:trHeight w:val="284"/>
        </w:trPr>
        <w:tc>
          <w:tcPr>
            <w:tcW w:w="1008" w:type="dxa"/>
            <w:noWrap/>
            <w:vAlign w:val="center"/>
            <w:hideMark/>
          </w:tcPr>
          <w:p w14:paraId="478C8111" w14:textId="77777777" w:rsidR="00115458" w:rsidRPr="00703672" w:rsidRDefault="00115458" w:rsidP="00F4606C">
            <w:pPr>
              <w:spacing w:after="0" w:line="240" w:lineRule="auto"/>
              <w:rPr>
                <w:rFonts w:cs="Arial"/>
                <w:color w:val="000000"/>
              </w:rPr>
            </w:pPr>
            <w:r w:rsidRPr="00703672">
              <w:rPr>
                <w:rFonts w:cs="Arial"/>
                <w:color w:val="000000"/>
              </w:rPr>
              <w:t>9.94</w:t>
            </w:r>
          </w:p>
        </w:tc>
        <w:tc>
          <w:tcPr>
            <w:tcW w:w="6265" w:type="dxa"/>
            <w:vAlign w:val="center"/>
            <w:hideMark/>
          </w:tcPr>
          <w:p w14:paraId="74404B2E" w14:textId="77777777" w:rsidR="00115458" w:rsidRPr="00703672" w:rsidRDefault="00115458" w:rsidP="00F4606C">
            <w:pPr>
              <w:spacing w:after="0" w:line="240" w:lineRule="auto"/>
              <w:rPr>
                <w:rFonts w:cs="Arial"/>
                <w:color w:val="000000"/>
              </w:rPr>
            </w:pPr>
            <w:r w:rsidRPr="00703672">
              <w:rPr>
                <w:rFonts w:cs="Arial"/>
                <w:color w:val="000000"/>
              </w:rPr>
              <w:t xml:space="preserve">Australian franking credits from a New Zealand franking company </w:t>
            </w:r>
          </w:p>
        </w:tc>
        <w:tc>
          <w:tcPr>
            <w:tcW w:w="1560" w:type="dxa"/>
          </w:tcPr>
          <w:p w14:paraId="61912B08"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055A8F7E" w14:textId="77777777" w:rsidTr="00427C84">
        <w:trPr>
          <w:trHeight w:val="284"/>
        </w:trPr>
        <w:tc>
          <w:tcPr>
            <w:tcW w:w="1008" w:type="dxa"/>
            <w:noWrap/>
            <w:vAlign w:val="center"/>
            <w:hideMark/>
          </w:tcPr>
          <w:p w14:paraId="620A8CF4" w14:textId="77777777" w:rsidR="00115458" w:rsidRPr="00703672" w:rsidRDefault="00115458" w:rsidP="00F4606C">
            <w:pPr>
              <w:spacing w:after="0" w:line="240" w:lineRule="auto"/>
              <w:rPr>
                <w:rFonts w:cs="Arial"/>
                <w:color w:val="000000"/>
              </w:rPr>
            </w:pPr>
            <w:r w:rsidRPr="00703672">
              <w:rPr>
                <w:rFonts w:cs="Arial"/>
                <w:color w:val="000000"/>
              </w:rPr>
              <w:t>9.96</w:t>
            </w:r>
          </w:p>
        </w:tc>
        <w:tc>
          <w:tcPr>
            <w:tcW w:w="6265" w:type="dxa"/>
            <w:vAlign w:val="center"/>
            <w:hideMark/>
          </w:tcPr>
          <w:p w14:paraId="49CE5637" w14:textId="77777777" w:rsidR="00115458" w:rsidRPr="00703672" w:rsidRDefault="00115458" w:rsidP="00F4606C">
            <w:pPr>
              <w:spacing w:after="0" w:line="240" w:lineRule="auto"/>
              <w:rPr>
                <w:rFonts w:cs="Arial"/>
              </w:rPr>
            </w:pPr>
            <w:r w:rsidRPr="00703672">
              <w:rPr>
                <w:rFonts w:cs="Arial"/>
              </w:rPr>
              <w:t xml:space="preserve">Net exempt income </w:t>
            </w:r>
          </w:p>
        </w:tc>
        <w:tc>
          <w:tcPr>
            <w:tcW w:w="1560" w:type="dxa"/>
          </w:tcPr>
          <w:p w14:paraId="0BCE5333"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132B5A91" w14:textId="77777777" w:rsidTr="00427C84">
        <w:trPr>
          <w:trHeight w:val="284"/>
        </w:trPr>
        <w:tc>
          <w:tcPr>
            <w:tcW w:w="1008" w:type="dxa"/>
            <w:noWrap/>
            <w:vAlign w:val="center"/>
            <w:hideMark/>
          </w:tcPr>
          <w:p w14:paraId="7E3F7E94" w14:textId="77777777" w:rsidR="00115458" w:rsidRPr="00703672" w:rsidRDefault="00115458" w:rsidP="00F4606C">
            <w:pPr>
              <w:spacing w:after="0" w:line="240" w:lineRule="auto"/>
              <w:rPr>
                <w:rFonts w:cs="Arial"/>
                <w:color w:val="000000"/>
              </w:rPr>
            </w:pPr>
            <w:r w:rsidRPr="00703672">
              <w:rPr>
                <w:rFonts w:cs="Arial"/>
                <w:color w:val="000000"/>
              </w:rPr>
              <w:t>9.99</w:t>
            </w:r>
          </w:p>
        </w:tc>
        <w:tc>
          <w:tcPr>
            <w:tcW w:w="6265" w:type="dxa"/>
            <w:vAlign w:val="center"/>
            <w:hideMark/>
          </w:tcPr>
          <w:p w14:paraId="64E8019A" w14:textId="77777777" w:rsidR="00115458" w:rsidRPr="00703672" w:rsidRDefault="00115458" w:rsidP="00F4606C">
            <w:pPr>
              <w:spacing w:after="0" w:line="240" w:lineRule="auto"/>
              <w:rPr>
                <w:rFonts w:cs="Arial"/>
                <w:color w:val="000000"/>
              </w:rPr>
            </w:pPr>
            <w:r w:rsidRPr="00703672">
              <w:rPr>
                <w:rFonts w:cs="Arial"/>
                <w:color w:val="000000"/>
              </w:rPr>
              <w:t xml:space="preserve">Share of credit for amounts withheld from foreign resident withholding </w:t>
            </w:r>
          </w:p>
        </w:tc>
        <w:tc>
          <w:tcPr>
            <w:tcW w:w="1560" w:type="dxa"/>
          </w:tcPr>
          <w:p w14:paraId="33926B4E" w14:textId="77777777" w:rsidR="00115458" w:rsidRPr="00703672" w:rsidRDefault="00115458" w:rsidP="00F4606C">
            <w:pPr>
              <w:spacing w:after="0" w:line="240" w:lineRule="auto"/>
              <w:rPr>
                <w:rFonts w:cs="Arial"/>
                <w:color w:val="000000"/>
              </w:rPr>
            </w:pPr>
            <w:r w:rsidRPr="00703672">
              <w:rPr>
                <w:rFonts w:cs="Arial"/>
              </w:rPr>
              <w:t>Conditional</w:t>
            </w:r>
          </w:p>
        </w:tc>
      </w:tr>
      <w:tr w:rsidR="00115458" w:rsidRPr="00703672" w14:paraId="25B245F3" w14:textId="77777777" w:rsidTr="00427C84">
        <w:trPr>
          <w:trHeight w:val="284"/>
        </w:trPr>
        <w:tc>
          <w:tcPr>
            <w:tcW w:w="1008" w:type="dxa"/>
            <w:noWrap/>
            <w:vAlign w:val="center"/>
            <w:hideMark/>
          </w:tcPr>
          <w:p w14:paraId="013E2E3E" w14:textId="77777777" w:rsidR="00115458" w:rsidRPr="00703672" w:rsidRDefault="00115458" w:rsidP="00F4606C">
            <w:pPr>
              <w:spacing w:after="0" w:line="240" w:lineRule="auto"/>
              <w:rPr>
                <w:rFonts w:cs="Arial"/>
              </w:rPr>
            </w:pPr>
            <w:r w:rsidRPr="00703672">
              <w:rPr>
                <w:rFonts w:cs="Arial"/>
              </w:rPr>
              <w:t>9.100</w:t>
            </w:r>
          </w:p>
        </w:tc>
        <w:tc>
          <w:tcPr>
            <w:tcW w:w="6265" w:type="dxa"/>
            <w:vAlign w:val="center"/>
            <w:hideMark/>
          </w:tcPr>
          <w:p w14:paraId="4980B187" w14:textId="77777777" w:rsidR="00115458" w:rsidRPr="00703672" w:rsidRDefault="00115458" w:rsidP="00F4606C">
            <w:pPr>
              <w:spacing w:after="0" w:line="240" w:lineRule="auto"/>
              <w:rPr>
                <w:rFonts w:cs="Arial"/>
              </w:rPr>
            </w:pPr>
            <w:r w:rsidRPr="00703672">
              <w:rPr>
                <w:rFonts w:cs="Arial"/>
              </w:rPr>
              <w:t xml:space="preserve">Share of credit for tax paid by trustee </w:t>
            </w:r>
          </w:p>
        </w:tc>
        <w:tc>
          <w:tcPr>
            <w:tcW w:w="1560" w:type="dxa"/>
          </w:tcPr>
          <w:p w14:paraId="692759F0"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08188EC2" w14:textId="77777777" w:rsidTr="00427C84">
        <w:trPr>
          <w:trHeight w:val="284"/>
        </w:trPr>
        <w:tc>
          <w:tcPr>
            <w:tcW w:w="1008" w:type="dxa"/>
            <w:noWrap/>
            <w:vAlign w:val="center"/>
            <w:hideMark/>
          </w:tcPr>
          <w:p w14:paraId="4332351F" w14:textId="77777777" w:rsidR="00115458" w:rsidRPr="00703672" w:rsidRDefault="00115458" w:rsidP="00F4606C">
            <w:pPr>
              <w:spacing w:after="0" w:line="240" w:lineRule="auto"/>
              <w:rPr>
                <w:rFonts w:cs="Arial"/>
              </w:rPr>
            </w:pPr>
            <w:r w:rsidRPr="00703672">
              <w:rPr>
                <w:rFonts w:cs="Arial"/>
              </w:rPr>
              <w:t>9.101</w:t>
            </w:r>
          </w:p>
        </w:tc>
        <w:tc>
          <w:tcPr>
            <w:tcW w:w="6265" w:type="dxa"/>
            <w:vAlign w:val="center"/>
            <w:hideMark/>
          </w:tcPr>
          <w:p w14:paraId="782CC8CA" w14:textId="77777777" w:rsidR="00115458" w:rsidRPr="00703672" w:rsidRDefault="00115458" w:rsidP="00F4606C">
            <w:pPr>
              <w:spacing w:after="0" w:line="240" w:lineRule="auto"/>
              <w:rPr>
                <w:rFonts w:cs="Arial"/>
              </w:rPr>
            </w:pPr>
            <w:r w:rsidRPr="00703672">
              <w:rPr>
                <w:rFonts w:cs="Arial"/>
              </w:rPr>
              <w:t>Non-resident beneficiary ss98(3) or non-resident member ss276-105(2)(a) or (b) assessable amounts</w:t>
            </w:r>
          </w:p>
        </w:tc>
        <w:tc>
          <w:tcPr>
            <w:tcW w:w="1560" w:type="dxa"/>
          </w:tcPr>
          <w:p w14:paraId="691FE81D" w14:textId="77777777" w:rsidR="00115458" w:rsidRPr="00703672" w:rsidRDefault="00115458" w:rsidP="00F4606C">
            <w:pPr>
              <w:spacing w:after="0" w:line="240" w:lineRule="auto"/>
              <w:rPr>
                <w:rFonts w:cs="Arial"/>
              </w:rPr>
            </w:pPr>
            <w:r w:rsidRPr="00703672">
              <w:rPr>
                <w:rFonts w:cs="Arial"/>
              </w:rPr>
              <w:t>Conditional</w:t>
            </w:r>
          </w:p>
        </w:tc>
      </w:tr>
      <w:tr w:rsidR="00115458" w:rsidRPr="00703672" w14:paraId="1C71AB71" w14:textId="77777777" w:rsidTr="00427C84">
        <w:trPr>
          <w:trHeight w:val="284"/>
        </w:trPr>
        <w:tc>
          <w:tcPr>
            <w:tcW w:w="1008" w:type="dxa"/>
            <w:noWrap/>
            <w:vAlign w:val="center"/>
            <w:hideMark/>
          </w:tcPr>
          <w:p w14:paraId="3129635F" w14:textId="77777777" w:rsidR="00115458" w:rsidRPr="00703672" w:rsidRDefault="00115458" w:rsidP="00F4606C">
            <w:pPr>
              <w:spacing w:after="0" w:line="240" w:lineRule="auto"/>
              <w:rPr>
                <w:rFonts w:cs="Arial"/>
              </w:rPr>
            </w:pPr>
            <w:r w:rsidRPr="00703672">
              <w:rPr>
                <w:rFonts w:cs="Arial"/>
              </w:rPr>
              <w:t>9.102</w:t>
            </w:r>
          </w:p>
        </w:tc>
        <w:tc>
          <w:tcPr>
            <w:tcW w:w="6265" w:type="dxa"/>
            <w:vAlign w:val="center"/>
            <w:hideMark/>
          </w:tcPr>
          <w:p w14:paraId="1BD60483" w14:textId="77777777" w:rsidR="00115458" w:rsidRPr="00703672" w:rsidRDefault="00115458" w:rsidP="00F4606C">
            <w:pPr>
              <w:spacing w:after="0" w:line="240" w:lineRule="auto"/>
              <w:rPr>
                <w:rFonts w:cs="Arial"/>
              </w:rPr>
            </w:pPr>
            <w:r w:rsidRPr="00703672">
              <w:rPr>
                <w:rFonts w:cs="Arial"/>
              </w:rPr>
              <w:t>Non-resident beneficiary ss98(4) or non-resident member ss276-105(2)(c) assessable amounts</w:t>
            </w:r>
          </w:p>
        </w:tc>
        <w:tc>
          <w:tcPr>
            <w:tcW w:w="1560" w:type="dxa"/>
          </w:tcPr>
          <w:p w14:paraId="7C77D6A0" w14:textId="77777777" w:rsidR="00115458" w:rsidRPr="00703672" w:rsidRDefault="00115458" w:rsidP="00F4606C">
            <w:pPr>
              <w:spacing w:after="0" w:line="240" w:lineRule="auto"/>
              <w:rPr>
                <w:rFonts w:cs="Arial"/>
              </w:rPr>
            </w:pPr>
            <w:r w:rsidRPr="00703672">
              <w:rPr>
                <w:rFonts w:cs="Arial"/>
              </w:rPr>
              <w:t>Conditional</w:t>
            </w:r>
          </w:p>
        </w:tc>
      </w:tr>
      <w:tr w:rsidR="003B64E2" w:rsidRPr="00703672" w14:paraId="3E113403" w14:textId="77777777" w:rsidTr="00427C84">
        <w:trPr>
          <w:trHeight w:val="284"/>
        </w:trPr>
        <w:tc>
          <w:tcPr>
            <w:tcW w:w="1008" w:type="dxa"/>
            <w:noWrap/>
            <w:vAlign w:val="center"/>
          </w:tcPr>
          <w:p w14:paraId="4FCAD681" w14:textId="6A06D5E4" w:rsidR="003B64E2" w:rsidRPr="00703672" w:rsidRDefault="003B64E2" w:rsidP="00F4606C">
            <w:pPr>
              <w:spacing w:after="0" w:line="240" w:lineRule="auto"/>
              <w:rPr>
                <w:rFonts w:cs="Arial"/>
              </w:rPr>
            </w:pPr>
            <w:r w:rsidRPr="00703672">
              <w:rPr>
                <w:rFonts w:cs="Arial"/>
              </w:rPr>
              <w:t>9.103</w:t>
            </w:r>
          </w:p>
        </w:tc>
        <w:tc>
          <w:tcPr>
            <w:tcW w:w="6265" w:type="dxa"/>
            <w:vAlign w:val="center"/>
          </w:tcPr>
          <w:p w14:paraId="33940581" w14:textId="70058BF4" w:rsidR="003B64E2" w:rsidRPr="00703672" w:rsidRDefault="003B64E2" w:rsidP="00F4606C">
            <w:pPr>
              <w:spacing w:after="0" w:line="240" w:lineRule="auto"/>
              <w:rPr>
                <w:rFonts w:cs="Arial"/>
              </w:rPr>
            </w:pPr>
            <w:r w:rsidRPr="00703672">
              <w:rPr>
                <w:rFonts w:cs="Arial"/>
              </w:rPr>
              <w:t>Interposed entity name</w:t>
            </w:r>
          </w:p>
        </w:tc>
        <w:tc>
          <w:tcPr>
            <w:tcW w:w="1560" w:type="dxa"/>
          </w:tcPr>
          <w:p w14:paraId="50A3FC41" w14:textId="488F5F31" w:rsidR="003B64E2" w:rsidRPr="00703672" w:rsidRDefault="003B64E2" w:rsidP="00F4606C">
            <w:pPr>
              <w:spacing w:after="0" w:line="240" w:lineRule="auto"/>
              <w:rPr>
                <w:rFonts w:cs="Arial"/>
              </w:rPr>
            </w:pPr>
            <w:r w:rsidRPr="00703672">
              <w:rPr>
                <w:rFonts w:cs="Arial"/>
              </w:rPr>
              <w:t>Conditional</w:t>
            </w:r>
          </w:p>
        </w:tc>
      </w:tr>
      <w:tr w:rsidR="003B64E2" w:rsidRPr="00703672" w14:paraId="72EFD8F2" w14:textId="77777777" w:rsidTr="00427C84">
        <w:trPr>
          <w:trHeight w:val="284"/>
        </w:trPr>
        <w:tc>
          <w:tcPr>
            <w:tcW w:w="1008" w:type="dxa"/>
            <w:noWrap/>
            <w:vAlign w:val="center"/>
          </w:tcPr>
          <w:p w14:paraId="35052E3C" w14:textId="3B2FBFF5" w:rsidR="003B64E2" w:rsidRPr="00703672" w:rsidRDefault="003B64E2" w:rsidP="00F4606C">
            <w:pPr>
              <w:spacing w:after="0" w:line="240" w:lineRule="auto"/>
              <w:rPr>
                <w:rFonts w:cs="Arial"/>
              </w:rPr>
            </w:pPr>
            <w:r w:rsidRPr="00703672">
              <w:rPr>
                <w:rFonts w:cs="Arial"/>
              </w:rPr>
              <w:t>9.104</w:t>
            </w:r>
          </w:p>
        </w:tc>
        <w:tc>
          <w:tcPr>
            <w:tcW w:w="6265" w:type="dxa"/>
            <w:vAlign w:val="center"/>
          </w:tcPr>
          <w:p w14:paraId="22CB70CA" w14:textId="4C6D3CC1" w:rsidR="003B64E2" w:rsidRPr="00703672" w:rsidRDefault="003B64E2" w:rsidP="00F4606C">
            <w:pPr>
              <w:spacing w:after="0" w:line="240" w:lineRule="auto"/>
              <w:rPr>
                <w:rFonts w:cs="Arial"/>
              </w:rPr>
            </w:pPr>
            <w:r w:rsidRPr="00703672">
              <w:rPr>
                <w:rFonts w:cs="Arial"/>
              </w:rPr>
              <w:t>Interposed entity TFN or ABN</w:t>
            </w:r>
          </w:p>
        </w:tc>
        <w:tc>
          <w:tcPr>
            <w:tcW w:w="1560" w:type="dxa"/>
          </w:tcPr>
          <w:p w14:paraId="71B2C9AD" w14:textId="623A0577" w:rsidR="003B64E2" w:rsidRPr="00703672" w:rsidRDefault="003B64E2" w:rsidP="00F4606C">
            <w:pPr>
              <w:spacing w:after="0" w:line="240" w:lineRule="auto"/>
              <w:rPr>
                <w:rFonts w:cs="Arial"/>
              </w:rPr>
            </w:pPr>
            <w:r w:rsidRPr="00703672">
              <w:rPr>
                <w:rFonts w:cs="Arial"/>
              </w:rPr>
              <w:t>Conditional</w:t>
            </w:r>
          </w:p>
        </w:tc>
      </w:tr>
      <w:tr w:rsidR="003B64E2" w:rsidRPr="00703672" w14:paraId="428B9B76" w14:textId="77777777" w:rsidTr="00427C84">
        <w:trPr>
          <w:trHeight w:val="284"/>
        </w:trPr>
        <w:tc>
          <w:tcPr>
            <w:tcW w:w="1008" w:type="dxa"/>
            <w:noWrap/>
            <w:vAlign w:val="center"/>
            <w:hideMark/>
          </w:tcPr>
          <w:p w14:paraId="7662B9B7" w14:textId="77777777" w:rsidR="003B64E2" w:rsidRPr="00703672" w:rsidRDefault="003B64E2" w:rsidP="00F4606C">
            <w:pPr>
              <w:spacing w:after="0" w:line="240" w:lineRule="auto"/>
              <w:rPr>
                <w:rFonts w:cs="Arial"/>
              </w:rPr>
            </w:pPr>
            <w:r w:rsidRPr="00703672">
              <w:rPr>
                <w:rFonts w:cs="Arial"/>
              </w:rPr>
              <w:t>9.105</w:t>
            </w:r>
          </w:p>
        </w:tc>
        <w:tc>
          <w:tcPr>
            <w:tcW w:w="6265" w:type="dxa"/>
            <w:vAlign w:val="center"/>
            <w:hideMark/>
          </w:tcPr>
          <w:p w14:paraId="447BA0C9" w14:textId="77777777" w:rsidR="003B64E2" w:rsidRPr="00703672" w:rsidRDefault="003B64E2" w:rsidP="00F4606C">
            <w:pPr>
              <w:spacing w:after="0" w:line="240" w:lineRule="auto"/>
              <w:rPr>
                <w:rFonts w:cs="Arial"/>
              </w:rPr>
            </w:pPr>
            <w:r w:rsidRPr="00703672">
              <w:rPr>
                <w:rFonts w:cs="Arial"/>
              </w:rPr>
              <w:t>Managed investment trust fund payments</w:t>
            </w:r>
          </w:p>
        </w:tc>
        <w:tc>
          <w:tcPr>
            <w:tcW w:w="1560" w:type="dxa"/>
          </w:tcPr>
          <w:p w14:paraId="55D409DF"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469C4F01" w14:textId="77777777" w:rsidTr="00427C84">
        <w:trPr>
          <w:trHeight w:val="284"/>
        </w:trPr>
        <w:tc>
          <w:tcPr>
            <w:tcW w:w="1008" w:type="dxa"/>
            <w:noWrap/>
            <w:vAlign w:val="center"/>
            <w:hideMark/>
          </w:tcPr>
          <w:p w14:paraId="00D7C37B" w14:textId="77777777" w:rsidR="003B64E2" w:rsidRPr="00703672" w:rsidRDefault="003B64E2" w:rsidP="00F4606C">
            <w:pPr>
              <w:spacing w:after="0" w:line="240" w:lineRule="auto"/>
              <w:rPr>
                <w:rFonts w:cs="Arial"/>
              </w:rPr>
            </w:pPr>
            <w:r w:rsidRPr="00703672">
              <w:rPr>
                <w:rFonts w:cs="Arial"/>
              </w:rPr>
              <w:t>9.106</w:t>
            </w:r>
          </w:p>
        </w:tc>
        <w:tc>
          <w:tcPr>
            <w:tcW w:w="6265" w:type="dxa"/>
            <w:vAlign w:val="center"/>
            <w:hideMark/>
          </w:tcPr>
          <w:p w14:paraId="7072EF57" w14:textId="77777777" w:rsidR="003B64E2" w:rsidRPr="00703672" w:rsidRDefault="003B64E2" w:rsidP="00F4606C">
            <w:pPr>
              <w:spacing w:after="0" w:line="240" w:lineRule="auto"/>
              <w:rPr>
                <w:rFonts w:cs="Arial"/>
              </w:rPr>
            </w:pPr>
            <w:r w:rsidRPr="00703672">
              <w:rPr>
                <w:rFonts w:cs="Arial"/>
              </w:rPr>
              <w:t>Amounts withheld from managed investment trust fund payments</w:t>
            </w:r>
          </w:p>
        </w:tc>
        <w:tc>
          <w:tcPr>
            <w:tcW w:w="1560" w:type="dxa"/>
          </w:tcPr>
          <w:p w14:paraId="0454DC83"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7929F15" w14:textId="77777777" w:rsidTr="00427C84">
        <w:trPr>
          <w:trHeight w:val="284"/>
        </w:trPr>
        <w:tc>
          <w:tcPr>
            <w:tcW w:w="1008" w:type="dxa"/>
            <w:noWrap/>
            <w:vAlign w:val="center"/>
            <w:hideMark/>
          </w:tcPr>
          <w:p w14:paraId="758FA2CA" w14:textId="77777777" w:rsidR="003B64E2" w:rsidRPr="00703672" w:rsidRDefault="003B64E2" w:rsidP="00F4606C">
            <w:pPr>
              <w:spacing w:after="0" w:line="240" w:lineRule="auto"/>
              <w:rPr>
                <w:rFonts w:cs="Arial"/>
              </w:rPr>
            </w:pPr>
            <w:r w:rsidRPr="00703672">
              <w:rPr>
                <w:rFonts w:cs="Arial"/>
              </w:rPr>
              <w:t>9.107</w:t>
            </w:r>
          </w:p>
        </w:tc>
        <w:tc>
          <w:tcPr>
            <w:tcW w:w="6265" w:type="dxa"/>
            <w:vAlign w:val="center"/>
            <w:hideMark/>
          </w:tcPr>
          <w:p w14:paraId="22651FE3" w14:textId="77777777" w:rsidR="003B64E2" w:rsidRPr="00703672" w:rsidRDefault="003B64E2" w:rsidP="00F4606C">
            <w:pPr>
              <w:spacing w:after="0" w:line="240" w:lineRule="auto"/>
              <w:rPr>
                <w:rFonts w:cs="Arial"/>
              </w:rPr>
            </w:pPr>
            <w:r w:rsidRPr="00703672">
              <w:rPr>
                <w:rFonts w:cs="Arial"/>
              </w:rPr>
              <w:t>Exploration credits</w:t>
            </w:r>
          </w:p>
        </w:tc>
        <w:tc>
          <w:tcPr>
            <w:tcW w:w="1560" w:type="dxa"/>
          </w:tcPr>
          <w:p w14:paraId="1C850EB9"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704416B" w14:textId="77777777" w:rsidTr="00427C84">
        <w:trPr>
          <w:trHeight w:val="284"/>
        </w:trPr>
        <w:tc>
          <w:tcPr>
            <w:tcW w:w="1008" w:type="dxa"/>
            <w:noWrap/>
            <w:vAlign w:val="center"/>
            <w:hideMark/>
          </w:tcPr>
          <w:p w14:paraId="0EEDB43C" w14:textId="77777777" w:rsidR="003B64E2" w:rsidRPr="00703672" w:rsidRDefault="003B64E2" w:rsidP="00F4606C">
            <w:pPr>
              <w:spacing w:after="0" w:line="240" w:lineRule="auto"/>
              <w:rPr>
                <w:rFonts w:cs="Arial"/>
              </w:rPr>
            </w:pPr>
            <w:r w:rsidRPr="00703672">
              <w:rPr>
                <w:rFonts w:cs="Arial"/>
              </w:rPr>
              <w:t>9.108</w:t>
            </w:r>
          </w:p>
        </w:tc>
        <w:tc>
          <w:tcPr>
            <w:tcW w:w="6265" w:type="dxa"/>
            <w:vAlign w:val="center"/>
            <w:hideMark/>
          </w:tcPr>
          <w:p w14:paraId="50281FD6" w14:textId="77777777" w:rsidR="003B64E2" w:rsidRPr="00703672" w:rsidRDefault="003B64E2" w:rsidP="00F4606C">
            <w:pPr>
              <w:spacing w:after="0" w:line="240" w:lineRule="auto"/>
              <w:rPr>
                <w:rFonts w:cs="Arial"/>
              </w:rPr>
            </w:pPr>
            <w:r w:rsidRPr="00703672">
              <w:rPr>
                <w:rFonts w:cs="Arial"/>
              </w:rPr>
              <w:t>Listed investment company capital gain deduction</w:t>
            </w:r>
          </w:p>
        </w:tc>
        <w:tc>
          <w:tcPr>
            <w:tcW w:w="1560" w:type="dxa"/>
          </w:tcPr>
          <w:p w14:paraId="2E5A3DDE"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DFDE89F" w14:textId="77777777" w:rsidTr="000C1365">
        <w:trPr>
          <w:trHeight w:val="284"/>
        </w:trPr>
        <w:tc>
          <w:tcPr>
            <w:tcW w:w="7273" w:type="dxa"/>
            <w:gridSpan w:val="2"/>
            <w:shd w:val="clear" w:color="000000" w:fill="D9D9D9"/>
            <w:noWrap/>
            <w:vAlign w:val="center"/>
            <w:hideMark/>
          </w:tcPr>
          <w:p w14:paraId="594E828E" w14:textId="77777777" w:rsidR="003B64E2" w:rsidRPr="00703672" w:rsidRDefault="003B64E2" w:rsidP="00F4606C">
            <w:pPr>
              <w:spacing w:after="0" w:line="240" w:lineRule="auto"/>
              <w:rPr>
                <w:rFonts w:cs="Arial"/>
                <w:b/>
                <w:color w:val="000000"/>
              </w:rPr>
            </w:pPr>
            <w:r w:rsidRPr="00703672">
              <w:rPr>
                <w:rFonts w:cs="Arial"/>
                <w:b/>
                <w:color w:val="000000"/>
              </w:rPr>
              <w:t>Supplementary Income Account Data Record</w:t>
            </w:r>
          </w:p>
        </w:tc>
        <w:tc>
          <w:tcPr>
            <w:tcW w:w="1560" w:type="dxa"/>
            <w:shd w:val="clear" w:color="000000" w:fill="D9D9D9"/>
          </w:tcPr>
          <w:p w14:paraId="33F375E0" w14:textId="77777777" w:rsidR="003B64E2" w:rsidRPr="00703672" w:rsidRDefault="003B64E2" w:rsidP="00F4606C">
            <w:pPr>
              <w:spacing w:after="0" w:line="240" w:lineRule="auto"/>
              <w:rPr>
                <w:rFonts w:cs="Arial"/>
                <w:b/>
                <w:color w:val="000000"/>
              </w:rPr>
            </w:pPr>
          </w:p>
        </w:tc>
      </w:tr>
      <w:tr w:rsidR="003B64E2" w:rsidRPr="00703672" w14:paraId="52E3E6E3" w14:textId="77777777" w:rsidTr="00427C84">
        <w:trPr>
          <w:trHeight w:val="284"/>
        </w:trPr>
        <w:tc>
          <w:tcPr>
            <w:tcW w:w="1008" w:type="dxa"/>
            <w:noWrap/>
            <w:vAlign w:val="center"/>
            <w:hideMark/>
          </w:tcPr>
          <w:p w14:paraId="30D1D1DC" w14:textId="77777777" w:rsidR="003B64E2" w:rsidRPr="00703672" w:rsidRDefault="003B64E2" w:rsidP="00F4606C">
            <w:pPr>
              <w:spacing w:after="0" w:line="240" w:lineRule="auto"/>
              <w:rPr>
                <w:rFonts w:cs="Arial"/>
              </w:rPr>
            </w:pPr>
            <w:r w:rsidRPr="00703672">
              <w:rPr>
                <w:rFonts w:cs="Arial"/>
              </w:rPr>
              <w:t>9.110</w:t>
            </w:r>
          </w:p>
        </w:tc>
        <w:tc>
          <w:tcPr>
            <w:tcW w:w="6265" w:type="dxa"/>
            <w:vAlign w:val="center"/>
            <w:hideMark/>
          </w:tcPr>
          <w:p w14:paraId="7C6CC44D" w14:textId="77777777" w:rsidR="003B64E2" w:rsidRPr="00703672" w:rsidRDefault="003B64E2" w:rsidP="00F4606C">
            <w:pPr>
              <w:spacing w:after="0" w:line="240" w:lineRule="auto"/>
              <w:rPr>
                <w:rFonts w:cs="Arial"/>
              </w:rPr>
            </w:pPr>
            <w:r w:rsidRPr="00703672">
              <w:rPr>
                <w:rFonts w:cs="Arial"/>
              </w:rPr>
              <w:t xml:space="preserve">Supplementary income payment type </w:t>
            </w:r>
          </w:p>
        </w:tc>
        <w:tc>
          <w:tcPr>
            <w:tcW w:w="1560" w:type="dxa"/>
          </w:tcPr>
          <w:p w14:paraId="73B3C6F0" w14:textId="77777777" w:rsidR="003B64E2" w:rsidRPr="00703672" w:rsidRDefault="003B64E2" w:rsidP="00F4606C">
            <w:pPr>
              <w:spacing w:after="0" w:line="240" w:lineRule="auto"/>
              <w:rPr>
                <w:rFonts w:cs="Arial"/>
              </w:rPr>
            </w:pPr>
            <w:r w:rsidRPr="00703672">
              <w:rPr>
                <w:rFonts w:cs="Arial"/>
              </w:rPr>
              <w:t>Mandatory</w:t>
            </w:r>
          </w:p>
        </w:tc>
      </w:tr>
      <w:tr w:rsidR="003B64E2" w:rsidRPr="00703672" w14:paraId="440AF4EC" w14:textId="77777777" w:rsidTr="00427C84">
        <w:trPr>
          <w:trHeight w:val="284"/>
        </w:trPr>
        <w:tc>
          <w:tcPr>
            <w:tcW w:w="1008" w:type="dxa"/>
            <w:noWrap/>
            <w:vAlign w:val="center"/>
            <w:hideMark/>
          </w:tcPr>
          <w:p w14:paraId="0C1D7C7E" w14:textId="77777777" w:rsidR="003B64E2" w:rsidRPr="00703672" w:rsidRDefault="003B64E2" w:rsidP="00F4606C">
            <w:pPr>
              <w:spacing w:after="0" w:line="240" w:lineRule="auto"/>
              <w:rPr>
                <w:rFonts w:cs="Arial"/>
              </w:rPr>
            </w:pPr>
            <w:r w:rsidRPr="00703672">
              <w:rPr>
                <w:rFonts w:cs="Arial"/>
              </w:rPr>
              <w:t>9.112</w:t>
            </w:r>
          </w:p>
        </w:tc>
        <w:tc>
          <w:tcPr>
            <w:tcW w:w="6265" w:type="dxa"/>
            <w:vAlign w:val="center"/>
            <w:hideMark/>
          </w:tcPr>
          <w:p w14:paraId="623DA212" w14:textId="77777777" w:rsidR="003B64E2" w:rsidRPr="00703672" w:rsidRDefault="003B64E2" w:rsidP="00F4606C">
            <w:pPr>
              <w:spacing w:after="0" w:line="240" w:lineRule="auto"/>
              <w:rPr>
                <w:rFonts w:cs="Arial"/>
              </w:rPr>
            </w:pPr>
            <w:r w:rsidRPr="00703672">
              <w:rPr>
                <w:rFonts w:cs="Arial"/>
              </w:rPr>
              <w:t xml:space="preserve">Share of National rental affordability scheme tax offset </w:t>
            </w:r>
          </w:p>
        </w:tc>
        <w:tc>
          <w:tcPr>
            <w:tcW w:w="1560" w:type="dxa"/>
          </w:tcPr>
          <w:p w14:paraId="717F847F"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6705C8EF" w14:textId="77777777" w:rsidTr="00427C84">
        <w:trPr>
          <w:trHeight w:val="284"/>
        </w:trPr>
        <w:tc>
          <w:tcPr>
            <w:tcW w:w="1008" w:type="dxa"/>
            <w:noWrap/>
            <w:vAlign w:val="center"/>
            <w:hideMark/>
          </w:tcPr>
          <w:p w14:paraId="7362D414" w14:textId="77777777" w:rsidR="003B64E2" w:rsidRPr="00703672" w:rsidRDefault="003B64E2" w:rsidP="00F4606C">
            <w:pPr>
              <w:spacing w:after="0" w:line="240" w:lineRule="auto"/>
              <w:rPr>
                <w:rFonts w:cs="Arial"/>
              </w:rPr>
            </w:pPr>
            <w:r w:rsidRPr="00703672">
              <w:rPr>
                <w:rFonts w:cs="Arial"/>
              </w:rPr>
              <w:t>9.113</w:t>
            </w:r>
          </w:p>
        </w:tc>
        <w:tc>
          <w:tcPr>
            <w:tcW w:w="6265" w:type="dxa"/>
            <w:vAlign w:val="center"/>
            <w:hideMark/>
          </w:tcPr>
          <w:p w14:paraId="316EF502" w14:textId="77777777" w:rsidR="003B64E2" w:rsidRPr="00703672" w:rsidRDefault="003B64E2" w:rsidP="00F4606C">
            <w:pPr>
              <w:spacing w:after="0" w:line="240" w:lineRule="auto"/>
              <w:rPr>
                <w:rFonts w:cs="Arial"/>
              </w:rPr>
            </w:pPr>
            <w:r w:rsidRPr="00703672">
              <w:rPr>
                <w:rFonts w:cs="Arial"/>
              </w:rPr>
              <w:t xml:space="preserve">Primary production income </w:t>
            </w:r>
          </w:p>
        </w:tc>
        <w:tc>
          <w:tcPr>
            <w:tcW w:w="1560" w:type="dxa"/>
          </w:tcPr>
          <w:p w14:paraId="08BA1D6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65FB86F7" w14:textId="77777777" w:rsidTr="00427C84">
        <w:trPr>
          <w:trHeight w:val="284"/>
        </w:trPr>
        <w:tc>
          <w:tcPr>
            <w:tcW w:w="1008" w:type="dxa"/>
            <w:noWrap/>
            <w:vAlign w:val="center"/>
            <w:hideMark/>
          </w:tcPr>
          <w:p w14:paraId="63FA6997" w14:textId="77777777" w:rsidR="003B64E2" w:rsidRPr="00703672" w:rsidRDefault="003B64E2" w:rsidP="00F4606C">
            <w:pPr>
              <w:spacing w:after="0" w:line="240" w:lineRule="auto"/>
              <w:rPr>
                <w:rFonts w:cs="Arial"/>
              </w:rPr>
            </w:pPr>
            <w:r w:rsidRPr="00703672">
              <w:rPr>
                <w:rFonts w:cs="Arial"/>
              </w:rPr>
              <w:t>9.114</w:t>
            </w:r>
          </w:p>
        </w:tc>
        <w:tc>
          <w:tcPr>
            <w:tcW w:w="6265" w:type="dxa"/>
            <w:vAlign w:val="center"/>
            <w:hideMark/>
          </w:tcPr>
          <w:p w14:paraId="18B1ADDC" w14:textId="77777777" w:rsidR="003B64E2" w:rsidRPr="00703672" w:rsidRDefault="003B64E2" w:rsidP="00F4606C">
            <w:pPr>
              <w:spacing w:after="0" w:line="240" w:lineRule="auto"/>
              <w:rPr>
                <w:rFonts w:cs="Arial"/>
              </w:rPr>
            </w:pPr>
            <w:r w:rsidRPr="00703672">
              <w:rPr>
                <w:rFonts w:cs="Arial"/>
              </w:rPr>
              <w:t xml:space="preserve">Share of credit for tax withheld where ABN not quoted </w:t>
            </w:r>
          </w:p>
        </w:tc>
        <w:tc>
          <w:tcPr>
            <w:tcW w:w="1560" w:type="dxa"/>
          </w:tcPr>
          <w:p w14:paraId="736788E4"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B567DF8" w14:textId="77777777" w:rsidTr="00427C84">
        <w:trPr>
          <w:trHeight w:val="284"/>
        </w:trPr>
        <w:tc>
          <w:tcPr>
            <w:tcW w:w="1008" w:type="dxa"/>
            <w:noWrap/>
            <w:vAlign w:val="center"/>
            <w:hideMark/>
          </w:tcPr>
          <w:p w14:paraId="7D75A08C" w14:textId="77777777" w:rsidR="003B64E2" w:rsidRPr="00703672" w:rsidRDefault="003B64E2" w:rsidP="00F4606C">
            <w:pPr>
              <w:spacing w:after="0" w:line="240" w:lineRule="auto"/>
              <w:rPr>
                <w:rFonts w:cs="Arial"/>
              </w:rPr>
            </w:pPr>
            <w:r w:rsidRPr="00703672">
              <w:rPr>
                <w:rFonts w:cs="Arial"/>
              </w:rPr>
              <w:t>9.115</w:t>
            </w:r>
          </w:p>
        </w:tc>
        <w:tc>
          <w:tcPr>
            <w:tcW w:w="6265" w:type="dxa"/>
            <w:vAlign w:val="center"/>
            <w:hideMark/>
          </w:tcPr>
          <w:p w14:paraId="249D0D80" w14:textId="77777777" w:rsidR="003B64E2" w:rsidRPr="00703672" w:rsidRDefault="003B64E2" w:rsidP="00F4606C">
            <w:pPr>
              <w:spacing w:after="0" w:line="240" w:lineRule="auto"/>
              <w:rPr>
                <w:rFonts w:cs="Arial"/>
              </w:rPr>
            </w:pPr>
            <w:r w:rsidRPr="00703672">
              <w:rPr>
                <w:rFonts w:cs="Arial"/>
              </w:rPr>
              <w:t xml:space="preserve">Deductions relating to distribution of primary production income </w:t>
            </w:r>
          </w:p>
        </w:tc>
        <w:tc>
          <w:tcPr>
            <w:tcW w:w="1560" w:type="dxa"/>
          </w:tcPr>
          <w:p w14:paraId="381BBE0B"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F9856BD" w14:textId="77777777" w:rsidTr="00427C84">
        <w:trPr>
          <w:trHeight w:val="284"/>
        </w:trPr>
        <w:tc>
          <w:tcPr>
            <w:tcW w:w="1008" w:type="dxa"/>
            <w:noWrap/>
            <w:vAlign w:val="center"/>
            <w:hideMark/>
          </w:tcPr>
          <w:p w14:paraId="602B61FE" w14:textId="77777777" w:rsidR="003B64E2" w:rsidRPr="00703672" w:rsidRDefault="003B64E2" w:rsidP="00F4606C">
            <w:pPr>
              <w:spacing w:after="0" w:line="240" w:lineRule="auto"/>
              <w:rPr>
                <w:rFonts w:cs="Arial"/>
              </w:rPr>
            </w:pPr>
            <w:r w:rsidRPr="00703672">
              <w:rPr>
                <w:rFonts w:cs="Arial"/>
              </w:rPr>
              <w:t>9.116</w:t>
            </w:r>
          </w:p>
        </w:tc>
        <w:tc>
          <w:tcPr>
            <w:tcW w:w="6265" w:type="dxa"/>
            <w:vAlign w:val="center"/>
            <w:hideMark/>
          </w:tcPr>
          <w:p w14:paraId="7B5B3160" w14:textId="77777777" w:rsidR="003B64E2" w:rsidRPr="00703672" w:rsidRDefault="003B64E2" w:rsidP="00F4606C">
            <w:pPr>
              <w:spacing w:after="0" w:line="240" w:lineRule="auto"/>
              <w:rPr>
                <w:rFonts w:cs="Arial"/>
              </w:rPr>
            </w:pPr>
            <w:r w:rsidRPr="00703672">
              <w:rPr>
                <w:rFonts w:cs="Arial"/>
              </w:rPr>
              <w:t xml:space="preserve">Transferor trust income </w:t>
            </w:r>
          </w:p>
        </w:tc>
        <w:tc>
          <w:tcPr>
            <w:tcW w:w="1560" w:type="dxa"/>
          </w:tcPr>
          <w:p w14:paraId="7482237D"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D9A66D0" w14:textId="77777777" w:rsidTr="00427C84">
        <w:trPr>
          <w:trHeight w:val="284"/>
        </w:trPr>
        <w:tc>
          <w:tcPr>
            <w:tcW w:w="1008" w:type="dxa"/>
            <w:noWrap/>
            <w:vAlign w:val="center"/>
            <w:hideMark/>
          </w:tcPr>
          <w:p w14:paraId="524472E4" w14:textId="77777777" w:rsidR="003B64E2" w:rsidRPr="00703672" w:rsidRDefault="003B64E2" w:rsidP="00F4606C">
            <w:pPr>
              <w:spacing w:after="0" w:line="240" w:lineRule="auto"/>
              <w:rPr>
                <w:rFonts w:cs="Arial"/>
              </w:rPr>
            </w:pPr>
            <w:r w:rsidRPr="00703672">
              <w:rPr>
                <w:rFonts w:cs="Arial"/>
              </w:rPr>
              <w:t>9.117</w:t>
            </w:r>
          </w:p>
        </w:tc>
        <w:tc>
          <w:tcPr>
            <w:tcW w:w="6265" w:type="dxa"/>
            <w:vAlign w:val="center"/>
            <w:hideMark/>
          </w:tcPr>
          <w:p w14:paraId="26F873B0" w14:textId="77777777" w:rsidR="003B64E2" w:rsidRPr="00703672" w:rsidRDefault="003B64E2" w:rsidP="00F4606C">
            <w:pPr>
              <w:spacing w:after="0" w:line="240" w:lineRule="auto"/>
              <w:rPr>
                <w:rFonts w:cs="Arial"/>
              </w:rPr>
            </w:pPr>
            <w:r w:rsidRPr="00703672">
              <w:rPr>
                <w:rFonts w:cs="Arial"/>
              </w:rPr>
              <w:t xml:space="preserve">CFC income </w:t>
            </w:r>
          </w:p>
        </w:tc>
        <w:tc>
          <w:tcPr>
            <w:tcW w:w="1560" w:type="dxa"/>
          </w:tcPr>
          <w:p w14:paraId="247AFF2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4D46114B" w14:textId="77777777" w:rsidTr="00427C84">
        <w:trPr>
          <w:trHeight w:val="284"/>
        </w:trPr>
        <w:tc>
          <w:tcPr>
            <w:tcW w:w="1008" w:type="dxa"/>
            <w:noWrap/>
            <w:vAlign w:val="center"/>
            <w:hideMark/>
          </w:tcPr>
          <w:p w14:paraId="4766FA86" w14:textId="77777777" w:rsidR="003B64E2" w:rsidRPr="00703672" w:rsidRDefault="003B64E2" w:rsidP="00F4606C">
            <w:pPr>
              <w:spacing w:after="0" w:line="240" w:lineRule="auto"/>
              <w:rPr>
                <w:rFonts w:cs="Arial"/>
              </w:rPr>
            </w:pPr>
            <w:r w:rsidRPr="00703672">
              <w:rPr>
                <w:rFonts w:cs="Arial"/>
              </w:rPr>
              <w:t>9.118</w:t>
            </w:r>
          </w:p>
        </w:tc>
        <w:tc>
          <w:tcPr>
            <w:tcW w:w="6265" w:type="dxa"/>
            <w:vAlign w:val="center"/>
            <w:hideMark/>
          </w:tcPr>
          <w:p w14:paraId="54A5D306" w14:textId="77777777" w:rsidR="003B64E2" w:rsidRPr="00703672" w:rsidRDefault="003B64E2" w:rsidP="00F4606C">
            <w:pPr>
              <w:spacing w:after="0" w:line="240" w:lineRule="auto"/>
              <w:rPr>
                <w:rFonts w:cs="Arial"/>
              </w:rPr>
            </w:pPr>
            <w:r w:rsidRPr="00703672">
              <w:rPr>
                <w:rFonts w:cs="Arial"/>
              </w:rPr>
              <w:t xml:space="preserve">Net foreign rent </w:t>
            </w:r>
          </w:p>
        </w:tc>
        <w:tc>
          <w:tcPr>
            <w:tcW w:w="1560" w:type="dxa"/>
          </w:tcPr>
          <w:p w14:paraId="789D800B"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E8D4B62" w14:textId="77777777" w:rsidTr="00427C84">
        <w:trPr>
          <w:trHeight w:val="284"/>
        </w:trPr>
        <w:tc>
          <w:tcPr>
            <w:tcW w:w="1008" w:type="dxa"/>
            <w:noWrap/>
            <w:vAlign w:val="center"/>
            <w:hideMark/>
          </w:tcPr>
          <w:p w14:paraId="14124849" w14:textId="77777777" w:rsidR="003B64E2" w:rsidRPr="00703672" w:rsidRDefault="003B64E2" w:rsidP="00F4606C">
            <w:pPr>
              <w:spacing w:after="0" w:line="240" w:lineRule="auto"/>
              <w:rPr>
                <w:rFonts w:cs="Arial"/>
              </w:rPr>
            </w:pPr>
            <w:r w:rsidRPr="00703672">
              <w:rPr>
                <w:rFonts w:cs="Arial"/>
              </w:rPr>
              <w:t>9.119</w:t>
            </w:r>
          </w:p>
        </w:tc>
        <w:tc>
          <w:tcPr>
            <w:tcW w:w="6265" w:type="dxa"/>
            <w:vAlign w:val="center"/>
            <w:hideMark/>
          </w:tcPr>
          <w:p w14:paraId="1C6BCA6D" w14:textId="77777777" w:rsidR="003B64E2" w:rsidRPr="00703672" w:rsidRDefault="003B64E2" w:rsidP="00F4606C">
            <w:pPr>
              <w:spacing w:after="0" w:line="240" w:lineRule="auto"/>
              <w:rPr>
                <w:rFonts w:cs="Arial"/>
              </w:rPr>
            </w:pPr>
            <w:r w:rsidRPr="00703672">
              <w:rPr>
                <w:rFonts w:cs="Arial"/>
              </w:rPr>
              <w:t xml:space="preserve">Unfranked distributions from trusts </w:t>
            </w:r>
          </w:p>
        </w:tc>
        <w:tc>
          <w:tcPr>
            <w:tcW w:w="1560" w:type="dxa"/>
          </w:tcPr>
          <w:p w14:paraId="6E416A06"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EE620A6" w14:textId="77777777" w:rsidTr="00427C84">
        <w:trPr>
          <w:trHeight w:val="284"/>
        </w:trPr>
        <w:tc>
          <w:tcPr>
            <w:tcW w:w="1008" w:type="dxa"/>
            <w:noWrap/>
            <w:vAlign w:val="center"/>
            <w:hideMark/>
          </w:tcPr>
          <w:p w14:paraId="6D91DB52" w14:textId="77777777" w:rsidR="003B64E2" w:rsidRPr="00703672" w:rsidRDefault="003B64E2" w:rsidP="00F4606C">
            <w:pPr>
              <w:spacing w:after="0" w:line="240" w:lineRule="auto"/>
              <w:rPr>
                <w:rFonts w:cs="Arial"/>
              </w:rPr>
            </w:pPr>
            <w:r w:rsidRPr="00703672">
              <w:rPr>
                <w:rFonts w:cs="Arial"/>
              </w:rPr>
              <w:t>9.120</w:t>
            </w:r>
          </w:p>
        </w:tc>
        <w:tc>
          <w:tcPr>
            <w:tcW w:w="6265" w:type="dxa"/>
            <w:vAlign w:val="center"/>
            <w:hideMark/>
          </w:tcPr>
          <w:p w14:paraId="0F97C823" w14:textId="77777777" w:rsidR="003B64E2" w:rsidRPr="00703672" w:rsidRDefault="003B64E2" w:rsidP="00F4606C">
            <w:pPr>
              <w:spacing w:after="0" w:line="240" w:lineRule="auto"/>
              <w:rPr>
                <w:rFonts w:cs="Arial"/>
              </w:rPr>
            </w:pPr>
            <w:r w:rsidRPr="00703672">
              <w:rPr>
                <w:rFonts w:cs="Arial"/>
              </w:rPr>
              <w:t xml:space="preserve">Franked distributions from trusts </w:t>
            </w:r>
          </w:p>
        </w:tc>
        <w:tc>
          <w:tcPr>
            <w:tcW w:w="1560" w:type="dxa"/>
          </w:tcPr>
          <w:p w14:paraId="4CE5973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97B3C1D" w14:textId="77777777" w:rsidTr="00427C84">
        <w:trPr>
          <w:trHeight w:val="284"/>
        </w:trPr>
        <w:tc>
          <w:tcPr>
            <w:tcW w:w="1008" w:type="dxa"/>
            <w:noWrap/>
            <w:vAlign w:val="center"/>
            <w:hideMark/>
          </w:tcPr>
          <w:p w14:paraId="7D7F3EB7" w14:textId="77777777" w:rsidR="003B64E2" w:rsidRPr="00703672" w:rsidRDefault="003B64E2" w:rsidP="00F4606C">
            <w:pPr>
              <w:spacing w:after="0" w:line="240" w:lineRule="auto"/>
              <w:rPr>
                <w:rFonts w:cs="Arial"/>
              </w:rPr>
            </w:pPr>
            <w:r w:rsidRPr="00703672">
              <w:rPr>
                <w:rFonts w:cs="Arial"/>
              </w:rPr>
              <w:t>9.121</w:t>
            </w:r>
          </w:p>
        </w:tc>
        <w:tc>
          <w:tcPr>
            <w:tcW w:w="6265" w:type="dxa"/>
            <w:vAlign w:val="center"/>
            <w:hideMark/>
          </w:tcPr>
          <w:p w14:paraId="1595FE73" w14:textId="77777777" w:rsidR="003B64E2" w:rsidRPr="00703672" w:rsidRDefault="003B64E2" w:rsidP="00F4606C">
            <w:pPr>
              <w:spacing w:after="0" w:line="240" w:lineRule="auto"/>
              <w:rPr>
                <w:rFonts w:cs="Arial"/>
              </w:rPr>
            </w:pPr>
            <w:r w:rsidRPr="00703672">
              <w:rPr>
                <w:rFonts w:cs="Arial"/>
              </w:rPr>
              <w:t>Gross cash distribution</w:t>
            </w:r>
          </w:p>
        </w:tc>
        <w:tc>
          <w:tcPr>
            <w:tcW w:w="1560" w:type="dxa"/>
          </w:tcPr>
          <w:p w14:paraId="364F40F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214AC396" w14:textId="77777777" w:rsidTr="00427C84">
        <w:trPr>
          <w:trHeight w:val="284"/>
        </w:trPr>
        <w:tc>
          <w:tcPr>
            <w:tcW w:w="1008" w:type="dxa"/>
            <w:noWrap/>
            <w:vAlign w:val="center"/>
            <w:hideMark/>
          </w:tcPr>
          <w:p w14:paraId="27BDE0DB" w14:textId="77777777" w:rsidR="003B64E2" w:rsidRPr="00703672" w:rsidRDefault="003B64E2" w:rsidP="00F4606C">
            <w:pPr>
              <w:spacing w:after="0" w:line="240" w:lineRule="auto"/>
              <w:rPr>
                <w:rFonts w:cs="Arial"/>
              </w:rPr>
            </w:pPr>
            <w:r w:rsidRPr="00703672">
              <w:rPr>
                <w:rFonts w:cs="Arial"/>
              </w:rPr>
              <w:t>9.122</w:t>
            </w:r>
          </w:p>
        </w:tc>
        <w:tc>
          <w:tcPr>
            <w:tcW w:w="6265" w:type="dxa"/>
            <w:vAlign w:val="center"/>
            <w:hideMark/>
          </w:tcPr>
          <w:p w14:paraId="3A67ED80" w14:textId="77777777" w:rsidR="003B64E2" w:rsidRPr="00703672" w:rsidRDefault="003B64E2" w:rsidP="00F4606C">
            <w:pPr>
              <w:spacing w:after="0" w:line="240" w:lineRule="auto"/>
              <w:rPr>
                <w:rFonts w:cs="Arial"/>
              </w:rPr>
            </w:pPr>
            <w:r w:rsidRPr="00703672">
              <w:rPr>
                <w:rFonts w:cs="Arial"/>
              </w:rPr>
              <w:t>Interest exempt from withholding</w:t>
            </w:r>
          </w:p>
        </w:tc>
        <w:tc>
          <w:tcPr>
            <w:tcW w:w="1560" w:type="dxa"/>
          </w:tcPr>
          <w:p w14:paraId="400F2D54"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47E58794" w14:textId="77777777" w:rsidTr="00427C84">
        <w:trPr>
          <w:trHeight w:val="284"/>
        </w:trPr>
        <w:tc>
          <w:tcPr>
            <w:tcW w:w="1008" w:type="dxa"/>
            <w:noWrap/>
            <w:vAlign w:val="center"/>
            <w:hideMark/>
          </w:tcPr>
          <w:p w14:paraId="4C3E23B0" w14:textId="77777777" w:rsidR="003B64E2" w:rsidRPr="00703672" w:rsidRDefault="003B64E2" w:rsidP="00E226DE">
            <w:pPr>
              <w:spacing w:after="0" w:line="240" w:lineRule="auto"/>
              <w:rPr>
                <w:rFonts w:cs="Arial"/>
              </w:rPr>
            </w:pPr>
            <w:r w:rsidRPr="00703672">
              <w:rPr>
                <w:rFonts w:cs="Arial"/>
              </w:rPr>
              <w:t>9.123</w:t>
            </w:r>
          </w:p>
        </w:tc>
        <w:tc>
          <w:tcPr>
            <w:tcW w:w="6265" w:type="dxa"/>
            <w:vAlign w:val="center"/>
            <w:hideMark/>
          </w:tcPr>
          <w:p w14:paraId="06EBFABF" w14:textId="77777777" w:rsidR="003B64E2" w:rsidRPr="00703672" w:rsidRDefault="003B64E2" w:rsidP="00E226DE">
            <w:pPr>
              <w:spacing w:after="0" w:line="240" w:lineRule="auto"/>
              <w:rPr>
                <w:rFonts w:cs="Arial"/>
              </w:rPr>
            </w:pPr>
            <w:r w:rsidRPr="00703672">
              <w:rPr>
                <w:rFonts w:cs="Arial"/>
              </w:rPr>
              <w:t>Capital Gains discount method – Taxable Australian property</w:t>
            </w:r>
          </w:p>
        </w:tc>
        <w:tc>
          <w:tcPr>
            <w:tcW w:w="1560" w:type="dxa"/>
          </w:tcPr>
          <w:p w14:paraId="25FF22C4" w14:textId="77777777" w:rsidR="003B64E2" w:rsidRPr="00703672" w:rsidRDefault="003B64E2" w:rsidP="00E226DE">
            <w:pPr>
              <w:spacing w:after="0" w:line="240" w:lineRule="auto"/>
              <w:rPr>
                <w:rFonts w:cs="Arial"/>
              </w:rPr>
            </w:pPr>
            <w:r w:rsidRPr="00703672">
              <w:rPr>
                <w:rFonts w:cs="Arial"/>
              </w:rPr>
              <w:t>Conditional</w:t>
            </w:r>
          </w:p>
        </w:tc>
      </w:tr>
      <w:tr w:rsidR="003B64E2" w:rsidRPr="00703672" w14:paraId="29AA1039" w14:textId="77777777" w:rsidTr="00427C84">
        <w:trPr>
          <w:trHeight w:val="284"/>
        </w:trPr>
        <w:tc>
          <w:tcPr>
            <w:tcW w:w="1008" w:type="dxa"/>
            <w:noWrap/>
            <w:vAlign w:val="center"/>
            <w:hideMark/>
          </w:tcPr>
          <w:p w14:paraId="4B8F1274" w14:textId="77777777" w:rsidR="003B64E2" w:rsidRPr="00703672" w:rsidRDefault="003B64E2" w:rsidP="00F4606C">
            <w:pPr>
              <w:spacing w:after="0" w:line="240" w:lineRule="auto"/>
              <w:rPr>
                <w:rFonts w:cs="Arial"/>
              </w:rPr>
            </w:pPr>
            <w:r w:rsidRPr="00703672">
              <w:rPr>
                <w:rFonts w:cs="Arial"/>
              </w:rPr>
              <w:t>9.124</w:t>
            </w:r>
          </w:p>
        </w:tc>
        <w:tc>
          <w:tcPr>
            <w:tcW w:w="6265" w:type="dxa"/>
            <w:vAlign w:val="center"/>
            <w:hideMark/>
          </w:tcPr>
          <w:p w14:paraId="4AC3D63D" w14:textId="77777777" w:rsidR="003B64E2" w:rsidRPr="00703672" w:rsidRDefault="003B64E2" w:rsidP="00F4606C">
            <w:pPr>
              <w:spacing w:after="0" w:line="240" w:lineRule="auto"/>
              <w:rPr>
                <w:rFonts w:cs="Arial"/>
              </w:rPr>
            </w:pPr>
            <w:r w:rsidRPr="00703672">
              <w:rPr>
                <w:rFonts w:cs="Arial"/>
              </w:rPr>
              <w:t>Capital Gains discount method – Non-Taxable Australian property</w:t>
            </w:r>
          </w:p>
        </w:tc>
        <w:tc>
          <w:tcPr>
            <w:tcW w:w="1560" w:type="dxa"/>
          </w:tcPr>
          <w:p w14:paraId="55FEC3CA"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DCB2F46" w14:textId="77777777" w:rsidTr="00427C84">
        <w:trPr>
          <w:trHeight w:val="284"/>
        </w:trPr>
        <w:tc>
          <w:tcPr>
            <w:tcW w:w="1008" w:type="dxa"/>
            <w:noWrap/>
            <w:vAlign w:val="center"/>
            <w:hideMark/>
          </w:tcPr>
          <w:p w14:paraId="7C3D2D80" w14:textId="77777777" w:rsidR="003B64E2" w:rsidRPr="00703672" w:rsidRDefault="003B64E2" w:rsidP="00E226DE">
            <w:pPr>
              <w:spacing w:after="0" w:line="240" w:lineRule="auto"/>
              <w:rPr>
                <w:rFonts w:cs="Arial"/>
              </w:rPr>
            </w:pPr>
            <w:r w:rsidRPr="00703672">
              <w:rPr>
                <w:rFonts w:cs="Arial"/>
              </w:rPr>
              <w:t>9.125</w:t>
            </w:r>
          </w:p>
        </w:tc>
        <w:tc>
          <w:tcPr>
            <w:tcW w:w="6265" w:type="dxa"/>
            <w:vAlign w:val="center"/>
            <w:hideMark/>
          </w:tcPr>
          <w:p w14:paraId="52077CB0" w14:textId="77777777" w:rsidR="003B64E2" w:rsidRPr="00703672" w:rsidRDefault="003B64E2" w:rsidP="00E226DE">
            <w:pPr>
              <w:spacing w:after="0" w:line="240" w:lineRule="auto"/>
              <w:rPr>
                <w:rFonts w:cs="Arial"/>
              </w:rPr>
            </w:pPr>
            <w:r w:rsidRPr="00703672">
              <w:rPr>
                <w:rFonts w:cs="Arial"/>
              </w:rPr>
              <w:t>Capital gains other – Taxable Australian property</w:t>
            </w:r>
          </w:p>
        </w:tc>
        <w:tc>
          <w:tcPr>
            <w:tcW w:w="1560" w:type="dxa"/>
          </w:tcPr>
          <w:p w14:paraId="04474914" w14:textId="77777777" w:rsidR="003B64E2" w:rsidRPr="00703672" w:rsidRDefault="003B64E2" w:rsidP="00E226DE">
            <w:pPr>
              <w:spacing w:after="0" w:line="240" w:lineRule="auto"/>
              <w:rPr>
                <w:rFonts w:cs="Arial"/>
              </w:rPr>
            </w:pPr>
            <w:r w:rsidRPr="00703672">
              <w:rPr>
                <w:rFonts w:cs="Arial"/>
              </w:rPr>
              <w:t>Conditional</w:t>
            </w:r>
          </w:p>
        </w:tc>
      </w:tr>
      <w:tr w:rsidR="003B64E2" w:rsidRPr="00703672" w14:paraId="106B3220" w14:textId="77777777" w:rsidTr="00427C84">
        <w:trPr>
          <w:trHeight w:val="284"/>
        </w:trPr>
        <w:tc>
          <w:tcPr>
            <w:tcW w:w="1008" w:type="dxa"/>
            <w:noWrap/>
            <w:vAlign w:val="center"/>
            <w:hideMark/>
          </w:tcPr>
          <w:p w14:paraId="36E1744F" w14:textId="77777777" w:rsidR="003B64E2" w:rsidRPr="00703672" w:rsidRDefault="003B64E2" w:rsidP="00F4606C">
            <w:pPr>
              <w:spacing w:after="0" w:line="240" w:lineRule="auto"/>
              <w:rPr>
                <w:rFonts w:cs="Arial"/>
              </w:rPr>
            </w:pPr>
            <w:r w:rsidRPr="00703672">
              <w:rPr>
                <w:rFonts w:cs="Arial"/>
              </w:rPr>
              <w:t>9.126</w:t>
            </w:r>
          </w:p>
        </w:tc>
        <w:tc>
          <w:tcPr>
            <w:tcW w:w="6265" w:type="dxa"/>
            <w:vAlign w:val="center"/>
            <w:hideMark/>
          </w:tcPr>
          <w:p w14:paraId="0237D96A" w14:textId="77777777" w:rsidR="003B64E2" w:rsidRPr="00703672" w:rsidRDefault="003B64E2" w:rsidP="00F4606C">
            <w:pPr>
              <w:spacing w:after="0" w:line="240" w:lineRule="auto"/>
              <w:rPr>
                <w:rFonts w:cs="Arial"/>
              </w:rPr>
            </w:pPr>
            <w:r w:rsidRPr="00703672">
              <w:rPr>
                <w:rFonts w:cs="Arial"/>
              </w:rPr>
              <w:t>Capital gains other – Non-Taxable Australian property</w:t>
            </w:r>
          </w:p>
        </w:tc>
        <w:tc>
          <w:tcPr>
            <w:tcW w:w="1560" w:type="dxa"/>
          </w:tcPr>
          <w:p w14:paraId="339C5B66"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874C1E1" w14:textId="77777777" w:rsidTr="00427C84">
        <w:trPr>
          <w:trHeight w:val="284"/>
        </w:trPr>
        <w:tc>
          <w:tcPr>
            <w:tcW w:w="1008" w:type="dxa"/>
            <w:noWrap/>
            <w:vAlign w:val="center"/>
            <w:hideMark/>
          </w:tcPr>
          <w:p w14:paraId="7B6EA67A" w14:textId="77777777" w:rsidR="003B64E2" w:rsidRPr="00703672" w:rsidRDefault="003B64E2" w:rsidP="00E226DE">
            <w:pPr>
              <w:spacing w:after="0" w:line="240" w:lineRule="auto"/>
              <w:rPr>
                <w:rFonts w:cs="Arial"/>
              </w:rPr>
            </w:pPr>
            <w:r w:rsidRPr="00703672">
              <w:rPr>
                <w:rFonts w:cs="Arial"/>
              </w:rPr>
              <w:t>9.127</w:t>
            </w:r>
          </w:p>
        </w:tc>
        <w:tc>
          <w:tcPr>
            <w:tcW w:w="6265" w:type="dxa"/>
            <w:vAlign w:val="center"/>
            <w:hideMark/>
          </w:tcPr>
          <w:p w14:paraId="5EF580A4" w14:textId="77777777" w:rsidR="003B64E2" w:rsidRPr="00703672" w:rsidRDefault="003B64E2" w:rsidP="00E226DE">
            <w:pPr>
              <w:spacing w:after="0" w:line="240" w:lineRule="auto"/>
              <w:rPr>
                <w:rFonts w:cs="Arial"/>
              </w:rPr>
            </w:pPr>
            <w:r w:rsidRPr="00703672">
              <w:rPr>
                <w:rFonts w:cs="Arial"/>
              </w:rPr>
              <w:t>Non-assessable non-exempt amount</w:t>
            </w:r>
          </w:p>
        </w:tc>
        <w:tc>
          <w:tcPr>
            <w:tcW w:w="1560" w:type="dxa"/>
          </w:tcPr>
          <w:p w14:paraId="0B550A31" w14:textId="77777777" w:rsidR="003B64E2" w:rsidRPr="00703672" w:rsidRDefault="003B64E2" w:rsidP="00E226DE">
            <w:pPr>
              <w:spacing w:after="0" w:line="240" w:lineRule="auto"/>
              <w:rPr>
                <w:rFonts w:cs="Arial"/>
              </w:rPr>
            </w:pPr>
            <w:r w:rsidRPr="00703672">
              <w:rPr>
                <w:rFonts w:cs="Arial"/>
              </w:rPr>
              <w:t>Conditional</w:t>
            </w:r>
          </w:p>
        </w:tc>
      </w:tr>
      <w:tr w:rsidR="003B64E2" w:rsidRPr="00703672" w14:paraId="5C74B123" w14:textId="77777777" w:rsidTr="00427C84">
        <w:trPr>
          <w:trHeight w:val="284"/>
        </w:trPr>
        <w:tc>
          <w:tcPr>
            <w:tcW w:w="1008" w:type="dxa"/>
            <w:noWrap/>
            <w:vAlign w:val="center"/>
            <w:hideMark/>
          </w:tcPr>
          <w:p w14:paraId="123ECAE7" w14:textId="77777777" w:rsidR="003B64E2" w:rsidRPr="00703672" w:rsidRDefault="003B64E2" w:rsidP="00E226DE">
            <w:pPr>
              <w:spacing w:after="0" w:line="240" w:lineRule="auto"/>
              <w:rPr>
                <w:rFonts w:cs="Arial"/>
              </w:rPr>
            </w:pPr>
            <w:r w:rsidRPr="00703672">
              <w:rPr>
                <w:rFonts w:cs="Arial"/>
              </w:rPr>
              <w:t>9.128</w:t>
            </w:r>
          </w:p>
        </w:tc>
        <w:tc>
          <w:tcPr>
            <w:tcW w:w="6265" w:type="dxa"/>
            <w:vAlign w:val="center"/>
            <w:hideMark/>
          </w:tcPr>
          <w:p w14:paraId="0DFAC48E" w14:textId="77777777" w:rsidR="003B64E2" w:rsidRPr="00703672" w:rsidRDefault="003B64E2" w:rsidP="00E226DE">
            <w:pPr>
              <w:spacing w:after="0" w:line="240" w:lineRule="auto"/>
              <w:rPr>
                <w:rFonts w:cs="Arial"/>
              </w:rPr>
            </w:pPr>
            <w:r w:rsidRPr="00703672">
              <w:rPr>
                <w:rFonts w:cs="Arial"/>
              </w:rPr>
              <w:t>AMIT cost base net amount – excess (AMITs only)</w:t>
            </w:r>
          </w:p>
        </w:tc>
        <w:tc>
          <w:tcPr>
            <w:tcW w:w="1560" w:type="dxa"/>
          </w:tcPr>
          <w:p w14:paraId="68533DBF" w14:textId="77777777" w:rsidR="003B64E2" w:rsidRPr="00703672" w:rsidRDefault="003B64E2" w:rsidP="00E226DE">
            <w:pPr>
              <w:spacing w:after="0" w:line="240" w:lineRule="auto"/>
              <w:rPr>
                <w:rFonts w:cs="Arial"/>
              </w:rPr>
            </w:pPr>
            <w:r w:rsidRPr="00703672">
              <w:rPr>
                <w:rFonts w:cs="Arial"/>
              </w:rPr>
              <w:t>Conditional</w:t>
            </w:r>
          </w:p>
        </w:tc>
      </w:tr>
      <w:tr w:rsidR="003B64E2" w:rsidRPr="00703672" w14:paraId="0419808F" w14:textId="77777777" w:rsidTr="00427C84">
        <w:trPr>
          <w:trHeight w:val="284"/>
        </w:trPr>
        <w:tc>
          <w:tcPr>
            <w:tcW w:w="1008" w:type="dxa"/>
            <w:noWrap/>
            <w:vAlign w:val="center"/>
            <w:hideMark/>
          </w:tcPr>
          <w:p w14:paraId="03BC6303" w14:textId="77777777" w:rsidR="003B64E2" w:rsidRPr="00703672" w:rsidRDefault="003B64E2" w:rsidP="00F4606C">
            <w:pPr>
              <w:spacing w:after="0" w:line="240" w:lineRule="auto"/>
              <w:rPr>
                <w:rFonts w:cs="Arial"/>
              </w:rPr>
            </w:pPr>
            <w:r w:rsidRPr="00703672">
              <w:rPr>
                <w:rFonts w:cs="Arial"/>
              </w:rPr>
              <w:t>9.129</w:t>
            </w:r>
          </w:p>
        </w:tc>
        <w:tc>
          <w:tcPr>
            <w:tcW w:w="6265" w:type="dxa"/>
            <w:vAlign w:val="center"/>
            <w:hideMark/>
          </w:tcPr>
          <w:p w14:paraId="6D2F0EA7" w14:textId="77777777" w:rsidR="003B64E2" w:rsidRPr="00703672" w:rsidRDefault="003B64E2" w:rsidP="00F4606C">
            <w:pPr>
              <w:spacing w:after="0" w:line="240" w:lineRule="auto"/>
              <w:rPr>
                <w:rFonts w:cs="Arial"/>
              </w:rPr>
            </w:pPr>
            <w:r w:rsidRPr="00703672">
              <w:rPr>
                <w:rFonts w:cs="Arial"/>
              </w:rPr>
              <w:t>AMIT cost base net amount – shortfall (AMITs only)</w:t>
            </w:r>
          </w:p>
        </w:tc>
        <w:tc>
          <w:tcPr>
            <w:tcW w:w="1560" w:type="dxa"/>
          </w:tcPr>
          <w:p w14:paraId="41520F15"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F473409" w14:textId="77777777" w:rsidTr="00427C84">
        <w:trPr>
          <w:trHeight w:val="284"/>
        </w:trPr>
        <w:tc>
          <w:tcPr>
            <w:tcW w:w="1008" w:type="dxa"/>
            <w:noWrap/>
            <w:vAlign w:val="center"/>
            <w:hideMark/>
          </w:tcPr>
          <w:p w14:paraId="61659EF3" w14:textId="77777777" w:rsidR="003B64E2" w:rsidRPr="00703672" w:rsidRDefault="003B64E2" w:rsidP="00F4606C">
            <w:pPr>
              <w:spacing w:after="0" w:line="240" w:lineRule="auto"/>
              <w:rPr>
                <w:rFonts w:cs="Arial"/>
              </w:rPr>
            </w:pPr>
            <w:r w:rsidRPr="00703672">
              <w:rPr>
                <w:rFonts w:cs="Arial"/>
              </w:rPr>
              <w:t>9.130</w:t>
            </w:r>
          </w:p>
        </w:tc>
        <w:tc>
          <w:tcPr>
            <w:tcW w:w="6265" w:type="dxa"/>
            <w:vAlign w:val="center"/>
            <w:hideMark/>
          </w:tcPr>
          <w:p w14:paraId="128FC88A" w14:textId="77777777" w:rsidR="003B64E2" w:rsidRPr="00703672" w:rsidRDefault="003B64E2" w:rsidP="00F4606C">
            <w:pPr>
              <w:spacing w:after="0" w:line="240" w:lineRule="auto"/>
              <w:rPr>
                <w:rFonts w:cs="Arial"/>
              </w:rPr>
            </w:pPr>
            <w:r w:rsidRPr="00703672">
              <w:rPr>
                <w:rFonts w:cs="Arial"/>
              </w:rPr>
              <w:t>Other income</w:t>
            </w:r>
          </w:p>
        </w:tc>
        <w:tc>
          <w:tcPr>
            <w:tcW w:w="1560" w:type="dxa"/>
          </w:tcPr>
          <w:p w14:paraId="310D1E11"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291C3E3" w14:textId="77777777" w:rsidTr="00427C84">
        <w:trPr>
          <w:trHeight w:val="284"/>
        </w:trPr>
        <w:tc>
          <w:tcPr>
            <w:tcW w:w="1008" w:type="dxa"/>
            <w:noWrap/>
            <w:vAlign w:val="center"/>
            <w:hideMark/>
          </w:tcPr>
          <w:p w14:paraId="49A43082" w14:textId="77777777" w:rsidR="003B64E2" w:rsidRPr="00703672" w:rsidRDefault="003B64E2" w:rsidP="00F4606C">
            <w:pPr>
              <w:spacing w:after="0" w:line="240" w:lineRule="auto"/>
              <w:rPr>
                <w:rFonts w:cs="Arial"/>
              </w:rPr>
            </w:pPr>
            <w:r w:rsidRPr="00703672">
              <w:rPr>
                <w:rFonts w:cs="Arial"/>
              </w:rPr>
              <w:t>9.131</w:t>
            </w:r>
          </w:p>
        </w:tc>
        <w:tc>
          <w:tcPr>
            <w:tcW w:w="6265" w:type="dxa"/>
            <w:vAlign w:val="center"/>
            <w:hideMark/>
          </w:tcPr>
          <w:p w14:paraId="3AE5D301" w14:textId="34FA226E" w:rsidR="003B64E2" w:rsidRPr="00703672" w:rsidRDefault="003B64E2" w:rsidP="00F4606C">
            <w:pPr>
              <w:spacing w:after="0" w:line="240" w:lineRule="auto"/>
              <w:rPr>
                <w:rFonts w:cs="Arial"/>
              </w:rPr>
            </w:pPr>
            <w:r w:rsidRPr="00703672">
              <w:rPr>
                <w:rFonts w:cs="Arial"/>
              </w:rPr>
              <w:t>Name of AMIT class</w:t>
            </w:r>
            <w:r>
              <w:rPr>
                <w:rFonts w:cs="Arial"/>
              </w:rPr>
              <w:t xml:space="preserve"> (not used by  CCIV sub fund trusts)</w:t>
            </w:r>
          </w:p>
        </w:tc>
        <w:tc>
          <w:tcPr>
            <w:tcW w:w="1560" w:type="dxa"/>
          </w:tcPr>
          <w:p w14:paraId="1DDC96CC"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7749B3A2" w14:textId="77777777" w:rsidTr="00427C84">
        <w:trPr>
          <w:trHeight w:val="284"/>
        </w:trPr>
        <w:tc>
          <w:tcPr>
            <w:tcW w:w="1008" w:type="dxa"/>
            <w:noWrap/>
            <w:vAlign w:val="center"/>
            <w:hideMark/>
          </w:tcPr>
          <w:p w14:paraId="1D14A2A6" w14:textId="77777777" w:rsidR="003B64E2" w:rsidRPr="00703672" w:rsidRDefault="003B64E2" w:rsidP="00F4606C">
            <w:pPr>
              <w:spacing w:after="0" w:line="240" w:lineRule="auto"/>
              <w:rPr>
                <w:rFonts w:cs="Arial"/>
              </w:rPr>
            </w:pPr>
            <w:r w:rsidRPr="00703672">
              <w:rPr>
                <w:rFonts w:cs="Arial"/>
              </w:rPr>
              <w:t>9.132</w:t>
            </w:r>
          </w:p>
        </w:tc>
        <w:tc>
          <w:tcPr>
            <w:tcW w:w="6265" w:type="dxa"/>
            <w:vAlign w:val="center"/>
            <w:hideMark/>
          </w:tcPr>
          <w:p w14:paraId="3BB08336" w14:textId="77777777" w:rsidR="003B64E2" w:rsidRPr="00703672" w:rsidRDefault="003B64E2" w:rsidP="00F4606C">
            <w:pPr>
              <w:spacing w:after="0" w:line="240" w:lineRule="auto"/>
              <w:rPr>
                <w:rFonts w:cs="Arial"/>
              </w:rPr>
            </w:pPr>
            <w:r w:rsidRPr="00703672">
              <w:rPr>
                <w:rFonts w:cs="Arial"/>
              </w:rPr>
              <w:t>Share of Foreign Resident Capital Gains withholding credits</w:t>
            </w:r>
          </w:p>
        </w:tc>
        <w:tc>
          <w:tcPr>
            <w:tcW w:w="1560" w:type="dxa"/>
          </w:tcPr>
          <w:p w14:paraId="7DA67E56"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4E9A70C" w14:textId="77777777" w:rsidTr="00427C84">
        <w:trPr>
          <w:trHeight w:val="284"/>
        </w:trPr>
        <w:tc>
          <w:tcPr>
            <w:tcW w:w="1008" w:type="dxa"/>
            <w:noWrap/>
            <w:vAlign w:val="center"/>
            <w:hideMark/>
          </w:tcPr>
          <w:p w14:paraId="617D3A92" w14:textId="77777777" w:rsidR="003B64E2" w:rsidRPr="00703672" w:rsidRDefault="003B64E2" w:rsidP="00F4606C">
            <w:pPr>
              <w:spacing w:after="0" w:line="240" w:lineRule="auto"/>
              <w:rPr>
                <w:rFonts w:cs="Arial"/>
              </w:rPr>
            </w:pPr>
            <w:r w:rsidRPr="00703672">
              <w:rPr>
                <w:rFonts w:cs="Arial"/>
              </w:rPr>
              <w:t>9.133</w:t>
            </w:r>
          </w:p>
        </w:tc>
        <w:tc>
          <w:tcPr>
            <w:tcW w:w="6265" w:type="dxa"/>
            <w:vAlign w:val="center"/>
            <w:hideMark/>
          </w:tcPr>
          <w:p w14:paraId="1C3CE276" w14:textId="77777777" w:rsidR="003B64E2" w:rsidRPr="00703672" w:rsidRDefault="003B64E2" w:rsidP="00F4606C">
            <w:pPr>
              <w:spacing w:after="0" w:line="240" w:lineRule="auto"/>
              <w:rPr>
                <w:rFonts w:cs="Arial"/>
              </w:rPr>
            </w:pPr>
            <w:r w:rsidRPr="00703672">
              <w:rPr>
                <w:rFonts w:cs="Arial"/>
              </w:rPr>
              <w:t>Share of Early Stage Investor tax offset</w:t>
            </w:r>
          </w:p>
        </w:tc>
        <w:tc>
          <w:tcPr>
            <w:tcW w:w="1560" w:type="dxa"/>
          </w:tcPr>
          <w:p w14:paraId="66C8802A"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08771DB5" w14:textId="77777777" w:rsidTr="00427C84">
        <w:trPr>
          <w:trHeight w:val="284"/>
        </w:trPr>
        <w:tc>
          <w:tcPr>
            <w:tcW w:w="1008" w:type="dxa"/>
            <w:noWrap/>
            <w:vAlign w:val="center"/>
            <w:hideMark/>
          </w:tcPr>
          <w:p w14:paraId="02BA3E65" w14:textId="77777777" w:rsidR="003B64E2" w:rsidRPr="00703672" w:rsidRDefault="003B64E2" w:rsidP="00F4606C">
            <w:pPr>
              <w:spacing w:after="0" w:line="240" w:lineRule="auto"/>
              <w:rPr>
                <w:rFonts w:cs="Arial"/>
              </w:rPr>
            </w:pPr>
            <w:r w:rsidRPr="00703672">
              <w:rPr>
                <w:rFonts w:cs="Arial"/>
              </w:rPr>
              <w:t>9.134</w:t>
            </w:r>
          </w:p>
        </w:tc>
        <w:tc>
          <w:tcPr>
            <w:tcW w:w="6265" w:type="dxa"/>
            <w:vAlign w:val="center"/>
            <w:hideMark/>
          </w:tcPr>
          <w:p w14:paraId="3DF863A9" w14:textId="77777777" w:rsidR="003B64E2" w:rsidRPr="00703672" w:rsidRDefault="003B64E2" w:rsidP="00F4606C">
            <w:pPr>
              <w:spacing w:after="0" w:line="240" w:lineRule="auto"/>
              <w:rPr>
                <w:rFonts w:cs="Arial"/>
              </w:rPr>
            </w:pPr>
            <w:r w:rsidRPr="00703672">
              <w:rPr>
                <w:rFonts w:cs="Arial"/>
              </w:rPr>
              <w:t>Share of ESVCLP tax offset</w:t>
            </w:r>
          </w:p>
        </w:tc>
        <w:tc>
          <w:tcPr>
            <w:tcW w:w="1560" w:type="dxa"/>
          </w:tcPr>
          <w:p w14:paraId="7D14225C"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314B4E2C" w14:textId="77777777" w:rsidTr="00427C84">
        <w:trPr>
          <w:trHeight w:val="284"/>
        </w:trPr>
        <w:tc>
          <w:tcPr>
            <w:tcW w:w="1008" w:type="dxa"/>
            <w:noWrap/>
            <w:vAlign w:val="center"/>
            <w:hideMark/>
          </w:tcPr>
          <w:p w14:paraId="5CBB6D03" w14:textId="77777777" w:rsidR="003B64E2" w:rsidRPr="00703672" w:rsidRDefault="003B64E2" w:rsidP="00F4606C">
            <w:pPr>
              <w:spacing w:after="0" w:line="240" w:lineRule="auto"/>
              <w:rPr>
                <w:rFonts w:cs="Arial"/>
              </w:rPr>
            </w:pPr>
            <w:r w:rsidRPr="00703672">
              <w:rPr>
                <w:rFonts w:cs="Arial"/>
              </w:rPr>
              <w:t>9.135</w:t>
            </w:r>
          </w:p>
        </w:tc>
        <w:tc>
          <w:tcPr>
            <w:tcW w:w="6265" w:type="dxa"/>
            <w:noWrap/>
            <w:vAlign w:val="center"/>
            <w:hideMark/>
          </w:tcPr>
          <w:p w14:paraId="1D51F824" w14:textId="77777777" w:rsidR="003B64E2" w:rsidRPr="00703672" w:rsidRDefault="003B64E2" w:rsidP="00F4606C">
            <w:pPr>
              <w:spacing w:after="0" w:line="240" w:lineRule="auto"/>
              <w:rPr>
                <w:rFonts w:cs="Arial"/>
              </w:rPr>
            </w:pPr>
            <w:r w:rsidRPr="00703672">
              <w:rPr>
                <w:rFonts w:cs="Arial"/>
              </w:rPr>
              <w:t xml:space="preserve">Royalties </w:t>
            </w:r>
          </w:p>
        </w:tc>
        <w:tc>
          <w:tcPr>
            <w:tcW w:w="1560" w:type="dxa"/>
          </w:tcPr>
          <w:p w14:paraId="6CA92DB4"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04FC4206" w14:textId="77777777" w:rsidTr="00427C84">
        <w:trPr>
          <w:trHeight w:val="284"/>
        </w:trPr>
        <w:tc>
          <w:tcPr>
            <w:tcW w:w="1008" w:type="dxa"/>
            <w:noWrap/>
            <w:vAlign w:val="center"/>
          </w:tcPr>
          <w:p w14:paraId="3102CA86" w14:textId="77777777" w:rsidR="003B64E2" w:rsidRPr="00703672" w:rsidRDefault="003B64E2" w:rsidP="00F4606C">
            <w:pPr>
              <w:spacing w:after="0" w:line="240" w:lineRule="auto"/>
              <w:rPr>
                <w:rFonts w:cs="Arial"/>
              </w:rPr>
            </w:pPr>
            <w:r w:rsidRPr="00703672">
              <w:rPr>
                <w:rFonts w:cs="Arial"/>
              </w:rPr>
              <w:t>9.136</w:t>
            </w:r>
          </w:p>
        </w:tc>
        <w:tc>
          <w:tcPr>
            <w:tcW w:w="6265" w:type="dxa"/>
            <w:noWrap/>
            <w:vAlign w:val="center"/>
          </w:tcPr>
          <w:p w14:paraId="532036AB" w14:textId="77777777" w:rsidR="003B64E2" w:rsidRPr="00703672" w:rsidRDefault="003B64E2" w:rsidP="00F4606C">
            <w:pPr>
              <w:spacing w:after="0" w:line="240" w:lineRule="auto"/>
              <w:rPr>
                <w:rFonts w:cs="Arial"/>
              </w:rPr>
            </w:pPr>
            <w:r w:rsidRPr="00703672">
              <w:rPr>
                <w:rFonts w:cs="Arial"/>
              </w:rPr>
              <w:t>NCMI – Non-primary production</w:t>
            </w:r>
          </w:p>
        </w:tc>
        <w:tc>
          <w:tcPr>
            <w:tcW w:w="1560" w:type="dxa"/>
          </w:tcPr>
          <w:p w14:paraId="15DE1C9C"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7D88FFF1" w14:textId="77777777" w:rsidTr="00427C84">
        <w:trPr>
          <w:trHeight w:val="284"/>
        </w:trPr>
        <w:tc>
          <w:tcPr>
            <w:tcW w:w="1008" w:type="dxa"/>
            <w:noWrap/>
            <w:vAlign w:val="center"/>
          </w:tcPr>
          <w:p w14:paraId="5C7DA03E" w14:textId="77777777" w:rsidR="003B64E2" w:rsidRPr="00703672" w:rsidRDefault="003B64E2" w:rsidP="00F4606C">
            <w:pPr>
              <w:spacing w:after="0" w:line="240" w:lineRule="auto"/>
              <w:rPr>
                <w:rFonts w:cs="Arial"/>
              </w:rPr>
            </w:pPr>
            <w:r w:rsidRPr="00703672">
              <w:rPr>
                <w:rFonts w:cs="Arial"/>
              </w:rPr>
              <w:t>9.137</w:t>
            </w:r>
          </w:p>
        </w:tc>
        <w:tc>
          <w:tcPr>
            <w:tcW w:w="6265" w:type="dxa"/>
            <w:noWrap/>
            <w:vAlign w:val="center"/>
          </w:tcPr>
          <w:p w14:paraId="5A794FFA" w14:textId="77777777" w:rsidR="003B64E2" w:rsidRPr="00703672" w:rsidRDefault="003B64E2" w:rsidP="00F4606C">
            <w:pPr>
              <w:spacing w:after="0" w:line="240" w:lineRule="auto"/>
              <w:rPr>
                <w:rFonts w:cs="Arial"/>
              </w:rPr>
            </w:pPr>
            <w:r w:rsidRPr="00703672">
              <w:rPr>
                <w:rFonts w:cs="Arial"/>
              </w:rPr>
              <w:t>NCMI – Primary production</w:t>
            </w:r>
          </w:p>
        </w:tc>
        <w:tc>
          <w:tcPr>
            <w:tcW w:w="1560" w:type="dxa"/>
          </w:tcPr>
          <w:p w14:paraId="7AFE0169"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1D5E0729" w14:textId="77777777" w:rsidTr="00427C84">
        <w:trPr>
          <w:trHeight w:val="284"/>
        </w:trPr>
        <w:tc>
          <w:tcPr>
            <w:tcW w:w="1008" w:type="dxa"/>
            <w:noWrap/>
            <w:vAlign w:val="center"/>
          </w:tcPr>
          <w:p w14:paraId="0BCFC8D9" w14:textId="77777777" w:rsidR="003B64E2" w:rsidRPr="00703672" w:rsidRDefault="003B64E2" w:rsidP="00F4606C">
            <w:pPr>
              <w:spacing w:after="0" w:line="240" w:lineRule="auto"/>
              <w:rPr>
                <w:rFonts w:cs="Arial"/>
              </w:rPr>
            </w:pPr>
            <w:r w:rsidRPr="00703672">
              <w:rPr>
                <w:rFonts w:cs="Arial"/>
              </w:rPr>
              <w:t>9.138</w:t>
            </w:r>
          </w:p>
        </w:tc>
        <w:tc>
          <w:tcPr>
            <w:tcW w:w="6265" w:type="dxa"/>
            <w:noWrap/>
            <w:vAlign w:val="center"/>
          </w:tcPr>
          <w:p w14:paraId="3D58EFE5" w14:textId="77777777" w:rsidR="003B64E2" w:rsidRPr="00703672" w:rsidRDefault="003B64E2" w:rsidP="00F4606C">
            <w:pPr>
              <w:spacing w:after="0" w:line="240" w:lineRule="auto"/>
              <w:rPr>
                <w:rFonts w:cs="Arial"/>
              </w:rPr>
            </w:pPr>
            <w:r w:rsidRPr="00703672">
              <w:rPr>
                <w:rFonts w:cs="Arial"/>
              </w:rPr>
              <w:t>Excluded from NCMI – Non-primary production</w:t>
            </w:r>
          </w:p>
        </w:tc>
        <w:tc>
          <w:tcPr>
            <w:tcW w:w="1560" w:type="dxa"/>
          </w:tcPr>
          <w:p w14:paraId="17F7ED79"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5DA8403C" w14:textId="77777777" w:rsidTr="00427C84">
        <w:trPr>
          <w:trHeight w:val="284"/>
        </w:trPr>
        <w:tc>
          <w:tcPr>
            <w:tcW w:w="1008" w:type="dxa"/>
            <w:noWrap/>
            <w:vAlign w:val="center"/>
          </w:tcPr>
          <w:p w14:paraId="3B457F52" w14:textId="77777777" w:rsidR="003B64E2" w:rsidRPr="00703672" w:rsidRDefault="003B64E2" w:rsidP="00F4606C">
            <w:pPr>
              <w:spacing w:after="0" w:line="240" w:lineRule="auto"/>
              <w:rPr>
                <w:rFonts w:cs="Arial"/>
              </w:rPr>
            </w:pPr>
            <w:r w:rsidRPr="00703672">
              <w:rPr>
                <w:rFonts w:cs="Arial"/>
              </w:rPr>
              <w:t>9.139</w:t>
            </w:r>
          </w:p>
        </w:tc>
        <w:tc>
          <w:tcPr>
            <w:tcW w:w="6265" w:type="dxa"/>
            <w:noWrap/>
            <w:vAlign w:val="center"/>
          </w:tcPr>
          <w:p w14:paraId="743234F1" w14:textId="77777777" w:rsidR="003B64E2" w:rsidRPr="00703672" w:rsidRDefault="003B64E2" w:rsidP="00F4606C">
            <w:pPr>
              <w:spacing w:after="0" w:line="240" w:lineRule="auto"/>
              <w:rPr>
                <w:rFonts w:cs="Arial"/>
              </w:rPr>
            </w:pPr>
            <w:r w:rsidRPr="00703672">
              <w:rPr>
                <w:rFonts w:cs="Arial"/>
              </w:rPr>
              <w:t>Excluded from NCMI – Primary production</w:t>
            </w:r>
          </w:p>
        </w:tc>
        <w:tc>
          <w:tcPr>
            <w:tcW w:w="1560" w:type="dxa"/>
          </w:tcPr>
          <w:p w14:paraId="4525FEAE"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71E44840" w14:textId="77777777" w:rsidTr="00427C84">
        <w:trPr>
          <w:trHeight w:val="284"/>
        </w:trPr>
        <w:tc>
          <w:tcPr>
            <w:tcW w:w="1008" w:type="dxa"/>
            <w:noWrap/>
            <w:vAlign w:val="center"/>
          </w:tcPr>
          <w:p w14:paraId="1AB534A3" w14:textId="77777777" w:rsidR="003B64E2" w:rsidRPr="00703672" w:rsidRDefault="003B64E2" w:rsidP="00F4606C">
            <w:pPr>
              <w:spacing w:after="0" w:line="240" w:lineRule="auto"/>
              <w:rPr>
                <w:rFonts w:cs="Arial"/>
              </w:rPr>
            </w:pPr>
            <w:r w:rsidRPr="00703672">
              <w:rPr>
                <w:rFonts w:cs="Arial"/>
              </w:rPr>
              <w:t>9.140</w:t>
            </w:r>
          </w:p>
        </w:tc>
        <w:tc>
          <w:tcPr>
            <w:tcW w:w="6265" w:type="dxa"/>
            <w:noWrap/>
            <w:vAlign w:val="center"/>
          </w:tcPr>
          <w:p w14:paraId="34B107D7" w14:textId="77777777" w:rsidR="003B64E2" w:rsidRPr="00703672" w:rsidRDefault="003B64E2" w:rsidP="00F4606C">
            <w:pPr>
              <w:spacing w:after="0" w:line="240" w:lineRule="auto"/>
              <w:rPr>
                <w:rFonts w:cs="Arial"/>
              </w:rPr>
            </w:pPr>
            <w:r w:rsidRPr="00703672">
              <w:rPr>
                <w:rFonts w:cs="Arial"/>
              </w:rPr>
              <w:t>NCMI Capital Gains</w:t>
            </w:r>
          </w:p>
        </w:tc>
        <w:tc>
          <w:tcPr>
            <w:tcW w:w="1560" w:type="dxa"/>
          </w:tcPr>
          <w:p w14:paraId="0686868B" w14:textId="77777777" w:rsidR="003B64E2" w:rsidRPr="00703672" w:rsidRDefault="003B64E2" w:rsidP="00F4606C">
            <w:pPr>
              <w:spacing w:after="0" w:line="240" w:lineRule="auto"/>
              <w:rPr>
                <w:rFonts w:cs="Arial"/>
              </w:rPr>
            </w:pPr>
            <w:r w:rsidRPr="00703672">
              <w:rPr>
                <w:rFonts w:cs="Arial"/>
              </w:rPr>
              <w:t>Conditional</w:t>
            </w:r>
          </w:p>
        </w:tc>
      </w:tr>
      <w:tr w:rsidR="003B64E2" w:rsidRPr="00703672" w14:paraId="2ED5A7F3" w14:textId="77777777" w:rsidTr="00427C84">
        <w:trPr>
          <w:trHeight w:val="284"/>
        </w:trPr>
        <w:tc>
          <w:tcPr>
            <w:tcW w:w="1008" w:type="dxa"/>
            <w:noWrap/>
            <w:vAlign w:val="center"/>
          </w:tcPr>
          <w:p w14:paraId="5DB4C392" w14:textId="77777777" w:rsidR="003B64E2" w:rsidRPr="00703672" w:rsidRDefault="003B64E2" w:rsidP="00F4606C">
            <w:pPr>
              <w:spacing w:after="0" w:line="240" w:lineRule="auto"/>
              <w:rPr>
                <w:rFonts w:cs="Arial"/>
              </w:rPr>
            </w:pPr>
            <w:r w:rsidRPr="00703672">
              <w:rPr>
                <w:rFonts w:cs="Arial"/>
              </w:rPr>
              <w:t>9.141</w:t>
            </w:r>
          </w:p>
        </w:tc>
        <w:tc>
          <w:tcPr>
            <w:tcW w:w="6265" w:type="dxa"/>
            <w:noWrap/>
            <w:vAlign w:val="center"/>
          </w:tcPr>
          <w:p w14:paraId="7ABFAFD9" w14:textId="77777777" w:rsidR="003B64E2" w:rsidRPr="00703672" w:rsidRDefault="003B64E2" w:rsidP="00F4606C">
            <w:pPr>
              <w:spacing w:after="0" w:line="240" w:lineRule="auto"/>
              <w:rPr>
                <w:rFonts w:cs="Arial"/>
              </w:rPr>
            </w:pPr>
            <w:r w:rsidRPr="00703672">
              <w:rPr>
                <w:rFonts w:cs="Arial"/>
              </w:rPr>
              <w:t>Excluded from NCMI Capital Gains</w:t>
            </w:r>
          </w:p>
        </w:tc>
        <w:tc>
          <w:tcPr>
            <w:tcW w:w="1560" w:type="dxa"/>
          </w:tcPr>
          <w:p w14:paraId="26CA02AF" w14:textId="77777777" w:rsidR="003B64E2" w:rsidRPr="00703672" w:rsidRDefault="003B64E2" w:rsidP="00F4606C">
            <w:pPr>
              <w:spacing w:after="0" w:line="240" w:lineRule="auto"/>
              <w:rPr>
                <w:rFonts w:cs="Arial"/>
              </w:rPr>
            </w:pPr>
            <w:r w:rsidRPr="00703672">
              <w:rPr>
                <w:rFonts w:cs="Arial"/>
              </w:rPr>
              <w:t>Conditional</w:t>
            </w:r>
          </w:p>
        </w:tc>
      </w:tr>
      <w:tr w:rsidR="009D7B9E" w:rsidRPr="00703672" w14:paraId="5E10D2D4" w14:textId="77777777" w:rsidTr="00427C84">
        <w:trPr>
          <w:trHeight w:val="284"/>
        </w:trPr>
        <w:tc>
          <w:tcPr>
            <w:tcW w:w="1008" w:type="dxa"/>
            <w:noWrap/>
            <w:vAlign w:val="center"/>
          </w:tcPr>
          <w:p w14:paraId="09CCAC4C" w14:textId="25A4AD21" w:rsidR="00550BA1" w:rsidRPr="00703672" w:rsidRDefault="00550BA1" w:rsidP="00F4606C">
            <w:pPr>
              <w:spacing w:after="0" w:line="240" w:lineRule="auto"/>
              <w:rPr>
                <w:rFonts w:cs="Arial"/>
              </w:rPr>
            </w:pPr>
            <w:r>
              <w:rPr>
                <w:rFonts w:cs="Arial"/>
              </w:rPr>
              <w:t>9.142</w:t>
            </w:r>
          </w:p>
        </w:tc>
        <w:tc>
          <w:tcPr>
            <w:tcW w:w="6265" w:type="dxa"/>
            <w:noWrap/>
            <w:vAlign w:val="center"/>
          </w:tcPr>
          <w:p w14:paraId="0BFA859A" w14:textId="1DF06340" w:rsidR="009D7B9E" w:rsidRPr="00A002E5" w:rsidRDefault="00495F63" w:rsidP="00F4606C">
            <w:pPr>
              <w:spacing w:after="0" w:line="240" w:lineRule="auto"/>
              <w:rPr>
                <w:rFonts w:cs="Arial"/>
                <w:b/>
              </w:rPr>
            </w:pPr>
            <w:r w:rsidRPr="00495F63">
              <w:rPr>
                <w:rFonts w:cs="Arial"/>
              </w:rPr>
              <w:t>BTR entity or payment recipient</w:t>
            </w:r>
          </w:p>
        </w:tc>
        <w:tc>
          <w:tcPr>
            <w:tcW w:w="1560" w:type="dxa"/>
          </w:tcPr>
          <w:p w14:paraId="24E41BF2" w14:textId="2CEB7F0F" w:rsidR="009D7B9E" w:rsidRPr="00703672" w:rsidRDefault="009D7B9E" w:rsidP="00F4606C">
            <w:pPr>
              <w:spacing w:after="0" w:line="240" w:lineRule="auto"/>
              <w:rPr>
                <w:rFonts w:cs="Arial"/>
              </w:rPr>
            </w:pPr>
            <w:r w:rsidRPr="00703672">
              <w:rPr>
                <w:rFonts w:cs="Arial"/>
              </w:rPr>
              <w:t>Conditional</w:t>
            </w:r>
          </w:p>
        </w:tc>
      </w:tr>
      <w:tr w:rsidR="009D7B9E" w:rsidRPr="00703672" w14:paraId="56A42997" w14:textId="77777777" w:rsidTr="00427C84">
        <w:trPr>
          <w:trHeight w:val="284"/>
        </w:trPr>
        <w:tc>
          <w:tcPr>
            <w:tcW w:w="1008" w:type="dxa"/>
            <w:noWrap/>
            <w:vAlign w:val="center"/>
          </w:tcPr>
          <w:p w14:paraId="4674E688" w14:textId="500F73A2" w:rsidR="009D7B9E" w:rsidRPr="00703672" w:rsidRDefault="00550BA1" w:rsidP="00F4606C">
            <w:pPr>
              <w:spacing w:after="0" w:line="240" w:lineRule="auto"/>
              <w:rPr>
                <w:rFonts w:cs="Arial"/>
              </w:rPr>
            </w:pPr>
            <w:r>
              <w:rPr>
                <w:rFonts w:cs="Arial"/>
              </w:rPr>
              <w:t>9.143</w:t>
            </w:r>
          </w:p>
        </w:tc>
        <w:tc>
          <w:tcPr>
            <w:tcW w:w="6265" w:type="dxa"/>
            <w:noWrap/>
            <w:vAlign w:val="center"/>
          </w:tcPr>
          <w:p w14:paraId="0DBCCF3E" w14:textId="53E24C7A" w:rsidR="009D7B9E" w:rsidRPr="00703672" w:rsidRDefault="00C05ADB" w:rsidP="00F4606C">
            <w:pPr>
              <w:spacing w:after="0" w:line="240" w:lineRule="auto"/>
              <w:rPr>
                <w:rFonts w:cs="Arial"/>
              </w:rPr>
            </w:pPr>
            <w:r w:rsidRPr="00C05ADB">
              <w:rPr>
                <w:rFonts w:cs="Arial"/>
              </w:rPr>
              <w:t>ATO BTR development ID</w:t>
            </w:r>
          </w:p>
        </w:tc>
        <w:tc>
          <w:tcPr>
            <w:tcW w:w="1560" w:type="dxa"/>
          </w:tcPr>
          <w:p w14:paraId="1F673D37" w14:textId="31DBD82C" w:rsidR="009D7B9E" w:rsidRPr="00703672" w:rsidRDefault="009D7B9E" w:rsidP="00F4606C">
            <w:pPr>
              <w:spacing w:after="0" w:line="240" w:lineRule="auto"/>
              <w:rPr>
                <w:rFonts w:cs="Arial"/>
              </w:rPr>
            </w:pPr>
            <w:r w:rsidRPr="00703672">
              <w:rPr>
                <w:rFonts w:cs="Arial"/>
              </w:rPr>
              <w:t>Conditional</w:t>
            </w:r>
          </w:p>
        </w:tc>
      </w:tr>
      <w:tr w:rsidR="009D7B9E" w:rsidRPr="00703672" w14:paraId="1EFFCBA1" w14:textId="77777777" w:rsidTr="00427C84">
        <w:trPr>
          <w:trHeight w:val="284"/>
        </w:trPr>
        <w:tc>
          <w:tcPr>
            <w:tcW w:w="1008" w:type="dxa"/>
            <w:noWrap/>
            <w:vAlign w:val="center"/>
          </w:tcPr>
          <w:p w14:paraId="72DC720D" w14:textId="167B2521" w:rsidR="009D7B9E" w:rsidRPr="00703672" w:rsidRDefault="00550BA1" w:rsidP="00F4606C">
            <w:pPr>
              <w:spacing w:after="0" w:line="240" w:lineRule="auto"/>
              <w:rPr>
                <w:rFonts w:cs="Arial"/>
              </w:rPr>
            </w:pPr>
            <w:r>
              <w:rPr>
                <w:rFonts w:cs="Arial"/>
              </w:rPr>
              <w:t>9.144</w:t>
            </w:r>
          </w:p>
        </w:tc>
        <w:tc>
          <w:tcPr>
            <w:tcW w:w="6265" w:type="dxa"/>
            <w:noWrap/>
            <w:vAlign w:val="center"/>
          </w:tcPr>
          <w:p w14:paraId="0E1041A8" w14:textId="0E90BEBE" w:rsidR="009D7B9E" w:rsidRPr="00703672" w:rsidRDefault="00B44EA2" w:rsidP="00F4606C">
            <w:pPr>
              <w:spacing w:after="0" w:line="240" w:lineRule="auto"/>
              <w:rPr>
                <w:rFonts w:cs="Arial"/>
              </w:rPr>
            </w:pPr>
            <w:r w:rsidRPr="00B44EA2">
              <w:rPr>
                <w:rFonts w:cs="Arial"/>
              </w:rPr>
              <w:t>BTR excluded from NCMI – non primary production</w:t>
            </w:r>
          </w:p>
        </w:tc>
        <w:tc>
          <w:tcPr>
            <w:tcW w:w="1560" w:type="dxa"/>
          </w:tcPr>
          <w:p w14:paraId="20B370EC" w14:textId="41784F40" w:rsidR="009D7B9E" w:rsidRPr="00703672" w:rsidRDefault="009D7B9E" w:rsidP="00F4606C">
            <w:pPr>
              <w:spacing w:after="0" w:line="240" w:lineRule="auto"/>
              <w:rPr>
                <w:rFonts w:cs="Arial"/>
              </w:rPr>
            </w:pPr>
            <w:r w:rsidRPr="00703672">
              <w:rPr>
                <w:rFonts w:cs="Arial"/>
              </w:rPr>
              <w:t>Conditional</w:t>
            </w:r>
          </w:p>
        </w:tc>
      </w:tr>
      <w:tr w:rsidR="009D7B9E" w:rsidRPr="00703672" w14:paraId="40F2B613" w14:textId="77777777" w:rsidTr="00427C84">
        <w:trPr>
          <w:trHeight w:val="284"/>
        </w:trPr>
        <w:tc>
          <w:tcPr>
            <w:tcW w:w="1008" w:type="dxa"/>
            <w:noWrap/>
            <w:vAlign w:val="center"/>
          </w:tcPr>
          <w:p w14:paraId="56339450" w14:textId="30C1A893" w:rsidR="009D7B9E" w:rsidRPr="00703672" w:rsidRDefault="00550BA1" w:rsidP="00F4606C">
            <w:pPr>
              <w:spacing w:after="0" w:line="240" w:lineRule="auto"/>
              <w:rPr>
                <w:rFonts w:cs="Arial"/>
              </w:rPr>
            </w:pPr>
            <w:r>
              <w:rPr>
                <w:rFonts w:cs="Arial"/>
              </w:rPr>
              <w:t>9.145</w:t>
            </w:r>
          </w:p>
        </w:tc>
        <w:tc>
          <w:tcPr>
            <w:tcW w:w="6265" w:type="dxa"/>
            <w:noWrap/>
            <w:vAlign w:val="center"/>
          </w:tcPr>
          <w:p w14:paraId="13CD9D14" w14:textId="01158E58" w:rsidR="009D7B9E" w:rsidRPr="00703672" w:rsidRDefault="00696BBC" w:rsidP="00F4606C">
            <w:pPr>
              <w:spacing w:after="0" w:line="240" w:lineRule="auto"/>
              <w:rPr>
                <w:rFonts w:cs="Arial"/>
              </w:rPr>
            </w:pPr>
            <w:r w:rsidRPr="00696BBC">
              <w:rPr>
                <w:rFonts w:cs="Arial"/>
              </w:rPr>
              <w:t>BTR excluded from NCMI capital gains</w:t>
            </w:r>
          </w:p>
        </w:tc>
        <w:tc>
          <w:tcPr>
            <w:tcW w:w="1560" w:type="dxa"/>
          </w:tcPr>
          <w:p w14:paraId="520FBDD7" w14:textId="3EFF8136" w:rsidR="009D7B9E" w:rsidRPr="00703672" w:rsidRDefault="009D7B9E" w:rsidP="00F4606C">
            <w:pPr>
              <w:spacing w:after="0" w:line="240" w:lineRule="auto"/>
              <w:rPr>
                <w:rFonts w:cs="Arial"/>
              </w:rPr>
            </w:pPr>
            <w:r w:rsidRPr="00703672">
              <w:rPr>
                <w:rFonts w:cs="Arial"/>
              </w:rPr>
              <w:t>Conditional</w:t>
            </w:r>
          </w:p>
        </w:tc>
      </w:tr>
      <w:tr w:rsidR="009D7B9E" w:rsidRPr="00703672" w14:paraId="281F9D49" w14:textId="77777777" w:rsidTr="00427C84">
        <w:trPr>
          <w:trHeight w:val="284"/>
        </w:trPr>
        <w:tc>
          <w:tcPr>
            <w:tcW w:w="1008" w:type="dxa"/>
            <w:noWrap/>
            <w:vAlign w:val="center"/>
          </w:tcPr>
          <w:p w14:paraId="3A3FCFFE" w14:textId="706B5684" w:rsidR="009D7B9E" w:rsidRPr="00703672" w:rsidRDefault="00550BA1" w:rsidP="00F4606C">
            <w:pPr>
              <w:spacing w:after="0" w:line="240" w:lineRule="auto"/>
              <w:rPr>
                <w:rFonts w:cs="Arial"/>
              </w:rPr>
            </w:pPr>
            <w:r>
              <w:rPr>
                <w:rFonts w:cs="Arial"/>
              </w:rPr>
              <w:t>9.146</w:t>
            </w:r>
          </w:p>
        </w:tc>
        <w:tc>
          <w:tcPr>
            <w:tcW w:w="6265" w:type="dxa"/>
            <w:noWrap/>
            <w:vAlign w:val="center"/>
          </w:tcPr>
          <w:p w14:paraId="3D1B1BFD" w14:textId="71E557E9" w:rsidR="009D7B9E" w:rsidRPr="00703672" w:rsidRDefault="00545A87" w:rsidP="00F4606C">
            <w:pPr>
              <w:spacing w:after="0" w:line="240" w:lineRule="auto"/>
              <w:rPr>
                <w:rFonts w:cs="Arial"/>
              </w:rPr>
            </w:pPr>
            <w:r w:rsidRPr="00545A87">
              <w:rPr>
                <w:rFonts w:cs="Arial"/>
              </w:rPr>
              <w:t>Active BTR withholding</w:t>
            </w:r>
          </w:p>
        </w:tc>
        <w:tc>
          <w:tcPr>
            <w:tcW w:w="1560" w:type="dxa"/>
          </w:tcPr>
          <w:p w14:paraId="540D9525" w14:textId="18C1FB2F" w:rsidR="009D7B9E" w:rsidRPr="00703672" w:rsidRDefault="009D7B9E" w:rsidP="00F4606C">
            <w:pPr>
              <w:spacing w:after="0" w:line="240" w:lineRule="auto"/>
              <w:rPr>
                <w:rFonts w:cs="Arial"/>
              </w:rPr>
            </w:pPr>
            <w:r w:rsidRPr="00703672">
              <w:rPr>
                <w:rFonts w:cs="Arial"/>
              </w:rPr>
              <w:t>Conditional</w:t>
            </w:r>
          </w:p>
        </w:tc>
      </w:tr>
    </w:tbl>
    <w:p w14:paraId="66E945C4" w14:textId="77777777" w:rsidR="00115458" w:rsidRPr="00965892" w:rsidRDefault="00115458" w:rsidP="00F4606C">
      <w:pPr>
        <w:pStyle w:val="Heading2"/>
      </w:pPr>
      <w:bookmarkStart w:id="1623" w:name="_Toc232191343"/>
      <w:r w:rsidRPr="00965892">
        <w:t>Logical structure requirements</w:t>
      </w:r>
      <w:bookmarkEnd w:id="1623"/>
      <w:r w:rsidRPr="00965892">
        <w:t xml:space="preserve"> </w:t>
      </w:r>
    </w:p>
    <w:p w14:paraId="1E26694A" w14:textId="77777777" w:rsidR="00115458" w:rsidRDefault="00115458" w:rsidP="00F4606C">
      <w:pPr>
        <w:spacing w:after="0" w:line="240" w:lineRule="auto"/>
        <w:rPr>
          <w:rFonts w:cs="Arial"/>
        </w:rPr>
      </w:pPr>
      <w:r w:rsidRPr="00B56DCB">
        <w:rPr>
          <w:rFonts w:cs="Arial"/>
        </w:rPr>
        <w:t>All AIIR</w:t>
      </w:r>
      <w:r>
        <w:rPr>
          <w:rFonts w:cs="Arial"/>
        </w:rPr>
        <w:t xml:space="preserve"> reports lodged containing attributions from an AMIT </w:t>
      </w:r>
      <w:r w:rsidRPr="00B56DCB">
        <w:rPr>
          <w:rFonts w:cs="Arial"/>
        </w:rPr>
        <w:t xml:space="preserve">must </w:t>
      </w:r>
      <w:r>
        <w:rPr>
          <w:rFonts w:cs="Arial"/>
        </w:rPr>
        <w:t>include</w:t>
      </w:r>
      <w:r w:rsidRPr="00B56DCB">
        <w:rPr>
          <w:rFonts w:cs="Arial"/>
        </w:rPr>
        <w:t>:</w:t>
      </w:r>
    </w:p>
    <w:p w14:paraId="5D79E35D" w14:textId="77777777" w:rsidR="00AC27A6" w:rsidRPr="00B56DCB" w:rsidRDefault="00AC27A6" w:rsidP="00F4606C">
      <w:pPr>
        <w:spacing w:after="0" w:line="240" w:lineRule="auto"/>
        <w:rPr>
          <w:rFonts w:cs="Arial"/>
        </w:rPr>
      </w:pPr>
    </w:p>
    <w:p w14:paraId="42A203BD" w14:textId="77777777" w:rsidR="00115458" w:rsidRPr="007D7482" w:rsidRDefault="00115458" w:rsidP="001601AF">
      <w:pPr>
        <w:pStyle w:val="ListParagraph"/>
        <w:numPr>
          <w:ilvl w:val="0"/>
          <w:numId w:val="40"/>
        </w:numPr>
        <w:tabs>
          <w:tab w:val="num" w:pos="720"/>
        </w:tabs>
        <w:spacing w:after="0" w:line="240" w:lineRule="auto"/>
        <w:ind w:left="1077" w:hanging="357"/>
        <w:rPr>
          <w:rFonts w:ascii="Arial" w:hAnsi="Arial" w:cs="Arial"/>
          <w:i/>
        </w:rPr>
      </w:pPr>
      <w:r w:rsidRPr="007D7482">
        <w:rPr>
          <w:rFonts w:ascii="Arial" w:hAnsi="Arial" w:cs="Arial"/>
        </w:rPr>
        <w:t>an</w:t>
      </w:r>
      <w:r w:rsidRPr="007D7482">
        <w:rPr>
          <w:rFonts w:ascii="Arial" w:hAnsi="Arial" w:cs="Arial"/>
          <w:i/>
        </w:rPr>
        <w:t xml:space="preserve"> Investment account data record </w:t>
      </w:r>
      <w:r w:rsidRPr="007D7482">
        <w:rPr>
          <w:rFonts w:ascii="Arial" w:hAnsi="Arial" w:cs="Arial"/>
        </w:rPr>
        <w:t>and</w:t>
      </w:r>
    </w:p>
    <w:p w14:paraId="5C764AEA" w14:textId="77777777" w:rsidR="00115458" w:rsidRPr="007D7482" w:rsidRDefault="00115458" w:rsidP="001601AF">
      <w:pPr>
        <w:pStyle w:val="ListParagraph"/>
        <w:numPr>
          <w:ilvl w:val="0"/>
          <w:numId w:val="40"/>
        </w:numPr>
        <w:tabs>
          <w:tab w:val="num" w:pos="720"/>
        </w:tabs>
        <w:spacing w:after="0" w:line="240" w:lineRule="auto"/>
        <w:ind w:left="1077" w:hanging="357"/>
        <w:rPr>
          <w:rFonts w:ascii="Arial" w:hAnsi="Arial" w:cs="Arial"/>
          <w:i/>
        </w:rPr>
      </w:pPr>
      <w:r w:rsidRPr="007D7482">
        <w:rPr>
          <w:rFonts w:ascii="Arial" w:hAnsi="Arial" w:cs="Arial"/>
        </w:rPr>
        <w:t>a</w:t>
      </w:r>
      <w:r w:rsidRPr="007D7482">
        <w:rPr>
          <w:rFonts w:ascii="Arial" w:hAnsi="Arial" w:cs="Arial"/>
          <w:i/>
        </w:rPr>
        <w:t xml:space="preserve"> Supplementary income account data record</w:t>
      </w:r>
    </w:p>
    <w:p w14:paraId="4124EA5E" w14:textId="77777777" w:rsidR="00115458" w:rsidRPr="004F6489" w:rsidRDefault="00115458" w:rsidP="00F4606C">
      <w:pPr>
        <w:tabs>
          <w:tab w:val="num" w:pos="720"/>
        </w:tabs>
        <w:spacing w:after="0" w:line="240" w:lineRule="auto"/>
        <w:rPr>
          <w:rFonts w:cs="Arial"/>
          <w:iCs/>
          <w:szCs w:val="22"/>
        </w:rPr>
      </w:pPr>
    </w:p>
    <w:p w14:paraId="403FFF8D" w14:textId="2A5B6754" w:rsidR="00115458" w:rsidRDefault="00115458" w:rsidP="00F4606C">
      <w:pPr>
        <w:spacing w:after="0" w:line="240" w:lineRule="auto"/>
        <w:rPr>
          <w:rFonts w:cs="Arial"/>
        </w:rPr>
      </w:pPr>
      <w:r>
        <w:rPr>
          <w:rFonts w:cs="Arial"/>
        </w:rPr>
        <w:t>Attributions made to investors</w:t>
      </w:r>
      <w:r w:rsidRPr="00B56DCB">
        <w:rPr>
          <w:rFonts w:cs="Arial"/>
        </w:rPr>
        <w:t xml:space="preserve"> are identified by setting the </w:t>
      </w:r>
      <w:r w:rsidRPr="00B56DCB">
        <w:rPr>
          <w:rFonts w:cs="Arial"/>
          <w:i/>
          <w:iCs/>
        </w:rPr>
        <w:t xml:space="preserve">Type of payment </w:t>
      </w:r>
      <w:r w:rsidRPr="00B56DCB">
        <w:rPr>
          <w:rFonts w:cs="Arial"/>
        </w:rPr>
        <w:t>(</w:t>
      </w:r>
      <w:r>
        <w:rPr>
          <w:rFonts w:cs="Arial"/>
        </w:rPr>
        <w:t>9.72</w:t>
      </w:r>
      <w:r w:rsidRPr="00B56DCB">
        <w:rPr>
          <w:rFonts w:cs="Arial"/>
        </w:rPr>
        <w:t xml:space="preserve">) </w:t>
      </w:r>
      <w:r>
        <w:rPr>
          <w:rFonts w:cs="Arial"/>
        </w:rPr>
        <w:t xml:space="preserve">and </w:t>
      </w:r>
      <w:r>
        <w:rPr>
          <w:rFonts w:cs="Arial"/>
          <w:i/>
        </w:rPr>
        <w:t xml:space="preserve">Supplementary income payment type </w:t>
      </w:r>
      <w:r>
        <w:rPr>
          <w:rFonts w:cs="Arial"/>
        </w:rPr>
        <w:t xml:space="preserve">(9.110) </w:t>
      </w:r>
      <w:r w:rsidRPr="00B56DCB">
        <w:rPr>
          <w:rFonts w:cs="Arial"/>
        </w:rPr>
        <w:t>field</w:t>
      </w:r>
      <w:r>
        <w:rPr>
          <w:rFonts w:cs="Arial"/>
        </w:rPr>
        <w:t>s</w:t>
      </w:r>
      <w:r w:rsidRPr="00B56DCB">
        <w:rPr>
          <w:rFonts w:cs="Arial"/>
        </w:rPr>
        <w:t xml:space="preserve"> to </w:t>
      </w:r>
      <w:r w:rsidRPr="00B56DCB">
        <w:rPr>
          <w:rFonts w:cs="Arial"/>
          <w:b/>
        </w:rPr>
        <w:t>AMT</w:t>
      </w:r>
      <w:r>
        <w:rPr>
          <w:rFonts w:cs="Arial"/>
          <w:i/>
          <w:szCs w:val="22"/>
        </w:rPr>
        <w:t>.</w:t>
      </w:r>
      <w:r w:rsidRPr="00B56DCB">
        <w:rPr>
          <w:rFonts w:cs="Arial"/>
        </w:rPr>
        <w:t xml:space="preserve"> </w:t>
      </w:r>
      <w:r>
        <w:rPr>
          <w:rFonts w:cs="Arial"/>
        </w:rPr>
        <w:t>Reporting the correct payment type will ensure that the AIIR file is not rejected during processing and avoid unnecessary compliance action.</w:t>
      </w:r>
    </w:p>
    <w:p w14:paraId="0F97C062" w14:textId="77777777" w:rsidR="00E226DE" w:rsidRDefault="00E226DE" w:rsidP="00F4606C">
      <w:pPr>
        <w:spacing w:after="0"/>
        <w:rPr>
          <w:rFonts w:cs="Arial"/>
        </w:rPr>
      </w:pPr>
    </w:p>
    <w:p w14:paraId="723B912C" w14:textId="1A47D8E1" w:rsidR="00115458" w:rsidRDefault="00115458" w:rsidP="004110DC">
      <w:pPr>
        <w:pStyle w:val="Heading4"/>
        <w:spacing w:before="0" w:after="0" w:line="240" w:lineRule="auto"/>
      </w:pPr>
      <w:r w:rsidRPr="00B555B8">
        <w:t xml:space="preserve">Investment </w:t>
      </w:r>
      <w:r>
        <w:t>b</w:t>
      </w:r>
      <w:r w:rsidRPr="00B555B8">
        <w:t xml:space="preserve">ody </w:t>
      </w:r>
      <w:r>
        <w:t>i</w:t>
      </w:r>
      <w:r w:rsidRPr="00B555B8">
        <w:t xml:space="preserve">dentity </w:t>
      </w:r>
      <w:r>
        <w:t>d</w:t>
      </w:r>
      <w:r w:rsidRPr="00B555B8">
        <w:t xml:space="preserve">ata </w:t>
      </w:r>
      <w:r>
        <w:t>r</w:t>
      </w:r>
      <w:r w:rsidRPr="00B555B8">
        <w:t>ecord</w:t>
      </w:r>
      <w:r>
        <w:t xml:space="preserve"> fields</w:t>
      </w:r>
    </w:p>
    <w:p w14:paraId="194FB161" w14:textId="77777777" w:rsidR="00AC27A6" w:rsidRDefault="00AC27A6" w:rsidP="00F4606C">
      <w:pPr>
        <w:spacing w:after="0" w:line="240" w:lineRule="auto"/>
        <w:rPr>
          <w:rFonts w:cs="Arial"/>
          <w:szCs w:val="22"/>
        </w:rPr>
      </w:pPr>
    </w:p>
    <w:p w14:paraId="723D33BA" w14:textId="73D04E10" w:rsidR="00115458" w:rsidRDefault="00115458" w:rsidP="00F4606C">
      <w:pPr>
        <w:spacing w:after="0" w:line="240" w:lineRule="auto"/>
        <w:rPr>
          <w:rFonts w:cs="Arial"/>
          <w:szCs w:val="22"/>
        </w:rPr>
      </w:pPr>
      <w:r>
        <w:rPr>
          <w:rFonts w:cs="Arial"/>
          <w:szCs w:val="22"/>
        </w:rPr>
        <w:t xml:space="preserve">All investment bodies are required to complete the </w:t>
      </w:r>
      <w:r>
        <w:rPr>
          <w:rFonts w:cs="Arial"/>
          <w:i/>
          <w:szCs w:val="22"/>
        </w:rPr>
        <w:t xml:space="preserve">Investment body entity type code </w:t>
      </w:r>
      <w:r>
        <w:rPr>
          <w:rFonts w:cs="Arial"/>
          <w:szCs w:val="22"/>
        </w:rPr>
        <w:t xml:space="preserve">(9.48) field and trusts are required to complete the </w:t>
      </w:r>
      <w:r>
        <w:rPr>
          <w:rFonts w:cs="Arial"/>
          <w:i/>
          <w:szCs w:val="22"/>
        </w:rPr>
        <w:t xml:space="preserve">Investment body entity sub-type code </w:t>
      </w:r>
      <w:r>
        <w:rPr>
          <w:rFonts w:cs="Arial"/>
          <w:szCs w:val="22"/>
        </w:rPr>
        <w:t xml:space="preserve">(9.49) field. </w:t>
      </w:r>
    </w:p>
    <w:p w14:paraId="30F65265" w14:textId="77777777" w:rsidR="00115458" w:rsidRDefault="00115458" w:rsidP="00F4606C">
      <w:pPr>
        <w:spacing w:after="0" w:line="240" w:lineRule="auto"/>
        <w:rPr>
          <w:rFonts w:cs="Arial"/>
          <w:szCs w:val="22"/>
        </w:rPr>
      </w:pPr>
    </w:p>
    <w:p w14:paraId="1ED7875A" w14:textId="77777777" w:rsidR="00AC27A6" w:rsidRDefault="00AC27A6" w:rsidP="004110DC">
      <w:pPr>
        <w:pStyle w:val="Maintext"/>
        <w:rPr>
          <w:rFonts w:asciiTheme="minorHAnsi" w:hAnsiTheme="minorHAnsi"/>
          <w:b/>
          <w:sz w:val="20"/>
          <w:szCs w:val="20"/>
        </w:rPr>
      </w:pPr>
    </w:p>
    <w:p w14:paraId="2BF0F8DF" w14:textId="77777777" w:rsidR="00AC27A6" w:rsidRDefault="00AC27A6" w:rsidP="004110DC">
      <w:pPr>
        <w:pStyle w:val="Maintext"/>
        <w:rPr>
          <w:rFonts w:asciiTheme="minorHAnsi" w:hAnsiTheme="minorHAnsi"/>
          <w:b/>
          <w:sz w:val="20"/>
          <w:szCs w:val="20"/>
        </w:rPr>
      </w:pPr>
    </w:p>
    <w:p w14:paraId="2535F427" w14:textId="77777777" w:rsidR="00AC27A6" w:rsidRDefault="00AC27A6" w:rsidP="004110DC">
      <w:pPr>
        <w:pStyle w:val="Maintext"/>
        <w:rPr>
          <w:rFonts w:asciiTheme="minorHAnsi" w:hAnsiTheme="minorHAnsi"/>
          <w:b/>
          <w:sz w:val="20"/>
          <w:szCs w:val="20"/>
        </w:rPr>
      </w:pPr>
    </w:p>
    <w:p w14:paraId="256D3E49" w14:textId="77777777" w:rsidR="00AC27A6" w:rsidRDefault="00AC27A6" w:rsidP="004110DC">
      <w:pPr>
        <w:pStyle w:val="Maintext"/>
        <w:rPr>
          <w:rFonts w:asciiTheme="minorHAnsi" w:hAnsiTheme="minorHAnsi"/>
          <w:b/>
          <w:sz w:val="20"/>
          <w:szCs w:val="20"/>
        </w:rPr>
      </w:pPr>
    </w:p>
    <w:p w14:paraId="74C3AEDA" w14:textId="30CF8D52" w:rsidR="00115458" w:rsidRPr="00D460C8" w:rsidRDefault="00115458" w:rsidP="004110DC">
      <w:pPr>
        <w:pStyle w:val="Maintext"/>
        <w:rPr>
          <w:rFonts w:asciiTheme="minorHAnsi" w:hAnsiTheme="minorHAnsi"/>
          <w:b/>
          <w:sz w:val="20"/>
          <w:szCs w:val="20"/>
        </w:rPr>
      </w:pPr>
      <w:r w:rsidRPr="00D460C8">
        <w:rPr>
          <w:rFonts w:asciiTheme="minorHAnsi" w:hAnsiTheme="minorHAnsi"/>
          <w:b/>
          <w:sz w:val="20"/>
          <w:szCs w:val="20"/>
        </w:rPr>
        <w:t>Example 6.3 – Investment body entity type codes for an AMIT</w:t>
      </w:r>
    </w:p>
    <w:p w14:paraId="1217C9F3" w14:textId="77777777" w:rsidR="00115458" w:rsidRDefault="00115458" w:rsidP="00115458">
      <w:pPr>
        <w:pStyle w:val="Maintext"/>
      </w:pPr>
    </w:p>
    <w:p w14:paraId="35AB205B" w14:textId="77777777" w:rsidR="00115458" w:rsidRPr="00F4606C" w:rsidRDefault="00115458" w:rsidP="00115458">
      <w:pPr>
        <w:pStyle w:val="Maintext"/>
        <w:rPr>
          <w:rFonts w:asciiTheme="minorHAnsi" w:hAnsiTheme="minorHAnsi" w:cs="Arial"/>
          <w:smallCaps/>
          <w:sz w:val="20"/>
          <w:szCs w:val="20"/>
        </w:rPr>
      </w:pPr>
      <w:r>
        <w:rPr>
          <w:rFonts w:cs="Arial"/>
          <w:b/>
          <w:smallCaps/>
        </w:rPr>
        <w:t xml:space="preserve"> </w:t>
      </w:r>
      <w:r w:rsidRPr="00F4606C">
        <w:rPr>
          <w:rFonts w:asciiTheme="minorHAnsi" w:hAnsiTheme="minorHAnsi" w:cs="Arial"/>
          <w:b/>
          <w:smallCaps/>
          <w:sz w:val="20"/>
          <w:szCs w:val="20"/>
        </w:rPr>
        <w:t xml:space="preserve">Investment body identity data record </w:t>
      </w:r>
      <w:r w:rsidRPr="00F4606C">
        <w:rPr>
          <w:rFonts w:asciiTheme="minorHAnsi" w:hAnsiTheme="minorHAnsi" w:cs="Arial"/>
          <w:smallCaps/>
          <w:sz w:val="20"/>
          <w:szCs w:val="20"/>
        </w:rPr>
        <w:t>(extract)</w:t>
      </w:r>
    </w:p>
    <w:p w14:paraId="01051BED" w14:textId="77777777" w:rsidR="00115458" w:rsidRPr="00501C10" w:rsidRDefault="00115458" w:rsidP="00115458">
      <w:pPr>
        <w:pStyle w:val="Maintext"/>
        <w:rPr>
          <w:rFonts w:cs="Arial"/>
          <w:b/>
          <w:smallCaps/>
        </w:rPr>
      </w:pPr>
    </w:p>
    <w:tbl>
      <w:tblPr>
        <w:tblW w:w="9214" w:type="dxa"/>
        <w:tblInd w:w="93" w:type="dxa"/>
        <w:tblCellMar>
          <w:left w:w="0" w:type="dxa"/>
          <w:right w:w="0" w:type="dxa"/>
        </w:tblCellMar>
        <w:tblLook w:val="0000" w:firstRow="0" w:lastRow="0" w:firstColumn="0" w:lastColumn="0" w:noHBand="0" w:noVBand="0"/>
      </w:tblPr>
      <w:tblGrid>
        <w:gridCol w:w="1126"/>
        <w:gridCol w:w="5210"/>
        <w:gridCol w:w="2878"/>
      </w:tblGrid>
      <w:tr w:rsidR="00115458" w:rsidRPr="00501C10" w14:paraId="4F6E4CE3"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C0D16E9" w14:textId="77777777" w:rsidR="00115458" w:rsidRPr="00DB1D67" w:rsidRDefault="00115458" w:rsidP="00F4606C">
            <w:pPr>
              <w:spacing w:after="0" w:line="240" w:lineRule="auto"/>
              <w:rPr>
                <w:rFonts w:cs="Arial"/>
              </w:rPr>
            </w:pPr>
            <w:r w:rsidRPr="00DB1D67">
              <w:rPr>
                <w:rFonts w:cs="Arial"/>
                <w:b/>
                <w:bCs/>
                <w:sz w:val="18"/>
                <w:szCs w:val="18"/>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D34AAE1" w14:textId="77777777" w:rsidR="00115458" w:rsidRPr="00DB1D67" w:rsidRDefault="00115458" w:rsidP="00F4606C">
            <w:pPr>
              <w:spacing w:after="0" w:line="240" w:lineRule="auto"/>
              <w:rPr>
                <w:rFonts w:cs="Arial"/>
              </w:rPr>
            </w:pPr>
            <w:r w:rsidRPr="00DB1D67">
              <w:rPr>
                <w:rFonts w:cs="Arial"/>
                <w:b/>
                <w:bCs/>
                <w:sz w:val="18"/>
                <w:szCs w:val="18"/>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88C74EC" w14:textId="77777777" w:rsidR="00115458" w:rsidRPr="00DB1D67" w:rsidRDefault="00115458" w:rsidP="00F4606C">
            <w:pPr>
              <w:spacing w:after="0" w:line="240" w:lineRule="auto"/>
              <w:rPr>
                <w:rFonts w:cs="Arial"/>
              </w:rPr>
            </w:pPr>
            <w:r w:rsidRPr="00DB1D67">
              <w:rPr>
                <w:rFonts w:cs="Arial"/>
                <w:b/>
                <w:bCs/>
                <w:sz w:val="18"/>
                <w:szCs w:val="18"/>
              </w:rPr>
              <w:t>Content</w:t>
            </w:r>
          </w:p>
        </w:tc>
      </w:tr>
      <w:tr w:rsidR="00115458" w:rsidRPr="00501C10" w14:paraId="5100526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88816C" w14:textId="77777777" w:rsidR="00115458" w:rsidRPr="000F5476" w:rsidRDefault="00115458" w:rsidP="00F4606C">
            <w:pPr>
              <w:spacing w:after="0" w:line="240" w:lineRule="auto"/>
              <w:rPr>
                <w:rFonts w:cs="Arial"/>
                <w:sz w:val="18"/>
                <w:szCs w:val="18"/>
              </w:rPr>
            </w:pPr>
            <w:r>
              <w:rPr>
                <w:rFonts w:cs="Arial"/>
                <w:sz w:val="18"/>
                <w:szCs w:val="18"/>
              </w:rPr>
              <w:t>9.48</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0D9E7B8" w14:textId="77777777" w:rsidR="00115458" w:rsidRPr="000F5476" w:rsidRDefault="00115458" w:rsidP="00F4606C">
            <w:pPr>
              <w:spacing w:after="0" w:line="240" w:lineRule="auto"/>
              <w:rPr>
                <w:rFonts w:cs="Arial"/>
                <w:sz w:val="18"/>
                <w:szCs w:val="18"/>
              </w:rPr>
            </w:pPr>
            <w:r w:rsidRPr="000F5476">
              <w:rPr>
                <w:rFonts w:cs="Arial"/>
                <w:sz w:val="18"/>
                <w:szCs w:val="18"/>
              </w:rPr>
              <w:t>Investment body entity type code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9B75BA" w14:textId="77777777" w:rsidR="00115458" w:rsidRPr="007772EC" w:rsidRDefault="00115458" w:rsidP="00F4606C">
            <w:pPr>
              <w:spacing w:after="0" w:line="240" w:lineRule="auto"/>
              <w:rPr>
                <w:rFonts w:cs="Arial"/>
                <w:sz w:val="18"/>
                <w:szCs w:val="18"/>
              </w:rPr>
            </w:pPr>
            <w:r w:rsidRPr="007772EC">
              <w:rPr>
                <w:rFonts w:cs="Arial"/>
                <w:sz w:val="18"/>
                <w:szCs w:val="18"/>
              </w:rPr>
              <w:t>T</w:t>
            </w:r>
          </w:p>
        </w:tc>
      </w:tr>
      <w:tr w:rsidR="00115458" w:rsidRPr="00501C10" w14:paraId="7EFDC3B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57683" w14:textId="77777777" w:rsidR="00115458" w:rsidRPr="000F5476" w:rsidRDefault="00115458" w:rsidP="00F4606C">
            <w:pPr>
              <w:spacing w:after="0" w:line="240" w:lineRule="auto"/>
              <w:rPr>
                <w:rFonts w:cs="Arial"/>
                <w:sz w:val="18"/>
                <w:szCs w:val="18"/>
              </w:rPr>
            </w:pPr>
            <w:r>
              <w:rPr>
                <w:rFonts w:cs="Arial"/>
                <w:sz w:val="18"/>
                <w:szCs w:val="18"/>
              </w:rPr>
              <w:t>9.49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3802B33" w14:textId="77777777" w:rsidR="00115458" w:rsidRPr="000F5476" w:rsidRDefault="00115458" w:rsidP="00F4606C">
            <w:pPr>
              <w:spacing w:after="0" w:line="240" w:lineRule="auto"/>
              <w:rPr>
                <w:rFonts w:cs="Arial"/>
                <w:sz w:val="18"/>
                <w:szCs w:val="18"/>
              </w:rPr>
            </w:pPr>
            <w:r w:rsidRPr="000F5476">
              <w:rPr>
                <w:rFonts w:cs="Arial"/>
                <w:sz w:val="18"/>
                <w:szCs w:val="18"/>
              </w:rPr>
              <w:t xml:space="preserve">Investment body entity </w:t>
            </w:r>
            <w:r>
              <w:rPr>
                <w:rFonts w:cs="Arial"/>
                <w:sz w:val="18"/>
                <w:szCs w:val="18"/>
              </w:rPr>
              <w:t>sub-</w:t>
            </w:r>
            <w:r w:rsidRPr="000F5476">
              <w:rPr>
                <w:rFonts w:cs="Arial"/>
                <w:sz w:val="18"/>
                <w:szCs w:val="18"/>
              </w:rPr>
              <w:t>type code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706126D" w14:textId="77777777" w:rsidR="00115458" w:rsidRPr="007772EC" w:rsidRDefault="00115458" w:rsidP="00F4606C">
            <w:pPr>
              <w:spacing w:after="0" w:line="240" w:lineRule="auto"/>
              <w:rPr>
                <w:rFonts w:cs="Arial"/>
                <w:sz w:val="18"/>
                <w:szCs w:val="18"/>
              </w:rPr>
            </w:pPr>
            <w:r w:rsidRPr="007772EC">
              <w:rPr>
                <w:rFonts w:cs="Arial"/>
                <w:sz w:val="18"/>
                <w:szCs w:val="18"/>
              </w:rPr>
              <w:t>AMI</w:t>
            </w:r>
          </w:p>
        </w:tc>
      </w:tr>
    </w:tbl>
    <w:p w14:paraId="68499DA4" w14:textId="77777777" w:rsidR="00115458" w:rsidRPr="00965892" w:rsidRDefault="00115458" w:rsidP="00F4606C">
      <w:pPr>
        <w:pStyle w:val="Heading2"/>
      </w:pPr>
      <w:bookmarkStart w:id="1624" w:name="_Toc5193016"/>
      <w:bookmarkStart w:id="1625" w:name="_Toc232191344"/>
      <w:r w:rsidRPr="00965892">
        <w:t>Conditional requirements</w:t>
      </w:r>
      <w:bookmarkEnd w:id="1625"/>
      <w:r w:rsidRPr="00965892">
        <w:t xml:space="preserve"> </w:t>
      </w:r>
    </w:p>
    <w:p w14:paraId="6B3180E8" w14:textId="77777777" w:rsidR="00115458" w:rsidRPr="00F4606C" w:rsidRDefault="00115458" w:rsidP="00115458">
      <w:pPr>
        <w:pStyle w:val="Maintext"/>
        <w:rPr>
          <w:rFonts w:asciiTheme="minorHAnsi" w:hAnsiTheme="minorHAnsi"/>
          <w:sz w:val="20"/>
          <w:szCs w:val="20"/>
        </w:rPr>
      </w:pPr>
      <w:r w:rsidRPr="00F4606C">
        <w:rPr>
          <w:rFonts w:asciiTheme="minorHAnsi" w:hAnsiTheme="minorHAnsi"/>
          <w:sz w:val="20"/>
          <w:szCs w:val="20"/>
        </w:rPr>
        <w:t xml:space="preserve">Additional information has been provided for specific fields </w:t>
      </w:r>
      <w:bookmarkEnd w:id="1624"/>
      <w:r w:rsidRPr="00F4606C">
        <w:rPr>
          <w:rFonts w:asciiTheme="minorHAnsi" w:hAnsiTheme="minorHAnsi"/>
          <w:sz w:val="20"/>
          <w:szCs w:val="20"/>
        </w:rPr>
        <w:t>where reporting requirements differ to other trusts or to provide clarity. For example, fields that may include deemed payments have been identified.  The amounts reported in the AIIR must align with the amounts reported on the AMMA statement provided to the investor as data reported in the AIIR may be used to pre-fill the investor’s ITR.</w:t>
      </w:r>
    </w:p>
    <w:p w14:paraId="652B266F" w14:textId="77777777" w:rsidR="00115458" w:rsidRDefault="00115458" w:rsidP="00115458">
      <w:pPr>
        <w:pStyle w:val="Heading4"/>
      </w:pPr>
      <w:r w:rsidRPr="00C0629A">
        <w:t xml:space="preserve">Investment </w:t>
      </w:r>
      <w:r>
        <w:t>account data record fields</w:t>
      </w:r>
    </w:p>
    <w:p w14:paraId="436E6EBA" w14:textId="77777777" w:rsidR="00115458" w:rsidRDefault="00115458" w:rsidP="00F4606C">
      <w:pPr>
        <w:spacing w:after="0" w:line="240" w:lineRule="auto"/>
        <w:rPr>
          <w:rFonts w:cs="Arial"/>
          <w:szCs w:val="22"/>
        </w:rPr>
      </w:pPr>
      <w:r w:rsidRPr="00EA4043">
        <w:rPr>
          <w:rFonts w:cs="Arial"/>
          <w:b/>
          <w:szCs w:val="22"/>
        </w:rPr>
        <w:t xml:space="preserve">Type of investment </w:t>
      </w:r>
      <w:r>
        <w:rPr>
          <w:rFonts w:cs="Arial"/>
          <w:b/>
          <w:szCs w:val="22"/>
        </w:rPr>
        <w:t>(9.71)</w:t>
      </w:r>
      <w:r>
        <w:rPr>
          <w:rFonts w:cs="Arial"/>
          <w:szCs w:val="22"/>
        </w:rPr>
        <w:t xml:space="preserve"> </w:t>
      </w:r>
    </w:p>
    <w:p w14:paraId="7E9ABFD1" w14:textId="77777777" w:rsidR="00115458" w:rsidRPr="007F386A" w:rsidRDefault="00115458" w:rsidP="00F4606C">
      <w:pPr>
        <w:spacing w:after="0" w:line="240" w:lineRule="auto"/>
        <w:rPr>
          <w:rFonts w:cs="Arial"/>
        </w:rPr>
      </w:pPr>
      <w:r>
        <w:rPr>
          <w:rFonts w:cs="Arial"/>
          <w:szCs w:val="22"/>
        </w:rPr>
        <w:t xml:space="preserve">Report </w:t>
      </w:r>
      <w:r w:rsidRPr="00EA4043">
        <w:rPr>
          <w:rFonts w:cs="Arial"/>
          <w:b/>
          <w:szCs w:val="22"/>
        </w:rPr>
        <w:t>0</w:t>
      </w:r>
      <w:r>
        <w:rPr>
          <w:rFonts w:cs="Arial"/>
          <w:szCs w:val="22"/>
        </w:rPr>
        <w:t xml:space="preserve"> if the investment body is AMIT, custodian or a MIT that </w:t>
      </w:r>
      <w:r w:rsidRPr="007F386A">
        <w:rPr>
          <w:rFonts w:cs="Arial"/>
        </w:rPr>
        <w:t>falls outside of Section 202D(1) of ITAA 1936 and is reporting fund payment amounts and tax withheld amounts for non-residents under subdivision 12-H of TAA 1953.</w:t>
      </w:r>
    </w:p>
    <w:p w14:paraId="11BDA47F" w14:textId="77777777" w:rsidR="00115458" w:rsidRDefault="00115458" w:rsidP="00115458">
      <w:pPr>
        <w:pStyle w:val="Maintext"/>
        <w:rPr>
          <w:rFonts w:cs="Arial"/>
          <w:b/>
          <w:color w:val="000000" w:themeColor="text1"/>
          <w:szCs w:val="22"/>
        </w:rPr>
      </w:pPr>
    </w:p>
    <w:p w14:paraId="335C6172" w14:textId="77777777" w:rsidR="00115458" w:rsidRPr="00F4606C" w:rsidRDefault="00115458" w:rsidP="00F4606C">
      <w:pPr>
        <w:spacing w:after="0" w:line="240" w:lineRule="auto"/>
        <w:rPr>
          <w:rFonts w:cs="Arial"/>
          <w:b/>
          <w:szCs w:val="22"/>
        </w:rPr>
      </w:pPr>
      <w:r w:rsidRPr="00E226DE">
        <w:rPr>
          <w:rFonts w:cs="Arial"/>
          <w:b/>
          <w:szCs w:val="22"/>
        </w:rPr>
        <w:t>TFN</w:t>
      </w:r>
      <w:r w:rsidRPr="00F4606C">
        <w:rPr>
          <w:b/>
        </w:rPr>
        <w:t xml:space="preserve"> withholding tax deducted (9.74)</w:t>
      </w:r>
      <w:r w:rsidRPr="00F4606C">
        <w:rPr>
          <w:rFonts w:cs="Arial"/>
          <w:b/>
          <w:szCs w:val="22"/>
        </w:rPr>
        <w:t xml:space="preserve"> </w:t>
      </w:r>
    </w:p>
    <w:p w14:paraId="7A132CED" w14:textId="77777777" w:rsidR="00115458" w:rsidRPr="00E226DE" w:rsidRDefault="00115458" w:rsidP="00F4606C">
      <w:pPr>
        <w:spacing w:after="0" w:line="240" w:lineRule="auto"/>
      </w:pPr>
      <w:r w:rsidRPr="00E226DE">
        <w:t xml:space="preserve">Report the net amount of TFN withholding tax deducted at this field and set the </w:t>
      </w:r>
      <w:r w:rsidRPr="00E226DE">
        <w:rPr>
          <w:i/>
        </w:rPr>
        <w:t>TFN withholding tax refunded</w:t>
      </w:r>
      <w:r w:rsidRPr="00E226DE">
        <w:t xml:space="preserve"> (9.75) field to zero.</w:t>
      </w:r>
    </w:p>
    <w:p w14:paraId="4CAF6A1F" w14:textId="77777777" w:rsidR="00115458" w:rsidRPr="00F4606C" w:rsidRDefault="00115458" w:rsidP="00E226DE">
      <w:pPr>
        <w:pStyle w:val="Maintext"/>
        <w:rPr>
          <w:rFonts w:asciiTheme="minorHAnsi" w:hAnsiTheme="minorHAnsi"/>
          <w:b/>
          <w:color w:val="000000" w:themeColor="text1"/>
          <w:sz w:val="20"/>
          <w:szCs w:val="20"/>
        </w:rPr>
      </w:pPr>
    </w:p>
    <w:p w14:paraId="00870201" w14:textId="77777777" w:rsidR="00115458" w:rsidRPr="00F4606C" w:rsidRDefault="00115458" w:rsidP="00F4606C">
      <w:pPr>
        <w:spacing w:after="0" w:line="240" w:lineRule="auto"/>
      </w:pPr>
      <w:r w:rsidRPr="00E226DE">
        <w:rPr>
          <w:rFonts w:cs="Arial"/>
          <w:b/>
          <w:szCs w:val="22"/>
        </w:rPr>
        <w:t>I</w:t>
      </w:r>
      <w:r w:rsidRPr="00F4606C">
        <w:rPr>
          <w:b/>
        </w:rPr>
        <w:t xml:space="preserve">nterest (9.79)  </w:t>
      </w:r>
    </w:p>
    <w:p w14:paraId="56649290" w14:textId="01A82CB4" w:rsidR="00115458" w:rsidRPr="00F4606C" w:rsidRDefault="00115458" w:rsidP="00E226DE">
      <w:pPr>
        <w:pStyle w:val="Maintext"/>
        <w:rPr>
          <w:rStyle w:val="Hyperlink"/>
          <w:rFonts w:asciiTheme="minorHAnsi" w:hAnsiTheme="minorHAnsi" w:cs="Arial"/>
          <w:b/>
          <w:color w:val="000000" w:themeColor="text1"/>
          <w:szCs w:val="20"/>
          <w:u w:val="none"/>
        </w:rPr>
      </w:pPr>
      <w:r w:rsidRPr="00F4606C">
        <w:rPr>
          <w:rStyle w:val="Hyperlink"/>
          <w:rFonts w:asciiTheme="minorHAnsi" w:hAnsiTheme="minorHAnsi" w:cs="Arial"/>
          <w:color w:val="000000" w:themeColor="text1"/>
          <w:szCs w:val="20"/>
          <w:u w:val="none"/>
        </w:rPr>
        <w:t>With</w:t>
      </w:r>
      <w:r w:rsidR="001E6F3D">
        <w:rPr>
          <w:rStyle w:val="Hyperlink"/>
          <w:rFonts w:asciiTheme="minorHAnsi" w:hAnsiTheme="minorHAnsi" w:cs="Arial"/>
          <w:color w:val="000000" w:themeColor="text1"/>
          <w:szCs w:val="20"/>
          <w:u w:val="none"/>
        </w:rPr>
        <w:t>h</w:t>
      </w:r>
      <w:r w:rsidRPr="00F4606C">
        <w:rPr>
          <w:rStyle w:val="Hyperlink"/>
          <w:rFonts w:asciiTheme="minorHAnsi" w:hAnsiTheme="minorHAnsi" w:cs="Arial"/>
          <w:color w:val="000000" w:themeColor="text1"/>
          <w:szCs w:val="20"/>
          <w:u w:val="none"/>
        </w:rPr>
        <w:t xml:space="preserve">olding MITs should include actual and deemed payments at this field. There is no requirement in the AIIR to report deemed payments separately. </w:t>
      </w:r>
    </w:p>
    <w:p w14:paraId="6B5792FA" w14:textId="77777777" w:rsidR="00115458" w:rsidRPr="00F4606C" w:rsidRDefault="00115458" w:rsidP="00E226DE">
      <w:pPr>
        <w:pStyle w:val="Maintext"/>
        <w:rPr>
          <w:rStyle w:val="Hyperlink"/>
          <w:rFonts w:asciiTheme="minorHAnsi" w:hAnsiTheme="minorHAnsi" w:cs="Arial"/>
          <w:b/>
          <w:color w:val="000000" w:themeColor="text1"/>
          <w:szCs w:val="20"/>
          <w:u w:val="none"/>
        </w:rPr>
      </w:pPr>
    </w:p>
    <w:p w14:paraId="19AE5F02" w14:textId="77777777" w:rsidR="00115458" w:rsidRPr="00F4606C" w:rsidRDefault="00115458" w:rsidP="00F94DFB">
      <w:pPr>
        <w:pStyle w:val="Maintext"/>
        <w:rPr>
          <w:rStyle w:val="Hyperlink"/>
          <w:rFonts w:asciiTheme="minorHAnsi" w:hAnsiTheme="minorHAnsi" w:cs="Arial"/>
          <w:b/>
          <w:i/>
          <w:iCs/>
          <w:color w:val="000000" w:themeColor="text1"/>
          <w:szCs w:val="20"/>
          <w:u w:val="none"/>
        </w:rPr>
      </w:pPr>
      <w:r w:rsidRPr="00F4606C">
        <w:rPr>
          <w:rStyle w:val="Hyperlink"/>
          <w:rFonts w:asciiTheme="minorHAnsi" w:hAnsiTheme="minorHAnsi" w:cs="Arial"/>
          <w:color w:val="000000" w:themeColor="text1"/>
          <w:szCs w:val="20"/>
          <w:u w:val="none"/>
        </w:rPr>
        <w:t xml:space="preserve">Do not include interest that is exempt from withholding. These amounts should be reported at the </w:t>
      </w:r>
      <w:r w:rsidRPr="00F4606C">
        <w:rPr>
          <w:rStyle w:val="Hyperlink"/>
          <w:rFonts w:asciiTheme="minorHAnsi" w:hAnsiTheme="minorHAnsi" w:cs="Arial"/>
          <w:i/>
          <w:color w:val="000000" w:themeColor="text1"/>
          <w:szCs w:val="20"/>
          <w:u w:val="none"/>
        </w:rPr>
        <w:t>Interest exempt from withholding</w:t>
      </w:r>
      <w:r w:rsidRPr="00F4606C">
        <w:rPr>
          <w:rStyle w:val="Hyperlink"/>
          <w:rFonts w:asciiTheme="minorHAnsi" w:hAnsiTheme="minorHAnsi" w:cs="Arial"/>
          <w:color w:val="000000" w:themeColor="text1"/>
          <w:szCs w:val="20"/>
          <w:u w:val="none"/>
        </w:rPr>
        <w:t xml:space="preserve"> (9.122) field in the </w:t>
      </w:r>
      <w:r w:rsidRPr="00F4606C">
        <w:rPr>
          <w:rStyle w:val="Hyperlink"/>
          <w:rFonts w:asciiTheme="minorHAnsi" w:hAnsiTheme="minorHAnsi" w:cs="Arial"/>
          <w:i/>
          <w:iCs/>
          <w:color w:val="000000" w:themeColor="text1"/>
          <w:szCs w:val="20"/>
          <w:u w:val="none"/>
        </w:rPr>
        <w:t>Supplementary income account data record.</w:t>
      </w:r>
    </w:p>
    <w:p w14:paraId="517F8FA4" w14:textId="77777777" w:rsidR="00115458" w:rsidRPr="00F4606C" w:rsidRDefault="00115458" w:rsidP="00F94DFB">
      <w:pPr>
        <w:pStyle w:val="Maintext"/>
        <w:rPr>
          <w:rStyle w:val="Hyperlink"/>
          <w:rFonts w:asciiTheme="minorHAnsi" w:hAnsiTheme="minorHAnsi" w:cs="Arial"/>
          <w:color w:val="000000" w:themeColor="text1"/>
          <w:szCs w:val="20"/>
          <w:u w:val="none"/>
        </w:rPr>
      </w:pPr>
    </w:p>
    <w:p w14:paraId="25B65E19" w14:textId="77777777" w:rsidR="00115458" w:rsidRPr="00F4606C" w:rsidRDefault="00115458" w:rsidP="00F94DFB">
      <w:pPr>
        <w:pStyle w:val="Maintext"/>
        <w:rPr>
          <w:rStyle w:val="Hyperlink"/>
          <w:rFonts w:asciiTheme="minorHAnsi" w:hAnsiTheme="minorHAnsi" w:cs="Arial"/>
          <w:b/>
          <w:color w:val="000000" w:themeColor="text1"/>
          <w:szCs w:val="20"/>
          <w:u w:val="none"/>
        </w:rPr>
      </w:pPr>
      <w:r w:rsidRPr="00C26BC4">
        <w:rPr>
          <w:rStyle w:val="Hyperlink"/>
          <w:rFonts w:asciiTheme="minorHAnsi" w:hAnsiTheme="minorHAnsi" w:cs="Arial"/>
          <w:b/>
          <w:color w:val="000000" w:themeColor="text1"/>
          <w:szCs w:val="20"/>
          <w:u w:val="none"/>
        </w:rPr>
        <w:t xml:space="preserve">Unfranked dividends not declared to be conduit foreign income (9.80) </w:t>
      </w:r>
    </w:p>
    <w:p w14:paraId="60449E8D" w14:textId="77777777" w:rsidR="00115458" w:rsidRPr="00F4606C" w:rsidRDefault="00115458" w:rsidP="00F94DFB">
      <w:pPr>
        <w:pStyle w:val="Maintext"/>
        <w:rPr>
          <w:rStyle w:val="Hyperlink"/>
          <w:rFonts w:asciiTheme="minorHAnsi" w:hAnsiTheme="minorHAnsi" w:cs="Arial"/>
          <w:color w:val="000000" w:themeColor="text1"/>
          <w:szCs w:val="20"/>
          <w:u w:val="none"/>
        </w:rPr>
      </w:pPr>
      <w:r w:rsidRPr="00F4606C">
        <w:rPr>
          <w:rStyle w:val="Hyperlink"/>
          <w:rFonts w:asciiTheme="minorHAnsi" w:hAnsiTheme="minorHAnsi" w:cs="Arial"/>
          <w:color w:val="000000" w:themeColor="text1"/>
          <w:szCs w:val="20"/>
          <w:u w:val="none"/>
        </w:rPr>
        <w:t xml:space="preserve">Withholding MITs should include actual and deemed payments at this field. </w:t>
      </w:r>
    </w:p>
    <w:p w14:paraId="43836D46" w14:textId="77777777" w:rsidR="00115458" w:rsidRPr="00F4606C" w:rsidRDefault="00115458" w:rsidP="00F94DFB">
      <w:pPr>
        <w:pStyle w:val="Maintext"/>
        <w:rPr>
          <w:rFonts w:asciiTheme="minorHAnsi" w:hAnsiTheme="minorHAnsi"/>
          <w:sz w:val="20"/>
          <w:szCs w:val="20"/>
        </w:rPr>
      </w:pPr>
    </w:p>
    <w:p w14:paraId="2403FF68" w14:textId="77777777" w:rsidR="00115458" w:rsidRPr="00F4606C" w:rsidRDefault="00115458" w:rsidP="00F94DFB">
      <w:pPr>
        <w:pStyle w:val="Maintext"/>
        <w:rPr>
          <w:rStyle w:val="Hyperlink"/>
          <w:rFonts w:asciiTheme="minorHAnsi" w:hAnsiTheme="minorHAnsi" w:cs="Arial"/>
          <w:b/>
          <w:bCs/>
          <w:color w:val="000000" w:themeColor="text1"/>
          <w:szCs w:val="20"/>
          <w:u w:val="none"/>
        </w:rPr>
      </w:pPr>
      <w:r w:rsidRPr="00F4606C">
        <w:rPr>
          <w:rStyle w:val="Hyperlink"/>
          <w:rFonts w:asciiTheme="minorHAnsi" w:hAnsiTheme="minorHAnsi" w:cs="Arial"/>
          <w:b/>
          <w:bCs/>
          <w:color w:val="000000" w:themeColor="text1"/>
          <w:szCs w:val="20"/>
          <w:u w:val="none"/>
        </w:rPr>
        <w:t>Franked dividends</w:t>
      </w:r>
      <w:r w:rsidRPr="00F4606C">
        <w:rPr>
          <w:rStyle w:val="Hyperlink"/>
          <w:rFonts w:asciiTheme="minorHAnsi" w:hAnsiTheme="minorHAnsi" w:cs="Arial"/>
          <w:b/>
          <w:bCs/>
          <w:i/>
          <w:color w:val="000000" w:themeColor="text1"/>
          <w:szCs w:val="20"/>
          <w:u w:val="none"/>
        </w:rPr>
        <w:t xml:space="preserve"> </w:t>
      </w:r>
      <w:r w:rsidRPr="00F4606C">
        <w:rPr>
          <w:rStyle w:val="Hyperlink"/>
          <w:rFonts w:asciiTheme="minorHAnsi" w:hAnsiTheme="minorHAnsi" w:cs="Arial"/>
          <w:b/>
          <w:bCs/>
          <w:color w:val="000000" w:themeColor="text1"/>
          <w:szCs w:val="20"/>
          <w:u w:val="none"/>
        </w:rPr>
        <w:t>(9.82)</w:t>
      </w:r>
      <w:r w:rsidRPr="00F4606C">
        <w:rPr>
          <w:rStyle w:val="Hyperlink"/>
          <w:rFonts w:asciiTheme="minorHAnsi" w:hAnsiTheme="minorHAnsi" w:cs="Arial"/>
          <w:b/>
          <w:bCs/>
          <w:i/>
          <w:color w:val="000000" w:themeColor="text1"/>
          <w:szCs w:val="20"/>
          <w:u w:val="none"/>
        </w:rPr>
        <w:t xml:space="preserve"> </w:t>
      </w:r>
    </w:p>
    <w:p w14:paraId="2559B1F7" w14:textId="305B0AC4" w:rsidR="00115458" w:rsidRDefault="00115458" w:rsidP="00F94DFB">
      <w:pPr>
        <w:pStyle w:val="Maintext"/>
        <w:rPr>
          <w:b/>
        </w:rPr>
      </w:pPr>
      <w:r w:rsidRPr="00F4606C">
        <w:rPr>
          <w:rStyle w:val="Hyperlink"/>
          <w:rFonts w:asciiTheme="minorHAnsi" w:hAnsiTheme="minorHAnsi" w:cs="Arial"/>
          <w:color w:val="000000" w:themeColor="text1"/>
          <w:szCs w:val="20"/>
          <w:u w:val="none"/>
        </w:rPr>
        <w:t>Withholding MITs should include actual and deemed payments at this field.</w:t>
      </w:r>
      <w:r w:rsidRPr="009C7D79">
        <w:rPr>
          <w:rStyle w:val="Hyperlink"/>
          <w:rFonts w:cs="Arial"/>
          <w:color w:val="000000" w:themeColor="text1"/>
          <w:szCs w:val="22"/>
        </w:rPr>
        <w:t xml:space="preserve"> </w:t>
      </w:r>
    </w:p>
    <w:p w14:paraId="3851A295" w14:textId="77777777" w:rsidR="00F94DFB" w:rsidRPr="00F02C70" w:rsidRDefault="00F94DFB" w:rsidP="00F94DFB">
      <w:pPr>
        <w:pStyle w:val="Maintext"/>
        <w:rPr>
          <w:b/>
        </w:rPr>
      </w:pPr>
    </w:p>
    <w:p w14:paraId="4F5A7D44" w14:textId="77777777" w:rsidR="00E226DE" w:rsidRPr="00F4606C" w:rsidRDefault="00115458" w:rsidP="00F94DFB">
      <w:pPr>
        <w:spacing w:after="0" w:line="240" w:lineRule="auto"/>
        <w:rPr>
          <w:rFonts w:cs="Arial"/>
          <w:b/>
          <w:szCs w:val="22"/>
        </w:rPr>
      </w:pPr>
      <w:r w:rsidRPr="00F4606C">
        <w:rPr>
          <w:b/>
        </w:rPr>
        <w:t>Franking credit (9.83)</w:t>
      </w:r>
      <w:r w:rsidRPr="00E226DE">
        <w:rPr>
          <w:rFonts w:cs="Arial"/>
          <w:b/>
          <w:szCs w:val="22"/>
        </w:rPr>
        <w:t xml:space="preserve"> </w:t>
      </w:r>
    </w:p>
    <w:p w14:paraId="30F578EB" w14:textId="2FB8CED5" w:rsidR="00F94DFB" w:rsidRDefault="00115458" w:rsidP="00F94DFB">
      <w:pPr>
        <w:spacing w:after="0" w:line="240" w:lineRule="auto"/>
        <w:rPr>
          <w:szCs w:val="22"/>
        </w:rPr>
      </w:pPr>
      <w:r w:rsidRPr="00E226DE">
        <w:rPr>
          <w:rFonts w:cs="Arial"/>
          <w:bCs/>
          <w:szCs w:val="22"/>
        </w:rPr>
        <w:t xml:space="preserve">At this field include the full amount of the franking credit tax offset that the investor may be entitled to claim i.e. do not allocate any deductions against this amount. The franking credit gross up amount after deductions have been allocated against franking credits must be used in the calculation for the </w:t>
      </w:r>
      <w:r w:rsidRPr="00E226DE">
        <w:rPr>
          <w:rFonts w:cs="Arial"/>
          <w:bCs/>
          <w:i/>
          <w:iCs/>
          <w:szCs w:val="22"/>
        </w:rPr>
        <w:t>Franked distributions from trusts</w:t>
      </w:r>
      <w:r w:rsidRPr="00E226DE">
        <w:rPr>
          <w:rFonts w:cs="Arial"/>
          <w:bCs/>
          <w:szCs w:val="22"/>
        </w:rPr>
        <w:t xml:space="preserve"> (9.120) field. </w:t>
      </w:r>
    </w:p>
    <w:p w14:paraId="5FC939BC" w14:textId="77777777" w:rsidR="00F94DFB" w:rsidRDefault="00F94DFB" w:rsidP="00F94DFB">
      <w:pPr>
        <w:spacing w:after="0" w:line="240" w:lineRule="auto"/>
        <w:rPr>
          <w:szCs w:val="22"/>
        </w:rPr>
      </w:pPr>
    </w:p>
    <w:p w14:paraId="15BF6AF6" w14:textId="0EB37DB2" w:rsidR="00F94DFB" w:rsidRPr="00816028" w:rsidRDefault="00115458" w:rsidP="00F94DFB">
      <w:pPr>
        <w:spacing w:after="0" w:line="240" w:lineRule="auto"/>
      </w:pPr>
      <w:r w:rsidRPr="00603C2B">
        <w:t xml:space="preserve">See </w:t>
      </w:r>
      <w:r w:rsidRPr="000644A1">
        <w:rPr>
          <w:b/>
          <w:bCs/>
        </w:rPr>
        <w:fldChar w:fldCharType="begin"/>
      </w:r>
      <w:r w:rsidRPr="000644A1">
        <w:rPr>
          <w:b/>
          <w:bCs/>
        </w:rPr>
        <w:instrText xml:space="preserve"> REF _Ref72137769 \h </w:instrText>
      </w:r>
      <w:r>
        <w:rPr>
          <w:b/>
          <w:bCs/>
        </w:rPr>
        <w:instrText xml:space="preserve"> \* MERGEFORMAT </w:instrText>
      </w:r>
      <w:r w:rsidRPr="000644A1">
        <w:rPr>
          <w:b/>
          <w:bCs/>
        </w:rPr>
      </w:r>
      <w:r w:rsidRPr="000644A1">
        <w:rPr>
          <w:b/>
          <w:bCs/>
        </w:rPr>
        <w:fldChar w:fldCharType="separate"/>
      </w:r>
      <w:r w:rsidR="00796CB9" w:rsidRPr="00796CB9">
        <w:rPr>
          <w:b/>
          <w:bCs/>
        </w:rPr>
        <w:t>Allocation of deductions and flow through reporting</w:t>
      </w:r>
      <w:r w:rsidRPr="000644A1">
        <w:rPr>
          <w:b/>
          <w:bCs/>
        </w:rPr>
        <w:fldChar w:fldCharType="end"/>
      </w:r>
      <w:r>
        <w:t xml:space="preserve"> for more information about reporting of </w:t>
      </w:r>
      <w:r w:rsidRPr="006B5E48">
        <w:rPr>
          <w:i/>
        </w:rPr>
        <w:t>Franked dividends</w:t>
      </w:r>
      <w:r>
        <w:t xml:space="preserve"> and </w:t>
      </w:r>
      <w:r w:rsidRPr="006B5E48">
        <w:rPr>
          <w:i/>
        </w:rPr>
        <w:t>Franking credits</w:t>
      </w:r>
      <w:r>
        <w:t xml:space="preserve"> in the AIIR.</w:t>
      </w:r>
    </w:p>
    <w:p w14:paraId="51A90E21" w14:textId="77777777" w:rsidR="00115458" w:rsidRDefault="00115458" w:rsidP="00F94DFB">
      <w:pPr>
        <w:spacing w:after="0" w:line="240" w:lineRule="auto"/>
        <w:rPr>
          <w:b/>
        </w:rPr>
      </w:pPr>
    </w:p>
    <w:p w14:paraId="5D8FEA4B" w14:textId="77777777" w:rsidR="00115458" w:rsidRPr="00F4606C" w:rsidRDefault="00115458" w:rsidP="00F94DFB">
      <w:pPr>
        <w:pStyle w:val="Maintext"/>
        <w:rPr>
          <w:rFonts w:asciiTheme="minorHAnsi" w:hAnsiTheme="minorHAnsi"/>
          <w:sz w:val="20"/>
          <w:szCs w:val="20"/>
        </w:rPr>
      </w:pPr>
      <w:r w:rsidRPr="00F4606C">
        <w:rPr>
          <w:rFonts w:asciiTheme="minorHAnsi" w:hAnsiTheme="minorHAnsi"/>
          <w:b/>
          <w:sz w:val="20"/>
          <w:szCs w:val="20"/>
        </w:rPr>
        <w:t>Non-primary production income (9.85)</w:t>
      </w:r>
      <w:r w:rsidRPr="00F4606C">
        <w:rPr>
          <w:rFonts w:asciiTheme="minorHAnsi" w:hAnsiTheme="minorHAnsi"/>
          <w:sz w:val="20"/>
          <w:szCs w:val="20"/>
        </w:rPr>
        <w:t xml:space="preserve"> </w:t>
      </w:r>
    </w:p>
    <w:p w14:paraId="751C2512" w14:textId="77777777" w:rsidR="00115458" w:rsidRPr="00F4606C" w:rsidRDefault="00115458" w:rsidP="00F94DFB">
      <w:pPr>
        <w:pStyle w:val="Maintext"/>
        <w:rPr>
          <w:rFonts w:asciiTheme="minorHAnsi" w:hAnsiTheme="minorHAnsi"/>
          <w:sz w:val="20"/>
          <w:szCs w:val="20"/>
        </w:rPr>
      </w:pPr>
      <w:r w:rsidRPr="00F4606C">
        <w:rPr>
          <w:rFonts w:asciiTheme="minorHAnsi" w:hAnsiTheme="minorHAnsi"/>
          <w:sz w:val="20"/>
          <w:szCs w:val="20"/>
        </w:rPr>
        <w:t>The sum of the amounts reported in the following fields:</w:t>
      </w:r>
    </w:p>
    <w:p w14:paraId="53C71DF9"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Interest (9.79)</w:t>
      </w:r>
    </w:p>
    <w:p w14:paraId="18D5ABCE"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Interest exempt from withholding (9.122)</w:t>
      </w:r>
    </w:p>
    <w:p w14:paraId="582CC936"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 xml:space="preserve">Unfranked distributions from trusts (9.119) </w:t>
      </w:r>
    </w:p>
    <w:p w14:paraId="4930127B"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Other taxable Australian income (9.84)</w:t>
      </w:r>
    </w:p>
    <w:p w14:paraId="5441C7CF" w14:textId="77777777" w:rsidR="00115458" w:rsidRPr="00F4606C" w:rsidRDefault="00115458" w:rsidP="00F94DFB">
      <w:pPr>
        <w:pStyle w:val="ListParagraph"/>
        <w:numPr>
          <w:ilvl w:val="0"/>
          <w:numId w:val="43"/>
        </w:numPr>
        <w:spacing w:after="0" w:line="240" w:lineRule="auto"/>
        <w:rPr>
          <w:rFonts w:cs="Arial"/>
          <w:i/>
        </w:rPr>
      </w:pPr>
      <w:r w:rsidRPr="00E226DE">
        <w:t xml:space="preserve"> </w:t>
      </w:r>
      <w:r w:rsidRPr="00F4606C">
        <w:rPr>
          <w:rFonts w:cs="Arial"/>
          <w:i/>
        </w:rPr>
        <w:t>NCMI – Non-primary production (9.136)</w:t>
      </w:r>
    </w:p>
    <w:p w14:paraId="7A9B22D8"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Excluded from NCMI – Non-primary production (9.138)</w:t>
      </w:r>
    </w:p>
    <w:p w14:paraId="2C949FB9" w14:textId="77777777" w:rsidR="00115458" w:rsidRPr="00E226DE" w:rsidRDefault="00115458" w:rsidP="00F4606C">
      <w:pPr>
        <w:pStyle w:val="ListParagraph"/>
        <w:spacing w:after="0" w:line="240" w:lineRule="auto"/>
      </w:pPr>
    </w:p>
    <w:p w14:paraId="5CC03B5F" w14:textId="77777777" w:rsidR="00115458" w:rsidRPr="00E226DE" w:rsidRDefault="00115458" w:rsidP="00F94DFB">
      <w:pPr>
        <w:spacing w:after="0" w:line="240" w:lineRule="auto"/>
      </w:pPr>
      <w:r w:rsidRPr="00E226DE">
        <w:t xml:space="preserve">If you currently deduct the </w:t>
      </w:r>
      <w:r w:rsidRPr="00E226DE">
        <w:rPr>
          <w:i/>
        </w:rPr>
        <w:t>Listed investment company capital gain deduction</w:t>
      </w:r>
      <w:r w:rsidRPr="00E226DE">
        <w:rPr>
          <w:rFonts w:cs="Arial"/>
          <w:b/>
        </w:rPr>
        <w:t xml:space="preserve"> </w:t>
      </w:r>
      <w:r w:rsidRPr="00E226DE">
        <w:t xml:space="preserve">from the Non-primary production income component, then you may continue to do so and report the deducted amount at </w:t>
      </w:r>
      <w:r w:rsidRPr="00E226DE">
        <w:rPr>
          <w:i/>
        </w:rPr>
        <w:t>Listed investment company capital gain deduction (9.108)</w:t>
      </w:r>
      <w:r w:rsidRPr="00E226DE">
        <w:t>.</w:t>
      </w:r>
    </w:p>
    <w:p w14:paraId="13D1D56A" w14:textId="2CD76E89" w:rsidR="00F94DFB" w:rsidRDefault="00115458" w:rsidP="00F94DFB">
      <w:pPr>
        <w:spacing w:after="0" w:line="240" w:lineRule="auto"/>
        <w:rPr>
          <w:b/>
          <w:color w:val="000000"/>
        </w:rPr>
      </w:pPr>
      <w:r>
        <w:t xml:space="preserve"> </w:t>
      </w:r>
    </w:p>
    <w:p w14:paraId="3D67B738" w14:textId="60075196" w:rsidR="00115458" w:rsidRDefault="00115458" w:rsidP="00F94DFB">
      <w:pPr>
        <w:spacing w:after="0" w:line="240" w:lineRule="auto"/>
      </w:pPr>
      <w:r w:rsidRPr="009C7D79">
        <w:rPr>
          <w:b/>
          <w:color w:val="000000"/>
        </w:rPr>
        <w:t>CGT concession amount or AMIT CGT gross up amoun</w:t>
      </w:r>
      <w:r>
        <w:rPr>
          <w:b/>
          <w:color w:val="000000"/>
        </w:rPr>
        <w:t>t</w:t>
      </w:r>
      <w:r w:rsidRPr="009C7D79">
        <w:rPr>
          <w:b/>
          <w:color w:val="000000"/>
        </w:rPr>
        <w:t xml:space="preserve"> </w:t>
      </w:r>
      <w:r w:rsidRPr="009E3742">
        <w:rPr>
          <w:b/>
          <w:color w:val="000000"/>
        </w:rPr>
        <w:t>(</w:t>
      </w:r>
      <w:r>
        <w:rPr>
          <w:b/>
          <w:color w:val="000000"/>
        </w:rPr>
        <w:t>9.87</w:t>
      </w:r>
      <w:r w:rsidRPr="009E3742">
        <w:rPr>
          <w:b/>
          <w:color w:val="000000"/>
        </w:rPr>
        <w:t>)</w:t>
      </w:r>
    </w:p>
    <w:p w14:paraId="4EECC1A6" w14:textId="77777777" w:rsidR="00115458" w:rsidRDefault="00115458" w:rsidP="00F94DFB">
      <w:pPr>
        <w:spacing w:after="0" w:line="240" w:lineRule="auto"/>
      </w:pPr>
      <w:r>
        <w:t xml:space="preserve">For AMITs, the amount reported at this field is the </w:t>
      </w:r>
      <w:r w:rsidRPr="006B5E48">
        <w:rPr>
          <w:i/>
        </w:rPr>
        <w:t>AMIT CGT gross up amount</w:t>
      </w:r>
      <w:r>
        <w:rPr>
          <w:i/>
        </w:rPr>
        <w:t xml:space="preserve">. </w:t>
      </w:r>
      <w:r>
        <w:t xml:space="preserve">This is the </w:t>
      </w:r>
      <w:r w:rsidRPr="00FC31F8">
        <w:t>additional amount treated as capital gains of members under ss 276-85(3) and (4) of the ITAA 1997 and included in the AMIT cost base increase amount under s104-107E(4) of the ITAA</w:t>
      </w:r>
      <w:r>
        <w:t xml:space="preserve"> </w:t>
      </w:r>
      <w:r w:rsidRPr="00FC31F8">
        <w:t xml:space="preserve">1997. </w:t>
      </w:r>
      <w:r>
        <w:t xml:space="preserve"> Investors</w:t>
      </w:r>
      <w:r w:rsidRPr="00B25863">
        <w:t xml:space="preserve"> are treated as having a capital gain of double the trust discount capital gain included in their attributed amount - show only that additional </w:t>
      </w:r>
      <w:r>
        <w:t>investor</w:t>
      </w:r>
      <w:r w:rsidRPr="00B25863">
        <w:t xml:space="preserve"> amount here.</w:t>
      </w:r>
      <w:r>
        <w:t xml:space="preserve"> </w:t>
      </w:r>
    </w:p>
    <w:p w14:paraId="6BCDE321" w14:textId="77777777" w:rsidR="00115458" w:rsidRDefault="00115458" w:rsidP="00F94DFB">
      <w:pPr>
        <w:spacing w:after="0" w:line="240" w:lineRule="auto"/>
        <w:rPr>
          <w:b/>
        </w:rPr>
      </w:pPr>
    </w:p>
    <w:p w14:paraId="548F636C" w14:textId="77777777" w:rsidR="00115458" w:rsidRDefault="00115458" w:rsidP="00F94DFB">
      <w:pPr>
        <w:spacing w:after="0" w:line="240" w:lineRule="auto"/>
      </w:pPr>
      <w:r w:rsidRPr="00840018">
        <w:rPr>
          <w:b/>
        </w:rPr>
        <w:t>Net capital gain (</w:t>
      </w:r>
      <w:r>
        <w:rPr>
          <w:b/>
        </w:rPr>
        <w:t>9.88</w:t>
      </w:r>
      <w:r w:rsidRPr="00840018">
        <w:rPr>
          <w:b/>
        </w:rPr>
        <w:t>)</w:t>
      </w:r>
      <w:r>
        <w:rPr>
          <w:b/>
        </w:rPr>
        <w:t xml:space="preserve"> </w:t>
      </w:r>
    </w:p>
    <w:p w14:paraId="1BE5F895" w14:textId="77777777" w:rsidR="00115458" w:rsidRPr="006E2917" w:rsidRDefault="00115458" w:rsidP="00F94DFB">
      <w:pPr>
        <w:spacing w:after="0" w:line="240" w:lineRule="auto"/>
        <w:rPr>
          <w:rFonts w:cs="Arial"/>
        </w:rPr>
      </w:pPr>
      <w:r>
        <w:t>T</w:t>
      </w:r>
      <w:r w:rsidRPr="006E2917">
        <w:t>his amount is the sum of the amounts reported at the following fields:</w:t>
      </w:r>
    </w:p>
    <w:p w14:paraId="607E3781" w14:textId="77777777" w:rsidR="00115458" w:rsidRPr="00520C6F" w:rsidRDefault="00115458" w:rsidP="00F94DFB">
      <w:pPr>
        <w:pStyle w:val="ListParagraph"/>
        <w:numPr>
          <w:ilvl w:val="0"/>
          <w:numId w:val="43"/>
        </w:numPr>
        <w:spacing w:after="0" w:line="240" w:lineRule="auto"/>
        <w:rPr>
          <w:rFonts w:ascii="Arial" w:hAnsi="Arial" w:cs="Arial"/>
          <w:i/>
        </w:rPr>
      </w:pPr>
      <w:r w:rsidRPr="00520C6F">
        <w:rPr>
          <w:rFonts w:ascii="Arial" w:hAnsi="Arial" w:cs="Arial"/>
          <w:i/>
        </w:rPr>
        <w:t>Capital gains discount method - Taxable Australian property (</w:t>
      </w:r>
      <w:r>
        <w:rPr>
          <w:rFonts w:ascii="Arial" w:hAnsi="Arial" w:cs="Arial"/>
          <w:i/>
        </w:rPr>
        <w:t>9.123</w:t>
      </w:r>
      <w:r w:rsidRPr="00520C6F">
        <w:rPr>
          <w:rFonts w:ascii="Arial" w:hAnsi="Arial" w:cs="Arial"/>
          <w:i/>
        </w:rPr>
        <w:t>)</w:t>
      </w:r>
    </w:p>
    <w:p w14:paraId="652445B9" w14:textId="77777777" w:rsidR="00115458" w:rsidRPr="00520C6F" w:rsidRDefault="00115458" w:rsidP="00F94DFB">
      <w:pPr>
        <w:pStyle w:val="ListParagraph"/>
        <w:numPr>
          <w:ilvl w:val="0"/>
          <w:numId w:val="43"/>
        </w:numPr>
        <w:spacing w:after="0" w:line="240" w:lineRule="auto"/>
        <w:rPr>
          <w:rFonts w:ascii="Arial" w:hAnsi="Arial" w:cs="Arial"/>
          <w:i/>
        </w:rPr>
      </w:pPr>
      <w:r w:rsidRPr="00520C6F">
        <w:rPr>
          <w:rFonts w:ascii="Arial" w:hAnsi="Arial" w:cs="Arial"/>
          <w:i/>
        </w:rPr>
        <w:t>Capital gains discount method – Non-taxable Australia property (</w:t>
      </w:r>
      <w:r>
        <w:rPr>
          <w:rFonts w:ascii="Arial" w:hAnsi="Arial" w:cs="Arial"/>
          <w:i/>
        </w:rPr>
        <w:t>9.124</w:t>
      </w:r>
      <w:r w:rsidRPr="00520C6F">
        <w:rPr>
          <w:rFonts w:ascii="Arial" w:hAnsi="Arial" w:cs="Arial"/>
          <w:i/>
        </w:rPr>
        <w:t>)</w:t>
      </w:r>
    </w:p>
    <w:p w14:paraId="3B93BFB2" w14:textId="77777777" w:rsidR="00115458" w:rsidRPr="00520C6F" w:rsidRDefault="00115458" w:rsidP="00F94DFB">
      <w:pPr>
        <w:pStyle w:val="ListParagraph"/>
        <w:numPr>
          <w:ilvl w:val="0"/>
          <w:numId w:val="43"/>
        </w:numPr>
        <w:spacing w:after="0" w:line="240" w:lineRule="auto"/>
        <w:rPr>
          <w:rFonts w:ascii="Arial" w:hAnsi="Arial" w:cs="Arial"/>
          <w:i/>
        </w:rPr>
      </w:pPr>
      <w:r w:rsidRPr="00520C6F">
        <w:rPr>
          <w:rFonts w:ascii="Arial" w:hAnsi="Arial" w:cs="Arial"/>
          <w:i/>
        </w:rPr>
        <w:t>Capital gains other - Taxable Australian property (</w:t>
      </w:r>
      <w:r>
        <w:rPr>
          <w:rFonts w:ascii="Arial" w:hAnsi="Arial" w:cs="Arial"/>
          <w:i/>
        </w:rPr>
        <w:t>9.125</w:t>
      </w:r>
      <w:r w:rsidRPr="00520C6F">
        <w:rPr>
          <w:rFonts w:ascii="Arial" w:hAnsi="Arial" w:cs="Arial"/>
          <w:i/>
        </w:rPr>
        <w:t>)</w:t>
      </w:r>
    </w:p>
    <w:p w14:paraId="2E2DE250" w14:textId="77777777" w:rsidR="00115458" w:rsidRPr="00520C6F" w:rsidRDefault="00115458" w:rsidP="00F94DFB">
      <w:pPr>
        <w:pStyle w:val="ListParagraph"/>
        <w:numPr>
          <w:ilvl w:val="0"/>
          <w:numId w:val="43"/>
        </w:numPr>
        <w:spacing w:after="0" w:line="240" w:lineRule="auto"/>
        <w:rPr>
          <w:rFonts w:ascii="Arial" w:hAnsi="Arial" w:cs="Arial"/>
          <w:i/>
        </w:rPr>
      </w:pPr>
      <w:r w:rsidRPr="00520C6F">
        <w:rPr>
          <w:rFonts w:ascii="Arial" w:hAnsi="Arial" w:cs="Arial"/>
          <w:i/>
        </w:rPr>
        <w:t>Capital gains other – Non-taxable Australian property (</w:t>
      </w:r>
      <w:r>
        <w:rPr>
          <w:rFonts w:ascii="Arial" w:hAnsi="Arial" w:cs="Arial"/>
          <w:i/>
        </w:rPr>
        <w:t>9.126</w:t>
      </w:r>
      <w:r w:rsidRPr="00520C6F">
        <w:rPr>
          <w:rFonts w:ascii="Arial" w:hAnsi="Arial" w:cs="Arial"/>
          <w:i/>
        </w:rPr>
        <w:t>)</w:t>
      </w:r>
    </w:p>
    <w:p w14:paraId="314FD7F4" w14:textId="77777777" w:rsidR="00115458" w:rsidRDefault="00115458" w:rsidP="00F94DFB">
      <w:pPr>
        <w:spacing w:after="0" w:line="240" w:lineRule="auto"/>
      </w:pPr>
      <w:bookmarkStart w:id="1626" w:name="_Hlk49162166"/>
    </w:p>
    <w:p w14:paraId="5F1C6AA7" w14:textId="77777777" w:rsidR="00115458" w:rsidRPr="0029254A" w:rsidRDefault="00115458" w:rsidP="00F94DFB">
      <w:pPr>
        <w:spacing w:after="0" w:line="240" w:lineRule="auto"/>
      </w:pPr>
      <w:bookmarkStart w:id="1627" w:name="_Hlk49166306"/>
      <w:r w:rsidRPr="0029254A">
        <w:t xml:space="preserve">If NCMI Capital Gains or Excluded from NCMI Capital Gains amounts </w:t>
      </w:r>
      <w:r>
        <w:t xml:space="preserve">at fields </w:t>
      </w:r>
      <w:r w:rsidRPr="0029254A">
        <w:t xml:space="preserve">have been reported separately </w:t>
      </w:r>
      <w:r>
        <w:t xml:space="preserve">at fields 9.140 and 9.141 </w:t>
      </w:r>
      <w:r w:rsidRPr="0029254A">
        <w:t xml:space="preserve">these amounts must also be included in the calculation of these fields. </w:t>
      </w:r>
    </w:p>
    <w:p w14:paraId="60347FA7" w14:textId="77777777" w:rsidR="00115458" w:rsidRDefault="00115458" w:rsidP="00F94DFB">
      <w:pPr>
        <w:spacing w:after="0" w:line="240" w:lineRule="auto"/>
      </w:pPr>
    </w:p>
    <w:bookmarkEnd w:id="1626"/>
    <w:bookmarkEnd w:id="1627"/>
    <w:p w14:paraId="59121497" w14:textId="77777777" w:rsidR="00115458" w:rsidRPr="00F4606C" w:rsidRDefault="00115458" w:rsidP="00F94DFB">
      <w:pPr>
        <w:pStyle w:val="Maintext"/>
        <w:rPr>
          <w:rFonts w:asciiTheme="minorHAnsi" w:hAnsiTheme="minorHAnsi"/>
          <w:sz w:val="20"/>
          <w:szCs w:val="20"/>
        </w:rPr>
      </w:pPr>
      <w:r w:rsidRPr="00F4606C">
        <w:rPr>
          <w:rFonts w:asciiTheme="minorHAnsi" w:hAnsiTheme="minorHAnsi"/>
          <w:b/>
          <w:sz w:val="20"/>
          <w:szCs w:val="20"/>
        </w:rPr>
        <w:t>Total current year capital gains (9.89)</w:t>
      </w:r>
      <w:r w:rsidRPr="00F4606C">
        <w:rPr>
          <w:rFonts w:asciiTheme="minorHAnsi" w:hAnsiTheme="minorHAnsi"/>
          <w:sz w:val="20"/>
          <w:szCs w:val="20"/>
        </w:rPr>
        <w:t xml:space="preserve"> </w:t>
      </w:r>
    </w:p>
    <w:p w14:paraId="25ACC66A" w14:textId="5FB83870" w:rsidR="00115458" w:rsidRPr="00E226DE" w:rsidRDefault="00115458" w:rsidP="00F94DFB">
      <w:pPr>
        <w:pStyle w:val="Maintext"/>
        <w:rPr>
          <w:rFonts w:asciiTheme="minorHAnsi" w:hAnsiTheme="minorHAnsi"/>
          <w:sz w:val="20"/>
          <w:szCs w:val="20"/>
        </w:rPr>
      </w:pPr>
      <w:r w:rsidRPr="00F4606C">
        <w:rPr>
          <w:rFonts w:asciiTheme="minorHAnsi" w:hAnsiTheme="minorHAnsi"/>
          <w:sz w:val="20"/>
          <w:szCs w:val="20"/>
        </w:rPr>
        <w:t xml:space="preserve">Include the </w:t>
      </w:r>
      <w:r w:rsidRPr="00F4606C">
        <w:rPr>
          <w:rFonts w:asciiTheme="minorHAnsi" w:hAnsiTheme="minorHAnsi"/>
          <w:b/>
          <w:sz w:val="20"/>
          <w:szCs w:val="20"/>
        </w:rPr>
        <w:t>grossed up</w:t>
      </w:r>
      <w:r w:rsidRPr="00F4606C">
        <w:rPr>
          <w:rFonts w:asciiTheme="minorHAnsi" w:hAnsiTheme="minorHAnsi"/>
          <w:sz w:val="20"/>
          <w:szCs w:val="20"/>
        </w:rPr>
        <w:t xml:space="preserve"> amount of</w:t>
      </w:r>
      <w:r w:rsidR="00E226DE">
        <w:rPr>
          <w:rFonts w:asciiTheme="minorHAnsi" w:hAnsiTheme="minorHAnsi"/>
          <w:sz w:val="20"/>
          <w:szCs w:val="20"/>
        </w:rPr>
        <w:t>:</w:t>
      </w:r>
    </w:p>
    <w:p w14:paraId="70449703"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 xml:space="preserve">Capital gains discount method - Taxable Australian property (9.123) and </w:t>
      </w:r>
    </w:p>
    <w:p w14:paraId="12624B60" w14:textId="77777777" w:rsidR="00115458" w:rsidRPr="00E226DE" w:rsidRDefault="00115458" w:rsidP="00F94DFB">
      <w:pPr>
        <w:pStyle w:val="ListParagraph"/>
        <w:numPr>
          <w:ilvl w:val="0"/>
          <w:numId w:val="43"/>
        </w:numPr>
        <w:spacing w:after="0" w:line="240" w:lineRule="auto"/>
        <w:rPr>
          <w:rFonts w:cs="Arial"/>
        </w:rPr>
      </w:pPr>
      <w:r w:rsidRPr="00F4606C">
        <w:rPr>
          <w:rFonts w:cs="Arial"/>
          <w:i/>
        </w:rPr>
        <w:t xml:space="preserve">Capital gains discount method – Non-taxable Australia property (9.124), </w:t>
      </w:r>
    </w:p>
    <w:p w14:paraId="5FF249F6" w14:textId="77777777" w:rsidR="00115458" w:rsidRPr="00E226DE" w:rsidRDefault="00115458" w:rsidP="00F94DFB">
      <w:pPr>
        <w:spacing w:after="0" w:line="240" w:lineRule="auto"/>
        <w:ind w:left="360"/>
        <w:rPr>
          <w:rFonts w:cs="Arial"/>
        </w:rPr>
      </w:pPr>
      <w:r w:rsidRPr="00E226DE">
        <w:rPr>
          <w:rFonts w:cs="Arial"/>
          <w:b/>
          <w:bCs/>
        </w:rPr>
        <w:t>Plus</w:t>
      </w:r>
      <w:r w:rsidRPr="00E226DE">
        <w:rPr>
          <w:rFonts w:cs="Arial"/>
          <w:b/>
        </w:rPr>
        <w:t xml:space="preserve"> </w:t>
      </w:r>
      <w:r w:rsidRPr="00E226DE">
        <w:rPr>
          <w:rFonts w:cs="Arial"/>
        </w:rPr>
        <w:t xml:space="preserve">any amounts reported at </w:t>
      </w:r>
    </w:p>
    <w:p w14:paraId="6D0C4306"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Capital gains other - Taxable Australian property (9.125) and</w:t>
      </w:r>
    </w:p>
    <w:p w14:paraId="0A742329" w14:textId="77777777" w:rsidR="00115458" w:rsidRPr="00F4606C" w:rsidRDefault="00115458" w:rsidP="00F94DFB">
      <w:pPr>
        <w:pStyle w:val="ListParagraph"/>
        <w:numPr>
          <w:ilvl w:val="0"/>
          <w:numId w:val="43"/>
        </w:numPr>
        <w:spacing w:after="0" w:line="240" w:lineRule="auto"/>
        <w:rPr>
          <w:rFonts w:cs="Arial"/>
          <w:i/>
        </w:rPr>
      </w:pPr>
      <w:r w:rsidRPr="00F4606C">
        <w:rPr>
          <w:rFonts w:cs="Arial"/>
          <w:i/>
        </w:rPr>
        <w:t>Capital gains other – Non-taxable Australian property (9.126)</w:t>
      </w:r>
    </w:p>
    <w:p w14:paraId="2475979D" w14:textId="77777777" w:rsidR="00115458" w:rsidRPr="00B2677B" w:rsidRDefault="00115458" w:rsidP="00F94DFB">
      <w:pPr>
        <w:spacing w:after="0" w:line="240" w:lineRule="auto"/>
        <w:rPr>
          <w:rFonts w:cs="Arial"/>
        </w:rPr>
      </w:pPr>
    </w:p>
    <w:p w14:paraId="4E4632F5" w14:textId="5AC6BA5F" w:rsidR="00115458" w:rsidRDefault="00115458" w:rsidP="00F94DFB">
      <w:pPr>
        <w:pStyle w:val="Maintext"/>
        <w:rPr>
          <w:rFonts w:asciiTheme="minorHAnsi" w:hAnsiTheme="minorHAnsi"/>
          <w:b/>
          <w:sz w:val="20"/>
          <w:szCs w:val="20"/>
        </w:rPr>
      </w:pPr>
      <w:r w:rsidRPr="00D460C8">
        <w:rPr>
          <w:rFonts w:asciiTheme="minorHAnsi" w:hAnsiTheme="minorHAnsi"/>
          <w:b/>
          <w:sz w:val="20"/>
          <w:szCs w:val="20"/>
        </w:rPr>
        <w:t xml:space="preserve">Example 6.4 – Capital gains reporting where attribution includes discount capital gains </w:t>
      </w:r>
    </w:p>
    <w:p w14:paraId="14E8B731" w14:textId="77777777" w:rsidR="00F94DFB" w:rsidRPr="00D460C8" w:rsidRDefault="00F94DFB" w:rsidP="00F94DFB">
      <w:pPr>
        <w:pStyle w:val="Maintext"/>
        <w:rPr>
          <w:rFonts w:asciiTheme="minorHAnsi" w:hAnsiTheme="minorHAnsi"/>
          <w:b/>
          <w:sz w:val="20"/>
          <w:szCs w:val="20"/>
        </w:rPr>
      </w:pPr>
    </w:p>
    <w:p w14:paraId="6E92B6C2" w14:textId="77777777" w:rsidR="00115458" w:rsidRPr="00F4606C" w:rsidRDefault="00115458" w:rsidP="00E226DE">
      <w:pPr>
        <w:pStyle w:val="Maintext"/>
        <w:rPr>
          <w:rFonts w:asciiTheme="minorHAnsi" w:hAnsiTheme="minorHAnsi"/>
          <w:sz w:val="20"/>
          <w:szCs w:val="20"/>
        </w:rPr>
      </w:pPr>
      <w:r w:rsidRPr="00F4606C">
        <w:rPr>
          <w:rFonts w:asciiTheme="minorHAnsi" w:hAnsiTheme="minorHAnsi"/>
          <w:sz w:val="20"/>
          <w:szCs w:val="20"/>
        </w:rPr>
        <w:t>Attribution consists of:</w:t>
      </w:r>
    </w:p>
    <w:p w14:paraId="0D7A1F00" w14:textId="77777777" w:rsidR="00115458" w:rsidRPr="00F4606C" w:rsidRDefault="00115458" w:rsidP="001601AF">
      <w:pPr>
        <w:pStyle w:val="ListParagraph"/>
        <w:numPr>
          <w:ilvl w:val="0"/>
          <w:numId w:val="43"/>
        </w:numPr>
        <w:spacing w:after="0" w:line="240" w:lineRule="auto"/>
        <w:rPr>
          <w:rFonts w:cs="Arial"/>
        </w:rPr>
      </w:pPr>
      <w:r w:rsidRPr="00F4606C">
        <w:rPr>
          <w:rFonts w:cs="Arial"/>
        </w:rPr>
        <w:t>Total Capital gains on Taxable Australian property subject to the 50% discount = $100.00. When 50% discount is applied = $50.00</w:t>
      </w:r>
    </w:p>
    <w:p w14:paraId="2103F37B" w14:textId="77777777" w:rsidR="00115458" w:rsidRPr="00F4606C" w:rsidRDefault="00115458" w:rsidP="001601AF">
      <w:pPr>
        <w:pStyle w:val="ListParagraph"/>
        <w:numPr>
          <w:ilvl w:val="0"/>
          <w:numId w:val="43"/>
        </w:numPr>
        <w:spacing w:after="0" w:line="240" w:lineRule="auto"/>
        <w:rPr>
          <w:rFonts w:cs="Arial"/>
        </w:rPr>
      </w:pPr>
      <w:r w:rsidRPr="00F4606C">
        <w:rPr>
          <w:rFonts w:cs="Arial"/>
        </w:rPr>
        <w:t>Total Capital gains on non-taxable Australian property using the other method or indexed method = $25.00</w:t>
      </w:r>
    </w:p>
    <w:p w14:paraId="2FA07D2B" w14:textId="77777777" w:rsidR="00115458" w:rsidRPr="00F4606C" w:rsidRDefault="00115458" w:rsidP="00E226DE">
      <w:pPr>
        <w:pStyle w:val="Maintext"/>
        <w:rPr>
          <w:rFonts w:asciiTheme="minorHAnsi" w:hAnsiTheme="minorHAnsi"/>
          <w:b/>
          <w:sz w:val="20"/>
          <w:szCs w:val="20"/>
        </w:rPr>
      </w:pPr>
    </w:p>
    <w:p w14:paraId="3AEE9909" w14:textId="77777777" w:rsidR="00115458" w:rsidRPr="00F4606C" w:rsidRDefault="00115458" w:rsidP="00E226DE">
      <w:pPr>
        <w:pStyle w:val="Maintext"/>
        <w:rPr>
          <w:rFonts w:asciiTheme="minorHAnsi" w:hAnsiTheme="minorHAnsi"/>
          <w:sz w:val="20"/>
          <w:szCs w:val="20"/>
        </w:rPr>
      </w:pPr>
      <w:r w:rsidRPr="00F4606C">
        <w:rPr>
          <w:rFonts w:asciiTheme="minorHAnsi" w:hAnsiTheme="minorHAnsi"/>
          <w:sz w:val="20"/>
          <w:szCs w:val="20"/>
        </w:rPr>
        <w:t>Investment body would report the following:</w:t>
      </w:r>
    </w:p>
    <w:p w14:paraId="6E71D3DF" w14:textId="77777777" w:rsidR="00115458" w:rsidRPr="0063692F" w:rsidRDefault="00115458" w:rsidP="00115458">
      <w:pPr>
        <w:pStyle w:val="Maintext"/>
        <w:rPr>
          <w:b/>
          <w:u w:val="single"/>
        </w:rPr>
      </w:pPr>
    </w:p>
    <w:p w14:paraId="53D65554" w14:textId="77777777" w:rsidR="00AC27A6" w:rsidRDefault="00AC27A6" w:rsidP="00115458">
      <w:pPr>
        <w:pStyle w:val="Maintext"/>
        <w:rPr>
          <w:rFonts w:asciiTheme="minorHAnsi" w:hAnsiTheme="minorHAnsi" w:cs="Arial"/>
          <w:b/>
          <w:smallCaps/>
          <w:sz w:val="20"/>
          <w:szCs w:val="20"/>
        </w:rPr>
      </w:pPr>
    </w:p>
    <w:p w14:paraId="182CFD62" w14:textId="77777777" w:rsidR="00AC27A6" w:rsidRDefault="00AC27A6" w:rsidP="00115458">
      <w:pPr>
        <w:pStyle w:val="Maintext"/>
        <w:rPr>
          <w:rFonts w:asciiTheme="minorHAnsi" w:hAnsiTheme="minorHAnsi" w:cs="Arial"/>
          <w:b/>
          <w:smallCaps/>
          <w:sz w:val="20"/>
          <w:szCs w:val="20"/>
        </w:rPr>
      </w:pPr>
    </w:p>
    <w:p w14:paraId="1FD9F78B" w14:textId="2DE07D20" w:rsidR="00115458" w:rsidRPr="00F4606C" w:rsidRDefault="00115458" w:rsidP="00115458">
      <w:pPr>
        <w:pStyle w:val="Maintext"/>
        <w:rPr>
          <w:rFonts w:asciiTheme="minorHAnsi" w:hAnsiTheme="minorHAnsi" w:cs="Arial"/>
          <w:b/>
          <w:smallCaps/>
          <w:sz w:val="20"/>
          <w:szCs w:val="20"/>
        </w:rPr>
      </w:pPr>
      <w:r w:rsidRPr="00F4606C">
        <w:rPr>
          <w:rFonts w:asciiTheme="minorHAnsi" w:hAnsiTheme="minorHAnsi" w:cs="Arial"/>
          <w:b/>
          <w:smallCaps/>
          <w:sz w:val="20"/>
          <w:szCs w:val="20"/>
        </w:rPr>
        <w:t xml:space="preserve">investment account data record </w:t>
      </w:r>
      <w:r w:rsidRPr="00F4606C">
        <w:rPr>
          <w:rFonts w:asciiTheme="minorHAnsi" w:hAnsiTheme="minorHAnsi" w:cs="Arial"/>
          <w:smallCaps/>
          <w:sz w:val="20"/>
          <w:szCs w:val="20"/>
        </w:rPr>
        <w:t>(extract)</w:t>
      </w:r>
    </w:p>
    <w:p w14:paraId="07FA47C5" w14:textId="77777777" w:rsidR="00115458" w:rsidRPr="0063692F" w:rsidRDefault="00115458" w:rsidP="00115458">
      <w:pPr>
        <w:pStyle w:val="Maintext"/>
        <w:rPr>
          <w:rFonts w:cs="Arial"/>
          <w:smallCaps/>
          <w:u w:val="single"/>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E226DE" w14:paraId="306D029A"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7A013DB" w14:textId="77777777" w:rsidR="00115458" w:rsidRPr="00F94DFB" w:rsidRDefault="00115458" w:rsidP="00F4606C">
            <w:pPr>
              <w:spacing w:after="0" w:line="240" w:lineRule="auto"/>
              <w:rPr>
                <w:rFonts w:cs="Arial"/>
                <w:b/>
                <w:bCs/>
              </w:rPr>
            </w:pPr>
            <w:r w:rsidRPr="00F94DFB">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3267061" w14:textId="77777777" w:rsidR="00115458" w:rsidRPr="00F94DFB" w:rsidRDefault="00115458" w:rsidP="00F4606C">
            <w:pPr>
              <w:spacing w:after="0" w:line="240" w:lineRule="auto"/>
              <w:rPr>
                <w:rFonts w:cs="Arial"/>
                <w:b/>
                <w:bCs/>
              </w:rPr>
            </w:pPr>
            <w:r w:rsidRPr="00F94DFB">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4B21F71" w14:textId="77777777" w:rsidR="00115458" w:rsidRPr="00F94DFB" w:rsidRDefault="00115458" w:rsidP="00F4606C">
            <w:pPr>
              <w:spacing w:after="0" w:line="240" w:lineRule="auto"/>
              <w:rPr>
                <w:rFonts w:cs="Arial"/>
                <w:b/>
                <w:bCs/>
              </w:rPr>
            </w:pPr>
            <w:r w:rsidRPr="00F94DFB">
              <w:rPr>
                <w:rFonts w:cs="Arial"/>
                <w:b/>
                <w:bCs/>
              </w:rPr>
              <w:t>Content</w:t>
            </w:r>
          </w:p>
        </w:tc>
      </w:tr>
      <w:tr w:rsidR="00115458" w:rsidRPr="00F94DFB" w14:paraId="21BB6E1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98B89" w14:textId="77777777" w:rsidR="00115458" w:rsidRPr="00F94DFB" w:rsidRDefault="00115458" w:rsidP="00F94DFB">
            <w:pPr>
              <w:spacing w:after="0" w:line="240" w:lineRule="auto"/>
              <w:rPr>
                <w:rFonts w:cs="Arial"/>
              </w:rPr>
            </w:pPr>
            <w:r w:rsidRPr="00F94DFB">
              <w:rPr>
                <w:rFonts w:cs="Arial"/>
              </w:rPr>
              <w:t>9.88</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63AEC72" w14:textId="77777777" w:rsidR="00115458" w:rsidRPr="00F94DFB" w:rsidRDefault="00115458" w:rsidP="00F94DFB">
            <w:pPr>
              <w:spacing w:after="0" w:line="240" w:lineRule="auto"/>
              <w:rPr>
                <w:rFonts w:cs="Arial"/>
              </w:rPr>
            </w:pPr>
            <w:r w:rsidRPr="00F94DFB">
              <w:rPr>
                <w:rFonts w:cs="Arial"/>
              </w:rPr>
              <w:t>Net capital gain</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D8DBDE9" w14:textId="77777777" w:rsidR="00115458" w:rsidRPr="00F94DFB" w:rsidRDefault="00115458" w:rsidP="00F94DFB">
            <w:pPr>
              <w:spacing w:after="0" w:line="240" w:lineRule="auto"/>
              <w:rPr>
                <w:rFonts w:cs="Arial"/>
              </w:rPr>
            </w:pPr>
            <w:r w:rsidRPr="00F94DFB">
              <w:rPr>
                <w:rFonts w:cs="Arial"/>
              </w:rPr>
              <w:t>00000007500</w:t>
            </w:r>
          </w:p>
        </w:tc>
      </w:tr>
      <w:tr w:rsidR="00115458" w:rsidRPr="00F94DFB" w14:paraId="55EC4FE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7AFEAF" w14:textId="77777777" w:rsidR="00115458" w:rsidRPr="00F94DFB" w:rsidRDefault="00115458" w:rsidP="00F94DFB">
            <w:pPr>
              <w:spacing w:after="0" w:line="240" w:lineRule="auto"/>
              <w:rPr>
                <w:rFonts w:cs="Arial"/>
              </w:rPr>
            </w:pPr>
            <w:r w:rsidRPr="00F94DFB">
              <w:rPr>
                <w:rFonts w:cs="Arial"/>
              </w:rPr>
              <w:t>9.89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895E5C" w14:textId="77777777" w:rsidR="00115458" w:rsidRPr="00F94DFB" w:rsidRDefault="00115458" w:rsidP="00F94DFB">
            <w:pPr>
              <w:spacing w:after="0" w:line="240" w:lineRule="auto"/>
              <w:rPr>
                <w:rFonts w:cs="Arial"/>
              </w:rPr>
            </w:pPr>
            <w:r w:rsidRPr="00F94DFB">
              <w:rPr>
                <w:rFonts w:cs="Arial"/>
              </w:rPr>
              <w:t>Total current year capital gains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3F5C0A6" w14:textId="77777777" w:rsidR="00115458" w:rsidRPr="00F94DFB" w:rsidRDefault="00115458" w:rsidP="00F94DFB">
            <w:pPr>
              <w:spacing w:after="0" w:line="240" w:lineRule="auto"/>
              <w:rPr>
                <w:rFonts w:cs="Arial"/>
              </w:rPr>
            </w:pPr>
            <w:r w:rsidRPr="00F94DFB">
              <w:rPr>
                <w:rFonts w:cs="Arial"/>
              </w:rPr>
              <w:t>00000012500</w:t>
            </w:r>
          </w:p>
        </w:tc>
      </w:tr>
    </w:tbl>
    <w:p w14:paraId="7631CD79" w14:textId="77777777" w:rsidR="00AC27A6" w:rsidRDefault="00AC27A6" w:rsidP="00F94DFB">
      <w:pPr>
        <w:pStyle w:val="Maintext"/>
        <w:rPr>
          <w:rFonts w:asciiTheme="minorHAnsi" w:hAnsiTheme="minorHAnsi" w:cs="Arial"/>
          <w:b/>
          <w:smallCaps/>
          <w:sz w:val="20"/>
          <w:szCs w:val="20"/>
        </w:rPr>
      </w:pPr>
    </w:p>
    <w:p w14:paraId="4A277A97" w14:textId="125F89B0" w:rsidR="00115458" w:rsidRDefault="00115458" w:rsidP="00F94DFB">
      <w:pPr>
        <w:pStyle w:val="Maintext"/>
        <w:rPr>
          <w:rFonts w:asciiTheme="minorHAnsi" w:hAnsiTheme="minorHAnsi" w:cs="Arial"/>
          <w:smallCaps/>
          <w:sz w:val="20"/>
          <w:szCs w:val="20"/>
        </w:rPr>
      </w:pPr>
      <w:r w:rsidRPr="00F94DFB">
        <w:rPr>
          <w:rFonts w:asciiTheme="minorHAnsi" w:hAnsiTheme="minorHAnsi" w:cs="Arial"/>
          <w:b/>
          <w:smallCaps/>
          <w:sz w:val="20"/>
          <w:szCs w:val="20"/>
        </w:rPr>
        <w:t xml:space="preserve">Supplementary income account data record </w:t>
      </w:r>
      <w:r w:rsidRPr="00F94DFB">
        <w:rPr>
          <w:rFonts w:asciiTheme="minorHAnsi" w:hAnsiTheme="minorHAnsi" w:cs="Arial"/>
          <w:smallCaps/>
          <w:sz w:val="20"/>
          <w:szCs w:val="20"/>
        </w:rPr>
        <w:t>(extract)</w:t>
      </w:r>
    </w:p>
    <w:p w14:paraId="137F1030" w14:textId="77777777" w:rsidR="00AC27A6" w:rsidRPr="00F94DFB" w:rsidRDefault="00AC27A6" w:rsidP="00F94DFB">
      <w:pPr>
        <w:pStyle w:val="Maintext"/>
        <w:rPr>
          <w:rFonts w:asciiTheme="minorHAnsi" w:hAnsiTheme="minorHAnsi" w:cs="Arial"/>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F94DFB" w14:paraId="00FEA4E4"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04E6DCB" w14:textId="77777777" w:rsidR="00115458" w:rsidRPr="00F94DFB" w:rsidRDefault="00115458" w:rsidP="00F94DFB">
            <w:pPr>
              <w:spacing w:after="0" w:line="240" w:lineRule="auto"/>
              <w:rPr>
                <w:rFonts w:cs="Arial"/>
              </w:rPr>
            </w:pPr>
            <w:r w:rsidRPr="00F94DFB">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BD6CE06" w14:textId="77777777" w:rsidR="00115458" w:rsidRPr="00F94DFB" w:rsidRDefault="00115458" w:rsidP="00F94DFB">
            <w:pPr>
              <w:spacing w:after="0" w:line="240" w:lineRule="auto"/>
              <w:rPr>
                <w:rFonts w:cs="Arial"/>
              </w:rPr>
            </w:pPr>
            <w:r w:rsidRPr="00F94DFB">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AAAAEBE" w14:textId="77777777" w:rsidR="00115458" w:rsidRPr="00F94DFB" w:rsidRDefault="00115458" w:rsidP="00F94DFB">
            <w:pPr>
              <w:spacing w:after="0" w:line="240" w:lineRule="auto"/>
              <w:rPr>
                <w:rFonts w:cs="Arial"/>
              </w:rPr>
            </w:pPr>
            <w:r w:rsidRPr="00F94DFB">
              <w:rPr>
                <w:rFonts w:cs="Arial"/>
                <w:b/>
                <w:bCs/>
              </w:rPr>
              <w:t>Content</w:t>
            </w:r>
          </w:p>
        </w:tc>
      </w:tr>
      <w:tr w:rsidR="00115458" w:rsidRPr="00F94DFB" w14:paraId="4F51B68B"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40867AA" w14:textId="77777777" w:rsidR="00115458" w:rsidRPr="00F94DFB" w:rsidRDefault="00115458" w:rsidP="00F94DFB">
            <w:pPr>
              <w:spacing w:after="0" w:line="240" w:lineRule="auto"/>
              <w:rPr>
                <w:rFonts w:cs="Arial"/>
              </w:rPr>
            </w:pPr>
            <w:r w:rsidRPr="00F94DFB">
              <w:rPr>
                <w:rFonts w:cs="Arial"/>
              </w:rPr>
              <w:t>9.123</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117DBE60" w14:textId="77777777" w:rsidR="00115458" w:rsidRPr="00F94DFB" w:rsidRDefault="00115458" w:rsidP="00F94DFB">
            <w:pPr>
              <w:spacing w:after="0" w:line="240" w:lineRule="auto"/>
              <w:rPr>
                <w:rFonts w:cs="Arial"/>
              </w:rPr>
            </w:pPr>
            <w:r w:rsidRPr="00F94DFB">
              <w:rPr>
                <w:rFonts w:cs="Arial"/>
              </w:rPr>
              <w:t>Capital gains discount method - Taxable Australian property</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1FFD311C" w14:textId="77777777" w:rsidR="00115458" w:rsidRPr="00F94DFB" w:rsidRDefault="00115458" w:rsidP="00F94DFB">
            <w:pPr>
              <w:spacing w:after="0" w:line="240" w:lineRule="auto"/>
              <w:rPr>
                <w:rFonts w:cs="Arial"/>
              </w:rPr>
            </w:pPr>
            <w:r w:rsidRPr="00F94DFB">
              <w:rPr>
                <w:rFonts w:cs="Arial"/>
              </w:rPr>
              <w:t>000000005000</w:t>
            </w:r>
          </w:p>
        </w:tc>
      </w:tr>
      <w:tr w:rsidR="00115458" w:rsidRPr="00E226DE" w14:paraId="5153B169"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4D541" w14:textId="77777777" w:rsidR="00115458" w:rsidRPr="00F4606C" w:rsidRDefault="00115458" w:rsidP="00F94DFB">
            <w:pPr>
              <w:spacing w:after="0" w:line="240" w:lineRule="auto"/>
              <w:rPr>
                <w:rFonts w:cs="Arial"/>
              </w:rPr>
            </w:pPr>
            <w:r w:rsidRPr="00F4606C">
              <w:rPr>
                <w:rFonts w:cs="Arial"/>
              </w:rPr>
              <w:t>9.124</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5E186" w14:textId="77777777" w:rsidR="00115458" w:rsidRPr="00F4606C" w:rsidRDefault="00115458" w:rsidP="00F94DFB">
            <w:pPr>
              <w:spacing w:after="0" w:line="240" w:lineRule="auto"/>
              <w:rPr>
                <w:rFonts w:cs="Arial"/>
              </w:rPr>
            </w:pPr>
            <w:r w:rsidRPr="00F4606C">
              <w:rPr>
                <w:rFonts w:cs="Arial"/>
              </w:rPr>
              <w:t>Capital gains discount method – Non-taxable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9B362" w14:textId="77777777" w:rsidR="00115458" w:rsidRPr="00F4606C" w:rsidRDefault="00115458" w:rsidP="00F94DFB">
            <w:pPr>
              <w:spacing w:after="0" w:line="240" w:lineRule="auto"/>
              <w:rPr>
                <w:rFonts w:cs="Arial"/>
              </w:rPr>
            </w:pPr>
            <w:r w:rsidRPr="00F4606C">
              <w:rPr>
                <w:rFonts w:cs="Arial"/>
              </w:rPr>
              <w:t>000000000000</w:t>
            </w:r>
          </w:p>
        </w:tc>
      </w:tr>
      <w:tr w:rsidR="00115458" w:rsidRPr="00E226DE" w14:paraId="67BCDC4F"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9D7D3" w14:textId="77777777" w:rsidR="00115458" w:rsidRPr="00F4606C" w:rsidRDefault="00115458" w:rsidP="00F94DFB">
            <w:pPr>
              <w:spacing w:after="0" w:line="240" w:lineRule="auto"/>
              <w:rPr>
                <w:rFonts w:cs="Arial"/>
              </w:rPr>
            </w:pPr>
            <w:r w:rsidRPr="00F4606C">
              <w:rPr>
                <w:rFonts w:cs="Arial"/>
              </w:rPr>
              <w:t>9.125</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69627D" w14:textId="77777777" w:rsidR="00115458" w:rsidRPr="00F4606C" w:rsidRDefault="00115458" w:rsidP="00F94DFB">
            <w:pPr>
              <w:spacing w:after="0" w:line="240" w:lineRule="auto"/>
              <w:rPr>
                <w:rFonts w:cs="Arial"/>
              </w:rPr>
            </w:pPr>
            <w:r w:rsidRPr="00F4606C">
              <w:rPr>
                <w:rFonts w:cs="Arial"/>
              </w:rPr>
              <w:t>Capital gains other - 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42F06" w14:textId="77777777" w:rsidR="00115458" w:rsidRPr="00F4606C" w:rsidRDefault="00115458" w:rsidP="00F94DFB">
            <w:pPr>
              <w:spacing w:after="0" w:line="240" w:lineRule="auto"/>
              <w:rPr>
                <w:rFonts w:cs="Arial"/>
              </w:rPr>
            </w:pPr>
            <w:r w:rsidRPr="00F4606C">
              <w:rPr>
                <w:rFonts w:cs="Arial"/>
              </w:rPr>
              <w:t>000000000000</w:t>
            </w:r>
          </w:p>
        </w:tc>
      </w:tr>
      <w:tr w:rsidR="00115458" w:rsidRPr="00E226DE" w14:paraId="5B6BEA89"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5CA873" w14:textId="77777777" w:rsidR="00115458" w:rsidRPr="00F4606C" w:rsidRDefault="00115458" w:rsidP="00F94DFB">
            <w:pPr>
              <w:spacing w:after="0" w:line="240" w:lineRule="auto"/>
              <w:rPr>
                <w:rFonts w:cs="Arial"/>
              </w:rPr>
            </w:pPr>
            <w:r w:rsidRPr="00F4606C">
              <w:rPr>
                <w:rFonts w:cs="Arial"/>
              </w:rPr>
              <w:t>9.126</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7373E" w14:textId="77777777" w:rsidR="00115458" w:rsidRPr="00F4606C" w:rsidRDefault="00115458" w:rsidP="00F94DFB">
            <w:pPr>
              <w:spacing w:after="0" w:line="240" w:lineRule="auto"/>
              <w:rPr>
                <w:rFonts w:cs="Arial"/>
              </w:rPr>
            </w:pPr>
            <w:r w:rsidRPr="00F4606C">
              <w:rPr>
                <w:rFonts w:cs="Arial"/>
              </w:rPr>
              <w:t>Capital gains other – Non-taxable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F1BD8" w14:textId="77777777" w:rsidR="00115458" w:rsidRPr="00F4606C" w:rsidRDefault="00115458" w:rsidP="00F94DFB">
            <w:pPr>
              <w:spacing w:after="0" w:line="240" w:lineRule="auto"/>
              <w:rPr>
                <w:rFonts w:cs="Arial"/>
              </w:rPr>
            </w:pPr>
            <w:r w:rsidRPr="00F4606C">
              <w:rPr>
                <w:rFonts w:cs="Arial"/>
              </w:rPr>
              <w:t>000000002500</w:t>
            </w:r>
          </w:p>
        </w:tc>
      </w:tr>
      <w:tr w:rsidR="00115458" w:rsidRPr="00E226DE" w14:paraId="42940180"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16508" w14:textId="77777777" w:rsidR="00115458" w:rsidRPr="00F4606C" w:rsidRDefault="00115458" w:rsidP="00F94DFB">
            <w:pPr>
              <w:spacing w:after="0" w:line="240" w:lineRule="auto"/>
              <w:rPr>
                <w:rFonts w:cs="Arial"/>
              </w:rPr>
            </w:pPr>
            <w:r w:rsidRPr="00F4606C">
              <w:rPr>
                <w:rFonts w:cs="Arial"/>
              </w:rPr>
              <w:t>9.140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DC6E2" w14:textId="77777777" w:rsidR="00115458" w:rsidRPr="00F4606C" w:rsidRDefault="00115458" w:rsidP="00F94DFB">
            <w:pPr>
              <w:spacing w:after="0" w:line="240" w:lineRule="auto"/>
              <w:rPr>
                <w:rFonts w:cs="Arial"/>
              </w:rPr>
            </w:pPr>
            <w:r w:rsidRPr="00F4606C">
              <w:rPr>
                <w:rFonts w:cs="Arial"/>
              </w:rPr>
              <w:t>NCMI Capital Gains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3CA48" w14:textId="77777777" w:rsidR="00115458" w:rsidRPr="00F4606C" w:rsidRDefault="00115458" w:rsidP="00F94DFB">
            <w:pPr>
              <w:spacing w:after="0" w:line="240" w:lineRule="auto"/>
              <w:rPr>
                <w:rFonts w:cs="Arial"/>
              </w:rPr>
            </w:pPr>
            <w:r w:rsidRPr="00F4606C">
              <w:rPr>
                <w:rFonts w:cs="Arial"/>
              </w:rPr>
              <w:t>000000000000</w:t>
            </w:r>
          </w:p>
        </w:tc>
      </w:tr>
      <w:tr w:rsidR="00115458" w:rsidRPr="00E226DE" w14:paraId="234452BF"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A6111" w14:textId="77777777" w:rsidR="00115458" w:rsidRPr="00F4606C" w:rsidRDefault="00115458" w:rsidP="00F94DFB">
            <w:pPr>
              <w:spacing w:after="0" w:line="240" w:lineRule="auto"/>
              <w:rPr>
                <w:rFonts w:cs="Arial"/>
              </w:rPr>
            </w:pPr>
            <w:r w:rsidRPr="00F4606C">
              <w:rPr>
                <w:rFonts w:cs="Arial"/>
              </w:rPr>
              <w:t>9.141</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AB3A7" w14:textId="77777777" w:rsidR="00115458" w:rsidRPr="00F4606C" w:rsidRDefault="00115458" w:rsidP="00F94DFB">
            <w:pPr>
              <w:spacing w:after="0" w:line="240" w:lineRule="auto"/>
              <w:rPr>
                <w:rFonts w:cs="Arial"/>
              </w:rPr>
            </w:pPr>
            <w:r w:rsidRPr="00F4606C">
              <w:rPr>
                <w:rFonts w:cs="Arial"/>
              </w:rPr>
              <w:t>Excluded from NCMI Capital Gains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AC56A" w14:textId="77777777" w:rsidR="00115458" w:rsidRPr="00F4606C" w:rsidRDefault="00115458" w:rsidP="00F94DFB">
            <w:pPr>
              <w:spacing w:after="0" w:line="240" w:lineRule="auto"/>
              <w:rPr>
                <w:rFonts w:cs="Arial"/>
              </w:rPr>
            </w:pPr>
            <w:r w:rsidRPr="00F4606C">
              <w:rPr>
                <w:rFonts w:cs="Arial"/>
              </w:rPr>
              <w:t>000000000000</w:t>
            </w:r>
          </w:p>
        </w:tc>
      </w:tr>
    </w:tbl>
    <w:p w14:paraId="0F272615" w14:textId="77777777" w:rsidR="00115458" w:rsidRPr="006E2917" w:rsidRDefault="00115458" w:rsidP="00115458">
      <w:pPr>
        <w:pStyle w:val="ListParagraph"/>
        <w:spacing w:before="60" w:after="60"/>
        <w:ind w:left="0"/>
        <w:rPr>
          <w:rFonts w:cs="Arial"/>
        </w:rPr>
      </w:pPr>
    </w:p>
    <w:p w14:paraId="6BECAC0C" w14:textId="77777777" w:rsidR="00115458" w:rsidRPr="00F4606C" w:rsidRDefault="00115458" w:rsidP="00F4606C">
      <w:pPr>
        <w:pStyle w:val="Bullet1"/>
        <w:spacing w:before="0" w:after="0"/>
        <w:rPr>
          <w:rFonts w:asciiTheme="minorHAnsi" w:hAnsiTheme="minorHAnsi"/>
          <w:sz w:val="20"/>
          <w:szCs w:val="20"/>
        </w:rPr>
      </w:pPr>
      <w:r w:rsidRPr="00F4606C">
        <w:rPr>
          <w:rFonts w:asciiTheme="minorHAnsi" w:hAnsiTheme="minorHAnsi"/>
          <w:b/>
          <w:sz w:val="20"/>
          <w:szCs w:val="20"/>
        </w:rPr>
        <w:t>Taxable foreign capital gains (9.90)</w:t>
      </w:r>
      <w:r w:rsidRPr="00F4606C">
        <w:rPr>
          <w:rFonts w:asciiTheme="minorHAnsi" w:hAnsiTheme="minorHAnsi"/>
          <w:sz w:val="20"/>
          <w:szCs w:val="20"/>
        </w:rPr>
        <w:t xml:space="preserve"> </w:t>
      </w:r>
    </w:p>
    <w:p w14:paraId="71913FF1" w14:textId="77777777" w:rsidR="00115458" w:rsidRPr="00F4606C" w:rsidRDefault="00115458" w:rsidP="00F4606C">
      <w:pPr>
        <w:pStyle w:val="Bullet1"/>
        <w:spacing w:before="0" w:after="0"/>
        <w:rPr>
          <w:rFonts w:asciiTheme="minorHAnsi" w:hAnsiTheme="minorHAnsi"/>
          <w:sz w:val="20"/>
          <w:szCs w:val="20"/>
        </w:rPr>
      </w:pPr>
      <w:r w:rsidRPr="00F4606C">
        <w:rPr>
          <w:rFonts w:asciiTheme="minorHAnsi" w:hAnsiTheme="minorHAnsi"/>
          <w:sz w:val="20"/>
          <w:szCs w:val="20"/>
        </w:rPr>
        <w:t xml:space="preserve">Although Australian and foreign source capital gains components have been included in the </w:t>
      </w:r>
      <w:r w:rsidRPr="00F4606C">
        <w:rPr>
          <w:rFonts w:asciiTheme="minorHAnsi" w:hAnsiTheme="minorHAnsi"/>
          <w:i/>
          <w:sz w:val="20"/>
          <w:szCs w:val="20"/>
        </w:rPr>
        <w:t>Capital gains discount method - Taxable Australian property/Non-taxable Australian property</w:t>
      </w:r>
      <w:r w:rsidRPr="00F4606C">
        <w:rPr>
          <w:rFonts w:asciiTheme="minorHAnsi" w:hAnsiTheme="minorHAnsi"/>
          <w:sz w:val="20"/>
          <w:szCs w:val="20"/>
        </w:rPr>
        <w:t xml:space="preserve"> and </w:t>
      </w:r>
      <w:r w:rsidRPr="00F4606C">
        <w:rPr>
          <w:rFonts w:asciiTheme="minorHAnsi" w:hAnsiTheme="minorHAnsi"/>
          <w:i/>
          <w:sz w:val="20"/>
          <w:szCs w:val="20"/>
        </w:rPr>
        <w:t>Capital gains other - Taxable Australian property/Non-taxable Australian property</w:t>
      </w:r>
      <w:r w:rsidRPr="00F4606C">
        <w:rPr>
          <w:rFonts w:asciiTheme="minorHAnsi" w:hAnsiTheme="minorHAnsi"/>
          <w:sz w:val="20"/>
          <w:szCs w:val="20"/>
        </w:rPr>
        <w:t xml:space="preserve"> fields (which correspond with the amounts declared at the capital gains label on the income tax return and with the amounts shown on the AMMA statement), there is a requirement to identify the Taxable foreign capital gains separately in the AIIR at this label.</w:t>
      </w:r>
    </w:p>
    <w:p w14:paraId="6C4EFCDB" w14:textId="77777777" w:rsidR="00115458" w:rsidRPr="005A2179" w:rsidRDefault="00115458" w:rsidP="00F4606C">
      <w:pPr>
        <w:spacing w:after="0" w:line="240" w:lineRule="auto"/>
        <w:rPr>
          <w:rFonts w:cs="Arial"/>
        </w:rPr>
      </w:pPr>
    </w:p>
    <w:p w14:paraId="2D474496" w14:textId="77777777" w:rsidR="00115458" w:rsidRPr="005A2179" w:rsidRDefault="00115458" w:rsidP="00F4606C">
      <w:pPr>
        <w:spacing w:after="0" w:line="240" w:lineRule="auto"/>
        <w:rPr>
          <w:rFonts w:cs="Arial"/>
          <w:b/>
        </w:rPr>
      </w:pPr>
      <w:r w:rsidRPr="005A2179">
        <w:rPr>
          <w:b/>
        </w:rPr>
        <w:t>Non-resident beneficiary ss98(3) or non-resident investor ss276-105(2)(a) or (b) assessable amounts (9.101)</w:t>
      </w:r>
    </w:p>
    <w:p w14:paraId="221EFF0B" w14:textId="77777777" w:rsidR="00115458" w:rsidRPr="005A2179" w:rsidRDefault="00115458" w:rsidP="00F4606C">
      <w:pPr>
        <w:spacing w:after="0" w:line="240" w:lineRule="auto"/>
      </w:pPr>
      <w:r w:rsidRPr="005A2179">
        <w:rPr>
          <w:rFonts w:cs="Arial"/>
        </w:rPr>
        <w:t>For AMITs</w:t>
      </w:r>
      <w:r w:rsidRPr="005A2179">
        <w:t>, the amount reported at this field is the non-resident investor ss276-105(2)(a) or (b) assessable amount.</w:t>
      </w:r>
      <w:r w:rsidRPr="005A2179">
        <w:rPr>
          <w:rFonts w:cs="Arial"/>
          <w:b/>
        </w:rPr>
        <w:t xml:space="preserve"> </w:t>
      </w:r>
      <w:r w:rsidRPr="005A2179">
        <w:t>Show the taxable investor component under subsection 276-105(2)(a) or (b) of the ITAA 1997 that has been attributed to a foreign resident investor if a trustee is assessable on behalf of the foreign resident (other than a trustee beneficiary).</w:t>
      </w:r>
    </w:p>
    <w:p w14:paraId="1A2B0697" w14:textId="77777777" w:rsidR="00115458" w:rsidRPr="005A2179" w:rsidRDefault="00115458" w:rsidP="00F4606C">
      <w:pPr>
        <w:spacing w:after="0" w:line="240" w:lineRule="auto"/>
      </w:pPr>
    </w:p>
    <w:p w14:paraId="7FA88E2B" w14:textId="77777777" w:rsidR="00115458" w:rsidRPr="00F4606C" w:rsidRDefault="00115458" w:rsidP="005A2179">
      <w:pPr>
        <w:pStyle w:val="Maintext"/>
        <w:rPr>
          <w:rFonts w:asciiTheme="minorHAnsi" w:hAnsiTheme="minorHAnsi" w:cs="Arial"/>
          <w:b/>
          <w:sz w:val="20"/>
          <w:szCs w:val="20"/>
        </w:rPr>
      </w:pPr>
      <w:r w:rsidRPr="00F4606C">
        <w:rPr>
          <w:rFonts w:asciiTheme="minorHAnsi" w:hAnsiTheme="minorHAnsi"/>
          <w:b/>
          <w:sz w:val="20"/>
          <w:szCs w:val="20"/>
        </w:rPr>
        <w:t>Non-resident beneficiary ss98(4) or non-resident investor ss276-105(2)(c) assessable amounts</w:t>
      </w:r>
      <w:r w:rsidRPr="00F4606C">
        <w:rPr>
          <w:rFonts w:asciiTheme="minorHAnsi" w:hAnsiTheme="minorHAnsi" w:cs="Arial"/>
          <w:b/>
          <w:sz w:val="20"/>
          <w:szCs w:val="20"/>
        </w:rPr>
        <w:t xml:space="preserve"> (9.102) </w:t>
      </w:r>
    </w:p>
    <w:p w14:paraId="0062F41F" w14:textId="77777777" w:rsidR="00115458" w:rsidRPr="00F4606C" w:rsidRDefault="00115458" w:rsidP="005A2179">
      <w:pPr>
        <w:pStyle w:val="Maintext"/>
        <w:rPr>
          <w:rFonts w:asciiTheme="minorHAnsi" w:hAnsiTheme="minorHAnsi"/>
          <w:sz w:val="20"/>
          <w:szCs w:val="20"/>
        </w:rPr>
      </w:pPr>
      <w:r w:rsidRPr="00F4606C">
        <w:rPr>
          <w:rFonts w:asciiTheme="minorHAnsi" w:hAnsiTheme="minorHAnsi" w:cs="Arial"/>
          <w:sz w:val="20"/>
          <w:szCs w:val="20"/>
        </w:rPr>
        <w:t>For AMITs</w:t>
      </w:r>
      <w:r w:rsidRPr="00F4606C">
        <w:rPr>
          <w:rFonts w:asciiTheme="minorHAnsi" w:hAnsiTheme="minorHAnsi"/>
          <w:sz w:val="20"/>
          <w:szCs w:val="20"/>
        </w:rPr>
        <w:t>, the amount reported at this field is the non-resident investor ss276-105(2)(c) assessable amount. Show the taxable investor component under subsection 276-105(2)(c) of the ITAA 1997 that has been attributed to a foreign resident investor if a trustee is assessable on behalf of the foreign resident who is a trustee beneficiary.</w:t>
      </w:r>
    </w:p>
    <w:p w14:paraId="6F3BFD56" w14:textId="77777777" w:rsidR="00115458" w:rsidRDefault="00115458" w:rsidP="00115458">
      <w:pPr>
        <w:rPr>
          <w:rFonts w:cs="Arial"/>
          <w:b/>
          <w:szCs w:val="22"/>
        </w:rPr>
      </w:pPr>
    </w:p>
    <w:p w14:paraId="33599B3B" w14:textId="77777777" w:rsidR="005A2179" w:rsidRPr="005A2179" w:rsidRDefault="005A2179" w:rsidP="005A2179">
      <w:pPr>
        <w:spacing w:after="0" w:line="240" w:lineRule="auto"/>
        <w:rPr>
          <w:b/>
        </w:rPr>
      </w:pPr>
      <w:bookmarkStart w:id="1628" w:name="_Hlk152071855"/>
      <w:r w:rsidRPr="005A2179">
        <w:rPr>
          <w:b/>
        </w:rPr>
        <w:t>Interposed entity name (9.103)</w:t>
      </w:r>
    </w:p>
    <w:p w14:paraId="0FA4F5DC" w14:textId="77777777" w:rsidR="005A2179" w:rsidRPr="005A2179" w:rsidRDefault="005A2179" w:rsidP="005A2179">
      <w:pPr>
        <w:spacing w:after="0" w:line="240" w:lineRule="auto"/>
        <w:rPr>
          <w:bCs/>
        </w:rPr>
      </w:pPr>
      <w:bookmarkStart w:id="1629" w:name="_Hlk128053736"/>
      <w:bookmarkEnd w:id="1628"/>
      <w:r w:rsidRPr="005A2179">
        <w:rPr>
          <w:bCs/>
        </w:rPr>
        <w:t>For MITs, AMITs and CCIV sub-fund trusts where the Global AIIR reporting option is chosen this label is used to provide the name of the trust that distributed/attributed the amounts to the investor.</w:t>
      </w:r>
    </w:p>
    <w:bookmarkEnd w:id="1629"/>
    <w:p w14:paraId="4678C114" w14:textId="77777777" w:rsidR="005A2179" w:rsidRPr="005A2179" w:rsidRDefault="005A2179" w:rsidP="005A2179">
      <w:pPr>
        <w:spacing w:after="0" w:line="240" w:lineRule="auto"/>
        <w:rPr>
          <w:bCs/>
        </w:rPr>
      </w:pPr>
    </w:p>
    <w:p w14:paraId="4C6B57B0" w14:textId="77777777" w:rsidR="00AC27A6" w:rsidRDefault="00AC27A6" w:rsidP="005A2179">
      <w:pPr>
        <w:spacing w:after="0" w:line="240" w:lineRule="auto"/>
        <w:rPr>
          <w:b/>
        </w:rPr>
      </w:pPr>
      <w:bookmarkStart w:id="1630" w:name="_Hlk152071871"/>
    </w:p>
    <w:p w14:paraId="2193F309" w14:textId="0D95F1D6" w:rsidR="005A2179" w:rsidRPr="005A2179" w:rsidRDefault="005A2179" w:rsidP="005A2179">
      <w:pPr>
        <w:spacing w:after="0" w:line="240" w:lineRule="auto"/>
        <w:rPr>
          <w:b/>
        </w:rPr>
      </w:pPr>
      <w:r w:rsidRPr="005A2179">
        <w:rPr>
          <w:b/>
        </w:rPr>
        <w:t>Interposed entity TFN or ABN (9.104)</w:t>
      </w:r>
    </w:p>
    <w:p w14:paraId="15F04C35" w14:textId="6174B8A3" w:rsidR="005A2179" w:rsidRDefault="005A2179" w:rsidP="00AC27A6">
      <w:pPr>
        <w:spacing w:after="0" w:line="240" w:lineRule="auto"/>
        <w:rPr>
          <w:bCs/>
        </w:rPr>
      </w:pPr>
      <w:bookmarkStart w:id="1631" w:name="_Hlk128053754"/>
      <w:bookmarkEnd w:id="1630"/>
      <w:r w:rsidRPr="005A2179">
        <w:rPr>
          <w:bCs/>
        </w:rPr>
        <w:t>For MITs, AMITs and CCIV sub-funds, where the Global AIIR reporting option is chosen this label is used to provide the TFN or ABN (ABN preferred) of the trust that distributed/attributed the amounts to the investor.</w:t>
      </w:r>
      <w:bookmarkEnd w:id="1631"/>
    </w:p>
    <w:p w14:paraId="26C7F4EA" w14:textId="77777777" w:rsidR="00AC27A6" w:rsidRPr="00AC27A6" w:rsidRDefault="00AC27A6" w:rsidP="00AC27A6">
      <w:pPr>
        <w:spacing w:after="0" w:line="240" w:lineRule="auto"/>
        <w:rPr>
          <w:bCs/>
        </w:rPr>
      </w:pPr>
    </w:p>
    <w:p w14:paraId="4C2AA8B3" w14:textId="4A14AAFB" w:rsidR="00115458" w:rsidRDefault="00115458" w:rsidP="00F4606C">
      <w:pPr>
        <w:spacing w:after="0" w:line="240" w:lineRule="auto"/>
      </w:pPr>
      <w:r w:rsidRPr="009E3742">
        <w:rPr>
          <w:b/>
        </w:rPr>
        <w:t>Managed investment trust fund payments</w:t>
      </w:r>
      <w:r w:rsidRPr="009E3742">
        <w:rPr>
          <w:rFonts w:cs="Arial"/>
          <w:b/>
          <w:szCs w:val="22"/>
        </w:rPr>
        <w:t xml:space="preserve"> (</w:t>
      </w:r>
      <w:r>
        <w:rPr>
          <w:rFonts w:cs="Arial"/>
          <w:b/>
          <w:szCs w:val="22"/>
        </w:rPr>
        <w:t>9.105</w:t>
      </w:r>
      <w:r w:rsidRPr="009E3742">
        <w:rPr>
          <w:rFonts w:cs="Arial"/>
          <w:b/>
          <w:szCs w:val="22"/>
        </w:rPr>
        <w:t>)</w:t>
      </w:r>
    </w:p>
    <w:p w14:paraId="1B96BE3C" w14:textId="240ED235" w:rsidR="00115458" w:rsidRDefault="00BD1A1A" w:rsidP="00F4606C">
      <w:pPr>
        <w:spacing w:after="0" w:line="240" w:lineRule="auto"/>
        <w:rPr>
          <w:rFonts w:cs="Arial"/>
          <w:b/>
          <w:szCs w:val="22"/>
        </w:rPr>
      </w:pPr>
      <w:r w:rsidRPr="00BD1A1A">
        <w:t>Fund Payment amounts must be reported for both domestic and foreign investors.</w:t>
      </w:r>
      <w:r>
        <w:t xml:space="preserve"> </w:t>
      </w:r>
      <w:r w:rsidR="00115458">
        <w:t xml:space="preserve">Report </w:t>
      </w:r>
      <w:r w:rsidR="00115458" w:rsidRPr="00057000">
        <w:t>the fund payment amount</w:t>
      </w:r>
      <w:r w:rsidR="00115458" w:rsidRPr="003B0CD1">
        <w:t xml:space="preserve"> </w:t>
      </w:r>
      <w:r w:rsidR="00115458">
        <w:t>including actual and deemed payments at this field</w:t>
      </w:r>
      <w:r w:rsidR="00115458" w:rsidRPr="00057000">
        <w:t>.</w:t>
      </w:r>
      <w:r w:rsidR="00115458">
        <w:t xml:space="preserve"> </w:t>
      </w:r>
      <w:bookmarkStart w:id="1632" w:name="_Hlk44513531"/>
      <w:r w:rsidR="00115458">
        <w:t>Do not include NCMI or excluded NCMI amounts at this field</w:t>
      </w:r>
      <w:r w:rsidR="00DB2134">
        <w:t>.</w:t>
      </w:r>
      <w:r w:rsidR="00895CBA">
        <w:t xml:space="preserve"> </w:t>
      </w:r>
    </w:p>
    <w:bookmarkEnd w:id="1632"/>
    <w:p w14:paraId="010CCA29" w14:textId="77777777" w:rsidR="00115458" w:rsidRDefault="00115458" w:rsidP="00F4606C">
      <w:pPr>
        <w:spacing w:after="0" w:line="240" w:lineRule="auto"/>
        <w:rPr>
          <w:b/>
          <w:noProof/>
        </w:rPr>
      </w:pPr>
    </w:p>
    <w:p w14:paraId="62B42982" w14:textId="77777777" w:rsidR="00115458" w:rsidRDefault="00115458" w:rsidP="00F4606C">
      <w:pPr>
        <w:spacing w:after="0" w:line="240" w:lineRule="auto"/>
      </w:pPr>
      <w:r w:rsidRPr="009E3742">
        <w:rPr>
          <w:b/>
        </w:rPr>
        <w:t>Amounts withheld from managed investment trust fund payments (</w:t>
      </w:r>
      <w:r>
        <w:rPr>
          <w:b/>
        </w:rPr>
        <w:t>9.106</w:t>
      </w:r>
      <w:r w:rsidRPr="009E3742">
        <w:rPr>
          <w:b/>
        </w:rPr>
        <w:t>)</w:t>
      </w:r>
    </w:p>
    <w:p w14:paraId="34A95D49" w14:textId="24D857C5" w:rsidR="00115458" w:rsidRDefault="00115458" w:rsidP="00F4606C">
      <w:pPr>
        <w:spacing w:after="0" w:line="240" w:lineRule="auto"/>
        <w:rPr>
          <w:rFonts w:cs="Arial"/>
          <w:b/>
          <w:szCs w:val="22"/>
        </w:rPr>
      </w:pPr>
      <w:r>
        <w:t xml:space="preserve">Report </w:t>
      </w:r>
      <w:r w:rsidRPr="00372898">
        <w:t xml:space="preserve">the </w:t>
      </w:r>
      <w:r>
        <w:t xml:space="preserve">tax withheld from </w:t>
      </w:r>
      <w:r w:rsidRPr="00372898">
        <w:t>fund payment amount</w:t>
      </w:r>
      <w:r>
        <w:t>s</w:t>
      </w:r>
      <w:r w:rsidR="001F1DE7">
        <w:t xml:space="preserve"> for foreign investors</w:t>
      </w:r>
      <w:r>
        <w:t xml:space="preserve">, including amounts withheld from actual and deemed payments, at this field. </w:t>
      </w:r>
      <w:r w:rsidRPr="007B6A62">
        <w:t xml:space="preserve"> </w:t>
      </w:r>
      <w:r>
        <w:t xml:space="preserve">Do not include amounts withheld from NCMI or excluded from NCMI at this field.  </w:t>
      </w:r>
    </w:p>
    <w:p w14:paraId="606C7E87" w14:textId="77777777" w:rsidR="00115458" w:rsidRDefault="00115458" w:rsidP="00F4606C">
      <w:pPr>
        <w:spacing w:after="0" w:line="240" w:lineRule="auto"/>
        <w:rPr>
          <w:rFonts w:cs="Arial"/>
          <w:b/>
          <w:szCs w:val="22"/>
        </w:rPr>
      </w:pPr>
    </w:p>
    <w:p w14:paraId="3D3EE60C" w14:textId="77777777" w:rsidR="00115458" w:rsidRDefault="00115458" w:rsidP="00F4606C">
      <w:pPr>
        <w:spacing w:after="0" w:line="240" w:lineRule="auto"/>
        <w:rPr>
          <w:rFonts w:cs="Arial"/>
          <w:b/>
          <w:szCs w:val="22"/>
        </w:rPr>
      </w:pPr>
      <w:r>
        <w:rPr>
          <w:b/>
        </w:rPr>
        <w:t>LIC</w:t>
      </w:r>
      <w:r w:rsidRPr="003F21CE">
        <w:rPr>
          <w:b/>
        </w:rPr>
        <w:t xml:space="preserve"> capital gain deduction (</w:t>
      </w:r>
      <w:r>
        <w:rPr>
          <w:b/>
        </w:rPr>
        <w:t>9.108</w:t>
      </w:r>
      <w:r w:rsidRPr="003F21CE">
        <w:rPr>
          <w:b/>
        </w:rPr>
        <w:t>)</w:t>
      </w:r>
    </w:p>
    <w:p w14:paraId="310C2E81" w14:textId="77777777" w:rsidR="00115458" w:rsidRDefault="00115458" w:rsidP="00F4606C">
      <w:pPr>
        <w:spacing w:after="0" w:line="240" w:lineRule="auto"/>
      </w:pPr>
      <w:r>
        <w:t xml:space="preserve">This field captures the CGT discount amount attributable to a capital gain at the time the LIC pays a dividend. </w:t>
      </w:r>
      <w:r w:rsidRPr="004B6878">
        <w:t>A LIC paying a dividend will advise its shareholders how much of the dividend is attributable to a LIC capital gain (the attributable part).</w:t>
      </w:r>
      <w:r>
        <w:t xml:space="preserve"> Include the deductible amount here.</w:t>
      </w:r>
    </w:p>
    <w:p w14:paraId="3B60E407" w14:textId="77777777" w:rsidR="00115458" w:rsidRDefault="00115458" w:rsidP="00F4606C">
      <w:pPr>
        <w:spacing w:after="0" w:line="240" w:lineRule="auto"/>
      </w:pPr>
    </w:p>
    <w:p w14:paraId="0F18C03B" w14:textId="77777777" w:rsidR="00115458" w:rsidRDefault="00115458" w:rsidP="00F4606C">
      <w:pPr>
        <w:spacing w:after="0" w:line="240" w:lineRule="auto"/>
      </w:pPr>
      <w:r>
        <w:t xml:space="preserve">If the LIC capital gain is part of an unfranked dividend and you currently deduct the LIC capital gain deduction amount from the </w:t>
      </w:r>
      <w:r w:rsidRPr="00124E72">
        <w:rPr>
          <w:i/>
        </w:rPr>
        <w:t>Unfranked distribution from trust</w:t>
      </w:r>
      <w:r>
        <w:t xml:space="preserve"> (9.119) component of </w:t>
      </w:r>
      <w:r w:rsidRPr="00124E72">
        <w:rPr>
          <w:i/>
        </w:rPr>
        <w:t>Non-primary production</w:t>
      </w:r>
      <w:r>
        <w:t xml:space="preserve"> </w:t>
      </w:r>
      <w:r w:rsidRPr="00124E72">
        <w:rPr>
          <w:i/>
        </w:rPr>
        <w:t>income</w:t>
      </w:r>
      <w:r>
        <w:t xml:space="preserve"> (9.85) then you should continue to do so and report the deductible amount at this label.</w:t>
      </w:r>
    </w:p>
    <w:p w14:paraId="43934930" w14:textId="77777777" w:rsidR="00115458" w:rsidRDefault="00115458" w:rsidP="00115458"/>
    <w:p w14:paraId="046B814B" w14:textId="77777777" w:rsidR="00115458" w:rsidRPr="00D460C8" w:rsidRDefault="00115458" w:rsidP="00F4606C">
      <w:pPr>
        <w:spacing w:after="0" w:line="240" w:lineRule="auto"/>
        <w:rPr>
          <w:b/>
        </w:rPr>
      </w:pPr>
      <w:r w:rsidRPr="00D460C8">
        <w:rPr>
          <w:b/>
        </w:rPr>
        <w:t>Example 6.5 – LIC capital gain deduction</w:t>
      </w:r>
    </w:p>
    <w:p w14:paraId="2B4BDF55" w14:textId="77777777" w:rsidR="00115458" w:rsidRDefault="00115458" w:rsidP="00F4606C">
      <w:pPr>
        <w:spacing w:after="0" w:line="240" w:lineRule="auto"/>
        <w:rPr>
          <w:b/>
        </w:rPr>
      </w:pPr>
    </w:p>
    <w:p w14:paraId="18C3857D" w14:textId="77777777" w:rsidR="00115458" w:rsidRDefault="00115458" w:rsidP="00F4606C">
      <w:pPr>
        <w:spacing w:after="0" w:line="240" w:lineRule="auto"/>
      </w:pPr>
      <w:r>
        <w:t xml:space="preserve">If the investor is a resident individual, they can deduct 50% of the attributable part advised by the LIC. </w:t>
      </w:r>
    </w:p>
    <w:p w14:paraId="1FE4DC70" w14:textId="77777777" w:rsidR="00115458" w:rsidRDefault="00115458" w:rsidP="00F4606C">
      <w:pPr>
        <w:spacing w:after="0" w:line="240" w:lineRule="auto"/>
      </w:pPr>
    </w:p>
    <w:p w14:paraId="7A426572" w14:textId="21EDB208" w:rsidR="00115458" w:rsidRDefault="00115458" w:rsidP="00F4606C">
      <w:pPr>
        <w:pStyle w:val="ListParagraph"/>
        <w:numPr>
          <w:ilvl w:val="0"/>
          <w:numId w:val="104"/>
        </w:numPr>
        <w:spacing w:after="0" w:line="240" w:lineRule="auto"/>
      </w:pPr>
      <w:r>
        <w:t>Unfranked dividend not declared to be conduit foreign income $100.00</w:t>
      </w:r>
    </w:p>
    <w:p w14:paraId="4689D3AF" w14:textId="2F6A9E15" w:rsidR="00115458" w:rsidRDefault="00115458" w:rsidP="00F4606C">
      <w:pPr>
        <w:pStyle w:val="ListParagraph"/>
        <w:numPr>
          <w:ilvl w:val="0"/>
          <w:numId w:val="104"/>
        </w:numPr>
        <w:spacing w:after="0" w:line="240" w:lineRule="auto"/>
      </w:pPr>
      <w:r>
        <w:t>LIC advises capital gain amount of $50.00 included in above dividend (attributable part). Investor is entitled to a 50% deduction for the LIC capital gain = $25.00</w:t>
      </w:r>
    </w:p>
    <w:p w14:paraId="308AC162" w14:textId="77777777" w:rsidR="00115458" w:rsidRDefault="00115458" w:rsidP="00777FBF">
      <w:pPr>
        <w:pStyle w:val="ListParagraph"/>
        <w:numPr>
          <w:ilvl w:val="0"/>
          <w:numId w:val="104"/>
        </w:numPr>
        <w:spacing w:after="0" w:line="240" w:lineRule="auto"/>
      </w:pPr>
      <w:r>
        <w:t xml:space="preserve">Report $25.00 at </w:t>
      </w:r>
      <w:r w:rsidRPr="00777FBF">
        <w:rPr>
          <w:i/>
        </w:rPr>
        <w:t>Listed investment company capital gain deduction</w:t>
      </w:r>
      <w:r>
        <w:t xml:space="preserve"> (9.108)</w:t>
      </w:r>
    </w:p>
    <w:p w14:paraId="56299A27" w14:textId="77777777" w:rsidR="00115458" w:rsidRDefault="00115458" w:rsidP="00115458">
      <w:pPr>
        <w:pStyle w:val="Maintext"/>
        <w:rPr>
          <w:b/>
        </w:rPr>
      </w:pPr>
    </w:p>
    <w:p w14:paraId="150BA3EF" w14:textId="77777777" w:rsidR="00115458" w:rsidRDefault="00115458" w:rsidP="00115458">
      <w:pPr>
        <w:pStyle w:val="Maintext"/>
        <w:rPr>
          <w:rFonts w:cs="Arial"/>
          <w:smallCaps/>
        </w:rPr>
      </w:pPr>
      <w:r w:rsidRPr="00B35C0A">
        <w:rPr>
          <w:rFonts w:cs="Arial"/>
          <w:b/>
          <w:smallCaps/>
        </w:rPr>
        <w:t xml:space="preserve">investment account data record </w:t>
      </w:r>
      <w:r w:rsidRPr="00B35C0A">
        <w:rPr>
          <w:rFonts w:cs="Arial"/>
          <w:smallCaps/>
        </w:rPr>
        <w:t>(extract)</w:t>
      </w:r>
    </w:p>
    <w:p w14:paraId="7A9CD286" w14:textId="77777777" w:rsidR="00115458" w:rsidRPr="00B35C0A" w:rsidRDefault="00115458" w:rsidP="00115458">
      <w:pPr>
        <w:pStyle w:val="Maintext"/>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126"/>
        <w:gridCol w:w="5210"/>
        <w:gridCol w:w="2878"/>
      </w:tblGrid>
      <w:tr w:rsidR="00115458" w:rsidRPr="00DB1D67" w14:paraId="188CDFD3"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6D45628D" w14:textId="77777777" w:rsidR="00115458" w:rsidRPr="00DB1D67" w:rsidRDefault="00115458" w:rsidP="00F4606C">
            <w:pPr>
              <w:spacing w:after="0" w:line="240" w:lineRule="auto"/>
              <w:rPr>
                <w:rFonts w:cs="Arial"/>
              </w:rPr>
            </w:pPr>
            <w:r w:rsidRPr="00DB1D67">
              <w:rPr>
                <w:rFonts w:cs="Arial"/>
                <w:b/>
                <w:bCs/>
                <w:sz w:val="18"/>
                <w:szCs w:val="18"/>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9E2AF70" w14:textId="77777777" w:rsidR="00115458" w:rsidRPr="00DB1D67" w:rsidRDefault="00115458" w:rsidP="00F4606C">
            <w:pPr>
              <w:spacing w:after="0" w:line="240" w:lineRule="auto"/>
              <w:rPr>
                <w:rFonts w:cs="Arial"/>
              </w:rPr>
            </w:pPr>
            <w:r w:rsidRPr="00DB1D67">
              <w:rPr>
                <w:rFonts w:cs="Arial"/>
                <w:b/>
                <w:bCs/>
                <w:sz w:val="18"/>
                <w:szCs w:val="18"/>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8712B0A" w14:textId="77777777" w:rsidR="00115458" w:rsidRPr="00DB1D67" w:rsidRDefault="00115458" w:rsidP="00F4606C">
            <w:pPr>
              <w:spacing w:after="0" w:line="240" w:lineRule="auto"/>
              <w:rPr>
                <w:rFonts w:cs="Arial"/>
              </w:rPr>
            </w:pPr>
            <w:r w:rsidRPr="00DB1D67">
              <w:rPr>
                <w:rFonts w:cs="Arial"/>
                <w:b/>
                <w:bCs/>
                <w:sz w:val="18"/>
                <w:szCs w:val="18"/>
              </w:rPr>
              <w:t>Content</w:t>
            </w:r>
          </w:p>
        </w:tc>
      </w:tr>
      <w:tr w:rsidR="00115458" w:rsidRPr="00DB1D67" w14:paraId="024F101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73562D" w14:textId="77777777" w:rsidR="00115458" w:rsidRDefault="00115458" w:rsidP="00F4606C">
            <w:pPr>
              <w:spacing w:after="0" w:line="240" w:lineRule="auto"/>
              <w:rPr>
                <w:rFonts w:cs="Arial"/>
                <w:sz w:val="18"/>
                <w:szCs w:val="18"/>
              </w:rPr>
            </w:pPr>
            <w:r>
              <w:rPr>
                <w:rFonts w:cs="Arial"/>
                <w:sz w:val="18"/>
                <w:szCs w:val="18"/>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6BDE2DA" w14:textId="77777777" w:rsidR="00115458" w:rsidRDefault="00115458" w:rsidP="00F4606C">
            <w:pPr>
              <w:spacing w:after="0" w:line="240" w:lineRule="auto"/>
              <w:rPr>
                <w:rFonts w:cs="Arial"/>
                <w:sz w:val="18"/>
                <w:szCs w:val="18"/>
              </w:rPr>
            </w:pPr>
            <w:r>
              <w:rPr>
                <w:rFonts w:cs="Arial"/>
                <w:sz w:val="18"/>
                <w:szCs w:val="18"/>
              </w:rPr>
              <w:t>Interest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48B41" w14:textId="77777777" w:rsidR="00115458" w:rsidRDefault="00115458" w:rsidP="00F4606C">
            <w:pPr>
              <w:spacing w:after="0" w:line="240" w:lineRule="auto"/>
              <w:rPr>
                <w:rFonts w:cs="Arial"/>
                <w:sz w:val="18"/>
                <w:szCs w:val="18"/>
              </w:rPr>
            </w:pPr>
            <w:r>
              <w:rPr>
                <w:rFonts w:cs="Arial"/>
                <w:sz w:val="18"/>
                <w:szCs w:val="18"/>
              </w:rPr>
              <w:t>000000000000</w:t>
            </w:r>
          </w:p>
        </w:tc>
      </w:tr>
      <w:tr w:rsidR="00115458" w:rsidRPr="00DB1D67" w14:paraId="0D79457D"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28DCCE" w14:textId="77777777" w:rsidR="00115458" w:rsidRDefault="00115458" w:rsidP="00F4606C">
            <w:pPr>
              <w:spacing w:after="0" w:line="240" w:lineRule="auto"/>
              <w:rPr>
                <w:rFonts w:cs="Arial"/>
                <w:sz w:val="18"/>
                <w:szCs w:val="18"/>
              </w:rPr>
            </w:pPr>
            <w:r>
              <w:rPr>
                <w:rFonts w:cs="Arial"/>
                <w:sz w:val="18"/>
                <w:szCs w:val="18"/>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0ABA93F" w14:textId="77777777" w:rsidR="00115458" w:rsidRPr="000F5476" w:rsidRDefault="00115458" w:rsidP="00F4606C">
            <w:pPr>
              <w:spacing w:after="0" w:line="240" w:lineRule="auto"/>
              <w:rPr>
                <w:rFonts w:cs="Arial"/>
                <w:sz w:val="18"/>
                <w:szCs w:val="18"/>
              </w:rPr>
            </w:pPr>
            <w:r>
              <w:rPr>
                <w:rFonts w:cs="Arial"/>
                <w:sz w:val="18"/>
                <w:szCs w:val="18"/>
              </w:rPr>
              <w:t>Unfranked dividends not declared to be conduit foreign income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88C1A3" w14:textId="77777777" w:rsidR="00115458" w:rsidRDefault="00115458" w:rsidP="00F4606C">
            <w:pPr>
              <w:spacing w:after="0" w:line="240" w:lineRule="auto"/>
              <w:rPr>
                <w:rFonts w:cs="Arial"/>
                <w:sz w:val="18"/>
                <w:szCs w:val="18"/>
              </w:rPr>
            </w:pPr>
            <w:r>
              <w:rPr>
                <w:rFonts w:cs="Arial"/>
                <w:sz w:val="18"/>
                <w:szCs w:val="18"/>
              </w:rPr>
              <w:t>000000010000</w:t>
            </w:r>
          </w:p>
        </w:tc>
      </w:tr>
      <w:tr w:rsidR="00115458" w:rsidRPr="00DB1D67" w14:paraId="40196D14"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6B7387" w14:textId="77777777" w:rsidR="00115458" w:rsidRPr="000F5476" w:rsidRDefault="00115458" w:rsidP="00F4606C">
            <w:pPr>
              <w:spacing w:after="0" w:line="240" w:lineRule="auto"/>
              <w:rPr>
                <w:rFonts w:cs="Arial"/>
                <w:sz w:val="18"/>
                <w:szCs w:val="18"/>
              </w:rPr>
            </w:pPr>
            <w:r>
              <w:rPr>
                <w:rFonts w:cs="Arial"/>
                <w:sz w:val="18"/>
                <w:szCs w:val="18"/>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53BAE7A" w14:textId="77777777" w:rsidR="00115458" w:rsidRPr="000F5476" w:rsidRDefault="00115458" w:rsidP="00F4606C">
            <w:pPr>
              <w:spacing w:after="0" w:line="240" w:lineRule="auto"/>
              <w:rPr>
                <w:rFonts w:cs="Arial"/>
                <w:sz w:val="18"/>
                <w:szCs w:val="18"/>
              </w:rPr>
            </w:pPr>
            <w:r>
              <w:rPr>
                <w:rFonts w:cs="Arial"/>
                <w:sz w:val="18"/>
                <w:szCs w:val="18"/>
              </w:rPr>
              <w:t>Unfranked dividends declared to be conduit foreign income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DA14D25" w14:textId="77777777" w:rsidR="00115458" w:rsidRPr="007772EC" w:rsidRDefault="00115458" w:rsidP="00F4606C">
            <w:pPr>
              <w:spacing w:after="0" w:line="240" w:lineRule="auto"/>
              <w:rPr>
                <w:rFonts w:cs="Arial"/>
                <w:sz w:val="18"/>
                <w:szCs w:val="18"/>
              </w:rPr>
            </w:pPr>
            <w:r>
              <w:rPr>
                <w:rFonts w:cs="Arial"/>
                <w:sz w:val="18"/>
                <w:szCs w:val="18"/>
              </w:rPr>
              <w:t>000000000000</w:t>
            </w:r>
          </w:p>
        </w:tc>
      </w:tr>
      <w:tr w:rsidR="00115458" w:rsidRPr="00DB1D67" w14:paraId="35B58EF5"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A7A7853" w14:textId="77777777" w:rsidR="00115458" w:rsidRDefault="00115458" w:rsidP="00F4606C">
            <w:pPr>
              <w:spacing w:after="0" w:line="240" w:lineRule="auto"/>
              <w:rPr>
                <w:rFonts w:cs="Arial"/>
                <w:sz w:val="18"/>
                <w:szCs w:val="18"/>
              </w:rPr>
            </w:pPr>
            <w:r>
              <w:rPr>
                <w:rFonts w:cs="Arial"/>
                <w:sz w:val="18"/>
                <w:szCs w:val="18"/>
              </w:rPr>
              <w:t>9.84</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3766DCBF" w14:textId="77777777" w:rsidR="00115458" w:rsidRDefault="00115458" w:rsidP="00F4606C">
            <w:pPr>
              <w:spacing w:after="0" w:line="240" w:lineRule="auto"/>
              <w:rPr>
                <w:rFonts w:cs="Arial"/>
                <w:sz w:val="18"/>
                <w:szCs w:val="18"/>
              </w:rPr>
            </w:pPr>
            <w:r>
              <w:rPr>
                <w:rFonts w:cs="Arial"/>
                <w:sz w:val="18"/>
                <w:szCs w:val="18"/>
              </w:rPr>
              <w:t>Other taxable Australian income</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002F6801" w14:textId="77777777" w:rsidR="00115458" w:rsidRDefault="00115458" w:rsidP="00F4606C">
            <w:pPr>
              <w:spacing w:after="0" w:line="240" w:lineRule="auto"/>
              <w:rPr>
                <w:rFonts w:cs="Arial"/>
                <w:sz w:val="18"/>
                <w:szCs w:val="18"/>
              </w:rPr>
            </w:pPr>
            <w:r>
              <w:rPr>
                <w:rFonts w:cs="Arial"/>
                <w:sz w:val="18"/>
                <w:szCs w:val="18"/>
              </w:rPr>
              <w:t>000000000000</w:t>
            </w:r>
          </w:p>
        </w:tc>
      </w:tr>
      <w:tr w:rsidR="00115458" w:rsidRPr="00DB1D67" w14:paraId="0A965A40"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3A275F" w14:textId="77777777" w:rsidR="00115458" w:rsidRPr="000F5476" w:rsidRDefault="00115458" w:rsidP="00F4606C">
            <w:pPr>
              <w:spacing w:after="0" w:line="240" w:lineRule="auto"/>
              <w:rPr>
                <w:rFonts w:cs="Arial"/>
                <w:sz w:val="18"/>
                <w:szCs w:val="18"/>
              </w:rPr>
            </w:pPr>
            <w:r>
              <w:rPr>
                <w:rFonts w:cs="Arial"/>
                <w:sz w:val="18"/>
                <w:szCs w:val="18"/>
              </w:rPr>
              <w:t>9.85</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7F052B9E" w14:textId="77777777" w:rsidR="00115458" w:rsidRPr="000F5476" w:rsidRDefault="00115458" w:rsidP="00F4606C">
            <w:pPr>
              <w:spacing w:after="0" w:line="240" w:lineRule="auto"/>
              <w:rPr>
                <w:rFonts w:cs="Arial"/>
                <w:sz w:val="18"/>
                <w:szCs w:val="18"/>
              </w:rPr>
            </w:pPr>
            <w:r>
              <w:rPr>
                <w:rFonts w:cs="Arial"/>
                <w:sz w:val="18"/>
                <w:szCs w:val="18"/>
              </w:rPr>
              <w:t>Non-primary production income</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046750E0" w14:textId="77777777" w:rsidR="00115458" w:rsidRPr="007772EC" w:rsidRDefault="00115458" w:rsidP="00F4606C">
            <w:pPr>
              <w:spacing w:after="0" w:line="240" w:lineRule="auto"/>
              <w:rPr>
                <w:rFonts w:cs="Arial"/>
                <w:sz w:val="18"/>
                <w:szCs w:val="18"/>
              </w:rPr>
            </w:pPr>
            <w:r>
              <w:rPr>
                <w:rFonts w:cs="Arial"/>
                <w:sz w:val="18"/>
                <w:szCs w:val="18"/>
              </w:rPr>
              <w:t>000000007500</w:t>
            </w:r>
          </w:p>
        </w:tc>
      </w:tr>
      <w:tr w:rsidR="00115458" w:rsidRPr="00DB1D67" w14:paraId="16AFDD3F"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10F78E" w14:textId="77777777" w:rsidR="00115458" w:rsidRDefault="00115458" w:rsidP="00F4606C">
            <w:pPr>
              <w:spacing w:after="0" w:line="240" w:lineRule="auto"/>
              <w:rPr>
                <w:rFonts w:cs="Arial"/>
                <w:sz w:val="18"/>
                <w:szCs w:val="18"/>
              </w:rPr>
            </w:pPr>
            <w:r>
              <w:rPr>
                <w:rFonts w:cs="Arial"/>
                <w:sz w:val="18"/>
                <w:szCs w:val="18"/>
              </w:rPr>
              <w:t>9.108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F5E62B" w14:textId="77777777" w:rsidR="00115458" w:rsidRDefault="00115458" w:rsidP="00F4606C">
            <w:pPr>
              <w:spacing w:after="0" w:line="240" w:lineRule="auto"/>
              <w:rPr>
                <w:rFonts w:cs="Arial"/>
                <w:sz w:val="18"/>
                <w:szCs w:val="18"/>
              </w:rPr>
            </w:pPr>
            <w:r>
              <w:rPr>
                <w:rFonts w:cs="Arial"/>
                <w:sz w:val="18"/>
                <w:szCs w:val="18"/>
              </w:rPr>
              <w:t>Listed investment company capital gain deduction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8BC276" w14:textId="77777777" w:rsidR="00115458" w:rsidRDefault="00115458" w:rsidP="00F4606C">
            <w:pPr>
              <w:spacing w:after="0" w:line="240" w:lineRule="auto"/>
              <w:rPr>
                <w:rFonts w:cs="Arial"/>
                <w:sz w:val="18"/>
                <w:szCs w:val="18"/>
              </w:rPr>
            </w:pPr>
            <w:r>
              <w:rPr>
                <w:rFonts w:cs="Arial"/>
                <w:sz w:val="18"/>
                <w:szCs w:val="18"/>
              </w:rPr>
              <w:t>000000002500</w:t>
            </w:r>
          </w:p>
        </w:tc>
      </w:tr>
    </w:tbl>
    <w:p w14:paraId="73C76C16" w14:textId="77777777" w:rsidR="00115458" w:rsidRDefault="00115458" w:rsidP="005A2179">
      <w:pPr>
        <w:pStyle w:val="Maintext"/>
        <w:rPr>
          <w:rFonts w:cs="Arial"/>
          <w:b/>
          <w:smallCaps/>
        </w:rPr>
      </w:pPr>
    </w:p>
    <w:p w14:paraId="2DF0DC90" w14:textId="77777777" w:rsidR="00777FBF" w:rsidRDefault="00777FBF" w:rsidP="005A2179">
      <w:pPr>
        <w:pStyle w:val="Maintext"/>
        <w:rPr>
          <w:rFonts w:cs="Arial"/>
          <w:b/>
          <w:smallCaps/>
        </w:rPr>
      </w:pPr>
    </w:p>
    <w:p w14:paraId="03087D33" w14:textId="77777777" w:rsidR="00777FBF" w:rsidRDefault="00777FBF" w:rsidP="005A2179">
      <w:pPr>
        <w:pStyle w:val="Maintext"/>
        <w:rPr>
          <w:rFonts w:cs="Arial"/>
          <w:b/>
          <w:smallCaps/>
        </w:rPr>
      </w:pPr>
    </w:p>
    <w:p w14:paraId="448A7CA8" w14:textId="1F7C6A58" w:rsidR="00115458" w:rsidRDefault="00115458" w:rsidP="005A2179">
      <w:pPr>
        <w:pStyle w:val="Maintext"/>
        <w:rPr>
          <w:rFonts w:cs="Arial"/>
          <w:smallCaps/>
        </w:rPr>
      </w:pPr>
      <w:r w:rsidRPr="00D00976">
        <w:rPr>
          <w:rFonts w:cs="Arial"/>
          <w:b/>
          <w:smallCaps/>
        </w:rPr>
        <w:t xml:space="preserve">Supplementary income account data </w:t>
      </w:r>
      <w:r w:rsidRPr="00D00976">
        <w:rPr>
          <w:rFonts w:cs="Arial"/>
          <w:b/>
          <w:smallCaps/>
          <w:szCs w:val="22"/>
        </w:rPr>
        <w:t xml:space="preserve">record </w:t>
      </w:r>
      <w:r w:rsidRPr="00B35C0A">
        <w:rPr>
          <w:rFonts w:cs="Arial"/>
          <w:smallCaps/>
        </w:rPr>
        <w:t>(extract)</w:t>
      </w:r>
    </w:p>
    <w:p w14:paraId="0FDD0BD5" w14:textId="77777777" w:rsidR="00115458" w:rsidRPr="00B35C0A" w:rsidRDefault="00115458" w:rsidP="005A2179">
      <w:pPr>
        <w:pStyle w:val="Maintext"/>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126"/>
        <w:gridCol w:w="5210"/>
        <w:gridCol w:w="2878"/>
      </w:tblGrid>
      <w:tr w:rsidR="00115458" w:rsidRPr="00DB1D67" w14:paraId="4AB95B38" w14:textId="77777777" w:rsidTr="000C1365">
        <w:trPr>
          <w:trHeight w:val="495"/>
          <w:tblHeader/>
        </w:trPr>
        <w:tc>
          <w:tcPr>
            <w:tcW w:w="590" w:type="pct"/>
            <w:tcBorders>
              <w:top w:val="single" w:sz="8" w:space="0" w:color="auto"/>
              <w:left w:val="single" w:sz="8" w:space="0" w:color="auto"/>
              <w:bottom w:val="single" w:sz="4" w:space="0" w:color="auto"/>
              <w:right w:val="single" w:sz="8" w:space="0" w:color="auto"/>
            </w:tcBorders>
            <w:shd w:val="clear" w:color="auto" w:fill="B3B3B3"/>
            <w:tcMar>
              <w:top w:w="0" w:type="dxa"/>
              <w:left w:w="108" w:type="dxa"/>
              <w:bottom w:w="0" w:type="dxa"/>
              <w:right w:w="108" w:type="dxa"/>
            </w:tcMar>
            <w:vAlign w:val="center"/>
          </w:tcPr>
          <w:p w14:paraId="2E1B92D7" w14:textId="77777777" w:rsidR="00115458" w:rsidRPr="00DB1D67" w:rsidRDefault="00115458" w:rsidP="00F4606C">
            <w:pPr>
              <w:spacing w:after="0" w:line="240" w:lineRule="auto"/>
              <w:rPr>
                <w:rFonts w:cs="Arial"/>
              </w:rPr>
            </w:pPr>
            <w:r w:rsidRPr="00DB1D67">
              <w:rPr>
                <w:rFonts w:cs="Arial"/>
                <w:b/>
                <w:bCs/>
                <w:sz w:val="18"/>
                <w:szCs w:val="18"/>
              </w:rPr>
              <w:t>Reference number</w:t>
            </w:r>
          </w:p>
        </w:tc>
        <w:tc>
          <w:tcPr>
            <w:tcW w:w="2838" w:type="pct"/>
            <w:tcBorders>
              <w:top w:val="single" w:sz="8" w:space="0" w:color="auto"/>
              <w:left w:val="nil"/>
              <w:bottom w:val="single" w:sz="4" w:space="0" w:color="auto"/>
              <w:right w:val="single" w:sz="8" w:space="0" w:color="auto"/>
            </w:tcBorders>
            <w:shd w:val="clear" w:color="auto" w:fill="B3B3B3"/>
            <w:tcMar>
              <w:top w:w="0" w:type="dxa"/>
              <w:left w:w="108" w:type="dxa"/>
              <w:bottom w:w="0" w:type="dxa"/>
              <w:right w:w="108" w:type="dxa"/>
            </w:tcMar>
            <w:vAlign w:val="center"/>
          </w:tcPr>
          <w:p w14:paraId="72DD1F3D" w14:textId="77777777" w:rsidR="00115458" w:rsidRPr="00DB1D67" w:rsidRDefault="00115458" w:rsidP="00F4606C">
            <w:pPr>
              <w:spacing w:after="0" w:line="240" w:lineRule="auto"/>
              <w:rPr>
                <w:rFonts w:cs="Arial"/>
              </w:rPr>
            </w:pPr>
            <w:r w:rsidRPr="00DB1D67">
              <w:rPr>
                <w:rFonts w:cs="Arial"/>
                <w:b/>
                <w:bCs/>
                <w:sz w:val="18"/>
                <w:szCs w:val="18"/>
              </w:rPr>
              <w:t>Field name</w:t>
            </w:r>
          </w:p>
        </w:tc>
        <w:tc>
          <w:tcPr>
            <w:tcW w:w="1572" w:type="pct"/>
            <w:tcBorders>
              <w:top w:val="single" w:sz="8" w:space="0" w:color="auto"/>
              <w:left w:val="nil"/>
              <w:bottom w:val="single" w:sz="4" w:space="0" w:color="auto"/>
              <w:right w:val="single" w:sz="8" w:space="0" w:color="auto"/>
            </w:tcBorders>
            <w:shd w:val="clear" w:color="auto" w:fill="B3B3B3"/>
            <w:tcMar>
              <w:top w:w="0" w:type="dxa"/>
              <w:left w:w="108" w:type="dxa"/>
              <w:bottom w:w="0" w:type="dxa"/>
              <w:right w:w="108" w:type="dxa"/>
            </w:tcMar>
            <w:vAlign w:val="center"/>
          </w:tcPr>
          <w:p w14:paraId="28045EE6" w14:textId="77777777" w:rsidR="00115458" w:rsidRPr="00DB1D67" w:rsidRDefault="00115458" w:rsidP="00F4606C">
            <w:pPr>
              <w:spacing w:after="0" w:line="240" w:lineRule="auto"/>
              <w:rPr>
                <w:rFonts w:cs="Arial"/>
              </w:rPr>
            </w:pPr>
            <w:r w:rsidRPr="00DB1D67">
              <w:rPr>
                <w:rFonts w:cs="Arial"/>
                <w:b/>
                <w:bCs/>
                <w:sz w:val="18"/>
                <w:szCs w:val="18"/>
              </w:rPr>
              <w:t>Content</w:t>
            </w:r>
          </w:p>
        </w:tc>
      </w:tr>
      <w:tr w:rsidR="00115458" w:rsidRPr="00DB1D67" w14:paraId="1BAC186A"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D5FFD" w14:textId="77777777" w:rsidR="00115458" w:rsidRPr="000F5476" w:rsidRDefault="00115458" w:rsidP="00F4606C">
            <w:pPr>
              <w:spacing w:after="0" w:line="240" w:lineRule="auto"/>
              <w:rPr>
                <w:rFonts w:cs="Arial"/>
                <w:sz w:val="18"/>
                <w:szCs w:val="18"/>
              </w:rPr>
            </w:pPr>
            <w:r>
              <w:rPr>
                <w:rFonts w:cs="Arial"/>
                <w:sz w:val="18"/>
                <w:szCs w:val="18"/>
              </w:rPr>
              <w:t>9.119</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8554A" w14:textId="77777777" w:rsidR="00115458" w:rsidRPr="000F5476" w:rsidRDefault="00115458" w:rsidP="00F4606C">
            <w:pPr>
              <w:spacing w:after="0" w:line="240" w:lineRule="auto"/>
              <w:rPr>
                <w:rFonts w:cs="Arial"/>
                <w:sz w:val="18"/>
                <w:szCs w:val="18"/>
              </w:rPr>
            </w:pPr>
            <w:r>
              <w:rPr>
                <w:rFonts w:cs="Arial"/>
                <w:sz w:val="18"/>
                <w:szCs w:val="18"/>
              </w:rPr>
              <w:t>Unfranked distributions from trusts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CAC54" w14:textId="77777777" w:rsidR="00115458" w:rsidRPr="007772EC" w:rsidRDefault="00115458" w:rsidP="00F4606C">
            <w:pPr>
              <w:spacing w:after="0" w:line="240" w:lineRule="auto"/>
              <w:rPr>
                <w:rFonts w:cs="Arial"/>
                <w:sz w:val="18"/>
                <w:szCs w:val="18"/>
              </w:rPr>
            </w:pPr>
            <w:r>
              <w:rPr>
                <w:rFonts w:cs="Arial"/>
                <w:sz w:val="18"/>
                <w:szCs w:val="18"/>
              </w:rPr>
              <w:t>000000010000</w:t>
            </w:r>
          </w:p>
        </w:tc>
      </w:tr>
      <w:tr w:rsidR="00115458" w:rsidRPr="00DB1D67" w14:paraId="6163DF29"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164C3" w14:textId="77777777" w:rsidR="00115458" w:rsidRDefault="00115458" w:rsidP="00F4606C">
            <w:pPr>
              <w:spacing w:after="0" w:line="240" w:lineRule="auto"/>
              <w:rPr>
                <w:rFonts w:cs="Arial"/>
                <w:sz w:val="18"/>
                <w:szCs w:val="18"/>
              </w:rPr>
            </w:pPr>
            <w:r>
              <w:rPr>
                <w:rFonts w:cs="Arial"/>
                <w:sz w:val="18"/>
                <w:szCs w:val="18"/>
              </w:rPr>
              <w:t>9.122</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366E7" w14:textId="77777777" w:rsidR="00115458" w:rsidRDefault="00115458" w:rsidP="00F4606C">
            <w:pPr>
              <w:spacing w:after="0" w:line="240" w:lineRule="auto"/>
              <w:rPr>
                <w:rFonts w:cs="Arial"/>
                <w:sz w:val="18"/>
                <w:szCs w:val="18"/>
              </w:rPr>
            </w:pPr>
            <w:r>
              <w:rPr>
                <w:rFonts w:cs="Arial"/>
                <w:sz w:val="18"/>
                <w:szCs w:val="18"/>
              </w:rPr>
              <w:t>Interest exempt from withholding</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BF927F" w14:textId="77777777" w:rsidR="00115458" w:rsidRDefault="00115458" w:rsidP="00F4606C">
            <w:pPr>
              <w:spacing w:after="0" w:line="240" w:lineRule="auto"/>
              <w:rPr>
                <w:rFonts w:cs="Arial"/>
                <w:sz w:val="18"/>
                <w:szCs w:val="18"/>
              </w:rPr>
            </w:pPr>
            <w:r>
              <w:rPr>
                <w:rFonts w:cs="Arial"/>
                <w:sz w:val="18"/>
                <w:szCs w:val="18"/>
              </w:rPr>
              <w:t>000000000000</w:t>
            </w:r>
          </w:p>
        </w:tc>
      </w:tr>
    </w:tbl>
    <w:p w14:paraId="4F751D9B" w14:textId="77777777" w:rsidR="00115458" w:rsidRDefault="00115458" w:rsidP="00115458"/>
    <w:p w14:paraId="5AFDAADC" w14:textId="12415540" w:rsidR="00115458" w:rsidRDefault="00115458" w:rsidP="00F4606C">
      <w:pPr>
        <w:pStyle w:val="Heading4"/>
        <w:spacing w:before="0" w:after="0" w:line="240" w:lineRule="auto"/>
      </w:pPr>
      <w:r w:rsidRPr="00B85E0C">
        <w:t>Supplementary income account data record fields</w:t>
      </w:r>
    </w:p>
    <w:p w14:paraId="6F702308" w14:textId="77777777" w:rsidR="00CE0210" w:rsidRPr="00B85E0C" w:rsidRDefault="00CE0210" w:rsidP="008E5F31"/>
    <w:p w14:paraId="509094CF" w14:textId="77777777" w:rsidR="00115458" w:rsidRPr="00F4606C" w:rsidRDefault="00115458" w:rsidP="00B85E0C">
      <w:pPr>
        <w:pStyle w:val="Maintext"/>
        <w:rPr>
          <w:rFonts w:asciiTheme="minorHAnsi" w:hAnsiTheme="minorHAnsi"/>
          <w:b/>
          <w:sz w:val="20"/>
          <w:szCs w:val="20"/>
        </w:rPr>
      </w:pPr>
      <w:r w:rsidRPr="00F4606C">
        <w:rPr>
          <w:rFonts w:asciiTheme="minorHAnsi" w:hAnsiTheme="minorHAnsi"/>
          <w:b/>
          <w:sz w:val="20"/>
          <w:szCs w:val="20"/>
        </w:rPr>
        <w:t>Unfranked distributions from trusts (9.119)</w:t>
      </w:r>
    </w:p>
    <w:p w14:paraId="55A9AFB3" w14:textId="77777777" w:rsidR="00115458" w:rsidRPr="00F4606C" w:rsidRDefault="00115458" w:rsidP="00B85E0C">
      <w:pPr>
        <w:pStyle w:val="Maintext"/>
        <w:rPr>
          <w:rFonts w:asciiTheme="minorHAnsi" w:hAnsiTheme="minorHAnsi"/>
          <w:i/>
          <w:sz w:val="20"/>
          <w:szCs w:val="20"/>
        </w:rPr>
      </w:pPr>
      <w:r w:rsidRPr="00F4606C">
        <w:rPr>
          <w:rFonts w:asciiTheme="minorHAnsi" w:hAnsiTheme="minorHAnsi" w:cs="Arial"/>
          <w:sz w:val="20"/>
          <w:szCs w:val="20"/>
        </w:rPr>
        <w:t>This amount will be the sum of amounts reported at the</w:t>
      </w:r>
      <w:r w:rsidRPr="00F4606C">
        <w:rPr>
          <w:rFonts w:asciiTheme="minorHAnsi" w:hAnsiTheme="minorHAnsi" w:cs="Arial"/>
          <w:b/>
          <w:sz w:val="20"/>
          <w:szCs w:val="20"/>
        </w:rPr>
        <w:t xml:space="preserve"> </w:t>
      </w:r>
      <w:r w:rsidRPr="00F4606C">
        <w:rPr>
          <w:rFonts w:asciiTheme="minorHAnsi" w:hAnsiTheme="minorHAnsi" w:cs="Arial"/>
          <w:i/>
          <w:sz w:val="20"/>
          <w:szCs w:val="20"/>
        </w:rPr>
        <w:t>Unfranked dividends not declared to be conduit foreign income</w:t>
      </w:r>
      <w:r w:rsidRPr="00F4606C">
        <w:rPr>
          <w:rFonts w:asciiTheme="minorHAnsi" w:hAnsiTheme="minorHAnsi" w:cs="Arial"/>
          <w:sz w:val="20"/>
          <w:szCs w:val="20"/>
        </w:rPr>
        <w:t xml:space="preserve"> (9.80) and </w:t>
      </w:r>
      <w:r w:rsidRPr="00F4606C">
        <w:rPr>
          <w:rFonts w:asciiTheme="minorHAnsi" w:hAnsiTheme="minorHAnsi" w:cs="Arial"/>
          <w:i/>
          <w:sz w:val="20"/>
          <w:szCs w:val="20"/>
        </w:rPr>
        <w:t xml:space="preserve">Unfranked dividends declared to be conduit foreign income </w:t>
      </w:r>
      <w:r w:rsidRPr="00F4606C">
        <w:rPr>
          <w:rFonts w:asciiTheme="minorHAnsi" w:hAnsiTheme="minorHAnsi" w:cs="Arial"/>
          <w:sz w:val="20"/>
          <w:szCs w:val="20"/>
        </w:rPr>
        <w:t>(9.81)</w:t>
      </w:r>
      <w:r w:rsidRPr="00F4606C">
        <w:rPr>
          <w:rFonts w:asciiTheme="minorHAnsi" w:hAnsiTheme="minorHAnsi" w:cs="Arial"/>
          <w:i/>
          <w:sz w:val="20"/>
          <w:szCs w:val="20"/>
        </w:rPr>
        <w:t xml:space="preserve"> </w:t>
      </w:r>
      <w:r w:rsidRPr="00F4606C">
        <w:rPr>
          <w:rFonts w:asciiTheme="minorHAnsi" w:hAnsiTheme="minorHAnsi" w:cs="Arial"/>
          <w:sz w:val="20"/>
          <w:szCs w:val="20"/>
        </w:rPr>
        <w:t>fields. Include this amount in the calculation of non-primary production income.</w:t>
      </w:r>
    </w:p>
    <w:p w14:paraId="69C65272" w14:textId="77777777" w:rsidR="00115458" w:rsidRPr="00B85E0C" w:rsidRDefault="00115458" w:rsidP="00F4606C">
      <w:pPr>
        <w:spacing w:after="0" w:line="240" w:lineRule="auto"/>
        <w:rPr>
          <w:rFonts w:cs="Arial"/>
          <w:b/>
        </w:rPr>
      </w:pPr>
    </w:p>
    <w:p w14:paraId="7855D93F" w14:textId="77777777" w:rsidR="00115458" w:rsidRPr="00B85E0C" w:rsidRDefault="00115458" w:rsidP="00F4606C">
      <w:pPr>
        <w:spacing w:after="0" w:line="240" w:lineRule="auto"/>
      </w:pPr>
      <w:r w:rsidRPr="00B85E0C">
        <w:rPr>
          <w:b/>
        </w:rPr>
        <w:t>Franked distributions from trusts (9.120)</w:t>
      </w:r>
      <w:r w:rsidRPr="00B85E0C">
        <w:rPr>
          <w:rFonts w:cs="Arial"/>
          <w:b/>
        </w:rPr>
        <w:t xml:space="preserve"> </w:t>
      </w:r>
    </w:p>
    <w:p w14:paraId="107C2D11" w14:textId="77777777" w:rsidR="00115458" w:rsidRPr="00B85E0C" w:rsidRDefault="00115458" w:rsidP="00F4606C">
      <w:pPr>
        <w:spacing w:after="0" w:line="240" w:lineRule="auto"/>
      </w:pPr>
      <w:r w:rsidRPr="00B85E0C">
        <w:t xml:space="preserve">This amount will be the sum of franked dividends and franking credits attributed to investors. The franking credit attributed to investors may not equal the amount reported at the </w:t>
      </w:r>
      <w:r w:rsidRPr="00B85E0C">
        <w:rPr>
          <w:i/>
        </w:rPr>
        <w:t>Franking credit</w:t>
      </w:r>
      <w:r w:rsidRPr="00B85E0C">
        <w:t xml:space="preserve"> (9.83) field if an AMIT has allocated deductions against franking credits. </w:t>
      </w:r>
    </w:p>
    <w:p w14:paraId="06D99D4D" w14:textId="77777777" w:rsidR="00115458" w:rsidRPr="00B85E0C" w:rsidRDefault="00115458" w:rsidP="00F4606C">
      <w:pPr>
        <w:spacing w:after="0" w:line="240" w:lineRule="auto"/>
      </w:pPr>
    </w:p>
    <w:p w14:paraId="65744852" w14:textId="120E93DA" w:rsidR="00115458" w:rsidRPr="00B85E0C" w:rsidRDefault="00115458" w:rsidP="00F4606C">
      <w:pPr>
        <w:spacing w:after="0" w:line="240" w:lineRule="auto"/>
      </w:pPr>
      <w:r w:rsidRPr="00B85E0C">
        <w:t xml:space="preserve">See </w:t>
      </w:r>
      <w:r w:rsidRPr="00B85E0C">
        <w:rPr>
          <w:b/>
          <w:bCs/>
        </w:rPr>
        <w:fldChar w:fldCharType="begin"/>
      </w:r>
      <w:r w:rsidRPr="00B85E0C">
        <w:rPr>
          <w:b/>
          <w:bCs/>
        </w:rPr>
        <w:instrText xml:space="preserve"> REF _Ref72137710 \h  \* MERGEFORMAT </w:instrText>
      </w:r>
      <w:r w:rsidRPr="00B85E0C">
        <w:rPr>
          <w:b/>
          <w:bCs/>
        </w:rPr>
      </w:r>
      <w:r w:rsidRPr="00B85E0C">
        <w:rPr>
          <w:b/>
          <w:bCs/>
        </w:rPr>
        <w:fldChar w:fldCharType="separate"/>
      </w:r>
      <w:r w:rsidR="00796CB9" w:rsidRPr="00796CB9">
        <w:rPr>
          <w:b/>
          <w:bCs/>
        </w:rPr>
        <w:t>Allocation of deductions and flow through reporting</w:t>
      </w:r>
      <w:r w:rsidRPr="00B85E0C">
        <w:rPr>
          <w:b/>
          <w:bCs/>
        </w:rPr>
        <w:fldChar w:fldCharType="end"/>
      </w:r>
      <w:r w:rsidRPr="00B85E0C">
        <w:t xml:space="preserve"> for more information.</w:t>
      </w:r>
    </w:p>
    <w:p w14:paraId="39075837" w14:textId="77777777" w:rsidR="00115458" w:rsidRPr="00F4606C" w:rsidRDefault="00115458" w:rsidP="00B85E0C">
      <w:pPr>
        <w:pStyle w:val="Maintext"/>
        <w:rPr>
          <w:rFonts w:asciiTheme="minorHAnsi" w:hAnsiTheme="minorHAnsi"/>
          <w:b/>
          <w:noProof/>
          <w:sz w:val="20"/>
          <w:szCs w:val="20"/>
        </w:rPr>
      </w:pPr>
    </w:p>
    <w:p w14:paraId="69D01B6E" w14:textId="77777777" w:rsidR="00115458" w:rsidRPr="00F4606C" w:rsidRDefault="00115458" w:rsidP="00B85E0C">
      <w:pPr>
        <w:pStyle w:val="Maintext"/>
        <w:rPr>
          <w:rFonts w:asciiTheme="minorHAnsi" w:hAnsiTheme="minorHAnsi"/>
          <w:sz w:val="20"/>
          <w:szCs w:val="20"/>
        </w:rPr>
      </w:pPr>
      <w:r w:rsidRPr="00F4606C">
        <w:rPr>
          <w:rFonts w:asciiTheme="minorHAnsi" w:hAnsiTheme="minorHAnsi"/>
          <w:b/>
          <w:sz w:val="20"/>
          <w:szCs w:val="20"/>
        </w:rPr>
        <w:t>Gross cash distribution</w:t>
      </w:r>
      <w:r w:rsidRPr="00F4606C">
        <w:rPr>
          <w:rFonts w:asciiTheme="minorHAnsi" w:hAnsiTheme="minorHAnsi"/>
          <w:b/>
          <w:i/>
          <w:sz w:val="20"/>
          <w:szCs w:val="20"/>
        </w:rPr>
        <w:t xml:space="preserve"> </w:t>
      </w:r>
      <w:r w:rsidRPr="00F4606C">
        <w:rPr>
          <w:rFonts w:asciiTheme="minorHAnsi" w:hAnsiTheme="minorHAnsi"/>
          <w:b/>
          <w:sz w:val="20"/>
          <w:szCs w:val="20"/>
        </w:rPr>
        <w:t>(9.121)</w:t>
      </w:r>
    </w:p>
    <w:p w14:paraId="6FB948EA" w14:textId="0ED4329E" w:rsidR="00115458" w:rsidRPr="00F4606C" w:rsidRDefault="00115458" w:rsidP="00B85E0C">
      <w:pPr>
        <w:pStyle w:val="Maintext"/>
        <w:rPr>
          <w:rFonts w:asciiTheme="minorHAnsi" w:hAnsiTheme="minorHAnsi" w:cs="Arial"/>
          <w:sz w:val="20"/>
          <w:szCs w:val="20"/>
        </w:rPr>
      </w:pPr>
      <w:r w:rsidRPr="00F4606C">
        <w:rPr>
          <w:rFonts w:asciiTheme="minorHAnsi" w:hAnsiTheme="minorHAnsi"/>
          <w:sz w:val="20"/>
          <w:szCs w:val="20"/>
        </w:rPr>
        <w:t xml:space="preserve">Only show amounts at this field which the investor started to have a right to receive in the income year of the AIIR, whether paid during or after the income year. It also </w:t>
      </w:r>
      <w:r w:rsidRPr="00F4606C">
        <w:rPr>
          <w:rFonts w:asciiTheme="minorHAnsi" w:hAnsiTheme="minorHAnsi"/>
          <w:color w:val="000000" w:themeColor="text1"/>
          <w:sz w:val="20"/>
          <w:szCs w:val="20"/>
        </w:rPr>
        <w:t>includes other entitlements where the unit holder has non</w:t>
      </w:r>
      <w:r w:rsidR="004249F1">
        <w:rPr>
          <w:rFonts w:asciiTheme="minorHAnsi" w:hAnsiTheme="minorHAnsi"/>
          <w:color w:val="000000" w:themeColor="text1"/>
          <w:sz w:val="20"/>
          <w:szCs w:val="20"/>
        </w:rPr>
        <w:t>-</w:t>
      </w:r>
      <w:r w:rsidRPr="00F4606C">
        <w:rPr>
          <w:rFonts w:asciiTheme="minorHAnsi" w:hAnsiTheme="minorHAnsi"/>
          <w:color w:val="000000" w:themeColor="text1"/>
          <w:sz w:val="20"/>
          <w:szCs w:val="20"/>
        </w:rPr>
        <w:t xml:space="preserve">cash entitlements such as additional units. </w:t>
      </w:r>
    </w:p>
    <w:p w14:paraId="322F1FD0" w14:textId="77777777" w:rsidR="00115458" w:rsidRPr="00E12A5A" w:rsidRDefault="00115458" w:rsidP="00115458">
      <w:pPr>
        <w:pStyle w:val="Heading2"/>
      </w:pPr>
      <w:bookmarkStart w:id="1633" w:name="_Toc232191345"/>
      <w:r>
        <w:t>Specific</w:t>
      </w:r>
      <w:r w:rsidRPr="00E12A5A">
        <w:t xml:space="preserve"> information</w:t>
      </w:r>
      <w:bookmarkEnd w:id="1633"/>
      <w:r w:rsidRPr="00E12A5A">
        <w:t xml:space="preserve"> </w:t>
      </w:r>
    </w:p>
    <w:p w14:paraId="54E42A21" w14:textId="77777777" w:rsidR="00115458" w:rsidRDefault="00115458" w:rsidP="00115458">
      <w:pPr>
        <w:pStyle w:val="Heading3"/>
      </w:pPr>
      <w:bookmarkStart w:id="1634" w:name="_Toc232191346"/>
      <w:r>
        <w:t>A</w:t>
      </w:r>
      <w:r w:rsidRPr="00173903">
        <w:t>MIT cost base net amounts</w:t>
      </w:r>
      <w:bookmarkEnd w:id="1634"/>
    </w:p>
    <w:p w14:paraId="50311D56" w14:textId="77777777" w:rsidR="00115458" w:rsidRPr="00006A17" w:rsidRDefault="00115458" w:rsidP="00F4606C">
      <w:pPr>
        <w:spacing w:after="0" w:line="240" w:lineRule="auto"/>
      </w:pPr>
      <w:r w:rsidRPr="00006A17">
        <w:t xml:space="preserve">For AMIT </w:t>
      </w:r>
      <w:r>
        <w:t>investors</w:t>
      </w:r>
      <w:r w:rsidRPr="00006A17">
        <w:t xml:space="preserve">, new cost base adjustment rules </w:t>
      </w:r>
      <w:r>
        <w:t xml:space="preserve">were </w:t>
      </w:r>
      <w:r w:rsidRPr="00006A17">
        <w:t>introduced</w:t>
      </w:r>
      <w:r>
        <w:t xml:space="preserve"> in sections 104-107A to 104-107E of ITAA 1997.</w:t>
      </w:r>
      <w:r w:rsidRPr="00006A17">
        <w:t xml:space="preserve"> Broadly, an upward adjustment is made to the AMIT </w:t>
      </w:r>
      <w:r>
        <w:t>investor</w:t>
      </w:r>
      <w:r w:rsidRPr="00006A17">
        <w:t>’s cost base where an attribu</w:t>
      </w:r>
      <w:r>
        <w:t>ted</w:t>
      </w:r>
      <w:r w:rsidRPr="00006A17">
        <w:t xml:space="preserve"> amount is allocated to the </w:t>
      </w:r>
      <w:r>
        <w:t>investor</w:t>
      </w:r>
      <w:r w:rsidRPr="00006A17">
        <w:t xml:space="preserve"> (which the </w:t>
      </w:r>
      <w:r>
        <w:t>investor</w:t>
      </w:r>
      <w:r w:rsidRPr="00006A17">
        <w:t xml:space="preserve"> is required to include in their assessable income) and a downward adjustment arises when distributions are made.</w:t>
      </w:r>
    </w:p>
    <w:p w14:paraId="073F54EC" w14:textId="77777777" w:rsidR="00115458" w:rsidRPr="00006A17" w:rsidRDefault="00115458" w:rsidP="00F4606C">
      <w:pPr>
        <w:spacing w:after="0" w:line="240" w:lineRule="auto"/>
      </w:pPr>
    </w:p>
    <w:p w14:paraId="23A98BB2" w14:textId="77777777" w:rsidR="00115458" w:rsidRPr="00006A17" w:rsidRDefault="00115458" w:rsidP="00F4606C">
      <w:pPr>
        <w:spacing w:after="0" w:line="240" w:lineRule="auto"/>
      </w:pPr>
      <w:r w:rsidRPr="00006A17">
        <w:t xml:space="preserve">The effect of this is that any difference between the amount of income </w:t>
      </w:r>
      <w:r>
        <w:t>attributed</w:t>
      </w:r>
      <w:r w:rsidRPr="00006A17">
        <w:t xml:space="preserve"> and the amount distributed will cause an adjustment in the AMIT </w:t>
      </w:r>
      <w:r>
        <w:t>investor</w:t>
      </w:r>
      <w:r w:rsidRPr="00006A17">
        <w:t xml:space="preserve">’s cost base. This defers the cash effect for the AMIT </w:t>
      </w:r>
      <w:r>
        <w:t>investor</w:t>
      </w:r>
      <w:r w:rsidRPr="00006A17">
        <w:t xml:space="preserve"> to the time when their interest in the AMIT is realised. </w:t>
      </w:r>
    </w:p>
    <w:p w14:paraId="3A60FAB7" w14:textId="77777777" w:rsidR="00115458" w:rsidRPr="00006A17" w:rsidRDefault="00115458" w:rsidP="00F4606C">
      <w:pPr>
        <w:spacing w:after="0" w:line="240" w:lineRule="auto"/>
      </w:pPr>
    </w:p>
    <w:p w14:paraId="357F0A29" w14:textId="77777777" w:rsidR="00115458" w:rsidRPr="00B11B96" w:rsidRDefault="00115458" w:rsidP="00F4606C">
      <w:pPr>
        <w:spacing w:after="0" w:line="240" w:lineRule="auto"/>
      </w:pPr>
      <w:r w:rsidRPr="00B11B96">
        <w:t>The relevant cost base adjustment will need to be advised to the investor in the AMMA statement and reported in the AIIR.</w:t>
      </w:r>
    </w:p>
    <w:p w14:paraId="65B58BE7" w14:textId="77777777" w:rsidR="00115458" w:rsidRPr="00B11B96" w:rsidRDefault="00115458" w:rsidP="00F4606C">
      <w:pPr>
        <w:spacing w:after="0" w:line="240" w:lineRule="auto"/>
      </w:pPr>
    </w:p>
    <w:p w14:paraId="00C501ED" w14:textId="77777777" w:rsidR="00115458" w:rsidRPr="00B11B96" w:rsidRDefault="00115458" w:rsidP="00F4606C">
      <w:pPr>
        <w:spacing w:after="0" w:line="240" w:lineRule="auto"/>
      </w:pPr>
      <w:r w:rsidRPr="00B11B96">
        <w:t>The cost base and reduced cost base of an investor’s membership interests in an AMIT will be adjusted by the AMIT cost base net amount for the income year. The AMIT cost base net amount for the income year can either be an excess (decrease) or shortfall (increase) amount, i.e.</w:t>
      </w:r>
    </w:p>
    <w:p w14:paraId="20E78EE2" w14:textId="77777777" w:rsidR="00115458" w:rsidRPr="00B11B96" w:rsidRDefault="00115458" w:rsidP="00F4606C">
      <w:pPr>
        <w:spacing w:after="0" w:line="240" w:lineRule="auto"/>
      </w:pPr>
    </w:p>
    <w:p w14:paraId="6E6126E7" w14:textId="77777777" w:rsidR="00115458" w:rsidRPr="00F4606C" w:rsidRDefault="00115458" w:rsidP="001601AF">
      <w:pPr>
        <w:pStyle w:val="Bullet1"/>
        <w:numPr>
          <w:ilvl w:val="0"/>
          <w:numId w:val="41"/>
        </w:numPr>
        <w:spacing w:before="0" w:after="0"/>
        <w:ind w:left="714" w:hanging="357"/>
        <w:rPr>
          <w:rFonts w:asciiTheme="minorHAnsi" w:hAnsiTheme="minorHAnsi"/>
          <w:sz w:val="20"/>
          <w:szCs w:val="20"/>
        </w:rPr>
      </w:pPr>
      <w:r w:rsidRPr="00F4606C">
        <w:rPr>
          <w:rFonts w:asciiTheme="minorHAnsi" w:hAnsiTheme="minorHAnsi"/>
          <w:sz w:val="20"/>
          <w:szCs w:val="20"/>
        </w:rPr>
        <w:t>If, for an income year, the AMIT cost base reduction amount in respect of the membership interests exceed the AMIT cost base increase amount - the amount of the excess; or</w:t>
      </w:r>
    </w:p>
    <w:p w14:paraId="201E571B" w14:textId="77777777" w:rsidR="00115458" w:rsidRPr="00F4606C" w:rsidRDefault="00115458" w:rsidP="001601AF">
      <w:pPr>
        <w:pStyle w:val="Bullet1"/>
        <w:numPr>
          <w:ilvl w:val="0"/>
          <w:numId w:val="41"/>
        </w:numPr>
        <w:spacing w:before="0" w:after="0"/>
        <w:ind w:left="714" w:hanging="357"/>
        <w:rPr>
          <w:rFonts w:asciiTheme="minorHAnsi" w:hAnsiTheme="minorHAnsi"/>
          <w:sz w:val="20"/>
          <w:szCs w:val="20"/>
        </w:rPr>
      </w:pPr>
      <w:r w:rsidRPr="00F4606C">
        <w:rPr>
          <w:rFonts w:asciiTheme="minorHAnsi" w:hAnsiTheme="minorHAnsi"/>
          <w:sz w:val="20"/>
          <w:szCs w:val="20"/>
        </w:rPr>
        <w:t>If, for an income year, the AMIT cost base reduction amount in respect of the membership interests falls short of the AMIT cost base increase amount - the amount of the shortfall.</w:t>
      </w:r>
    </w:p>
    <w:p w14:paraId="47006752" w14:textId="77777777" w:rsidR="00115458" w:rsidRPr="00F4606C" w:rsidRDefault="00115458" w:rsidP="00B11B96">
      <w:pPr>
        <w:pStyle w:val="Bullet1"/>
        <w:spacing w:before="0" w:after="0"/>
        <w:ind w:left="714"/>
        <w:rPr>
          <w:rFonts w:asciiTheme="minorHAnsi" w:hAnsiTheme="minorHAnsi"/>
          <w:sz w:val="20"/>
          <w:szCs w:val="20"/>
        </w:rPr>
      </w:pPr>
    </w:p>
    <w:p w14:paraId="75889DB0" w14:textId="77777777" w:rsidR="00115458" w:rsidRPr="00B11B96" w:rsidRDefault="00115458" w:rsidP="00F4606C">
      <w:pPr>
        <w:spacing w:after="0" w:line="240" w:lineRule="auto"/>
      </w:pPr>
      <w:r w:rsidRPr="00B11B96">
        <w:t xml:space="preserve">Two separate fields have been included in the </w:t>
      </w:r>
      <w:r w:rsidRPr="00B11B96">
        <w:rPr>
          <w:i/>
        </w:rPr>
        <w:t>Supplementary income account data record</w:t>
      </w:r>
      <w:r w:rsidRPr="00B11B96">
        <w:t xml:space="preserve"> to report the AMIT cost base net amount. One to report the excess amount and one to report the shortfall amount as negative figures cannot be reported in the AIIR.</w:t>
      </w:r>
    </w:p>
    <w:p w14:paraId="10B045CA" w14:textId="77777777" w:rsidR="006A2146" w:rsidRDefault="006A2146" w:rsidP="00B11B96">
      <w:pPr>
        <w:pStyle w:val="Maintext"/>
        <w:rPr>
          <w:rFonts w:asciiTheme="minorHAnsi" w:hAnsiTheme="minorHAnsi"/>
          <w:b/>
          <w:sz w:val="20"/>
          <w:szCs w:val="20"/>
        </w:rPr>
      </w:pPr>
    </w:p>
    <w:p w14:paraId="13C18A63" w14:textId="77F51840" w:rsidR="00115458" w:rsidRPr="00F4606C" w:rsidRDefault="00115458" w:rsidP="00B11B96">
      <w:pPr>
        <w:pStyle w:val="Maintext"/>
        <w:rPr>
          <w:rFonts w:asciiTheme="minorHAnsi" w:hAnsiTheme="minorHAnsi"/>
          <w:sz w:val="20"/>
          <w:szCs w:val="20"/>
        </w:rPr>
      </w:pPr>
      <w:r w:rsidRPr="00F4606C">
        <w:rPr>
          <w:rFonts w:asciiTheme="minorHAnsi" w:hAnsiTheme="minorHAnsi"/>
          <w:b/>
          <w:sz w:val="20"/>
          <w:szCs w:val="20"/>
        </w:rPr>
        <w:t>AMIT cost base net amount – excess (decrease) (9.128)</w:t>
      </w:r>
    </w:p>
    <w:p w14:paraId="02E6A560" w14:textId="77777777" w:rsidR="00115458" w:rsidRPr="00F4606C" w:rsidRDefault="00115458" w:rsidP="00B11B96">
      <w:pPr>
        <w:pStyle w:val="Maintext"/>
        <w:rPr>
          <w:rFonts w:asciiTheme="minorHAnsi" w:hAnsiTheme="minorHAnsi"/>
          <w:sz w:val="20"/>
          <w:szCs w:val="20"/>
        </w:rPr>
      </w:pPr>
      <w:r w:rsidRPr="00F4606C">
        <w:rPr>
          <w:rFonts w:asciiTheme="minorHAnsi" w:hAnsiTheme="minorHAnsi"/>
          <w:sz w:val="20"/>
          <w:szCs w:val="20"/>
        </w:rPr>
        <w:t>Report the excess amount where the AMIT cost base reduction amount in respect of the membership interests exceeds the AMIT cost base increase amount. This amount is used to adjust downwards the cost base and reduced cost base of membership interests.</w:t>
      </w:r>
    </w:p>
    <w:p w14:paraId="65630A32" w14:textId="77777777" w:rsidR="00115458" w:rsidRPr="00F4606C" w:rsidRDefault="00115458" w:rsidP="00B11B96">
      <w:pPr>
        <w:pStyle w:val="Maintext"/>
        <w:rPr>
          <w:rFonts w:asciiTheme="minorHAnsi" w:hAnsiTheme="minorHAnsi"/>
          <w:sz w:val="20"/>
          <w:szCs w:val="20"/>
        </w:rPr>
      </w:pPr>
    </w:p>
    <w:p w14:paraId="238B1475" w14:textId="77777777" w:rsidR="00115458" w:rsidRPr="00F4606C" w:rsidRDefault="00115458" w:rsidP="00B11B96">
      <w:pPr>
        <w:pStyle w:val="Maintext"/>
        <w:rPr>
          <w:rFonts w:asciiTheme="minorHAnsi" w:hAnsiTheme="minorHAnsi"/>
          <w:b/>
          <w:sz w:val="20"/>
          <w:szCs w:val="20"/>
        </w:rPr>
      </w:pPr>
      <w:r w:rsidRPr="00F4606C">
        <w:rPr>
          <w:rFonts w:asciiTheme="minorHAnsi" w:hAnsiTheme="minorHAnsi"/>
          <w:b/>
          <w:sz w:val="20"/>
          <w:szCs w:val="20"/>
        </w:rPr>
        <w:t xml:space="preserve">AMIT cost base net amount – shortfall (increase) (9.129) </w:t>
      </w:r>
    </w:p>
    <w:p w14:paraId="299C9363" w14:textId="02D3A544" w:rsidR="00115458" w:rsidRDefault="00115458" w:rsidP="00B11B96">
      <w:pPr>
        <w:pStyle w:val="Maintext"/>
        <w:rPr>
          <w:rFonts w:asciiTheme="minorHAnsi" w:hAnsiTheme="minorHAnsi"/>
          <w:sz w:val="20"/>
          <w:szCs w:val="20"/>
        </w:rPr>
      </w:pPr>
      <w:r w:rsidRPr="00F4606C">
        <w:rPr>
          <w:rFonts w:asciiTheme="minorHAnsi" w:hAnsiTheme="minorHAnsi"/>
          <w:sz w:val="20"/>
          <w:szCs w:val="20"/>
        </w:rPr>
        <w:t>Report the shortfall amount where the AMIT cost base reduction amount in respect of the membership interests falls short of the AMIT cost base increase amount. This amount is used to adjust upwards the cost base and reduced cost base of membership interests.</w:t>
      </w:r>
    </w:p>
    <w:p w14:paraId="0C77D808" w14:textId="77777777" w:rsidR="00B11B96" w:rsidRPr="00B11B96" w:rsidRDefault="00B11B96" w:rsidP="00B11B96">
      <w:pPr>
        <w:pStyle w:val="Maintext"/>
        <w:rPr>
          <w:rFonts w:asciiTheme="minorHAnsi" w:hAnsiTheme="minorHAnsi"/>
          <w:sz w:val="20"/>
          <w:szCs w:val="20"/>
        </w:rPr>
      </w:pPr>
    </w:p>
    <w:p w14:paraId="76CF105B" w14:textId="2DD4F048" w:rsidR="00115458" w:rsidRDefault="00115458" w:rsidP="00B11B96">
      <w:pPr>
        <w:pStyle w:val="Head4"/>
        <w:spacing w:before="0" w:after="0"/>
        <w:rPr>
          <w:rFonts w:asciiTheme="minorHAnsi" w:hAnsiTheme="minorHAnsi"/>
          <w:sz w:val="20"/>
          <w:szCs w:val="20"/>
        </w:rPr>
      </w:pPr>
      <w:bookmarkStart w:id="1635" w:name="_Toc5193018"/>
      <w:r w:rsidRPr="00B11B96">
        <w:rPr>
          <w:rFonts w:asciiTheme="minorHAnsi" w:hAnsiTheme="minorHAnsi"/>
          <w:sz w:val="20"/>
          <w:szCs w:val="20"/>
        </w:rPr>
        <w:t>Example 6.6 – AMIT cost base net amounts – Excess (decrease) amount</w:t>
      </w:r>
      <w:bookmarkEnd w:id="1635"/>
    </w:p>
    <w:p w14:paraId="5D12D797" w14:textId="77777777" w:rsidR="00D460C8" w:rsidRPr="00D460C8" w:rsidRDefault="00D460C8" w:rsidP="00D460C8">
      <w:pPr>
        <w:pStyle w:val="Maintext"/>
      </w:pPr>
    </w:p>
    <w:p w14:paraId="00B379A2" w14:textId="77777777" w:rsidR="00115458" w:rsidRPr="00B11B96" w:rsidRDefault="00115458" w:rsidP="00B11B96">
      <w:pPr>
        <w:spacing w:after="0" w:line="240" w:lineRule="auto"/>
      </w:pPr>
      <w:r w:rsidRPr="00B11B96">
        <w:t>Fruitopia Trust determined member components for one investor:</w:t>
      </w:r>
    </w:p>
    <w:p w14:paraId="004DF806" w14:textId="77777777" w:rsidR="00115458" w:rsidRPr="00B11B96" w:rsidRDefault="00115458" w:rsidP="00B11B96">
      <w:pPr>
        <w:spacing w:after="0" w:line="240" w:lineRule="auto"/>
      </w:pPr>
    </w:p>
    <w:p w14:paraId="4A30AC30"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Franked dividends</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$70.00</w:t>
      </w:r>
    </w:p>
    <w:p w14:paraId="484A80A5"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Franking credit gross up</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$30.00</w:t>
      </w:r>
    </w:p>
    <w:p w14:paraId="6D3607CA" w14:textId="21F291CA"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 xml:space="preserve">Capital gains discount – Taxable Australian property </w:t>
      </w:r>
      <w:r w:rsidRPr="00B11B96">
        <w:rPr>
          <w:rFonts w:asciiTheme="minorHAnsi" w:hAnsiTheme="minorHAnsi"/>
          <w:sz w:val="20"/>
          <w:szCs w:val="20"/>
        </w:rPr>
        <w:tab/>
      </w:r>
      <w:r w:rsidRPr="00B11B96">
        <w:rPr>
          <w:rFonts w:asciiTheme="minorHAnsi" w:hAnsiTheme="minorHAnsi"/>
          <w:sz w:val="20"/>
          <w:szCs w:val="20"/>
        </w:rPr>
        <w:tab/>
      </w:r>
      <w:r w:rsidR="00B11B96">
        <w:rPr>
          <w:rFonts w:asciiTheme="minorHAnsi" w:hAnsiTheme="minorHAnsi"/>
          <w:sz w:val="20"/>
          <w:szCs w:val="20"/>
        </w:rPr>
        <w:tab/>
      </w:r>
      <w:r w:rsidRPr="00B11B96">
        <w:rPr>
          <w:rFonts w:asciiTheme="minorHAnsi" w:hAnsiTheme="minorHAnsi"/>
          <w:sz w:val="20"/>
          <w:szCs w:val="20"/>
        </w:rPr>
        <w:t>$600.00</w:t>
      </w:r>
    </w:p>
    <w:p w14:paraId="4CD5C605"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Capital gains other – Taxable Australian property</w:t>
      </w:r>
      <w:r w:rsidRPr="00B11B96">
        <w:rPr>
          <w:rFonts w:asciiTheme="minorHAnsi" w:hAnsiTheme="minorHAnsi"/>
          <w:sz w:val="20"/>
          <w:szCs w:val="20"/>
        </w:rPr>
        <w:tab/>
        <w:t xml:space="preserve"> </w:t>
      </w:r>
      <w:r w:rsidRPr="00B11B96">
        <w:rPr>
          <w:rFonts w:asciiTheme="minorHAnsi" w:hAnsiTheme="minorHAnsi"/>
          <w:sz w:val="20"/>
          <w:szCs w:val="20"/>
        </w:rPr>
        <w:tab/>
      </w:r>
      <w:r w:rsidRPr="00B11B96">
        <w:rPr>
          <w:rFonts w:asciiTheme="minorHAnsi" w:hAnsiTheme="minorHAnsi"/>
          <w:sz w:val="20"/>
          <w:szCs w:val="20"/>
        </w:rPr>
        <w:tab/>
        <w:t>$1,000.00</w:t>
      </w:r>
    </w:p>
    <w:p w14:paraId="401A8E8D"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Non-primary production income</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$350.00</w:t>
      </w:r>
    </w:p>
    <w:p w14:paraId="55DB7DCE"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Return of capital</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$300.00</w:t>
      </w:r>
    </w:p>
    <w:p w14:paraId="607625B8" w14:textId="77777777" w:rsidR="00115458" w:rsidRPr="00B11B96" w:rsidRDefault="00115458" w:rsidP="00B11B96">
      <w:pPr>
        <w:spacing w:after="0" w:line="240" w:lineRule="auto"/>
      </w:pPr>
    </w:p>
    <w:p w14:paraId="2F91F48A" w14:textId="77777777" w:rsidR="00115458" w:rsidRPr="00B11B96" w:rsidRDefault="00115458" w:rsidP="00B11B96">
      <w:pPr>
        <w:spacing w:after="0" w:line="240" w:lineRule="auto"/>
      </w:pPr>
      <w:r w:rsidRPr="00B11B96">
        <w:t xml:space="preserve">The Trust makes an actual payment to investors reflecting the determined member components. .  </w:t>
      </w:r>
    </w:p>
    <w:p w14:paraId="0D5F0CCE" w14:textId="77777777" w:rsidR="00115458" w:rsidRPr="00B11B96" w:rsidRDefault="00115458" w:rsidP="00B11B96">
      <w:pPr>
        <w:spacing w:after="0" w:line="240" w:lineRule="auto"/>
      </w:pPr>
    </w:p>
    <w:p w14:paraId="127AF6EE" w14:textId="77777777" w:rsidR="00115458" w:rsidRPr="00B11B96" w:rsidRDefault="00115458" w:rsidP="00B11B96">
      <w:pPr>
        <w:spacing w:after="0" w:line="240" w:lineRule="auto"/>
      </w:pPr>
      <w:r w:rsidRPr="00B11B96">
        <w:t>The AMIT cost base reduction (actual amount) = $2,950 (70+30+600x2+1000+350+$300)</w:t>
      </w:r>
    </w:p>
    <w:p w14:paraId="125FD5DD" w14:textId="77777777" w:rsidR="00115458" w:rsidRPr="00B11B96" w:rsidRDefault="00115458" w:rsidP="00B11B96">
      <w:pPr>
        <w:spacing w:after="0" w:line="240" w:lineRule="auto"/>
      </w:pPr>
      <w:r w:rsidRPr="00B11B96">
        <w:t>The AMIT cost base increase (attributed amount) = $2,650 ($70+$30+$600x2+$1,000+$350).  The return of capital ($300) is omitted.  $2,450 (2750 – 300)</w:t>
      </w:r>
    </w:p>
    <w:p w14:paraId="019C4B1E" w14:textId="77777777" w:rsidR="00115458" w:rsidRPr="00B11B96" w:rsidRDefault="00115458" w:rsidP="00B11B96">
      <w:pPr>
        <w:spacing w:after="0" w:line="240" w:lineRule="auto"/>
      </w:pPr>
      <w:r w:rsidRPr="00B11B96">
        <w:t>The AMIT cost base net amount – excess = $300</w:t>
      </w:r>
    </w:p>
    <w:p w14:paraId="63FA6A7B" w14:textId="77777777" w:rsidR="00115458" w:rsidRDefault="00115458" w:rsidP="00115458">
      <w:pPr>
        <w:pStyle w:val="Maintext"/>
        <w:rPr>
          <w:rFonts w:cs="Arial"/>
          <w:b/>
          <w:smallCaps/>
        </w:rPr>
      </w:pPr>
    </w:p>
    <w:p w14:paraId="18D3CD73" w14:textId="77777777" w:rsidR="00115458" w:rsidRPr="0023547A" w:rsidRDefault="00115458" w:rsidP="00115458">
      <w:pPr>
        <w:pStyle w:val="Maintext"/>
        <w:rPr>
          <w:rFonts w:asciiTheme="minorHAnsi" w:hAnsiTheme="minorHAnsi" w:cs="Arial"/>
          <w:b/>
          <w:smallCaps/>
          <w:sz w:val="20"/>
          <w:szCs w:val="20"/>
        </w:rPr>
      </w:pPr>
      <w:r w:rsidRPr="0023547A">
        <w:rPr>
          <w:rFonts w:asciiTheme="minorHAnsi" w:hAnsiTheme="minorHAnsi" w:cs="Arial"/>
          <w:b/>
          <w:smallCaps/>
          <w:sz w:val="20"/>
          <w:szCs w:val="20"/>
        </w:rPr>
        <w:t>investment account data record 1</w:t>
      </w:r>
      <w:r w:rsidRPr="0023547A">
        <w:rPr>
          <w:rFonts w:asciiTheme="minorHAnsi" w:hAnsiTheme="minorHAnsi" w:cs="Arial"/>
          <w:smallCaps/>
          <w:sz w:val="20"/>
          <w:szCs w:val="20"/>
        </w:rPr>
        <w:t>(extract)</w:t>
      </w:r>
    </w:p>
    <w:p w14:paraId="107D6EC6" w14:textId="77777777" w:rsidR="00115458" w:rsidRPr="00B35C0A" w:rsidRDefault="00115458" w:rsidP="00115458">
      <w:pPr>
        <w:pStyle w:val="Maintext"/>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6089"/>
        <w:gridCol w:w="1898"/>
      </w:tblGrid>
      <w:tr w:rsidR="00115458" w:rsidRPr="00B11B96" w14:paraId="0CF1C3DF"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70F6C09" w14:textId="77777777" w:rsidR="00115458" w:rsidRPr="00B11B96" w:rsidRDefault="00115458" w:rsidP="00F4606C">
            <w:pPr>
              <w:spacing w:after="0" w:line="240" w:lineRule="auto"/>
              <w:rPr>
                <w:rFonts w:cs="Arial"/>
              </w:rPr>
            </w:pPr>
            <w:r w:rsidRPr="00F4606C">
              <w:rPr>
                <w:rFonts w:cs="Arial"/>
                <w:b/>
                <w:bCs/>
              </w:rPr>
              <w:t>Reference number</w:t>
            </w:r>
          </w:p>
        </w:tc>
        <w:tc>
          <w:tcPr>
            <w:tcW w:w="334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5B06165" w14:textId="77777777" w:rsidR="00115458" w:rsidRPr="00B11B96" w:rsidRDefault="00115458" w:rsidP="00F4606C">
            <w:pPr>
              <w:spacing w:after="0" w:line="240" w:lineRule="auto"/>
              <w:rPr>
                <w:rFonts w:cs="Arial"/>
              </w:rPr>
            </w:pPr>
            <w:r w:rsidRPr="00F4606C">
              <w:rPr>
                <w:rFonts w:cs="Arial"/>
                <w:b/>
                <w:bCs/>
              </w:rPr>
              <w:t>Field name</w:t>
            </w:r>
          </w:p>
        </w:tc>
        <w:tc>
          <w:tcPr>
            <w:tcW w:w="106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A954E83" w14:textId="77777777" w:rsidR="00115458" w:rsidRPr="00B11B96" w:rsidRDefault="00115458" w:rsidP="00F4606C">
            <w:pPr>
              <w:spacing w:after="0" w:line="240" w:lineRule="auto"/>
              <w:rPr>
                <w:rFonts w:cs="Arial"/>
              </w:rPr>
            </w:pPr>
            <w:r w:rsidRPr="00F4606C">
              <w:rPr>
                <w:rFonts w:cs="Arial"/>
                <w:b/>
                <w:bCs/>
              </w:rPr>
              <w:t>Content</w:t>
            </w:r>
          </w:p>
        </w:tc>
      </w:tr>
      <w:tr w:rsidR="00115458" w:rsidRPr="00B11B96" w14:paraId="020B45CB"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3F20B" w14:textId="77777777" w:rsidR="00115458" w:rsidRPr="00B11B96" w:rsidRDefault="00115458" w:rsidP="00F4606C">
            <w:pPr>
              <w:spacing w:after="0" w:line="240" w:lineRule="auto"/>
              <w:rPr>
                <w:rFonts w:cs="Arial"/>
              </w:rPr>
            </w:pPr>
            <w:r w:rsidRPr="00F4606C">
              <w:rPr>
                <w:rFonts w:cs="Arial"/>
              </w:rPr>
              <w:t>9.62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6995407" w14:textId="77777777" w:rsidR="00115458" w:rsidRPr="00B11B96" w:rsidRDefault="00115458" w:rsidP="00F4606C">
            <w:pPr>
              <w:spacing w:after="0" w:line="240" w:lineRule="auto"/>
              <w:rPr>
                <w:rFonts w:cs="Arial"/>
              </w:rPr>
            </w:pPr>
            <w:r w:rsidRPr="00F4606C">
              <w:rPr>
                <w:rFonts w:cs="Arial"/>
              </w:rPr>
              <w:t>Sequence number of DACCOUNT record</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3398E0C" w14:textId="77777777" w:rsidR="00115458" w:rsidRPr="00B11B96" w:rsidRDefault="00115458" w:rsidP="00F4606C">
            <w:pPr>
              <w:spacing w:after="0" w:line="240" w:lineRule="auto"/>
              <w:rPr>
                <w:rFonts w:cs="Arial"/>
              </w:rPr>
            </w:pPr>
            <w:r w:rsidRPr="00F4606C">
              <w:rPr>
                <w:rFonts w:cs="Arial"/>
              </w:rPr>
              <w:t>01</w:t>
            </w:r>
          </w:p>
        </w:tc>
      </w:tr>
      <w:tr w:rsidR="00115458" w:rsidRPr="00B11B96" w14:paraId="0FC3150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8131B9" w14:textId="77777777" w:rsidR="00115458" w:rsidRPr="00B11B96" w:rsidRDefault="00115458" w:rsidP="00F4606C">
            <w:pPr>
              <w:spacing w:after="0" w:line="240" w:lineRule="auto"/>
              <w:rPr>
                <w:rFonts w:cs="Arial"/>
              </w:rPr>
            </w:pPr>
            <w:r w:rsidRPr="00F4606C">
              <w:rPr>
                <w:rFonts w:cs="Arial"/>
              </w:rPr>
              <w:t>9.67</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485D49CB" w14:textId="77777777" w:rsidR="00115458" w:rsidRPr="00B11B96" w:rsidRDefault="00115458" w:rsidP="00F4606C">
            <w:pPr>
              <w:spacing w:after="0" w:line="240" w:lineRule="auto"/>
              <w:rPr>
                <w:rFonts w:cs="Arial"/>
              </w:rPr>
            </w:pPr>
            <w:r w:rsidRPr="00F4606C">
              <w:rPr>
                <w:rFonts w:cs="Arial"/>
              </w:rPr>
              <w:t>Account name</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DE4DB6F" w14:textId="77777777" w:rsidR="00115458" w:rsidRPr="00B11B96" w:rsidRDefault="00115458" w:rsidP="00F4606C">
            <w:pPr>
              <w:spacing w:after="0" w:line="240" w:lineRule="auto"/>
              <w:rPr>
                <w:rFonts w:cs="Arial"/>
              </w:rPr>
            </w:pPr>
            <w:r w:rsidRPr="00F4606C">
              <w:rPr>
                <w:rFonts w:cs="Arial"/>
              </w:rPr>
              <w:t>Beatrice Witchery</w:t>
            </w:r>
          </w:p>
        </w:tc>
      </w:tr>
      <w:tr w:rsidR="00115458" w:rsidRPr="00B11B96" w14:paraId="4D3D5EB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0B8ADC" w14:textId="77777777" w:rsidR="00115458" w:rsidRPr="00B11B96" w:rsidRDefault="00115458" w:rsidP="00F4606C">
            <w:pPr>
              <w:spacing w:after="0" w:line="240" w:lineRule="auto"/>
              <w:rPr>
                <w:rFonts w:cs="Arial"/>
              </w:rPr>
            </w:pPr>
            <w:r w:rsidRPr="00F4606C">
              <w:rPr>
                <w:rFonts w:cs="Arial"/>
              </w:rPr>
              <w:t>9.70</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7DAEC6B" w14:textId="77777777" w:rsidR="00115458" w:rsidRPr="00B11B96" w:rsidRDefault="00115458" w:rsidP="00F4606C">
            <w:pPr>
              <w:spacing w:after="0" w:line="240" w:lineRule="auto"/>
              <w:rPr>
                <w:rFonts w:cs="Arial"/>
              </w:rPr>
            </w:pPr>
            <w:r w:rsidRPr="00F4606C">
              <w:rPr>
                <w:rFonts w:cs="Arial"/>
              </w:rPr>
              <w:t>Date of payment (DDMMCCYY)</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AC9E2F" w14:textId="4BE020C5" w:rsidR="00115458" w:rsidRPr="00B11B96" w:rsidRDefault="00115458" w:rsidP="00F4606C">
            <w:pPr>
              <w:spacing w:after="0" w:line="240" w:lineRule="auto"/>
              <w:rPr>
                <w:rFonts w:cs="Arial"/>
              </w:rPr>
            </w:pPr>
            <w:r w:rsidRPr="00F4606C">
              <w:rPr>
                <w:rFonts w:cs="Arial"/>
              </w:rPr>
              <w:t>3006202</w:t>
            </w:r>
            <w:r w:rsidR="00A11AC4">
              <w:rPr>
                <w:rFonts w:cs="Arial"/>
              </w:rPr>
              <w:t>6</w:t>
            </w:r>
          </w:p>
        </w:tc>
      </w:tr>
      <w:tr w:rsidR="00115458" w:rsidRPr="00B11B96" w14:paraId="70A0B72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66A28A" w14:textId="77777777" w:rsidR="00115458" w:rsidRPr="00B11B96" w:rsidRDefault="00115458" w:rsidP="00F4606C">
            <w:pPr>
              <w:spacing w:after="0" w:line="240" w:lineRule="auto"/>
              <w:rPr>
                <w:rFonts w:cs="Arial"/>
              </w:rPr>
            </w:pPr>
            <w:r w:rsidRPr="00F4606C">
              <w:rPr>
                <w:rFonts w:cs="Arial"/>
              </w:rPr>
              <w:t>9.71</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A7653BC" w14:textId="77777777" w:rsidR="00115458" w:rsidRPr="00B11B96" w:rsidRDefault="00115458" w:rsidP="00F4606C">
            <w:pPr>
              <w:spacing w:after="0" w:line="240" w:lineRule="auto"/>
              <w:rPr>
                <w:rFonts w:cs="Arial"/>
              </w:rPr>
            </w:pPr>
            <w:r w:rsidRPr="00F4606C">
              <w:rPr>
                <w:rFonts w:cs="Arial"/>
              </w:rPr>
              <w:t>Type of investment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587737B3" w14:textId="77777777" w:rsidR="00115458" w:rsidRPr="00B11B96" w:rsidRDefault="00115458" w:rsidP="00F4606C">
            <w:pPr>
              <w:spacing w:after="0" w:line="240" w:lineRule="auto"/>
              <w:rPr>
                <w:rFonts w:cs="Arial"/>
              </w:rPr>
            </w:pPr>
            <w:r w:rsidRPr="00F4606C">
              <w:rPr>
                <w:rFonts w:cs="Arial"/>
              </w:rPr>
              <w:t>0</w:t>
            </w:r>
          </w:p>
        </w:tc>
      </w:tr>
      <w:tr w:rsidR="00115458" w:rsidRPr="00B11B96" w14:paraId="16802000"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F26F0" w14:textId="77777777" w:rsidR="00115458" w:rsidRPr="00B11B96" w:rsidRDefault="00115458" w:rsidP="00F4606C">
            <w:pPr>
              <w:spacing w:after="0" w:line="240" w:lineRule="auto"/>
              <w:rPr>
                <w:rFonts w:cs="Arial"/>
              </w:rPr>
            </w:pPr>
            <w:r w:rsidRPr="00F4606C">
              <w:rPr>
                <w:rFonts w:cs="Arial"/>
              </w:rPr>
              <w:t>9.72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4A5A206" w14:textId="77777777" w:rsidR="00115458" w:rsidRPr="00B11B96" w:rsidRDefault="00115458" w:rsidP="00F4606C">
            <w:pPr>
              <w:spacing w:after="0" w:line="240" w:lineRule="auto"/>
              <w:rPr>
                <w:rFonts w:cs="Arial"/>
              </w:rPr>
            </w:pPr>
            <w:r w:rsidRPr="00F4606C">
              <w:rPr>
                <w:rFonts w:cs="Arial"/>
              </w:rPr>
              <w:t>Type of payment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1459C0A" w14:textId="77777777" w:rsidR="00115458" w:rsidRPr="00B11B96" w:rsidRDefault="00115458" w:rsidP="00F4606C">
            <w:pPr>
              <w:spacing w:after="0" w:line="240" w:lineRule="auto"/>
              <w:rPr>
                <w:rFonts w:cs="Arial"/>
              </w:rPr>
            </w:pPr>
            <w:r w:rsidRPr="00F4606C">
              <w:rPr>
                <w:rFonts w:cs="Arial"/>
              </w:rPr>
              <w:t>AMT</w:t>
            </w:r>
          </w:p>
        </w:tc>
      </w:tr>
      <w:tr w:rsidR="00115458" w:rsidRPr="00B11B96" w14:paraId="7262966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5856EC" w14:textId="77777777" w:rsidR="00115458" w:rsidRPr="00B11B96" w:rsidRDefault="00115458" w:rsidP="00F4606C">
            <w:pPr>
              <w:spacing w:after="0" w:line="240" w:lineRule="auto"/>
              <w:rPr>
                <w:rFonts w:cs="Arial"/>
              </w:rPr>
            </w:pPr>
            <w:r w:rsidRPr="00F4606C">
              <w:rPr>
                <w:rFonts w:cs="Arial"/>
              </w:rPr>
              <w:t>9.82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40B7B0A" w14:textId="77777777" w:rsidR="00115458" w:rsidRPr="00B11B96" w:rsidRDefault="00115458" w:rsidP="00F4606C">
            <w:pPr>
              <w:spacing w:after="0" w:line="240" w:lineRule="auto"/>
              <w:rPr>
                <w:rFonts w:cs="Arial"/>
              </w:rPr>
            </w:pPr>
            <w:r w:rsidRPr="00F4606C">
              <w:rPr>
                <w:rFonts w:cs="Arial"/>
              </w:rPr>
              <w:t>Franked dividends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77C30A1" w14:textId="77777777" w:rsidR="00115458" w:rsidRPr="00B11B96" w:rsidRDefault="00115458" w:rsidP="00F4606C">
            <w:pPr>
              <w:spacing w:after="0" w:line="240" w:lineRule="auto"/>
              <w:rPr>
                <w:rFonts w:cs="Arial"/>
              </w:rPr>
            </w:pPr>
            <w:r w:rsidRPr="00F4606C">
              <w:rPr>
                <w:rFonts w:cs="Arial"/>
              </w:rPr>
              <w:t>000000007000</w:t>
            </w:r>
          </w:p>
        </w:tc>
      </w:tr>
      <w:tr w:rsidR="00115458" w:rsidRPr="00B11B96" w14:paraId="1AF6505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301E38" w14:textId="77777777" w:rsidR="00115458" w:rsidRPr="00B11B96" w:rsidRDefault="00115458" w:rsidP="00F4606C">
            <w:pPr>
              <w:spacing w:after="0" w:line="240" w:lineRule="auto"/>
              <w:rPr>
                <w:rFonts w:cs="Arial"/>
              </w:rPr>
            </w:pPr>
            <w:r w:rsidRPr="00F4606C">
              <w:rPr>
                <w:rFonts w:cs="Arial"/>
              </w:rPr>
              <w:t>9.83</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04247C" w14:textId="77777777" w:rsidR="00115458" w:rsidRPr="00B11B96" w:rsidRDefault="00115458" w:rsidP="00F4606C">
            <w:pPr>
              <w:spacing w:after="0" w:line="240" w:lineRule="auto"/>
              <w:rPr>
                <w:rFonts w:cs="Arial"/>
              </w:rPr>
            </w:pPr>
            <w:r w:rsidRPr="00F4606C">
              <w:rPr>
                <w:rFonts w:cs="Arial"/>
              </w:rPr>
              <w:t>Franking credit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09F8703B" w14:textId="77777777" w:rsidR="00115458" w:rsidRPr="00B11B96" w:rsidRDefault="00115458" w:rsidP="00F4606C">
            <w:pPr>
              <w:spacing w:after="0" w:line="240" w:lineRule="auto"/>
              <w:rPr>
                <w:rFonts w:cs="Arial"/>
              </w:rPr>
            </w:pPr>
            <w:r w:rsidRPr="00F4606C">
              <w:rPr>
                <w:rFonts w:cs="Arial"/>
              </w:rPr>
              <w:t>000000003000</w:t>
            </w:r>
          </w:p>
        </w:tc>
      </w:tr>
      <w:tr w:rsidR="00115458" w:rsidRPr="00B11B96" w14:paraId="4661A16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74E954" w14:textId="77777777" w:rsidR="00115458" w:rsidRPr="00B11B96" w:rsidRDefault="00115458" w:rsidP="00F4606C">
            <w:pPr>
              <w:spacing w:after="0" w:line="240" w:lineRule="auto"/>
              <w:rPr>
                <w:rFonts w:cs="Arial"/>
              </w:rPr>
            </w:pPr>
            <w:r w:rsidRPr="00F4606C">
              <w:rPr>
                <w:rFonts w:cs="Arial"/>
              </w:rPr>
              <w:t>9.84</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E281F8B" w14:textId="77777777" w:rsidR="00115458" w:rsidRPr="00B11B96" w:rsidRDefault="00115458" w:rsidP="00F4606C">
            <w:pPr>
              <w:spacing w:after="0" w:line="240" w:lineRule="auto"/>
              <w:rPr>
                <w:rFonts w:cs="Arial"/>
              </w:rPr>
            </w:pPr>
            <w:r w:rsidRPr="00F4606C">
              <w:rPr>
                <w:rFonts w:cs="Arial"/>
              </w:rPr>
              <w:t>Other taxable Australian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4F0437" w14:textId="77777777" w:rsidR="00115458" w:rsidRPr="00B11B96" w:rsidRDefault="00115458" w:rsidP="00F4606C">
            <w:pPr>
              <w:spacing w:after="0" w:line="240" w:lineRule="auto"/>
              <w:rPr>
                <w:rFonts w:cs="Arial"/>
              </w:rPr>
            </w:pPr>
            <w:r w:rsidRPr="00F4606C">
              <w:rPr>
                <w:rFonts w:cs="Arial"/>
              </w:rPr>
              <w:t>000000035000</w:t>
            </w:r>
          </w:p>
        </w:tc>
      </w:tr>
      <w:tr w:rsidR="00115458" w:rsidRPr="00B11B96" w14:paraId="5D6B3D6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79A3B7" w14:textId="77777777" w:rsidR="00115458" w:rsidRPr="00B11B96" w:rsidRDefault="00115458" w:rsidP="00F4606C">
            <w:pPr>
              <w:spacing w:after="0" w:line="240" w:lineRule="auto"/>
              <w:rPr>
                <w:rFonts w:cs="Arial"/>
              </w:rPr>
            </w:pPr>
            <w:r w:rsidRPr="00F4606C">
              <w:rPr>
                <w:rFonts w:cs="Arial"/>
              </w:rPr>
              <w:t>9.85</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78A7F45" w14:textId="77777777" w:rsidR="00115458" w:rsidRPr="00B11B96" w:rsidRDefault="00115458" w:rsidP="00F4606C">
            <w:pPr>
              <w:spacing w:after="0" w:line="240" w:lineRule="auto"/>
              <w:rPr>
                <w:rFonts w:cs="Arial"/>
              </w:rPr>
            </w:pPr>
            <w:r w:rsidRPr="00F4606C">
              <w:rPr>
                <w:rFonts w:cs="Arial"/>
              </w:rPr>
              <w:t>Non-primary production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7414119" w14:textId="77777777" w:rsidR="00115458" w:rsidRPr="00B11B96" w:rsidRDefault="00115458" w:rsidP="00F4606C">
            <w:pPr>
              <w:spacing w:after="0" w:line="240" w:lineRule="auto"/>
              <w:rPr>
                <w:rFonts w:cs="Arial"/>
              </w:rPr>
            </w:pPr>
            <w:r w:rsidRPr="00F4606C">
              <w:rPr>
                <w:rFonts w:cs="Arial"/>
              </w:rPr>
              <w:t>000000035000</w:t>
            </w:r>
          </w:p>
        </w:tc>
      </w:tr>
      <w:tr w:rsidR="00115458" w:rsidRPr="00B11B96" w14:paraId="71E4492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1FE378" w14:textId="77777777" w:rsidR="00115458" w:rsidRPr="00F4606C" w:rsidRDefault="00115458" w:rsidP="00F4606C">
            <w:pPr>
              <w:spacing w:after="0" w:line="240" w:lineRule="auto"/>
              <w:rPr>
                <w:rFonts w:cs="Arial"/>
              </w:rPr>
            </w:pPr>
            <w:r w:rsidRPr="00F4606C">
              <w:rPr>
                <w:rFonts w:cs="Arial"/>
              </w:rPr>
              <w:t>9.88</w:t>
            </w:r>
          </w:p>
        </w:tc>
        <w:tc>
          <w:tcPr>
            <w:tcW w:w="3342" w:type="pct"/>
            <w:tcBorders>
              <w:top w:val="nil"/>
              <w:left w:val="nil"/>
              <w:bottom w:val="single" w:sz="8" w:space="0" w:color="auto"/>
              <w:right w:val="single" w:sz="8" w:space="0" w:color="auto"/>
            </w:tcBorders>
            <w:tcMar>
              <w:top w:w="0" w:type="dxa"/>
              <w:left w:w="108" w:type="dxa"/>
              <w:bottom w:w="0" w:type="dxa"/>
              <w:right w:w="108" w:type="dxa"/>
            </w:tcMar>
          </w:tcPr>
          <w:p w14:paraId="40667C3D" w14:textId="77777777" w:rsidR="00115458" w:rsidRPr="00F4606C" w:rsidRDefault="00115458" w:rsidP="00F4606C">
            <w:pPr>
              <w:spacing w:after="0" w:line="240" w:lineRule="auto"/>
              <w:rPr>
                <w:rFonts w:cs="Arial"/>
              </w:rPr>
            </w:pPr>
            <w:r w:rsidRPr="00F4606C">
              <w:rPr>
                <w:rFonts w:cs="Arial"/>
              </w:rPr>
              <w:t>Net capital gain</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6B8FD90" w14:textId="77777777" w:rsidR="00115458" w:rsidRPr="00B11B96" w:rsidRDefault="00115458" w:rsidP="00F4606C">
            <w:pPr>
              <w:spacing w:after="0" w:line="240" w:lineRule="auto"/>
              <w:rPr>
                <w:rFonts w:cs="Arial"/>
              </w:rPr>
            </w:pPr>
            <w:r w:rsidRPr="00F4606C">
              <w:rPr>
                <w:rFonts w:cs="Arial"/>
              </w:rPr>
              <w:t>000000160000</w:t>
            </w:r>
          </w:p>
        </w:tc>
      </w:tr>
      <w:tr w:rsidR="00115458" w:rsidRPr="00B11B96" w14:paraId="31F93E6D"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D6BD06" w14:textId="77777777" w:rsidR="00115458" w:rsidRPr="00F4606C" w:rsidRDefault="00115458" w:rsidP="00F4606C">
            <w:pPr>
              <w:spacing w:after="0" w:line="240" w:lineRule="auto"/>
              <w:rPr>
                <w:rFonts w:cs="Arial"/>
              </w:rPr>
            </w:pPr>
            <w:r w:rsidRPr="00F4606C">
              <w:rPr>
                <w:rFonts w:cs="Arial"/>
              </w:rPr>
              <w:t>9.89</w:t>
            </w:r>
          </w:p>
        </w:tc>
        <w:tc>
          <w:tcPr>
            <w:tcW w:w="3342" w:type="pct"/>
            <w:tcBorders>
              <w:top w:val="nil"/>
              <w:left w:val="nil"/>
              <w:bottom w:val="single" w:sz="8" w:space="0" w:color="auto"/>
              <w:right w:val="single" w:sz="8" w:space="0" w:color="auto"/>
            </w:tcBorders>
            <w:tcMar>
              <w:top w:w="0" w:type="dxa"/>
              <w:left w:w="108" w:type="dxa"/>
              <w:bottom w:w="0" w:type="dxa"/>
              <w:right w:w="108" w:type="dxa"/>
            </w:tcMar>
          </w:tcPr>
          <w:p w14:paraId="121E6C05" w14:textId="77777777" w:rsidR="00115458" w:rsidRPr="00F4606C" w:rsidRDefault="00115458" w:rsidP="00F4606C">
            <w:pPr>
              <w:spacing w:after="0" w:line="240" w:lineRule="auto"/>
              <w:rPr>
                <w:rFonts w:cs="Arial"/>
              </w:rPr>
            </w:pPr>
            <w:r w:rsidRPr="00F4606C">
              <w:rPr>
                <w:rFonts w:cs="Arial"/>
              </w:rPr>
              <w:t>Total current year capital gains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422B151" w14:textId="77777777" w:rsidR="00115458" w:rsidRPr="00B11B96" w:rsidRDefault="00115458" w:rsidP="00F4606C">
            <w:pPr>
              <w:spacing w:after="0" w:line="240" w:lineRule="auto"/>
              <w:rPr>
                <w:rFonts w:cs="Arial"/>
              </w:rPr>
            </w:pPr>
            <w:r w:rsidRPr="00F4606C">
              <w:rPr>
                <w:rFonts w:cs="Arial"/>
              </w:rPr>
              <w:t>000000220000</w:t>
            </w:r>
          </w:p>
        </w:tc>
      </w:tr>
      <w:tr w:rsidR="00115458" w:rsidRPr="00B11B96" w14:paraId="6CF65FE9"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CB8CF" w14:textId="77777777" w:rsidR="00115458" w:rsidRPr="00B11B96" w:rsidRDefault="00115458" w:rsidP="00F4606C">
            <w:pPr>
              <w:spacing w:after="0" w:line="240" w:lineRule="auto"/>
              <w:rPr>
                <w:rFonts w:cs="Arial"/>
              </w:rPr>
            </w:pPr>
            <w:r w:rsidRPr="00F4606C">
              <w:rPr>
                <w:rFonts w:cs="Arial"/>
              </w:rPr>
              <w:t>9.98</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AB58A" w14:textId="77777777" w:rsidR="00115458" w:rsidRPr="00B11B96" w:rsidRDefault="00115458" w:rsidP="00F4606C">
            <w:pPr>
              <w:spacing w:after="0" w:line="240" w:lineRule="auto"/>
              <w:rPr>
                <w:rFonts w:cs="Arial"/>
              </w:rPr>
            </w:pPr>
            <w:r w:rsidRPr="00F4606C">
              <w:rPr>
                <w:rFonts w:cs="Arial"/>
              </w:rPr>
              <w:t>Other allowable trust deductions (cents)</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34EE3" w14:textId="77777777" w:rsidR="00115458" w:rsidRPr="00B11B96" w:rsidRDefault="00115458" w:rsidP="00F4606C">
            <w:pPr>
              <w:spacing w:after="0" w:line="240" w:lineRule="auto"/>
              <w:rPr>
                <w:rFonts w:cs="Arial"/>
              </w:rPr>
            </w:pPr>
            <w:r w:rsidRPr="00F4606C">
              <w:rPr>
                <w:rFonts w:cs="Arial"/>
              </w:rPr>
              <w:t>000000000000</w:t>
            </w:r>
          </w:p>
        </w:tc>
      </w:tr>
    </w:tbl>
    <w:p w14:paraId="42CA5AD1" w14:textId="77777777" w:rsidR="00115458" w:rsidRPr="00F4606C" w:rsidRDefault="00115458" w:rsidP="00B11B96">
      <w:pPr>
        <w:pStyle w:val="Maintext"/>
        <w:rPr>
          <w:rFonts w:asciiTheme="minorHAnsi" w:hAnsiTheme="minorHAnsi" w:cs="Arial"/>
          <w:b/>
          <w:smallCaps/>
          <w:sz w:val="20"/>
          <w:szCs w:val="20"/>
        </w:rPr>
      </w:pPr>
    </w:p>
    <w:p w14:paraId="680AD06D" w14:textId="4AC82E48" w:rsidR="00115458" w:rsidRPr="0023547A" w:rsidRDefault="00115458" w:rsidP="00B11B96">
      <w:pPr>
        <w:pStyle w:val="Maintext"/>
        <w:rPr>
          <w:rFonts w:asciiTheme="minorHAnsi" w:hAnsiTheme="minorHAnsi" w:cs="Arial"/>
          <w:b/>
          <w:smallCaps/>
          <w:sz w:val="20"/>
          <w:szCs w:val="20"/>
        </w:rPr>
      </w:pPr>
      <w:r w:rsidRPr="0023547A">
        <w:rPr>
          <w:rFonts w:asciiTheme="minorHAnsi" w:hAnsiTheme="minorHAnsi" w:cs="Arial"/>
          <w:b/>
          <w:smallCaps/>
          <w:sz w:val="20"/>
          <w:szCs w:val="20"/>
        </w:rPr>
        <w:t xml:space="preserve">supplementary income account data record 1 </w:t>
      </w:r>
      <w:r w:rsidRPr="0023547A">
        <w:rPr>
          <w:rFonts w:asciiTheme="minorHAnsi" w:hAnsiTheme="minorHAnsi" w:cs="Arial"/>
          <w:smallCaps/>
          <w:sz w:val="20"/>
          <w:szCs w:val="20"/>
        </w:rPr>
        <w:t>(extract)</w:t>
      </w:r>
    </w:p>
    <w:p w14:paraId="01EAD0E6" w14:textId="77777777" w:rsidR="00115458" w:rsidRPr="00F4606C" w:rsidRDefault="00115458" w:rsidP="00B11B96">
      <w:pPr>
        <w:pStyle w:val="Maintext"/>
        <w:rPr>
          <w:rFonts w:asciiTheme="minorHAnsi" w:hAnsiTheme="minorHAnsi" w:cs="Arial"/>
          <w:sz w:val="20"/>
          <w:szCs w:val="20"/>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6089"/>
        <w:gridCol w:w="1898"/>
      </w:tblGrid>
      <w:tr w:rsidR="00115458" w:rsidRPr="00B11B96" w14:paraId="55D72668" w14:textId="77777777" w:rsidTr="000C1365">
        <w:trPr>
          <w:cantSplit/>
          <w:trHeight w:val="495"/>
          <w:tblHeader/>
        </w:trPr>
        <w:tc>
          <w:tcPr>
            <w:tcW w:w="590" w:type="pct"/>
            <w:shd w:val="clear" w:color="auto" w:fill="B3B3B3"/>
            <w:tcMar>
              <w:top w:w="0" w:type="dxa"/>
              <w:left w:w="108" w:type="dxa"/>
              <w:bottom w:w="0" w:type="dxa"/>
              <w:right w:w="108" w:type="dxa"/>
            </w:tcMar>
            <w:vAlign w:val="center"/>
          </w:tcPr>
          <w:p w14:paraId="285CBF3A" w14:textId="77777777" w:rsidR="00115458" w:rsidRPr="00B11B96" w:rsidRDefault="00115458" w:rsidP="00F4606C">
            <w:pPr>
              <w:spacing w:after="0" w:line="240" w:lineRule="auto"/>
              <w:rPr>
                <w:rFonts w:cs="Arial"/>
              </w:rPr>
            </w:pPr>
            <w:r w:rsidRPr="00F4606C">
              <w:rPr>
                <w:rFonts w:cs="Arial"/>
                <w:b/>
                <w:bCs/>
              </w:rPr>
              <w:t>Reference number</w:t>
            </w:r>
          </w:p>
        </w:tc>
        <w:tc>
          <w:tcPr>
            <w:tcW w:w="3342" w:type="pct"/>
            <w:shd w:val="clear" w:color="auto" w:fill="B3B3B3"/>
            <w:tcMar>
              <w:top w:w="0" w:type="dxa"/>
              <w:left w:w="108" w:type="dxa"/>
              <w:bottom w:w="0" w:type="dxa"/>
              <w:right w:w="108" w:type="dxa"/>
            </w:tcMar>
            <w:vAlign w:val="center"/>
          </w:tcPr>
          <w:p w14:paraId="0920EC58" w14:textId="77777777" w:rsidR="00115458" w:rsidRPr="00B11B96" w:rsidRDefault="00115458" w:rsidP="00F4606C">
            <w:pPr>
              <w:spacing w:after="0" w:line="240" w:lineRule="auto"/>
              <w:rPr>
                <w:rFonts w:cs="Arial"/>
              </w:rPr>
            </w:pPr>
            <w:r w:rsidRPr="00F4606C">
              <w:rPr>
                <w:rFonts w:cs="Arial"/>
                <w:b/>
                <w:bCs/>
              </w:rPr>
              <w:t>Field name</w:t>
            </w:r>
          </w:p>
        </w:tc>
        <w:tc>
          <w:tcPr>
            <w:tcW w:w="1068" w:type="pct"/>
            <w:shd w:val="clear" w:color="auto" w:fill="B3B3B3"/>
            <w:tcMar>
              <w:top w:w="0" w:type="dxa"/>
              <w:left w:w="108" w:type="dxa"/>
              <w:bottom w:w="0" w:type="dxa"/>
              <w:right w:w="108" w:type="dxa"/>
            </w:tcMar>
            <w:vAlign w:val="center"/>
          </w:tcPr>
          <w:p w14:paraId="4F178F09" w14:textId="77777777" w:rsidR="00115458" w:rsidRPr="00B11B96" w:rsidRDefault="00115458" w:rsidP="00F4606C">
            <w:pPr>
              <w:spacing w:after="0" w:line="240" w:lineRule="auto"/>
              <w:rPr>
                <w:rFonts w:cs="Arial"/>
              </w:rPr>
            </w:pPr>
            <w:r w:rsidRPr="00F4606C">
              <w:rPr>
                <w:rFonts w:cs="Arial"/>
                <w:b/>
                <w:bCs/>
              </w:rPr>
              <w:t>Content</w:t>
            </w:r>
          </w:p>
        </w:tc>
      </w:tr>
      <w:tr w:rsidR="00115458" w:rsidRPr="00B11B96" w14:paraId="51530D08" w14:textId="77777777" w:rsidTr="000C1365">
        <w:trPr>
          <w:cantSplit/>
          <w:trHeight w:val="270"/>
        </w:trPr>
        <w:tc>
          <w:tcPr>
            <w:tcW w:w="590" w:type="pct"/>
            <w:tcMar>
              <w:top w:w="0" w:type="dxa"/>
              <w:left w:w="108" w:type="dxa"/>
              <w:bottom w:w="0" w:type="dxa"/>
              <w:right w:w="108" w:type="dxa"/>
            </w:tcMar>
            <w:vAlign w:val="center"/>
          </w:tcPr>
          <w:p w14:paraId="39E95154" w14:textId="77777777" w:rsidR="00115458" w:rsidRPr="00B11B96" w:rsidRDefault="00115458" w:rsidP="00F4606C">
            <w:pPr>
              <w:spacing w:after="0" w:line="240" w:lineRule="auto"/>
              <w:rPr>
                <w:rFonts w:cs="Arial"/>
              </w:rPr>
            </w:pPr>
            <w:r w:rsidRPr="00F4606C">
              <w:rPr>
                <w:rFonts w:cs="Arial"/>
              </w:rPr>
              <w:t>9.119</w:t>
            </w:r>
          </w:p>
        </w:tc>
        <w:tc>
          <w:tcPr>
            <w:tcW w:w="3342" w:type="pct"/>
            <w:tcMar>
              <w:top w:w="0" w:type="dxa"/>
              <w:left w:w="108" w:type="dxa"/>
              <w:bottom w:w="0" w:type="dxa"/>
              <w:right w:w="108" w:type="dxa"/>
            </w:tcMar>
            <w:vAlign w:val="center"/>
          </w:tcPr>
          <w:p w14:paraId="46E1CC6C" w14:textId="77777777" w:rsidR="00115458" w:rsidRPr="00B11B96" w:rsidRDefault="00115458" w:rsidP="00F4606C">
            <w:pPr>
              <w:spacing w:after="0" w:line="240" w:lineRule="auto"/>
              <w:rPr>
                <w:rFonts w:cs="Arial"/>
              </w:rPr>
            </w:pPr>
            <w:r w:rsidRPr="00F4606C">
              <w:rPr>
                <w:rFonts w:cs="Arial"/>
              </w:rPr>
              <w:t>Unfranked distributions from trusts (cents)</w:t>
            </w:r>
          </w:p>
        </w:tc>
        <w:tc>
          <w:tcPr>
            <w:tcW w:w="1068" w:type="pct"/>
            <w:tcMar>
              <w:top w:w="0" w:type="dxa"/>
              <w:left w:w="108" w:type="dxa"/>
              <w:bottom w:w="0" w:type="dxa"/>
              <w:right w:w="108" w:type="dxa"/>
            </w:tcMar>
            <w:vAlign w:val="center"/>
          </w:tcPr>
          <w:p w14:paraId="5F6C1AF5" w14:textId="77777777" w:rsidR="00115458" w:rsidRPr="00B11B96" w:rsidRDefault="00115458" w:rsidP="00F4606C">
            <w:pPr>
              <w:spacing w:after="0" w:line="240" w:lineRule="auto"/>
              <w:rPr>
                <w:rFonts w:cs="Arial"/>
              </w:rPr>
            </w:pPr>
            <w:r w:rsidRPr="00F4606C">
              <w:rPr>
                <w:rFonts w:cs="Arial"/>
              </w:rPr>
              <w:t>000000000000</w:t>
            </w:r>
          </w:p>
        </w:tc>
      </w:tr>
      <w:tr w:rsidR="00115458" w:rsidRPr="00B11B96" w14:paraId="77B3D318" w14:textId="77777777" w:rsidTr="000C1365">
        <w:trPr>
          <w:cantSplit/>
          <w:trHeight w:val="270"/>
        </w:trPr>
        <w:tc>
          <w:tcPr>
            <w:tcW w:w="590" w:type="pct"/>
            <w:tcMar>
              <w:top w:w="0" w:type="dxa"/>
              <w:left w:w="108" w:type="dxa"/>
              <w:bottom w:w="0" w:type="dxa"/>
              <w:right w:w="108" w:type="dxa"/>
            </w:tcMar>
            <w:vAlign w:val="center"/>
          </w:tcPr>
          <w:p w14:paraId="7A27D88D" w14:textId="77777777" w:rsidR="00115458" w:rsidRPr="00B11B96" w:rsidRDefault="00115458" w:rsidP="00F4606C">
            <w:pPr>
              <w:spacing w:after="0" w:line="240" w:lineRule="auto"/>
              <w:rPr>
                <w:rFonts w:cs="Arial"/>
              </w:rPr>
            </w:pPr>
            <w:r w:rsidRPr="00F4606C">
              <w:rPr>
                <w:rFonts w:cs="Arial"/>
              </w:rPr>
              <w:t>9.120</w:t>
            </w:r>
          </w:p>
        </w:tc>
        <w:tc>
          <w:tcPr>
            <w:tcW w:w="3342" w:type="pct"/>
            <w:tcMar>
              <w:top w:w="0" w:type="dxa"/>
              <w:left w:w="108" w:type="dxa"/>
              <w:bottom w:w="0" w:type="dxa"/>
              <w:right w:w="108" w:type="dxa"/>
            </w:tcMar>
            <w:vAlign w:val="center"/>
          </w:tcPr>
          <w:p w14:paraId="65AB8199" w14:textId="77777777" w:rsidR="00115458" w:rsidRPr="00B11B96" w:rsidRDefault="00115458" w:rsidP="00F4606C">
            <w:pPr>
              <w:spacing w:after="0" w:line="240" w:lineRule="auto"/>
              <w:rPr>
                <w:rFonts w:cs="Arial"/>
              </w:rPr>
            </w:pPr>
            <w:r w:rsidRPr="00F4606C">
              <w:rPr>
                <w:rFonts w:cs="Arial"/>
              </w:rPr>
              <w:t>Franked distributions from trusts (cents)</w:t>
            </w:r>
          </w:p>
        </w:tc>
        <w:tc>
          <w:tcPr>
            <w:tcW w:w="1068" w:type="pct"/>
            <w:tcMar>
              <w:top w:w="0" w:type="dxa"/>
              <w:left w:w="108" w:type="dxa"/>
              <w:bottom w:w="0" w:type="dxa"/>
              <w:right w:w="108" w:type="dxa"/>
            </w:tcMar>
            <w:vAlign w:val="center"/>
          </w:tcPr>
          <w:p w14:paraId="7F97A577" w14:textId="77777777" w:rsidR="00115458" w:rsidRPr="00B11B96" w:rsidRDefault="00115458" w:rsidP="00F4606C">
            <w:pPr>
              <w:spacing w:after="0" w:line="240" w:lineRule="auto"/>
              <w:rPr>
                <w:rFonts w:cs="Arial"/>
              </w:rPr>
            </w:pPr>
            <w:r w:rsidRPr="00F4606C">
              <w:rPr>
                <w:rFonts w:cs="Arial"/>
              </w:rPr>
              <w:t>000000010000</w:t>
            </w:r>
          </w:p>
        </w:tc>
      </w:tr>
      <w:tr w:rsidR="00115458" w:rsidRPr="00B11B96" w14:paraId="6AC48F91" w14:textId="77777777" w:rsidTr="000C1365">
        <w:trPr>
          <w:cantSplit/>
          <w:trHeight w:val="270"/>
        </w:trPr>
        <w:tc>
          <w:tcPr>
            <w:tcW w:w="590" w:type="pct"/>
            <w:tcMar>
              <w:top w:w="0" w:type="dxa"/>
              <w:left w:w="108" w:type="dxa"/>
              <w:bottom w:w="0" w:type="dxa"/>
              <w:right w:w="108" w:type="dxa"/>
            </w:tcMar>
            <w:vAlign w:val="center"/>
          </w:tcPr>
          <w:p w14:paraId="48B62C24" w14:textId="77777777" w:rsidR="00115458" w:rsidRPr="00F4606C" w:rsidRDefault="00115458" w:rsidP="00F4606C">
            <w:pPr>
              <w:spacing w:after="0" w:line="240" w:lineRule="auto"/>
              <w:rPr>
                <w:rFonts w:cs="Arial"/>
              </w:rPr>
            </w:pPr>
            <w:r w:rsidRPr="00F4606C">
              <w:rPr>
                <w:rFonts w:cs="Arial"/>
              </w:rPr>
              <w:t>9.121</w:t>
            </w:r>
          </w:p>
        </w:tc>
        <w:tc>
          <w:tcPr>
            <w:tcW w:w="3342" w:type="pct"/>
            <w:tcMar>
              <w:top w:w="0" w:type="dxa"/>
              <w:left w:w="108" w:type="dxa"/>
              <w:bottom w:w="0" w:type="dxa"/>
              <w:right w:w="108" w:type="dxa"/>
            </w:tcMar>
            <w:vAlign w:val="center"/>
          </w:tcPr>
          <w:p w14:paraId="0FC834A0" w14:textId="77777777" w:rsidR="00115458" w:rsidRPr="00F4606C" w:rsidRDefault="00115458" w:rsidP="00F4606C">
            <w:pPr>
              <w:spacing w:after="0" w:line="240" w:lineRule="auto"/>
              <w:rPr>
                <w:rFonts w:cs="Arial"/>
              </w:rPr>
            </w:pPr>
            <w:r w:rsidRPr="00F4606C">
              <w:rPr>
                <w:rFonts w:cs="Arial"/>
              </w:rPr>
              <w:t>Gross cash distribution</w:t>
            </w:r>
          </w:p>
        </w:tc>
        <w:tc>
          <w:tcPr>
            <w:tcW w:w="1068" w:type="pct"/>
            <w:tcMar>
              <w:top w:w="0" w:type="dxa"/>
              <w:left w:w="108" w:type="dxa"/>
              <w:bottom w:w="0" w:type="dxa"/>
              <w:right w:w="108" w:type="dxa"/>
            </w:tcMar>
            <w:vAlign w:val="center"/>
          </w:tcPr>
          <w:p w14:paraId="0E97A5E9" w14:textId="77777777" w:rsidR="00115458" w:rsidRPr="00F4606C" w:rsidRDefault="00115458" w:rsidP="00F4606C">
            <w:pPr>
              <w:spacing w:after="0" w:line="240" w:lineRule="auto"/>
              <w:rPr>
                <w:rFonts w:cs="Arial"/>
              </w:rPr>
            </w:pPr>
            <w:r w:rsidRPr="00F4606C">
              <w:rPr>
                <w:rFonts w:cs="Arial"/>
              </w:rPr>
              <w:t>000000295000</w:t>
            </w:r>
          </w:p>
        </w:tc>
      </w:tr>
      <w:tr w:rsidR="00115458" w:rsidRPr="00B11B96" w14:paraId="6387AC38"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C4A929" w14:textId="77777777" w:rsidR="00115458" w:rsidRPr="00F4606C" w:rsidRDefault="00115458" w:rsidP="00F4606C">
            <w:pPr>
              <w:spacing w:after="0" w:line="240" w:lineRule="auto"/>
              <w:rPr>
                <w:rFonts w:cs="Arial"/>
              </w:rPr>
            </w:pPr>
            <w:r w:rsidRPr="00F4606C">
              <w:rPr>
                <w:rFonts w:cs="Arial"/>
              </w:rPr>
              <w:t>9.123</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409A4A8F" w14:textId="77777777" w:rsidR="00115458" w:rsidRPr="00F4606C" w:rsidRDefault="00115458" w:rsidP="00F4606C">
            <w:pPr>
              <w:spacing w:after="0" w:line="240" w:lineRule="auto"/>
            </w:pPr>
            <w:r w:rsidRPr="00F4606C">
              <w:t>Capital gains discount method –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7A2B206B" w14:textId="77777777" w:rsidR="00115458" w:rsidRPr="00F4606C" w:rsidDel="006E4A4F" w:rsidRDefault="00115458" w:rsidP="00F4606C">
            <w:pPr>
              <w:spacing w:after="0" w:line="240" w:lineRule="auto"/>
              <w:rPr>
                <w:rFonts w:cs="Arial"/>
              </w:rPr>
            </w:pPr>
            <w:r w:rsidRPr="00F4606C">
              <w:rPr>
                <w:rFonts w:cs="Arial"/>
              </w:rPr>
              <w:t>000000060000</w:t>
            </w:r>
          </w:p>
        </w:tc>
      </w:tr>
      <w:tr w:rsidR="00115458" w:rsidRPr="00B11B96" w14:paraId="04ABA1EA"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E6CA37" w14:textId="77777777" w:rsidR="00115458" w:rsidRPr="00F4606C" w:rsidRDefault="00115458" w:rsidP="00F4606C">
            <w:pPr>
              <w:spacing w:after="0" w:line="240" w:lineRule="auto"/>
              <w:rPr>
                <w:rFonts w:cs="Arial"/>
              </w:rPr>
            </w:pPr>
            <w:r w:rsidRPr="00F4606C">
              <w:rPr>
                <w:rFonts w:cs="Arial"/>
              </w:rPr>
              <w:t>9.124</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EE89312" w14:textId="77777777" w:rsidR="00115458" w:rsidRPr="00F4606C" w:rsidRDefault="00115458" w:rsidP="00F4606C">
            <w:pPr>
              <w:spacing w:after="0" w:line="240" w:lineRule="auto"/>
            </w:pPr>
            <w:r w:rsidRPr="00F4606C">
              <w:t>Capital gains discount method – Non-Taxable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7B5EF360" w14:textId="77777777" w:rsidR="00115458" w:rsidRPr="00F4606C" w:rsidDel="006E4A4F" w:rsidRDefault="00115458" w:rsidP="00F4606C">
            <w:pPr>
              <w:spacing w:after="0" w:line="240" w:lineRule="auto"/>
              <w:rPr>
                <w:rFonts w:cs="Arial"/>
              </w:rPr>
            </w:pPr>
            <w:r w:rsidRPr="00F4606C">
              <w:rPr>
                <w:rFonts w:cs="Arial"/>
              </w:rPr>
              <w:t>000000000000</w:t>
            </w:r>
          </w:p>
        </w:tc>
      </w:tr>
      <w:tr w:rsidR="00115458" w:rsidRPr="00B11B96" w14:paraId="62852236"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6F412F" w14:textId="77777777" w:rsidR="00115458" w:rsidRPr="00F4606C" w:rsidRDefault="00115458" w:rsidP="00F4606C">
            <w:pPr>
              <w:spacing w:after="0" w:line="240" w:lineRule="auto"/>
              <w:rPr>
                <w:rFonts w:cs="Arial"/>
              </w:rPr>
            </w:pPr>
            <w:r w:rsidRPr="00F4606C">
              <w:rPr>
                <w:rFonts w:cs="Arial"/>
              </w:rPr>
              <w:t>9.125</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224843D" w14:textId="77777777" w:rsidR="00115458" w:rsidRPr="00F4606C" w:rsidRDefault="00115458" w:rsidP="00F4606C">
            <w:pPr>
              <w:spacing w:after="0" w:line="240" w:lineRule="auto"/>
            </w:pPr>
            <w:r w:rsidRPr="00F4606C">
              <w:t>Capital gains other –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1DF1DBAC" w14:textId="77777777" w:rsidR="00115458" w:rsidRPr="00F4606C" w:rsidDel="006E4A4F" w:rsidRDefault="00115458" w:rsidP="00F4606C">
            <w:pPr>
              <w:spacing w:after="0" w:line="240" w:lineRule="auto"/>
              <w:rPr>
                <w:rFonts w:cs="Arial"/>
              </w:rPr>
            </w:pPr>
            <w:r w:rsidRPr="00F4606C">
              <w:rPr>
                <w:rFonts w:cs="Arial"/>
              </w:rPr>
              <w:t>000000100000</w:t>
            </w:r>
          </w:p>
        </w:tc>
      </w:tr>
      <w:tr w:rsidR="00115458" w:rsidRPr="00B11B96" w14:paraId="79071CE2"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E4B75" w14:textId="77777777" w:rsidR="00115458" w:rsidRPr="00F4606C" w:rsidRDefault="00115458" w:rsidP="00F4606C">
            <w:pPr>
              <w:spacing w:after="0" w:line="240" w:lineRule="auto"/>
              <w:rPr>
                <w:rFonts w:cs="Arial"/>
              </w:rPr>
            </w:pPr>
            <w:r w:rsidRPr="00F4606C">
              <w:rPr>
                <w:rFonts w:cs="Arial"/>
              </w:rPr>
              <w:t>9.126</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21992E" w14:textId="77777777" w:rsidR="00115458" w:rsidRPr="00F4606C" w:rsidRDefault="00115458" w:rsidP="00F4606C">
            <w:pPr>
              <w:spacing w:after="0" w:line="240" w:lineRule="auto"/>
            </w:pPr>
            <w:r w:rsidRPr="00F4606C">
              <w:t>Capital gains other – Non-Taxable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73FE2CBC" w14:textId="77777777" w:rsidR="00115458" w:rsidRPr="00F4606C" w:rsidDel="006E4A4F" w:rsidRDefault="00115458" w:rsidP="00F4606C">
            <w:pPr>
              <w:spacing w:after="0" w:line="240" w:lineRule="auto"/>
              <w:rPr>
                <w:rFonts w:cs="Arial"/>
              </w:rPr>
            </w:pPr>
            <w:r w:rsidRPr="00F4606C">
              <w:rPr>
                <w:rFonts w:cs="Arial"/>
              </w:rPr>
              <w:t>000000000000</w:t>
            </w:r>
          </w:p>
        </w:tc>
      </w:tr>
      <w:tr w:rsidR="00115458" w:rsidRPr="00B11B96" w14:paraId="0B5BE2E6"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0EBFC38" w14:textId="77777777" w:rsidR="00115458" w:rsidRPr="00F4606C" w:rsidRDefault="00115458" w:rsidP="00F4606C">
            <w:pPr>
              <w:spacing w:after="0" w:line="240" w:lineRule="auto"/>
              <w:rPr>
                <w:rFonts w:cs="Arial"/>
              </w:rPr>
            </w:pPr>
            <w:r w:rsidRPr="00F4606C">
              <w:rPr>
                <w:rFonts w:cs="Arial"/>
              </w:rPr>
              <w:t>9.128</w:t>
            </w:r>
          </w:p>
        </w:tc>
        <w:tc>
          <w:tcPr>
            <w:tcW w:w="3342" w:type="pct"/>
            <w:tcBorders>
              <w:top w:val="nil"/>
              <w:left w:val="nil"/>
              <w:bottom w:val="single" w:sz="4" w:space="0" w:color="auto"/>
              <w:right w:val="single" w:sz="8" w:space="0" w:color="auto"/>
            </w:tcBorders>
            <w:tcMar>
              <w:top w:w="0" w:type="dxa"/>
              <w:left w:w="108" w:type="dxa"/>
              <w:bottom w:w="0" w:type="dxa"/>
              <w:right w:w="108" w:type="dxa"/>
            </w:tcMar>
            <w:vAlign w:val="center"/>
          </w:tcPr>
          <w:p w14:paraId="1837BC66" w14:textId="77777777" w:rsidR="00115458" w:rsidRPr="00F4606C" w:rsidRDefault="00115458" w:rsidP="00F4606C">
            <w:pPr>
              <w:spacing w:after="0" w:line="240" w:lineRule="auto"/>
              <w:rPr>
                <w:rFonts w:cs="Arial"/>
              </w:rPr>
            </w:pPr>
            <w:r w:rsidRPr="00F4606C">
              <w:t>AMIT cost base net amount – excess</w:t>
            </w:r>
          </w:p>
        </w:tc>
        <w:tc>
          <w:tcPr>
            <w:tcW w:w="1068" w:type="pct"/>
            <w:tcBorders>
              <w:top w:val="nil"/>
              <w:left w:val="nil"/>
              <w:bottom w:val="single" w:sz="4" w:space="0" w:color="auto"/>
              <w:right w:val="single" w:sz="8" w:space="0" w:color="auto"/>
            </w:tcBorders>
            <w:tcMar>
              <w:top w:w="0" w:type="dxa"/>
              <w:left w:w="108" w:type="dxa"/>
              <w:bottom w:w="0" w:type="dxa"/>
              <w:right w:w="108" w:type="dxa"/>
            </w:tcMar>
            <w:vAlign w:val="center"/>
          </w:tcPr>
          <w:p w14:paraId="2D43568B" w14:textId="77777777" w:rsidR="00115458" w:rsidRPr="00F4606C" w:rsidRDefault="00115458" w:rsidP="00F4606C">
            <w:pPr>
              <w:spacing w:after="0" w:line="240" w:lineRule="auto"/>
              <w:rPr>
                <w:rFonts w:cs="Arial"/>
              </w:rPr>
            </w:pPr>
            <w:r w:rsidRPr="00F4606C">
              <w:rPr>
                <w:rFonts w:cs="Arial"/>
              </w:rPr>
              <w:t>000000030000</w:t>
            </w:r>
          </w:p>
        </w:tc>
      </w:tr>
      <w:tr w:rsidR="00115458" w:rsidRPr="00B11B96" w14:paraId="650CDA6A"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C4135" w14:textId="77777777" w:rsidR="00115458" w:rsidRPr="00F4606C" w:rsidRDefault="00115458" w:rsidP="00F4606C">
            <w:pPr>
              <w:spacing w:after="0" w:line="240" w:lineRule="auto"/>
              <w:rPr>
                <w:rFonts w:cs="Arial"/>
              </w:rPr>
            </w:pPr>
            <w:r w:rsidRPr="00F4606C">
              <w:rPr>
                <w:rFonts w:cs="Arial"/>
              </w:rPr>
              <w:t>9.129</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FE7C2C" w14:textId="77777777" w:rsidR="00115458" w:rsidRPr="00F4606C" w:rsidRDefault="00115458" w:rsidP="00F4606C">
            <w:pPr>
              <w:spacing w:after="0" w:line="240" w:lineRule="auto"/>
              <w:rPr>
                <w:rFonts w:cs="Arial"/>
              </w:rPr>
            </w:pPr>
            <w:r w:rsidRPr="00F4606C">
              <w:t>AMIT cost base net amount – shortfall</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E8FBC" w14:textId="77777777" w:rsidR="00115458" w:rsidRPr="00F4606C" w:rsidRDefault="00115458" w:rsidP="00F4606C">
            <w:pPr>
              <w:spacing w:after="0" w:line="240" w:lineRule="auto"/>
              <w:rPr>
                <w:rFonts w:cs="Arial"/>
              </w:rPr>
            </w:pPr>
            <w:r w:rsidRPr="00F4606C">
              <w:rPr>
                <w:rFonts w:cs="Arial"/>
              </w:rPr>
              <w:t>000000000000</w:t>
            </w:r>
          </w:p>
        </w:tc>
      </w:tr>
      <w:tr w:rsidR="00115458" w:rsidRPr="00B11B96" w14:paraId="386FDBFC"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3FA69" w14:textId="77777777" w:rsidR="00115458" w:rsidRPr="00F4606C" w:rsidRDefault="00115458" w:rsidP="00F4606C">
            <w:pPr>
              <w:spacing w:after="0" w:line="240" w:lineRule="auto"/>
              <w:rPr>
                <w:rFonts w:cs="Arial"/>
              </w:rPr>
            </w:pPr>
            <w:r w:rsidRPr="00F4606C">
              <w:rPr>
                <w:rFonts w:cs="Arial"/>
              </w:rPr>
              <w:t>9.136</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A692F" w14:textId="77777777" w:rsidR="00115458" w:rsidRPr="00F4606C" w:rsidRDefault="00115458" w:rsidP="00F4606C">
            <w:pPr>
              <w:spacing w:after="0" w:line="240" w:lineRule="auto"/>
            </w:pPr>
            <w:r w:rsidRPr="00F4606C">
              <w:t>NCMI – Non-primary production</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1FE27" w14:textId="77777777" w:rsidR="00115458" w:rsidRPr="00F4606C" w:rsidRDefault="00115458" w:rsidP="00F4606C">
            <w:pPr>
              <w:spacing w:after="0" w:line="240" w:lineRule="auto"/>
              <w:rPr>
                <w:rFonts w:cs="Arial"/>
              </w:rPr>
            </w:pPr>
            <w:r w:rsidRPr="00F4606C">
              <w:rPr>
                <w:rFonts w:cs="Arial"/>
              </w:rPr>
              <w:t>000000000000</w:t>
            </w:r>
          </w:p>
        </w:tc>
      </w:tr>
      <w:tr w:rsidR="00115458" w:rsidRPr="00B11B96" w14:paraId="42CBF254"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726C4" w14:textId="77777777" w:rsidR="00115458" w:rsidRPr="00F4606C" w:rsidRDefault="00115458" w:rsidP="00F4606C">
            <w:pPr>
              <w:spacing w:after="0" w:line="240" w:lineRule="auto"/>
              <w:rPr>
                <w:rFonts w:cs="Arial"/>
              </w:rPr>
            </w:pPr>
            <w:r w:rsidRPr="00F4606C">
              <w:rPr>
                <w:rFonts w:cs="Arial"/>
              </w:rPr>
              <w:t>9.138</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70D56" w14:textId="77777777" w:rsidR="00115458" w:rsidRPr="00F4606C" w:rsidRDefault="00115458" w:rsidP="00F4606C">
            <w:pPr>
              <w:spacing w:after="0" w:line="240" w:lineRule="auto"/>
            </w:pPr>
            <w:r w:rsidRPr="00F4606C">
              <w:t xml:space="preserve">Excluded from NCMI – Non-primary production </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777CF" w14:textId="77777777" w:rsidR="00115458" w:rsidRPr="00F4606C" w:rsidRDefault="00115458" w:rsidP="00F4606C">
            <w:pPr>
              <w:spacing w:after="0" w:line="240" w:lineRule="auto"/>
              <w:rPr>
                <w:rFonts w:cs="Arial"/>
              </w:rPr>
            </w:pPr>
            <w:r w:rsidRPr="00F4606C">
              <w:rPr>
                <w:rFonts w:cs="Arial"/>
              </w:rPr>
              <w:t>000000000000</w:t>
            </w:r>
          </w:p>
        </w:tc>
      </w:tr>
    </w:tbl>
    <w:p w14:paraId="48FD26AC" w14:textId="77777777" w:rsidR="00115458" w:rsidRPr="00F5492B" w:rsidRDefault="00115458" w:rsidP="00115458">
      <w:pPr>
        <w:rPr>
          <w:rFonts w:cs="Arial"/>
          <w:sz w:val="18"/>
          <w:szCs w:val="18"/>
        </w:rPr>
      </w:pPr>
      <w:r w:rsidRPr="0028338D">
        <w:rPr>
          <w:iCs/>
          <w:color w:val="000000"/>
          <w:sz w:val="18"/>
          <w:szCs w:val="18"/>
        </w:rPr>
        <w:t>An</w:t>
      </w:r>
      <w:r>
        <w:rPr>
          <w:i/>
          <w:color w:val="000000"/>
          <w:sz w:val="18"/>
          <w:szCs w:val="18"/>
        </w:rPr>
        <w:t xml:space="preserve"> </w:t>
      </w:r>
      <w:r w:rsidRPr="00F5492B">
        <w:rPr>
          <w:i/>
          <w:color w:val="000000"/>
          <w:sz w:val="18"/>
          <w:szCs w:val="18"/>
        </w:rPr>
        <w:t xml:space="preserve">Investor data record </w:t>
      </w:r>
      <w:r w:rsidRPr="00F5492B">
        <w:rPr>
          <w:color w:val="000000"/>
          <w:sz w:val="18"/>
          <w:szCs w:val="18"/>
        </w:rPr>
        <w:t xml:space="preserve">is required following </w:t>
      </w:r>
      <w:r>
        <w:rPr>
          <w:color w:val="000000"/>
          <w:sz w:val="18"/>
          <w:szCs w:val="18"/>
        </w:rPr>
        <w:t xml:space="preserve">the </w:t>
      </w:r>
      <w:r>
        <w:rPr>
          <w:rFonts w:cs="Arial"/>
          <w:i/>
          <w:sz w:val="18"/>
          <w:szCs w:val="18"/>
        </w:rPr>
        <w:t xml:space="preserve">Supplementary income account </w:t>
      </w:r>
      <w:r w:rsidRPr="00F5492B">
        <w:rPr>
          <w:rFonts w:cs="Arial"/>
          <w:i/>
          <w:sz w:val="18"/>
          <w:szCs w:val="18"/>
        </w:rPr>
        <w:t>d</w:t>
      </w:r>
      <w:r>
        <w:rPr>
          <w:rFonts w:cs="Arial"/>
          <w:i/>
          <w:sz w:val="18"/>
          <w:szCs w:val="18"/>
        </w:rPr>
        <w:t>ata record</w:t>
      </w:r>
      <w:r w:rsidRPr="00F5492B">
        <w:rPr>
          <w:rFonts w:cs="Arial"/>
          <w:sz w:val="18"/>
          <w:szCs w:val="18"/>
        </w:rPr>
        <w:t>.</w:t>
      </w:r>
    </w:p>
    <w:p w14:paraId="3E6B4A8F" w14:textId="77777777" w:rsidR="00B11B96" w:rsidRDefault="00B11B96" w:rsidP="00A002E5">
      <w:bookmarkStart w:id="1636" w:name="_Toc5193019"/>
    </w:p>
    <w:p w14:paraId="32C18255" w14:textId="52F98AD3" w:rsidR="00115458" w:rsidRDefault="00115458" w:rsidP="00F4606C">
      <w:pPr>
        <w:pStyle w:val="Head4"/>
        <w:spacing w:before="0" w:after="0"/>
        <w:rPr>
          <w:rFonts w:asciiTheme="minorHAnsi" w:hAnsiTheme="minorHAnsi"/>
          <w:sz w:val="20"/>
          <w:szCs w:val="20"/>
        </w:rPr>
      </w:pPr>
      <w:r w:rsidRPr="00F4606C">
        <w:rPr>
          <w:rFonts w:asciiTheme="minorHAnsi" w:hAnsiTheme="minorHAnsi"/>
          <w:sz w:val="20"/>
          <w:szCs w:val="20"/>
        </w:rPr>
        <w:t xml:space="preserve">Example 6.7 – AMIT cost base net amounts – Shortfall (increase) amount </w:t>
      </w:r>
      <w:bookmarkEnd w:id="1636"/>
    </w:p>
    <w:p w14:paraId="4A4FB58A" w14:textId="77777777" w:rsidR="00D460C8" w:rsidRPr="00D460C8" w:rsidRDefault="00D460C8" w:rsidP="00D460C8">
      <w:pPr>
        <w:pStyle w:val="Maintext"/>
      </w:pPr>
    </w:p>
    <w:p w14:paraId="44B1B54B" w14:textId="77777777" w:rsidR="00115458" w:rsidRPr="00B11B96" w:rsidRDefault="00115458" w:rsidP="00F4606C">
      <w:pPr>
        <w:spacing w:after="0" w:line="240" w:lineRule="auto"/>
      </w:pPr>
      <w:r w:rsidRPr="00B11B96">
        <w:t>Republican Trust determined member components for one investor:</w:t>
      </w:r>
    </w:p>
    <w:p w14:paraId="7084E3D9" w14:textId="77777777" w:rsidR="00115458" w:rsidRPr="00B11B96" w:rsidRDefault="00115458" w:rsidP="00F4606C">
      <w:pPr>
        <w:spacing w:after="0" w:line="240" w:lineRule="auto"/>
      </w:pPr>
    </w:p>
    <w:p w14:paraId="3525E15C" w14:textId="77777777" w:rsidR="00115458" w:rsidRPr="00F4606C" w:rsidRDefault="00115458" w:rsidP="001601AF">
      <w:pPr>
        <w:pStyle w:val="Bullet1"/>
        <w:numPr>
          <w:ilvl w:val="0"/>
          <w:numId w:val="41"/>
        </w:numPr>
        <w:spacing w:before="0" w:after="0"/>
        <w:rPr>
          <w:rFonts w:asciiTheme="minorHAnsi" w:hAnsiTheme="minorHAnsi"/>
          <w:sz w:val="20"/>
          <w:szCs w:val="20"/>
        </w:rPr>
      </w:pPr>
      <w:r w:rsidRPr="00F4606C">
        <w:rPr>
          <w:rFonts w:asciiTheme="minorHAnsi" w:hAnsiTheme="minorHAnsi"/>
          <w:sz w:val="20"/>
          <w:szCs w:val="20"/>
        </w:rPr>
        <w:t>Franked dividends</w:t>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t>$700.00</w:t>
      </w:r>
    </w:p>
    <w:p w14:paraId="0943650F" w14:textId="77777777" w:rsidR="00115458" w:rsidRPr="00F4606C" w:rsidRDefault="00115458" w:rsidP="001601AF">
      <w:pPr>
        <w:pStyle w:val="Bullet1"/>
        <w:numPr>
          <w:ilvl w:val="0"/>
          <w:numId w:val="41"/>
        </w:numPr>
        <w:spacing w:before="0" w:after="0"/>
        <w:rPr>
          <w:rFonts w:asciiTheme="minorHAnsi" w:hAnsiTheme="minorHAnsi"/>
          <w:sz w:val="20"/>
          <w:szCs w:val="20"/>
        </w:rPr>
      </w:pPr>
      <w:r w:rsidRPr="00F4606C">
        <w:rPr>
          <w:rFonts w:asciiTheme="minorHAnsi" w:hAnsiTheme="minorHAnsi"/>
          <w:sz w:val="20"/>
          <w:szCs w:val="20"/>
        </w:rPr>
        <w:t>Franking credit gross up</w:t>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t>$300.00</w:t>
      </w:r>
    </w:p>
    <w:p w14:paraId="7988B3BB" w14:textId="77777777" w:rsidR="00115458" w:rsidRPr="00F4606C" w:rsidRDefault="00115458" w:rsidP="001601AF">
      <w:pPr>
        <w:pStyle w:val="Bullet1"/>
        <w:numPr>
          <w:ilvl w:val="0"/>
          <w:numId w:val="41"/>
        </w:numPr>
        <w:spacing w:before="0" w:after="0"/>
        <w:rPr>
          <w:rFonts w:asciiTheme="minorHAnsi" w:hAnsiTheme="minorHAnsi"/>
          <w:sz w:val="20"/>
          <w:szCs w:val="20"/>
        </w:rPr>
      </w:pPr>
      <w:r w:rsidRPr="00F4606C">
        <w:rPr>
          <w:rFonts w:asciiTheme="minorHAnsi" w:hAnsiTheme="minorHAnsi"/>
          <w:sz w:val="20"/>
          <w:szCs w:val="20"/>
        </w:rPr>
        <w:t>Unfranked dividends non-CFI</w:t>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r>
      <w:r w:rsidRPr="00F4606C">
        <w:rPr>
          <w:rFonts w:asciiTheme="minorHAnsi" w:hAnsiTheme="minorHAnsi"/>
          <w:sz w:val="20"/>
          <w:szCs w:val="20"/>
        </w:rPr>
        <w:tab/>
        <w:t>$150.00</w:t>
      </w:r>
    </w:p>
    <w:p w14:paraId="0C64117C" w14:textId="642A8D22" w:rsidR="00115458" w:rsidRPr="00B11B96" w:rsidRDefault="00115458" w:rsidP="001601AF">
      <w:pPr>
        <w:pStyle w:val="Bullet1"/>
        <w:numPr>
          <w:ilvl w:val="0"/>
          <w:numId w:val="41"/>
        </w:numPr>
        <w:spacing w:before="0" w:after="0"/>
        <w:rPr>
          <w:rFonts w:asciiTheme="minorHAnsi" w:hAnsiTheme="minorHAnsi"/>
          <w:sz w:val="20"/>
          <w:szCs w:val="20"/>
        </w:rPr>
      </w:pPr>
      <w:r w:rsidRPr="00F4606C">
        <w:rPr>
          <w:rFonts w:asciiTheme="minorHAnsi" w:hAnsiTheme="minorHAnsi"/>
          <w:sz w:val="20"/>
          <w:szCs w:val="20"/>
        </w:rPr>
        <w:t xml:space="preserve">Capital gains discount - Taxable Australian property </w:t>
      </w:r>
      <w:r w:rsidRPr="00F4606C">
        <w:rPr>
          <w:rFonts w:asciiTheme="minorHAnsi" w:hAnsiTheme="minorHAnsi"/>
          <w:sz w:val="20"/>
          <w:szCs w:val="20"/>
        </w:rPr>
        <w:tab/>
      </w:r>
      <w:r w:rsidR="00B11B96">
        <w:rPr>
          <w:rFonts w:asciiTheme="minorHAnsi" w:hAnsiTheme="minorHAnsi"/>
          <w:sz w:val="20"/>
          <w:szCs w:val="20"/>
        </w:rPr>
        <w:tab/>
      </w:r>
      <w:r w:rsidRPr="00B11B96">
        <w:rPr>
          <w:rFonts w:asciiTheme="minorHAnsi" w:hAnsiTheme="minorHAnsi"/>
          <w:sz w:val="20"/>
          <w:szCs w:val="20"/>
        </w:rPr>
        <w:t>$500.00</w:t>
      </w:r>
    </w:p>
    <w:p w14:paraId="75FF81F5"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 xml:space="preserve">Capital gains other - Taxable Australian property </w:t>
      </w:r>
      <w:r w:rsidRPr="00B11B96">
        <w:rPr>
          <w:rFonts w:asciiTheme="minorHAnsi" w:hAnsiTheme="minorHAnsi"/>
          <w:sz w:val="20"/>
          <w:szCs w:val="20"/>
        </w:rPr>
        <w:tab/>
      </w:r>
      <w:r w:rsidRPr="00B11B96">
        <w:rPr>
          <w:rFonts w:asciiTheme="minorHAnsi" w:hAnsiTheme="minorHAnsi"/>
          <w:sz w:val="20"/>
          <w:szCs w:val="20"/>
        </w:rPr>
        <w:tab/>
        <w:t>$400.00</w:t>
      </w:r>
      <w:r w:rsidRPr="00B11B96">
        <w:rPr>
          <w:rFonts w:asciiTheme="minorHAnsi" w:hAnsiTheme="minorHAnsi"/>
          <w:sz w:val="20"/>
          <w:szCs w:val="20"/>
        </w:rPr>
        <w:tab/>
      </w:r>
    </w:p>
    <w:p w14:paraId="662991E2" w14:textId="77777777" w:rsidR="00115458" w:rsidRPr="00B11B96" w:rsidRDefault="00115458" w:rsidP="001601AF">
      <w:pPr>
        <w:pStyle w:val="Bullet1"/>
        <w:numPr>
          <w:ilvl w:val="0"/>
          <w:numId w:val="41"/>
        </w:numPr>
        <w:spacing w:before="0" w:after="0"/>
        <w:rPr>
          <w:rFonts w:asciiTheme="minorHAnsi" w:hAnsiTheme="minorHAnsi"/>
          <w:sz w:val="20"/>
          <w:szCs w:val="20"/>
        </w:rPr>
      </w:pPr>
      <w:r w:rsidRPr="00B11B96">
        <w:rPr>
          <w:rFonts w:asciiTheme="minorHAnsi" w:hAnsiTheme="minorHAnsi"/>
          <w:sz w:val="20"/>
          <w:szCs w:val="20"/>
        </w:rPr>
        <w:t>Non-primary production income</w:t>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r>
      <w:r w:rsidRPr="00B11B96">
        <w:rPr>
          <w:rFonts w:asciiTheme="minorHAnsi" w:hAnsiTheme="minorHAnsi"/>
          <w:sz w:val="20"/>
          <w:szCs w:val="20"/>
        </w:rPr>
        <w:tab/>
        <w:t>$2,000.00</w:t>
      </w:r>
    </w:p>
    <w:p w14:paraId="63CE6AEF" w14:textId="77777777" w:rsidR="00115458" w:rsidRPr="00B11B96" w:rsidRDefault="00115458" w:rsidP="00F4606C">
      <w:pPr>
        <w:spacing w:after="0" w:line="240" w:lineRule="auto"/>
      </w:pPr>
    </w:p>
    <w:p w14:paraId="00E938E1" w14:textId="77777777" w:rsidR="00115458" w:rsidRPr="00B11B96" w:rsidRDefault="00115458" w:rsidP="00F4606C">
      <w:pPr>
        <w:spacing w:after="0" w:line="240" w:lineRule="auto"/>
      </w:pPr>
      <w:r w:rsidRPr="00B11B96">
        <w:t xml:space="preserve">The Trust issues an AMMA statement to investors reflecting each of the determined member components.    </w:t>
      </w:r>
    </w:p>
    <w:p w14:paraId="0E37D25A" w14:textId="77777777" w:rsidR="00115458" w:rsidRDefault="00115458" w:rsidP="00F4606C">
      <w:pPr>
        <w:spacing w:after="0" w:line="240" w:lineRule="auto"/>
      </w:pPr>
    </w:p>
    <w:p w14:paraId="67550779" w14:textId="4D376FD8" w:rsidR="00115458" w:rsidRDefault="00115458" w:rsidP="00F94DFB">
      <w:pPr>
        <w:spacing w:after="0" w:line="240" w:lineRule="auto"/>
        <w:rPr>
          <w:szCs w:val="22"/>
        </w:rPr>
      </w:pPr>
      <w:r>
        <w:t>The unfranked and franked dividend income is reinvested rather than paid as a cash distribution. All other amounts were paid to the investor and included the franking credit gross up amount attributed.</w:t>
      </w:r>
    </w:p>
    <w:p w14:paraId="7A91C82E" w14:textId="77777777" w:rsidR="00F94DFB" w:rsidRDefault="00F94DFB" w:rsidP="00F94DFB">
      <w:pPr>
        <w:spacing w:after="0" w:line="240" w:lineRule="auto"/>
        <w:rPr>
          <w:szCs w:val="22"/>
        </w:rPr>
      </w:pPr>
    </w:p>
    <w:p w14:paraId="440C88C8" w14:textId="77777777" w:rsidR="00115458" w:rsidRPr="00B11B96" w:rsidRDefault="00115458" w:rsidP="00F4606C">
      <w:pPr>
        <w:spacing w:after="0" w:line="240" w:lineRule="auto"/>
      </w:pPr>
      <w:r w:rsidRPr="00B11B96">
        <w:t>The AMIT cost base reduction (actual amount) = $3,700 ($300+$500x2+$400+$2,000)</w:t>
      </w:r>
    </w:p>
    <w:p w14:paraId="2FE83E51" w14:textId="77777777" w:rsidR="00115458" w:rsidRPr="00B11B96" w:rsidRDefault="00115458" w:rsidP="00F4606C">
      <w:pPr>
        <w:spacing w:after="0" w:line="240" w:lineRule="auto"/>
      </w:pPr>
      <w:r w:rsidRPr="00B11B96">
        <w:t>The AMIT cost base increase (attributed amount) = $4,450 ($700+$300+$150+$500x2+$400+$2,000)</w:t>
      </w:r>
    </w:p>
    <w:p w14:paraId="7BAB8536" w14:textId="77777777" w:rsidR="00115458" w:rsidRPr="00B11B96" w:rsidRDefault="00115458" w:rsidP="00F4606C">
      <w:pPr>
        <w:spacing w:after="0" w:line="240" w:lineRule="auto"/>
      </w:pPr>
      <w:r w:rsidRPr="00B11B96">
        <w:t>The AMIT cost base net amount – shortfall amount = $850 ($4,450 - $3,700)</w:t>
      </w:r>
    </w:p>
    <w:p w14:paraId="7E225602" w14:textId="77777777" w:rsidR="00115458" w:rsidRPr="00B11B96" w:rsidRDefault="00115458" w:rsidP="00F4606C">
      <w:pPr>
        <w:spacing w:after="0" w:line="240" w:lineRule="auto"/>
      </w:pPr>
    </w:p>
    <w:p w14:paraId="428892F2" w14:textId="77777777" w:rsidR="00777FBF" w:rsidRDefault="00777FBF" w:rsidP="00B11B96">
      <w:pPr>
        <w:pStyle w:val="Maintext"/>
        <w:rPr>
          <w:rFonts w:asciiTheme="minorHAnsi" w:hAnsiTheme="minorHAnsi" w:cs="Arial"/>
          <w:b/>
          <w:smallCaps/>
          <w:sz w:val="20"/>
          <w:szCs w:val="20"/>
        </w:rPr>
      </w:pPr>
    </w:p>
    <w:p w14:paraId="064A926D" w14:textId="3DBACE49" w:rsidR="00115458" w:rsidRPr="00F4606C" w:rsidRDefault="00115458" w:rsidP="00B11B96">
      <w:pPr>
        <w:pStyle w:val="Maintext"/>
        <w:rPr>
          <w:rFonts w:asciiTheme="minorHAnsi" w:hAnsiTheme="minorHAnsi" w:cs="Arial"/>
          <w:b/>
          <w:smallCaps/>
          <w:sz w:val="20"/>
          <w:szCs w:val="20"/>
        </w:rPr>
      </w:pPr>
      <w:r w:rsidRPr="00F4606C">
        <w:rPr>
          <w:rFonts w:asciiTheme="minorHAnsi" w:hAnsiTheme="minorHAnsi" w:cs="Arial"/>
          <w:b/>
          <w:smallCaps/>
          <w:sz w:val="20"/>
          <w:szCs w:val="20"/>
        </w:rPr>
        <w:t xml:space="preserve">supplementary income account record 1 – 1 investor </w:t>
      </w:r>
      <w:r w:rsidRPr="00F4606C">
        <w:rPr>
          <w:rFonts w:asciiTheme="minorHAnsi" w:hAnsiTheme="minorHAnsi" w:cs="Arial"/>
          <w:smallCaps/>
          <w:sz w:val="20"/>
          <w:szCs w:val="20"/>
        </w:rPr>
        <w:t>(extract)</w:t>
      </w:r>
    </w:p>
    <w:p w14:paraId="75E01146" w14:textId="77777777" w:rsidR="00115458" w:rsidRPr="00B11B96" w:rsidRDefault="00115458" w:rsidP="00F4606C">
      <w:pPr>
        <w:spacing w:after="0" w:line="240" w:lineRule="auto"/>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B11B96" w14:paraId="75492922"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00394AE" w14:textId="77777777" w:rsidR="00115458" w:rsidRPr="00F4606C" w:rsidRDefault="00115458" w:rsidP="00F4606C">
            <w:pPr>
              <w:spacing w:after="0" w:line="240" w:lineRule="auto"/>
              <w:rPr>
                <w:rFonts w:cs="Arial"/>
              </w:rPr>
            </w:pPr>
            <w:r w:rsidRPr="00F4606C">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46BA092" w14:textId="77777777" w:rsidR="00115458" w:rsidRPr="00F4606C" w:rsidRDefault="00115458" w:rsidP="00F4606C">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FFBADD8" w14:textId="77777777" w:rsidR="00115458" w:rsidRPr="00F4606C" w:rsidRDefault="00115458" w:rsidP="00F4606C">
            <w:pPr>
              <w:spacing w:after="0" w:line="240" w:lineRule="auto"/>
              <w:rPr>
                <w:rFonts w:cs="Arial"/>
              </w:rPr>
            </w:pPr>
            <w:r w:rsidRPr="00F4606C">
              <w:rPr>
                <w:rFonts w:cs="Arial"/>
                <w:b/>
                <w:bCs/>
              </w:rPr>
              <w:t>Content</w:t>
            </w:r>
          </w:p>
        </w:tc>
      </w:tr>
      <w:tr w:rsidR="00115458" w:rsidRPr="00B11B96" w14:paraId="2DB07AA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BBEC53" w14:textId="77777777" w:rsidR="00115458" w:rsidRPr="00F4606C" w:rsidRDefault="00115458" w:rsidP="00F4606C">
            <w:pPr>
              <w:spacing w:after="0" w:line="240" w:lineRule="auto"/>
              <w:rPr>
                <w:rFonts w:cs="Arial"/>
              </w:rPr>
            </w:pPr>
            <w:r w:rsidRPr="00F4606C">
              <w:rPr>
                <w:rFonts w:cs="Arial"/>
              </w:rPr>
              <w:t>9.128</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E65E014" w14:textId="77777777" w:rsidR="00115458" w:rsidRPr="00F4606C" w:rsidRDefault="00115458" w:rsidP="00F4606C">
            <w:pPr>
              <w:spacing w:after="0" w:line="240" w:lineRule="auto"/>
              <w:rPr>
                <w:rFonts w:cs="Arial"/>
              </w:rPr>
            </w:pPr>
            <w:r w:rsidRPr="00F4606C">
              <w:t>AMIT cost base net amount – excess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5523463" w14:textId="77777777" w:rsidR="00115458" w:rsidRPr="00F4606C" w:rsidRDefault="00115458" w:rsidP="00F4606C">
            <w:pPr>
              <w:spacing w:after="0" w:line="240" w:lineRule="auto"/>
              <w:rPr>
                <w:rFonts w:cs="Arial"/>
              </w:rPr>
            </w:pPr>
            <w:r w:rsidRPr="00F4606C">
              <w:rPr>
                <w:rFonts w:cs="Arial"/>
              </w:rPr>
              <w:t>000000000000</w:t>
            </w:r>
          </w:p>
        </w:tc>
      </w:tr>
      <w:tr w:rsidR="00115458" w:rsidRPr="00B11B96" w14:paraId="769A2FE4"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5D42F6" w14:textId="77777777" w:rsidR="00115458" w:rsidRPr="00F4606C" w:rsidRDefault="00115458" w:rsidP="00F4606C">
            <w:pPr>
              <w:spacing w:after="0" w:line="240" w:lineRule="auto"/>
              <w:rPr>
                <w:rFonts w:cs="Arial"/>
              </w:rPr>
            </w:pPr>
            <w:r w:rsidRPr="00F4606C">
              <w:rPr>
                <w:rFonts w:cs="Arial"/>
              </w:rPr>
              <w:t>9.129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2DEB45B" w14:textId="77777777" w:rsidR="00115458" w:rsidRPr="00F4606C" w:rsidRDefault="00115458" w:rsidP="00F4606C">
            <w:pPr>
              <w:spacing w:after="0" w:line="240" w:lineRule="auto"/>
              <w:rPr>
                <w:rFonts w:cs="Arial"/>
              </w:rPr>
            </w:pPr>
            <w:r w:rsidRPr="00F4606C">
              <w:t>AMIT cost base net amount – shortfall</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4B9CA7E" w14:textId="77777777" w:rsidR="00115458" w:rsidRPr="00F4606C" w:rsidRDefault="00115458" w:rsidP="00F4606C">
            <w:pPr>
              <w:spacing w:after="0" w:line="240" w:lineRule="auto"/>
              <w:rPr>
                <w:rFonts w:cs="Arial"/>
              </w:rPr>
            </w:pPr>
            <w:r w:rsidRPr="00F4606C">
              <w:rPr>
                <w:rFonts w:cs="Arial"/>
              </w:rPr>
              <w:t>000000085000</w:t>
            </w:r>
          </w:p>
        </w:tc>
      </w:tr>
    </w:tbl>
    <w:p w14:paraId="142C4228" w14:textId="77777777" w:rsidR="00115458" w:rsidRPr="00B11B96" w:rsidRDefault="00115458" w:rsidP="00F4606C">
      <w:pPr>
        <w:spacing w:after="0" w:line="240" w:lineRule="auto"/>
      </w:pPr>
    </w:p>
    <w:p w14:paraId="00F2A39F" w14:textId="77777777" w:rsidR="00115458" w:rsidRPr="00B11B96" w:rsidRDefault="00115458" w:rsidP="00F4606C">
      <w:pPr>
        <w:spacing w:after="0" w:line="240" w:lineRule="auto"/>
        <w:rPr>
          <w:b/>
        </w:rPr>
      </w:pPr>
      <w:r w:rsidRPr="00B11B96">
        <w:t xml:space="preserve">More information on AMIT cost base net amounts is available </w:t>
      </w:r>
      <w:r w:rsidRPr="00B11B96">
        <w:rPr>
          <w:noProof/>
        </w:rPr>
        <w:t>at</w:t>
      </w:r>
      <w:r w:rsidRPr="00B11B96">
        <w:rPr>
          <w:rStyle w:val="Hyperlink"/>
          <w:color w:val="auto"/>
        </w:rPr>
        <w:t xml:space="preserve"> </w:t>
      </w:r>
      <w:hyperlink r:id="rId33" w:history="1">
        <w:r w:rsidRPr="00B11B96">
          <w:rPr>
            <w:rStyle w:val="Hyperlink"/>
            <w:color w:val="auto"/>
          </w:rPr>
          <w:t>Attribution managed investment trusts | Australian Taxation Office (ato.gov.au)</w:t>
        </w:r>
      </w:hyperlink>
    </w:p>
    <w:p w14:paraId="777BA8E1" w14:textId="77777777" w:rsidR="00115458" w:rsidRDefault="00115458" w:rsidP="00115458">
      <w:pPr>
        <w:pStyle w:val="Maintext"/>
        <w:rPr>
          <w:b/>
        </w:rPr>
      </w:pPr>
    </w:p>
    <w:p w14:paraId="34B9001C" w14:textId="77777777" w:rsidR="00777FBF" w:rsidRDefault="00777FBF" w:rsidP="00B11B96">
      <w:pPr>
        <w:pStyle w:val="Maintext"/>
        <w:rPr>
          <w:rFonts w:asciiTheme="minorHAnsi" w:hAnsiTheme="minorHAnsi"/>
          <w:b/>
          <w:sz w:val="24"/>
        </w:rPr>
      </w:pPr>
    </w:p>
    <w:p w14:paraId="5E0AC0B1" w14:textId="37939B49" w:rsidR="00115458" w:rsidRPr="00F4606C" w:rsidRDefault="00115458" w:rsidP="00B11B96">
      <w:pPr>
        <w:pStyle w:val="Maintext"/>
        <w:rPr>
          <w:rFonts w:asciiTheme="minorHAnsi" w:hAnsiTheme="minorHAnsi"/>
          <w:b/>
          <w:sz w:val="24"/>
        </w:rPr>
      </w:pPr>
      <w:r w:rsidRPr="00F4606C">
        <w:rPr>
          <w:rFonts w:asciiTheme="minorHAnsi" w:hAnsiTheme="minorHAnsi"/>
          <w:b/>
          <w:sz w:val="24"/>
        </w:rPr>
        <w:t>Tax-deferred and tax</w:t>
      </w:r>
      <w:r w:rsidR="00D460C8">
        <w:rPr>
          <w:rFonts w:asciiTheme="minorHAnsi" w:hAnsiTheme="minorHAnsi"/>
          <w:b/>
          <w:sz w:val="24"/>
        </w:rPr>
        <w:t>-</w:t>
      </w:r>
      <w:r w:rsidRPr="00F4606C">
        <w:rPr>
          <w:rFonts w:asciiTheme="minorHAnsi" w:hAnsiTheme="minorHAnsi"/>
          <w:b/>
          <w:sz w:val="24"/>
        </w:rPr>
        <w:t>free amounts</w:t>
      </w:r>
    </w:p>
    <w:p w14:paraId="5D8F1C8B" w14:textId="77777777" w:rsidR="00115458" w:rsidRPr="00F4606C" w:rsidRDefault="00115458" w:rsidP="00115458">
      <w:pPr>
        <w:pStyle w:val="Maintext"/>
        <w:rPr>
          <w:rFonts w:asciiTheme="minorHAnsi" w:hAnsiTheme="minorHAnsi"/>
          <w:b/>
          <w:sz w:val="20"/>
          <w:szCs w:val="20"/>
        </w:rPr>
      </w:pPr>
    </w:p>
    <w:p w14:paraId="5646DCF5" w14:textId="0DD4DB8C" w:rsidR="00115458" w:rsidRDefault="00115458" w:rsidP="00115458">
      <w:pPr>
        <w:pStyle w:val="Bulletedlist1"/>
        <w:numPr>
          <w:ilvl w:val="0"/>
          <w:numId w:val="0"/>
        </w:numPr>
        <w:spacing w:before="0"/>
        <w:rPr>
          <w:rFonts w:asciiTheme="minorHAnsi" w:hAnsiTheme="minorHAnsi"/>
          <w:sz w:val="20"/>
          <w:szCs w:val="20"/>
        </w:rPr>
      </w:pPr>
      <w:r w:rsidRPr="00F4606C">
        <w:rPr>
          <w:rFonts w:asciiTheme="minorHAnsi" w:hAnsiTheme="minorHAnsi"/>
          <w:sz w:val="20"/>
          <w:szCs w:val="20"/>
        </w:rPr>
        <w:t xml:space="preserve">Any distribution of tax-deferred or tax-free amounts will be taken into account in determining the AMIT cost base reduction amount and therefore be reflected in any adjustment to the cost base and reduced cost base.  The amount of cost base adjustments are captured at </w:t>
      </w:r>
      <w:r w:rsidRPr="00F4606C">
        <w:rPr>
          <w:rFonts w:asciiTheme="minorHAnsi" w:hAnsiTheme="minorHAnsi"/>
          <w:i/>
          <w:sz w:val="20"/>
          <w:szCs w:val="20"/>
        </w:rPr>
        <w:t xml:space="preserve">AMIT cost base net amount – excess </w:t>
      </w:r>
      <w:r w:rsidRPr="00F4606C">
        <w:rPr>
          <w:rFonts w:asciiTheme="minorHAnsi" w:hAnsiTheme="minorHAnsi"/>
          <w:sz w:val="20"/>
          <w:szCs w:val="20"/>
        </w:rPr>
        <w:t>and</w:t>
      </w:r>
      <w:r w:rsidRPr="00F4606C">
        <w:rPr>
          <w:rFonts w:asciiTheme="minorHAnsi" w:hAnsiTheme="minorHAnsi"/>
          <w:i/>
          <w:sz w:val="20"/>
          <w:szCs w:val="20"/>
        </w:rPr>
        <w:t xml:space="preserve"> AMIT cost base net amount – shortfall </w:t>
      </w:r>
      <w:r w:rsidRPr="00F4606C">
        <w:rPr>
          <w:rFonts w:asciiTheme="minorHAnsi" w:hAnsiTheme="minorHAnsi"/>
          <w:sz w:val="20"/>
          <w:szCs w:val="20"/>
        </w:rPr>
        <w:t>fields</w:t>
      </w:r>
      <w:r w:rsidRPr="00F4606C">
        <w:rPr>
          <w:rFonts w:asciiTheme="minorHAnsi" w:hAnsiTheme="minorHAnsi"/>
          <w:i/>
          <w:sz w:val="20"/>
          <w:szCs w:val="20"/>
        </w:rPr>
        <w:t xml:space="preserve">. </w:t>
      </w:r>
      <w:r w:rsidRPr="00F4606C">
        <w:rPr>
          <w:rFonts w:asciiTheme="minorHAnsi" w:hAnsiTheme="minorHAnsi"/>
          <w:sz w:val="20"/>
          <w:szCs w:val="20"/>
        </w:rPr>
        <w:t>Therefore</w:t>
      </w:r>
      <w:r w:rsidR="00774F3C">
        <w:rPr>
          <w:rFonts w:asciiTheme="minorHAnsi" w:hAnsiTheme="minorHAnsi"/>
          <w:sz w:val="20"/>
          <w:szCs w:val="20"/>
        </w:rPr>
        <w:t>,</w:t>
      </w:r>
      <w:r w:rsidRPr="00F4606C">
        <w:rPr>
          <w:rFonts w:asciiTheme="minorHAnsi" w:hAnsiTheme="minorHAnsi"/>
          <w:sz w:val="20"/>
          <w:szCs w:val="20"/>
        </w:rPr>
        <w:t xml:space="preserve"> </w:t>
      </w:r>
      <w:r w:rsidRPr="00F4606C">
        <w:rPr>
          <w:rFonts w:asciiTheme="minorHAnsi" w:hAnsiTheme="minorHAnsi"/>
          <w:i/>
          <w:sz w:val="20"/>
          <w:szCs w:val="20"/>
        </w:rPr>
        <w:t>Tax-free amounts</w:t>
      </w:r>
      <w:r w:rsidRPr="00F4606C">
        <w:rPr>
          <w:rFonts w:asciiTheme="minorHAnsi" w:hAnsiTheme="minorHAnsi"/>
          <w:sz w:val="20"/>
          <w:szCs w:val="20"/>
        </w:rPr>
        <w:t xml:space="preserve"> (9.96) and </w:t>
      </w:r>
      <w:r w:rsidRPr="00F4606C">
        <w:rPr>
          <w:rFonts w:asciiTheme="minorHAnsi" w:hAnsiTheme="minorHAnsi"/>
          <w:i/>
          <w:sz w:val="20"/>
          <w:szCs w:val="20"/>
        </w:rPr>
        <w:t xml:space="preserve">Tax-deferred amounts </w:t>
      </w:r>
      <w:r w:rsidRPr="00F4606C">
        <w:rPr>
          <w:rFonts w:asciiTheme="minorHAnsi" w:hAnsiTheme="minorHAnsi"/>
          <w:sz w:val="20"/>
          <w:szCs w:val="20"/>
        </w:rPr>
        <w:t>(9.97) are not required to be reported separately in the AIIR for AMITs.</w:t>
      </w:r>
    </w:p>
    <w:p w14:paraId="2F79B769" w14:textId="77777777" w:rsidR="00D460C8" w:rsidRPr="00F4606C" w:rsidRDefault="00D460C8" w:rsidP="00115458">
      <w:pPr>
        <w:pStyle w:val="Bulletedlist1"/>
        <w:numPr>
          <w:ilvl w:val="0"/>
          <w:numId w:val="0"/>
        </w:numPr>
        <w:spacing w:before="0"/>
        <w:rPr>
          <w:rFonts w:asciiTheme="minorHAnsi" w:hAnsiTheme="minorHAnsi"/>
          <w:sz w:val="20"/>
          <w:szCs w:val="20"/>
        </w:rPr>
      </w:pPr>
    </w:p>
    <w:p w14:paraId="77978262" w14:textId="6DB479A5" w:rsidR="00115458" w:rsidRDefault="00115458" w:rsidP="00F4606C">
      <w:pPr>
        <w:pStyle w:val="Heading3"/>
        <w:spacing w:before="0" w:after="0" w:line="240" w:lineRule="auto"/>
      </w:pPr>
      <w:bookmarkStart w:id="1637" w:name="_Toc232191347"/>
      <w:r>
        <w:t>A</w:t>
      </w:r>
      <w:r w:rsidRPr="00F1014A">
        <w:t>MIT classes</w:t>
      </w:r>
      <w:bookmarkEnd w:id="1637"/>
      <w:r>
        <w:t xml:space="preserve"> </w:t>
      </w:r>
    </w:p>
    <w:p w14:paraId="3B647053" w14:textId="77777777" w:rsidR="00F94DFB" w:rsidRDefault="00F94DFB" w:rsidP="00C725D5">
      <w:pPr>
        <w:spacing w:after="0" w:line="240" w:lineRule="auto"/>
        <w:rPr>
          <w:color w:val="000000"/>
        </w:rPr>
      </w:pPr>
    </w:p>
    <w:p w14:paraId="0A33BC7D" w14:textId="4D25BA2F" w:rsidR="00C725D5" w:rsidRDefault="00115458" w:rsidP="00C725D5">
      <w:pPr>
        <w:spacing w:after="0" w:line="240" w:lineRule="auto"/>
      </w:pPr>
      <w:r w:rsidRPr="00A83A95">
        <w:rPr>
          <w:color w:val="000000"/>
        </w:rPr>
        <w:t xml:space="preserve">A trust may have different classes of </w:t>
      </w:r>
      <w:r>
        <w:rPr>
          <w:color w:val="000000"/>
        </w:rPr>
        <w:t>members</w:t>
      </w:r>
      <w:r w:rsidRPr="00A83A95">
        <w:rPr>
          <w:color w:val="000000"/>
        </w:rPr>
        <w:t xml:space="preserve">hip interests, where all </w:t>
      </w:r>
      <w:r>
        <w:rPr>
          <w:color w:val="000000"/>
        </w:rPr>
        <w:t>investors</w:t>
      </w:r>
      <w:r w:rsidRPr="00A83A95">
        <w:rPr>
          <w:color w:val="000000"/>
        </w:rPr>
        <w:t xml:space="preserve"> of a class have the same rights, but those rights are distinct from the rights of </w:t>
      </w:r>
      <w:r>
        <w:rPr>
          <w:color w:val="000000"/>
        </w:rPr>
        <w:t>investors</w:t>
      </w:r>
      <w:r w:rsidRPr="00A83A95">
        <w:rPr>
          <w:color w:val="000000"/>
        </w:rPr>
        <w:t xml:space="preserve"> of other classes.</w:t>
      </w:r>
      <w:r>
        <w:rPr>
          <w:color w:val="000000"/>
        </w:rPr>
        <w:t xml:space="preserve"> </w:t>
      </w:r>
      <w:r w:rsidRPr="00973670">
        <w:t xml:space="preserve">An AMIT may make an irrevocable election to treat </w:t>
      </w:r>
      <w:r w:rsidRPr="00514CE6">
        <w:t>separate classes</w:t>
      </w:r>
      <w:r w:rsidRPr="00973670">
        <w:t xml:space="preserve"> of interests in the trust as separate </w:t>
      </w:r>
      <w:r w:rsidRPr="006E3058">
        <w:t xml:space="preserve">AMITs. </w:t>
      </w:r>
      <w:bookmarkStart w:id="1638" w:name="_Hlk152071982"/>
      <w:r w:rsidR="00C725D5" w:rsidRPr="006E3058">
        <w:t>AMIT class reporting does not apply to CCIV sub-fund trusts</w:t>
      </w:r>
      <w:bookmarkEnd w:id="1638"/>
      <w:r w:rsidR="00C725D5" w:rsidRPr="006E3058">
        <w:t>.</w:t>
      </w:r>
    </w:p>
    <w:p w14:paraId="0A71F293" w14:textId="7DD2B171" w:rsidR="00115458" w:rsidRDefault="00115458" w:rsidP="00F4606C">
      <w:pPr>
        <w:spacing w:after="0" w:line="240" w:lineRule="auto"/>
      </w:pPr>
    </w:p>
    <w:p w14:paraId="0B2BBE5B" w14:textId="77777777" w:rsidR="00C725D5" w:rsidRDefault="00C725D5" w:rsidP="00F4606C">
      <w:pPr>
        <w:spacing w:after="0" w:line="240" w:lineRule="auto"/>
      </w:pPr>
    </w:p>
    <w:p w14:paraId="5073A660" w14:textId="265CB1DE" w:rsidR="00115458" w:rsidRDefault="00115458" w:rsidP="00F4606C">
      <w:pPr>
        <w:spacing w:after="0" w:line="240" w:lineRule="auto"/>
        <w:rPr>
          <w:color w:val="000000"/>
        </w:rPr>
      </w:pPr>
      <w:r w:rsidRPr="00973670">
        <w:t>If the trustee has chosen to apply separate AMIT treatment</w:t>
      </w:r>
      <w:r>
        <w:t>s</w:t>
      </w:r>
      <w:r w:rsidRPr="00973670">
        <w:t xml:space="preserve">, you must complete </w:t>
      </w:r>
      <w:r>
        <w:t xml:space="preserve">a </w:t>
      </w:r>
      <w:r>
        <w:rPr>
          <w:color w:val="000000"/>
        </w:rPr>
        <w:t xml:space="preserve">separate </w:t>
      </w:r>
      <w:r w:rsidRPr="00A83A95">
        <w:rPr>
          <w:i/>
          <w:color w:val="000000"/>
        </w:rPr>
        <w:t>Investment account data record, Supplementary income account data record</w:t>
      </w:r>
      <w:r>
        <w:rPr>
          <w:color w:val="000000"/>
        </w:rPr>
        <w:t xml:space="preserve"> and </w:t>
      </w:r>
      <w:r>
        <w:rPr>
          <w:i/>
          <w:color w:val="000000"/>
        </w:rPr>
        <w:t xml:space="preserve">Investor data record (s) </w:t>
      </w:r>
      <w:r w:rsidRPr="00514CE6">
        <w:rPr>
          <w:color w:val="000000"/>
        </w:rPr>
        <w:t>for each AMIT class</w:t>
      </w:r>
      <w:r>
        <w:rPr>
          <w:color w:val="000000"/>
        </w:rPr>
        <w:t xml:space="preserve"> of membership interest</w:t>
      </w:r>
      <w:r>
        <w:rPr>
          <w:i/>
          <w:color w:val="000000"/>
        </w:rPr>
        <w:t xml:space="preserve">. </w:t>
      </w:r>
      <w:r w:rsidRPr="00577ED9">
        <w:rPr>
          <w:color w:val="000000"/>
        </w:rPr>
        <w:t>There is no need to lodge separate AIIRs for each class.</w:t>
      </w:r>
      <w:r>
        <w:rPr>
          <w:color w:val="000000"/>
        </w:rPr>
        <w:t xml:space="preserve"> </w:t>
      </w:r>
    </w:p>
    <w:p w14:paraId="4D20565B" w14:textId="77777777" w:rsidR="00C725D5" w:rsidRPr="00577ED9" w:rsidRDefault="00C725D5" w:rsidP="00F4606C">
      <w:pPr>
        <w:spacing w:after="0" w:line="240" w:lineRule="auto"/>
        <w:rPr>
          <w:color w:val="000000"/>
        </w:rPr>
      </w:pPr>
    </w:p>
    <w:p w14:paraId="7FC29AD2" w14:textId="30F5F7FC" w:rsidR="00115458" w:rsidRDefault="00115458" w:rsidP="00F4606C">
      <w:pPr>
        <w:spacing w:after="0" w:line="240" w:lineRule="auto"/>
      </w:pPr>
      <w:r w:rsidRPr="00973670">
        <w:t>Enter a unique name for the AMIT class</w:t>
      </w:r>
      <w:r>
        <w:t xml:space="preserve"> in the </w:t>
      </w:r>
      <w:r w:rsidRPr="00514CE6">
        <w:rPr>
          <w:i/>
        </w:rPr>
        <w:t>Name of AMIT class</w:t>
      </w:r>
      <w:r>
        <w:t xml:space="preserve"> (9.131) field in the </w:t>
      </w:r>
      <w:r w:rsidRPr="00514CE6">
        <w:rPr>
          <w:i/>
        </w:rPr>
        <w:t>Supplementary income account data record</w:t>
      </w:r>
      <w:r w:rsidRPr="00973670">
        <w:t xml:space="preserve">. This ensures that each class can </w:t>
      </w:r>
      <w:r>
        <w:t xml:space="preserve">be </w:t>
      </w:r>
      <w:r w:rsidRPr="00973670">
        <w:t>easily identified.</w:t>
      </w:r>
      <w:r>
        <w:t xml:space="preserve"> </w:t>
      </w:r>
      <w:r w:rsidRPr="00973670">
        <w:t xml:space="preserve">We recommend that the name of </w:t>
      </w:r>
      <w:r>
        <w:t>the</w:t>
      </w:r>
      <w:r w:rsidRPr="00973670">
        <w:t xml:space="preserve"> AMIT class remain consistent in subsequent years and that you avoid reusing </w:t>
      </w:r>
      <w:r>
        <w:t>a</w:t>
      </w:r>
      <w:r w:rsidRPr="00973670">
        <w:t xml:space="preserve"> name </w:t>
      </w:r>
      <w:r>
        <w:t>i</w:t>
      </w:r>
      <w:r w:rsidRPr="00973670">
        <w:t>f the class ceases.</w:t>
      </w:r>
      <w:r>
        <w:t xml:space="preserve"> </w:t>
      </w:r>
    </w:p>
    <w:p w14:paraId="6737589C" w14:textId="77777777" w:rsidR="00C725D5" w:rsidRDefault="00C725D5" w:rsidP="00F4606C">
      <w:pPr>
        <w:spacing w:after="0" w:line="240" w:lineRule="auto"/>
      </w:pPr>
    </w:p>
    <w:p w14:paraId="67BA6458" w14:textId="77777777" w:rsidR="00115458" w:rsidRDefault="00115458" w:rsidP="00F4606C">
      <w:pPr>
        <w:spacing w:after="0" w:line="240" w:lineRule="auto"/>
      </w:pPr>
      <w:r>
        <w:t xml:space="preserve">The </w:t>
      </w:r>
      <w:r w:rsidRPr="00D93D5B">
        <w:rPr>
          <w:i/>
        </w:rPr>
        <w:t>Name of AMIT class</w:t>
      </w:r>
      <w:r>
        <w:t xml:space="preserve"> (9.131) field in the AIIR must align with the </w:t>
      </w:r>
      <w:r w:rsidRPr="008C65D2">
        <w:t>Name of AMIT class</w:t>
      </w:r>
      <w:r>
        <w:t xml:space="preserve"> in the AMIT tax schedule that was lodged with the AMIT tax return.</w:t>
      </w:r>
    </w:p>
    <w:p w14:paraId="74A8801F" w14:textId="77777777" w:rsidR="00115458" w:rsidRDefault="00115458" w:rsidP="00F4606C">
      <w:pPr>
        <w:spacing w:after="0" w:line="240" w:lineRule="auto"/>
      </w:pPr>
      <w:r>
        <w:t xml:space="preserve">If only one class of membership interests exists there is no need to complete the </w:t>
      </w:r>
      <w:r w:rsidRPr="004415D9">
        <w:rPr>
          <w:i/>
        </w:rPr>
        <w:t>Name of AMIT class</w:t>
      </w:r>
      <w:r>
        <w:t xml:space="preserve"> (9.131) field.</w:t>
      </w:r>
    </w:p>
    <w:p w14:paraId="7F4824A3" w14:textId="77777777" w:rsidR="00115458" w:rsidRPr="00D460C8" w:rsidRDefault="00115458" w:rsidP="00115458">
      <w:pPr>
        <w:pStyle w:val="Head4"/>
        <w:rPr>
          <w:rFonts w:asciiTheme="minorHAnsi" w:hAnsiTheme="minorHAnsi"/>
          <w:sz w:val="20"/>
          <w:szCs w:val="20"/>
        </w:rPr>
      </w:pPr>
      <w:bookmarkStart w:id="1639" w:name="_Toc5193020"/>
      <w:r w:rsidRPr="00D460C8">
        <w:rPr>
          <w:rFonts w:asciiTheme="minorHAnsi" w:hAnsiTheme="minorHAnsi"/>
          <w:sz w:val="20"/>
          <w:szCs w:val="20"/>
        </w:rPr>
        <w:t>Example 6.8 – Multiple classes of units</w:t>
      </w:r>
      <w:bookmarkEnd w:id="1639"/>
    </w:p>
    <w:p w14:paraId="0DB27954" w14:textId="77777777" w:rsidR="00115458" w:rsidRPr="00B11B96" w:rsidRDefault="00115458" w:rsidP="00F4606C">
      <w:pPr>
        <w:spacing w:after="0" w:line="240" w:lineRule="auto"/>
      </w:pPr>
      <w:r w:rsidRPr="00B11B96">
        <w:t>Greenwich Growth Trust is an AMIT and the trustee has made a choice to apply the attribution regime separately to each class of membership interest.  There are two classes, an Australian equities class and an Explorer equities class.  The trustee names them:</w:t>
      </w:r>
    </w:p>
    <w:p w14:paraId="12E54597" w14:textId="77777777" w:rsidR="00115458" w:rsidRPr="00B11B96" w:rsidRDefault="00115458" w:rsidP="00F4606C">
      <w:pPr>
        <w:spacing w:after="0" w:line="240" w:lineRule="auto"/>
      </w:pPr>
    </w:p>
    <w:p w14:paraId="00AB5C92" w14:textId="77777777" w:rsidR="00115458" w:rsidRPr="00F4606C" w:rsidRDefault="00115458" w:rsidP="001601AF">
      <w:pPr>
        <w:pStyle w:val="Bullet1"/>
        <w:numPr>
          <w:ilvl w:val="2"/>
          <w:numId w:val="42"/>
        </w:numPr>
        <w:spacing w:before="0" w:after="0"/>
        <w:ind w:left="709" w:hanging="283"/>
        <w:rPr>
          <w:rFonts w:asciiTheme="minorHAnsi" w:hAnsiTheme="minorHAnsi" w:cs="Arial"/>
          <w:sz w:val="20"/>
          <w:szCs w:val="20"/>
        </w:rPr>
      </w:pPr>
      <w:r w:rsidRPr="00F4606C">
        <w:rPr>
          <w:rFonts w:asciiTheme="minorHAnsi" w:hAnsiTheme="minorHAnsi" w:cs="Arial"/>
          <w:sz w:val="20"/>
          <w:szCs w:val="20"/>
        </w:rPr>
        <w:t xml:space="preserve">1-Australian equities - has two resident investors </w:t>
      </w:r>
    </w:p>
    <w:p w14:paraId="490AEEAF" w14:textId="77777777" w:rsidR="00115458" w:rsidRPr="00F4606C" w:rsidRDefault="00115458" w:rsidP="001601AF">
      <w:pPr>
        <w:pStyle w:val="Bullet1"/>
        <w:numPr>
          <w:ilvl w:val="2"/>
          <w:numId w:val="42"/>
        </w:numPr>
        <w:spacing w:before="0" w:after="0"/>
        <w:ind w:left="709" w:hanging="283"/>
        <w:rPr>
          <w:rFonts w:asciiTheme="minorHAnsi" w:hAnsiTheme="minorHAnsi" w:cs="Arial"/>
          <w:sz w:val="20"/>
          <w:szCs w:val="20"/>
        </w:rPr>
      </w:pPr>
      <w:r w:rsidRPr="00F4606C">
        <w:rPr>
          <w:rFonts w:asciiTheme="minorHAnsi" w:hAnsiTheme="minorHAnsi" w:cs="Arial"/>
          <w:sz w:val="20"/>
          <w:szCs w:val="20"/>
        </w:rPr>
        <w:t>2-Explorer equities – has three resident investors</w:t>
      </w:r>
    </w:p>
    <w:p w14:paraId="43737868" w14:textId="77777777" w:rsidR="00115458" w:rsidRPr="00B11B96" w:rsidRDefault="00115458" w:rsidP="00F4606C">
      <w:pPr>
        <w:spacing w:after="0" w:line="240" w:lineRule="auto"/>
        <w:rPr>
          <w:rFonts w:cs="Arial"/>
        </w:rPr>
      </w:pPr>
    </w:p>
    <w:p w14:paraId="3FDF0200" w14:textId="77777777" w:rsidR="00115458" w:rsidRPr="00B11B96" w:rsidRDefault="00115458" w:rsidP="00F4606C">
      <w:pPr>
        <w:spacing w:after="0" w:line="240" w:lineRule="auto"/>
      </w:pPr>
      <w:r w:rsidRPr="00B11B96">
        <w:rPr>
          <w:rFonts w:cs="Arial"/>
        </w:rPr>
        <w:t>Class 1-Australian equities attributed the following amounts:</w:t>
      </w:r>
    </w:p>
    <w:p w14:paraId="695C9A21"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Unfranked dividend non-CFI </w:t>
      </w:r>
      <w:r w:rsidRPr="00F4606C">
        <w:rPr>
          <w:rFonts w:asciiTheme="minorHAnsi" w:hAnsiTheme="minorHAnsi" w:cs="Arial"/>
          <w:sz w:val="20"/>
          <w:szCs w:val="20"/>
        </w:rPr>
        <w:tab/>
      </w:r>
      <w:r w:rsidRPr="00F4606C">
        <w:rPr>
          <w:rFonts w:asciiTheme="minorHAnsi" w:hAnsiTheme="minorHAnsi" w:cs="Arial"/>
          <w:sz w:val="20"/>
          <w:szCs w:val="20"/>
        </w:rPr>
        <w:tab/>
        <w:t>$3,000/2 =$1,500</w:t>
      </w:r>
    </w:p>
    <w:p w14:paraId="2091E5EB"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Unfranked dividend CFI </w:t>
      </w:r>
      <w:r w:rsidRPr="00F4606C">
        <w:rPr>
          <w:rFonts w:asciiTheme="minorHAnsi" w:hAnsiTheme="minorHAnsi" w:cs="Arial"/>
          <w:sz w:val="20"/>
          <w:szCs w:val="20"/>
        </w:rPr>
        <w:tab/>
      </w:r>
      <w:r w:rsidRPr="00F4606C">
        <w:rPr>
          <w:rFonts w:asciiTheme="minorHAnsi" w:hAnsiTheme="minorHAnsi" w:cs="Arial"/>
          <w:sz w:val="20"/>
          <w:szCs w:val="20"/>
        </w:rPr>
        <w:tab/>
        <w:t>$3,750/2 =$1,875</w:t>
      </w:r>
    </w:p>
    <w:p w14:paraId="182E1A80"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Interest </w:t>
      </w:r>
      <w:r w:rsidRPr="00F4606C">
        <w:rPr>
          <w:rFonts w:asciiTheme="minorHAnsi" w:hAnsiTheme="minorHAnsi" w:cs="Arial"/>
          <w:sz w:val="20"/>
          <w:szCs w:val="20"/>
        </w:rPr>
        <w:tab/>
      </w:r>
      <w:r w:rsidRPr="00F4606C">
        <w:rPr>
          <w:rFonts w:asciiTheme="minorHAnsi" w:hAnsiTheme="minorHAnsi" w:cs="Arial"/>
          <w:sz w:val="20"/>
          <w:szCs w:val="20"/>
        </w:rPr>
        <w:tab/>
      </w:r>
      <w:r w:rsidRPr="00F4606C">
        <w:rPr>
          <w:rFonts w:asciiTheme="minorHAnsi" w:hAnsiTheme="minorHAnsi" w:cs="Arial"/>
          <w:sz w:val="20"/>
          <w:szCs w:val="20"/>
        </w:rPr>
        <w:tab/>
      </w:r>
      <w:r w:rsidRPr="00F4606C">
        <w:rPr>
          <w:rFonts w:asciiTheme="minorHAnsi" w:hAnsiTheme="minorHAnsi" w:cs="Arial"/>
          <w:sz w:val="20"/>
          <w:szCs w:val="20"/>
        </w:rPr>
        <w:tab/>
        <w:t>$600/2 = $300</w:t>
      </w:r>
    </w:p>
    <w:p w14:paraId="3BBB67D5"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Other taxable Australian income </w:t>
      </w:r>
      <w:r w:rsidRPr="00F4606C">
        <w:rPr>
          <w:rFonts w:asciiTheme="minorHAnsi" w:hAnsiTheme="minorHAnsi" w:cs="Arial"/>
          <w:sz w:val="20"/>
          <w:szCs w:val="20"/>
        </w:rPr>
        <w:tab/>
        <w:t>$930/2 = $465</w:t>
      </w:r>
    </w:p>
    <w:p w14:paraId="1F8B2D39" w14:textId="77777777" w:rsidR="00115458" w:rsidRPr="00F4606C" w:rsidRDefault="00115458" w:rsidP="00B11B96">
      <w:pPr>
        <w:pStyle w:val="Bullet1"/>
        <w:spacing w:before="0" w:after="0"/>
        <w:ind w:left="714"/>
        <w:rPr>
          <w:rFonts w:asciiTheme="minorHAnsi" w:hAnsiTheme="minorHAnsi" w:cs="Arial"/>
          <w:sz w:val="20"/>
          <w:szCs w:val="20"/>
        </w:rPr>
      </w:pPr>
    </w:p>
    <w:p w14:paraId="3952AB30" w14:textId="77777777" w:rsidR="00115458" w:rsidRPr="00B11B96" w:rsidRDefault="00115458" w:rsidP="00F4606C">
      <w:pPr>
        <w:spacing w:after="0" w:line="240" w:lineRule="auto"/>
        <w:rPr>
          <w:rFonts w:cs="Arial"/>
        </w:rPr>
      </w:pPr>
      <w:r w:rsidRPr="00B11B96">
        <w:rPr>
          <w:rFonts w:cs="Arial"/>
        </w:rPr>
        <w:t>Class 2-Explorer equities attributed the following amounts:</w:t>
      </w:r>
    </w:p>
    <w:p w14:paraId="337E3538"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Unfranked dividend non-CFI</w:t>
      </w:r>
      <w:r w:rsidRPr="00F4606C">
        <w:rPr>
          <w:rFonts w:asciiTheme="minorHAnsi" w:hAnsiTheme="minorHAnsi" w:cs="Arial"/>
          <w:sz w:val="20"/>
          <w:szCs w:val="20"/>
        </w:rPr>
        <w:tab/>
      </w:r>
      <w:r w:rsidRPr="00F4606C">
        <w:rPr>
          <w:rFonts w:asciiTheme="minorHAnsi" w:hAnsiTheme="minorHAnsi" w:cs="Arial"/>
          <w:sz w:val="20"/>
          <w:szCs w:val="20"/>
        </w:rPr>
        <w:tab/>
        <w:t xml:space="preserve">$3,000/3 = $1,000 </w:t>
      </w:r>
    </w:p>
    <w:p w14:paraId="0BCC6496"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Unfranked dividend CFI </w:t>
      </w:r>
      <w:r w:rsidRPr="00F4606C">
        <w:rPr>
          <w:rFonts w:asciiTheme="minorHAnsi" w:hAnsiTheme="minorHAnsi" w:cs="Arial"/>
          <w:sz w:val="20"/>
          <w:szCs w:val="20"/>
        </w:rPr>
        <w:tab/>
      </w:r>
      <w:r w:rsidRPr="00F4606C">
        <w:rPr>
          <w:rFonts w:asciiTheme="minorHAnsi" w:hAnsiTheme="minorHAnsi" w:cs="Arial"/>
          <w:sz w:val="20"/>
          <w:szCs w:val="20"/>
        </w:rPr>
        <w:tab/>
        <w:t>$3,750/3 = $1,250</w:t>
      </w:r>
    </w:p>
    <w:p w14:paraId="3B3B8DA8"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Interest </w:t>
      </w:r>
      <w:r w:rsidRPr="00F4606C">
        <w:rPr>
          <w:rFonts w:asciiTheme="minorHAnsi" w:hAnsiTheme="minorHAnsi" w:cs="Arial"/>
          <w:sz w:val="20"/>
          <w:szCs w:val="20"/>
        </w:rPr>
        <w:tab/>
      </w:r>
      <w:r w:rsidRPr="00F4606C">
        <w:rPr>
          <w:rFonts w:asciiTheme="minorHAnsi" w:hAnsiTheme="minorHAnsi" w:cs="Arial"/>
          <w:sz w:val="20"/>
          <w:szCs w:val="20"/>
        </w:rPr>
        <w:tab/>
      </w:r>
      <w:r w:rsidRPr="00F4606C">
        <w:rPr>
          <w:rFonts w:asciiTheme="minorHAnsi" w:hAnsiTheme="minorHAnsi" w:cs="Arial"/>
          <w:sz w:val="20"/>
          <w:szCs w:val="20"/>
        </w:rPr>
        <w:tab/>
      </w:r>
      <w:r w:rsidRPr="00F4606C">
        <w:rPr>
          <w:rFonts w:asciiTheme="minorHAnsi" w:hAnsiTheme="minorHAnsi" w:cs="Arial"/>
          <w:sz w:val="20"/>
          <w:szCs w:val="20"/>
        </w:rPr>
        <w:tab/>
        <w:t>$600/3 = $200</w:t>
      </w:r>
    </w:p>
    <w:p w14:paraId="76B64496"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Other taxable Australian income </w:t>
      </w:r>
      <w:r w:rsidRPr="00F4606C">
        <w:rPr>
          <w:rFonts w:asciiTheme="minorHAnsi" w:hAnsiTheme="minorHAnsi" w:cs="Arial"/>
          <w:sz w:val="20"/>
          <w:szCs w:val="20"/>
        </w:rPr>
        <w:tab/>
        <w:t>$930/3 = $310</w:t>
      </w:r>
    </w:p>
    <w:p w14:paraId="49723789" w14:textId="77777777" w:rsidR="00115458" w:rsidRPr="00F4606C" w:rsidRDefault="00115458" w:rsidP="00B11B96">
      <w:pPr>
        <w:pStyle w:val="Bullet1"/>
        <w:spacing w:before="0" w:after="0"/>
        <w:ind w:left="714"/>
        <w:rPr>
          <w:rFonts w:asciiTheme="minorHAnsi" w:hAnsiTheme="minorHAnsi" w:cs="Arial"/>
          <w:sz w:val="20"/>
          <w:szCs w:val="20"/>
        </w:rPr>
      </w:pPr>
    </w:p>
    <w:p w14:paraId="3DC96527" w14:textId="77777777" w:rsidR="00115458" w:rsidRPr="00F4606C" w:rsidRDefault="00115458" w:rsidP="00B11B96">
      <w:pPr>
        <w:pStyle w:val="Bullet1"/>
        <w:spacing w:before="0" w:after="0"/>
        <w:rPr>
          <w:rFonts w:asciiTheme="minorHAnsi" w:hAnsiTheme="minorHAnsi" w:cs="Arial"/>
          <w:sz w:val="20"/>
          <w:szCs w:val="20"/>
        </w:rPr>
      </w:pPr>
      <w:r w:rsidRPr="00F4606C">
        <w:rPr>
          <w:rFonts w:asciiTheme="minorHAnsi" w:hAnsiTheme="minorHAnsi" w:cs="Arial"/>
          <w:sz w:val="20"/>
          <w:szCs w:val="20"/>
        </w:rPr>
        <w:t>Only one set of account and investor data records for each AMIT class is shown.</w:t>
      </w:r>
    </w:p>
    <w:p w14:paraId="723A4F99" w14:textId="77777777" w:rsidR="00115458" w:rsidRDefault="00115458" w:rsidP="00115458">
      <w:pPr>
        <w:pStyle w:val="Maintext"/>
        <w:rPr>
          <w:rFonts w:cs="Arial"/>
          <w:b/>
          <w:smallCaps/>
        </w:rPr>
      </w:pPr>
    </w:p>
    <w:p w14:paraId="420C96E5" w14:textId="77777777" w:rsidR="00115458" w:rsidRPr="00F4606C" w:rsidRDefault="00115458" w:rsidP="00B11B96">
      <w:pPr>
        <w:pStyle w:val="Maintext"/>
        <w:rPr>
          <w:rFonts w:asciiTheme="minorHAnsi" w:hAnsiTheme="minorHAnsi" w:cs="Arial"/>
          <w:sz w:val="20"/>
          <w:szCs w:val="20"/>
        </w:rPr>
      </w:pPr>
      <w:r w:rsidRPr="00F4606C">
        <w:rPr>
          <w:rFonts w:asciiTheme="minorHAnsi" w:hAnsiTheme="minorHAnsi" w:cs="Arial"/>
          <w:b/>
          <w:smallCaps/>
          <w:sz w:val="20"/>
          <w:szCs w:val="20"/>
        </w:rPr>
        <w:t xml:space="preserve">Investment account data record 1 for 1 investor </w:t>
      </w:r>
      <w:r w:rsidRPr="00F4606C">
        <w:rPr>
          <w:rFonts w:asciiTheme="minorHAnsi" w:hAnsiTheme="minorHAnsi" w:cs="Arial"/>
          <w:smallCaps/>
          <w:sz w:val="20"/>
          <w:szCs w:val="20"/>
        </w:rPr>
        <w:t xml:space="preserve">(extract) - </w:t>
      </w:r>
      <w:r w:rsidRPr="00F4606C">
        <w:rPr>
          <w:rFonts w:asciiTheme="minorHAnsi" w:hAnsiTheme="minorHAnsi" w:cs="Arial"/>
          <w:sz w:val="20"/>
          <w:szCs w:val="20"/>
        </w:rPr>
        <w:t>1–Australian equities class</w:t>
      </w:r>
    </w:p>
    <w:p w14:paraId="7805A1D6" w14:textId="77777777" w:rsidR="00115458" w:rsidRPr="00F4606C" w:rsidRDefault="00115458" w:rsidP="00B11B96">
      <w:pPr>
        <w:pStyle w:val="Maintext"/>
        <w:rPr>
          <w:rFonts w:asciiTheme="minorHAnsi" w:hAnsiTheme="minorHAnsi"/>
          <w:color w:val="000000"/>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662"/>
        <w:gridCol w:w="2198"/>
      </w:tblGrid>
      <w:tr w:rsidR="00115458" w:rsidRPr="00B11B96" w14:paraId="29319697" w14:textId="77777777" w:rsidTr="000C1365">
        <w:trPr>
          <w:trHeight w:val="495"/>
          <w:tblHeader/>
        </w:trPr>
        <w:tc>
          <w:tcPr>
            <w:tcW w:w="598"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B1E75FF" w14:textId="77777777" w:rsidR="00115458" w:rsidRPr="00B11B96" w:rsidRDefault="00115458" w:rsidP="00F4606C">
            <w:pPr>
              <w:spacing w:after="0" w:line="240" w:lineRule="auto"/>
              <w:rPr>
                <w:rFonts w:cs="Arial"/>
              </w:rPr>
            </w:pPr>
            <w:r w:rsidRPr="00F4606C">
              <w:rPr>
                <w:rFonts w:cs="Arial"/>
                <w:b/>
                <w:bCs/>
              </w:rPr>
              <w:t>Reference number</w:t>
            </w:r>
          </w:p>
        </w:tc>
        <w:tc>
          <w:tcPr>
            <w:tcW w:w="31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AA176CE" w14:textId="77777777" w:rsidR="00115458" w:rsidRPr="00B11B96" w:rsidRDefault="00115458" w:rsidP="00F4606C">
            <w:pPr>
              <w:spacing w:after="0" w:line="240" w:lineRule="auto"/>
              <w:rPr>
                <w:rFonts w:cs="Arial"/>
              </w:rPr>
            </w:pPr>
            <w:r w:rsidRPr="00F4606C">
              <w:rPr>
                <w:rFonts w:cs="Arial"/>
                <w:b/>
                <w:bCs/>
              </w:rPr>
              <w:t>Field name</w:t>
            </w:r>
          </w:p>
        </w:tc>
        <w:tc>
          <w:tcPr>
            <w:tcW w:w="124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F577509" w14:textId="77777777" w:rsidR="00115458" w:rsidRPr="00B11B96" w:rsidRDefault="00115458" w:rsidP="00F4606C">
            <w:pPr>
              <w:spacing w:after="0" w:line="240" w:lineRule="auto"/>
              <w:rPr>
                <w:rFonts w:cs="Arial"/>
              </w:rPr>
            </w:pPr>
            <w:r w:rsidRPr="00F4606C">
              <w:rPr>
                <w:rFonts w:cs="Arial"/>
                <w:b/>
                <w:bCs/>
              </w:rPr>
              <w:t>Content</w:t>
            </w:r>
          </w:p>
        </w:tc>
      </w:tr>
      <w:tr w:rsidR="00115458" w:rsidRPr="00B11B96" w14:paraId="3F57060B"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6ADACC" w14:textId="77777777" w:rsidR="00115458" w:rsidRPr="00B11B96" w:rsidRDefault="00115458" w:rsidP="00F4606C">
            <w:pPr>
              <w:spacing w:after="0" w:line="240" w:lineRule="auto"/>
              <w:rPr>
                <w:rFonts w:cs="Arial"/>
              </w:rPr>
            </w:pPr>
            <w:r w:rsidRPr="00F4606C">
              <w:rPr>
                <w:rFonts w:cs="Arial"/>
              </w:rPr>
              <w:t>9.62</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458A9F1" w14:textId="77777777" w:rsidR="00115458" w:rsidRPr="00B11B96" w:rsidRDefault="00115458" w:rsidP="00F4606C">
            <w:pPr>
              <w:spacing w:after="0" w:line="240" w:lineRule="auto"/>
              <w:rPr>
                <w:rFonts w:cs="Arial"/>
              </w:rPr>
            </w:pPr>
            <w:r w:rsidRPr="00F4606C">
              <w:rPr>
                <w:rFonts w:cs="Arial"/>
              </w:rPr>
              <w:t>Sequence number of DACCOUNT record</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287C3055" w14:textId="77777777" w:rsidR="00115458" w:rsidRPr="00B11B96" w:rsidRDefault="00115458" w:rsidP="00F4606C">
            <w:pPr>
              <w:spacing w:after="0" w:line="240" w:lineRule="auto"/>
              <w:rPr>
                <w:rFonts w:cs="Arial"/>
              </w:rPr>
            </w:pPr>
            <w:r w:rsidRPr="00F4606C">
              <w:rPr>
                <w:rFonts w:cs="Arial"/>
              </w:rPr>
              <w:t>01</w:t>
            </w:r>
          </w:p>
        </w:tc>
      </w:tr>
      <w:tr w:rsidR="00115458" w:rsidRPr="00B11B96" w14:paraId="116D4099"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8FB3AF" w14:textId="77777777" w:rsidR="00115458" w:rsidRPr="00B11B96" w:rsidRDefault="00115458" w:rsidP="00F4606C">
            <w:pPr>
              <w:spacing w:after="0" w:line="240" w:lineRule="auto"/>
              <w:rPr>
                <w:rFonts w:cs="Arial"/>
              </w:rPr>
            </w:pPr>
            <w:r w:rsidRPr="00F4606C">
              <w:rPr>
                <w:rFonts w:cs="Arial"/>
              </w:rPr>
              <w:t>9.63</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BECF255" w14:textId="77777777" w:rsidR="00115458" w:rsidRPr="00B11B96" w:rsidRDefault="00115458" w:rsidP="00F4606C">
            <w:pPr>
              <w:spacing w:after="0" w:line="240" w:lineRule="auto"/>
              <w:rPr>
                <w:rFonts w:cs="Arial"/>
              </w:rPr>
            </w:pPr>
            <w:r w:rsidRPr="00F4606C">
              <w:rPr>
                <w:rFonts w:cs="Arial"/>
              </w:rPr>
              <w:t>Investment reference number</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C194B5F" w14:textId="77777777" w:rsidR="00115458" w:rsidRPr="00B11B96" w:rsidRDefault="00115458" w:rsidP="00F4606C">
            <w:pPr>
              <w:spacing w:after="0" w:line="240" w:lineRule="auto"/>
              <w:rPr>
                <w:rFonts w:cs="Arial"/>
              </w:rPr>
            </w:pPr>
            <w:r w:rsidRPr="00F4606C">
              <w:rPr>
                <w:rFonts w:cs="Arial"/>
              </w:rPr>
              <w:t>4587221441</w:t>
            </w:r>
          </w:p>
        </w:tc>
      </w:tr>
      <w:tr w:rsidR="00115458" w:rsidRPr="00B11B96" w14:paraId="742529F6"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3F331" w14:textId="77777777" w:rsidR="00115458" w:rsidRPr="00B11B96" w:rsidRDefault="00115458" w:rsidP="00F4606C">
            <w:pPr>
              <w:spacing w:after="0" w:line="240" w:lineRule="auto"/>
              <w:rPr>
                <w:rFonts w:cs="Arial"/>
              </w:rPr>
            </w:pPr>
            <w:r w:rsidRPr="00F4606C">
              <w:rPr>
                <w:rFonts w:cs="Arial"/>
              </w:rPr>
              <w:t>9.64</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AA56ED3" w14:textId="77777777" w:rsidR="00115458" w:rsidRPr="00B11B96" w:rsidRDefault="00115458" w:rsidP="00F4606C">
            <w:pPr>
              <w:spacing w:after="0" w:line="240" w:lineRule="auto"/>
              <w:rPr>
                <w:rFonts w:cs="Arial"/>
              </w:rPr>
            </w:pPr>
            <w:r w:rsidRPr="00F4606C">
              <w:rPr>
                <w:rFonts w:cs="Arial"/>
              </w:rPr>
              <w:t>Account reference number</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996E32" w14:textId="77777777" w:rsidR="00115458" w:rsidRPr="00B11B96" w:rsidRDefault="00115458" w:rsidP="00F4606C">
            <w:pPr>
              <w:spacing w:after="0" w:line="240" w:lineRule="auto"/>
              <w:rPr>
                <w:rFonts w:cs="Arial"/>
              </w:rPr>
            </w:pPr>
            <w:r w:rsidRPr="00F4606C">
              <w:rPr>
                <w:rFonts w:cs="Arial"/>
              </w:rPr>
              <w:t>3214566971</w:t>
            </w:r>
          </w:p>
        </w:tc>
      </w:tr>
      <w:tr w:rsidR="00115458" w:rsidRPr="00B11B96" w14:paraId="47DD25EB"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C7AC3D" w14:textId="77777777" w:rsidR="00115458" w:rsidRPr="00B11B96" w:rsidRDefault="00115458" w:rsidP="00F4606C">
            <w:pPr>
              <w:spacing w:after="0" w:line="240" w:lineRule="auto"/>
              <w:rPr>
                <w:rFonts w:cs="Arial"/>
              </w:rPr>
            </w:pPr>
            <w:r w:rsidRPr="00F4606C">
              <w:rPr>
                <w:rFonts w:cs="Arial"/>
              </w:rPr>
              <w:t>9.67</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7279354" w14:textId="77777777" w:rsidR="00115458" w:rsidRPr="00B11B96" w:rsidRDefault="00115458" w:rsidP="00F4606C">
            <w:pPr>
              <w:spacing w:after="0" w:line="240" w:lineRule="auto"/>
              <w:rPr>
                <w:rFonts w:cs="Arial"/>
              </w:rPr>
            </w:pPr>
            <w:r w:rsidRPr="00F4606C">
              <w:rPr>
                <w:rFonts w:cs="Arial"/>
              </w:rPr>
              <w:t>Account name</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4BB7F5" w14:textId="77777777" w:rsidR="00115458" w:rsidRPr="00B11B96" w:rsidRDefault="00115458" w:rsidP="00F4606C">
            <w:pPr>
              <w:spacing w:after="0" w:line="240" w:lineRule="auto"/>
              <w:rPr>
                <w:rFonts w:cs="Arial"/>
              </w:rPr>
            </w:pPr>
            <w:r w:rsidRPr="00F4606C">
              <w:rPr>
                <w:rFonts w:cs="Arial"/>
              </w:rPr>
              <w:t>John Bloggs</w:t>
            </w:r>
          </w:p>
        </w:tc>
      </w:tr>
      <w:tr w:rsidR="00115458" w:rsidRPr="00B11B96" w14:paraId="6533A673"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048224" w14:textId="77777777" w:rsidR="00115458" w:rsidRPr="00B11B96" w:rsidRDefault="00115458" w:rsidP="00F4606C">
            <w:pPr>
              <w:spacing w:after="0" w:line="240" w:lineRule="auto"/>
              <w:rPr>
                <w:rFonts w:cs="Arial"/>
              </w:rPr>
            </w:pPr>
            <w:r w:rsidRPr="00F4606C">
              <w:rPr>
                <w:rFonts w:cs="Arial"/>
              </w:rPr>
              <w:t>9.70</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A01436B" w14:textId="77777777" w:rsidR="00115458" w:rsidRPr="00B11B96" w:rsidRDefault="00115458" w:rsidP="00F4606C">
            <w:pPr>
              <w:spacing w:after="0" w:line="240" w:lineRule="auto"/>
              <w:rPr>
                <w:rFonts w:cs="Arial"/>
              </w:rPr>
            </w:pPr>
            <w:r w:rsidRPr="00F4606C">
              <w:rPr>
                <w:rFonts w:cs="Arial"/>
              </w:rPr>
              <w:t>Date of payment (DDMMCCYY)</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D843D62" w14:textId="231C78B5" w:rsidR="00115458" w:rsidRPr="00B11B96" w:rsidRDefault="00115458" w:rsidP="00F4606C">
            <w:pPr>
              <w:spacing w:after="0" w:line="240" w:lineRule="auto"/>
              <w:rPr>
                <w:rFonts w:cs="Arial"/>
              </w:rPr>
            </w:pPr>
            <w:r w:rsidRPr="00F4606C">
              <w:rPr>
                <w:rFonts w:cs="Arial"/>
              </w:rPr>
              <w:t>3006202</w:t>
            </w:r>
            <w:r w:rsidR="006B5FBC">
              <w:rPr>
                <w:rFonts w:cs="Arial"/>
              </w:rPr>
              <w:t>6</w:t>
            </w:r>
          </w:p>
        </w:tc>
      </w:tr>
      <w:tr w:rsidR="00115458" w:rsidRPr="00B11B96" w14:paraId="066DD8EB"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857F6B" w14:textId="77777777" w:rsidR="00115458" w:rsidRPr="00B11B96" w:rsidRDefault="00115458" w:rsidP="00F4606C">
            <w:pPr>
              <w:spacing w:after="0" w:line="240" w:lineRule="auto"/>
              <w:rPr>
                <w:rFonts w:cs="Arial"/>
              </w:rPr>
            </w:pPr>
            <w:r w:rsidRPr="00F4606C">
              <w:rPr>
                <w:rFonts w:cs="Arial"/>
              </w:rPr>
              <w:t>9.71</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175E617" w14:textId="77777777" w:rsidR="00115458" w:rsidRPr="00B11B96" w:rsidRDefault="00115458" w:rsidP="00F4606C">
            <w:pPr>
              <w:spacing w:after="0" w:line="240" w:lineRule="auto"/>
              <w:rPr>
                <w:rFonts w:cs="Arial"/>
              </w:rPr>
            </w:pPr>
            <w:r w:rsidRPr="00F4606C">
              <w:rPr>
                <w:rFonts w:cs="Arial"/>
              </w:rPr>
              <w:t>Type of investment</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308DF5E" w14:textId="77777777" w:rsidR="00115458" w:rsidRPr="00B11B96" w:rsidRDefault="00115458" w:rsidP="00F4606C">
            <w:pPr>
              <w:spacing w:after="0" w:line="240" w:lineRule="auto"/>
              <w:rPr>
                <w:rFonts w:cs="Arial"/>
              </w:rPr>
            </w:pPr>
            <w:r w:rsidRPr="00F4606C">
              <w:rPr>
                <w:rFonts w:cs="Arial"/>
              </w:rPr>
              <w:t>0</w:t>
            </w:r>
          </w:p>
        </w:tc>
      </w:tr>
      <w:tr w:rsidR="00115458" w:rsidRPr="00B11B96" w14:paraId="60FDD115"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275297" w14:textId="77777777" w:rsidR="00115458" w:rsidRPr="00B11B96" w:rsidRDefault="00115458" w:rsidP="00F4606C">
            <w:pPr>
              <w:spacing w:after="0" w:line="240" w:lineRule="auto"/>
              <w:rPr>
                <w:rFonts w:cs="Arial"/>
              </w:rPr>
            </w:pPr>
            <w:r w:rsidRPr="00F4606C">
              <w:rPr>
                <w:rFonts w:cs="Arial"/>
              </w:rPr>
              <w:t>9.72</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298438F" w14:textId="77777777" w:rsidR="00115458" w:rsidRPr="00B11B96" w:rsidRDefault="00115458" w:rsidP="00F4606C">
            <w:pPr>
              <w:spacing w:after="0" w:line="240" w:lineRule="auto"/>
              <w:rPr>
                <w:rFonts w:cs="Arial"/>
              </w:rPr>
            </w:pPr>
            <w:r w:rsidRPr="00F4606C">
              <w:rPr>
                <w:rFonts w:cs="Arial"/>
              </w:rPr>
              <w:t>Type of payment</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664B845" w14:textId="77777777" w:rsidR="00115458" w:rsidRPr="00B11B96" w:rsidRDefault="00115458" w:rsidP="00F4606C">
            <w:pPr>
              <w:spacing w:after="0" w:line="240" w:lineRule="auto"/>
              <w:rPr>
                <w:rFonts w:cs="Arial"/>
              </w:rPr>
            </w:pPr>
            <w:r w:rsidRPr="00F4606C">
              <w:rPr>
                <w:rFonts w:cs="Arial"/>
              </w:rPr>
              <w:t>AMT</w:t>
            </w:r>
          </w:p>
        </w:tc>
      </w:tr>
      <w:tr w:rsidR="00115458" w:rsidRPr="00B11B96" w14:paraId="0C3C2A35"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AFE4E" w14:textId="77777777" w:rsidR="00115458" w:rsidRPr="00F4606C" w:rsidRDefault="00115458" w:rsidP="00F4606C">
            <w:pPr>
              <w:spacing w:after="0" w:line="240" w:lineRule="auto"/>
              <w:rPr>
                <w:rFonts w:cs="Arial"/>
              </w:rPr>
            </w:pPr>
            <w:r w:rsidRPr="00F4606C">
              <w:rPr>
                <w:rFonts w:cs="Arial"/>
              </w:rPr>
              <w:t>9.79</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C0AAA7C" w14:textId="77777777" w:rsidR="00115458" w:rsidRPr="00B11B96" w:rsidRDefault="00115458" w:rsidP="00F4606C">
            <w:pPr>
              <w:spacing w:after="0" w:line="240" w:lineRule="auto"/>
              <w:rPr>
                <w:rFonts w:cs="Arial"/>
              </w:rPr>
            </w:pPr>
            <w:r w:rsidRPr="00F4606C">
              <w:rPr>
                <w:rFonts w:cs="Arial"/>
              </w:rPr>
              <w:t>Interest (cents)</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03B4112" w14:textId="77777777" w:rsidR="00115458" w:rsidRPr="00B11B96" w:rsidRDefault="00115458" w:rsidP="00F4606C">
            <w:pPr>
              <w:spacing w:after="0" w:line="240" w:lineRule="auto"/>
              <w:rPr>
                <w:rFonts w:cs="Arial"/>
              </w:rPr>
            </w:pPr>
            <w:r w:rsidRPr="00F4606C">
              <w:rPr>
                <w:rFonts w:cs="Arial"/>
              </w:rPr>
              <w:t>000000030000</w:t>
            </w:r>
          </w:p>
        </w:tc>
      </w:tr>
      <w:tr w:rsidR="00115458" w:rsidRPr="00B11B96" w14:paraId="0FA15EF4"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BDE7C" w14:textId="77777777" w:rsidR="00115458" w:rsidRPr="00B11B96" w:rsidRDefault="00115458" w:rsidP="00F4606C">
            <w:pPr>
              <w:spacing w:after="0" w:line="240" w:lineRule="auto"/>
              <w:rPr>
                <w:rFonts w:cs="Arial"/>
              </w:rPr>
            </w:pPr>
            <w:r w:rsidRPr="00F4606C">
              <w:rPr>
                <w:rFonts w:cs="Arial"/>
              </w:rPr>
              <w:t>9.80</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D0333D4" w14:textId="77777777" w:rsidR="00115458" w:rsidRPr="00B11B96" w:rsidRDefault="00115458" w:rsidP="00F4606C">
            <w:pPr>
              <w:spacing w:after="0" w:line="240" w:lineRule="auto"/>
              <w:rPr>
                <w:rFonts w:cs="Arial"/>
              </w:rPr>
            </w:pPr>
            <w:r w:rsidRPr="00F4606C">
              <w:rPr>
                <w:rFonts w:cs="Arial"/>
              </w:rPr>
              <w:t xml:space="preserve">Unfranked dividends not declared to be conduit foreign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EE844B9" w14:textId="77777777" w:rsidR="00115458" w:rsidRPr="00B11B96" w:rsidRDefault="00115458" w:rsidP="00F4606C">
            <w:pPr>
              <w:spacing w:after="0" w:line="240" w:lineRule="auto"/>
              <w:rPr>
                <w:rFonts w:cs="Arial"/>
              </w:rPr>
            </w:pPr>
            <w:r w:rsidRPr="00F4606C">
              <w:rPr>
                <w:rFonts w:cs="Arial"/>
              </w:rPr>
              <w:t>000000150000</w:t>
            </w:r>
          </w:p>
        </w:tc>
      </w:tr>
      <w:tr w:rsidR="00115458" w:rsidRPr="00B11B96" w14:paraId="10818235"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C45FC7" w14:textId="77777777" w:rsidR="00115458" w:rsidRPr="00B11B96" w:rsidRDefault="00115458" w:rsidP="00F4606C">
            <w:pPr>
              <w:spacing w:after="0" w:line="240" w:lineRule="auto"/>
              <w:rPr>
                <w:rFonts w:cs="Arial"/>
              </w:rPr>
            </w:pPr>
            <w:r w:rsidRPr="00F4606C">
              <w:rPr>
                <w:rFonts w:cs="Arial"/>
              </w:rPr>
              <w:t>9.81</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49B246B" w14:textId="77777777" w:rsidR="00115458" w:rsidRPr="00B11B96" w:rsidRDefault="00115458" w:rsidP="00F4606C">
            <w:pPr>
              <w:spacing w:after="0" w:line="240" w:lineRule="auto"/>
              <w:rPr>
                <w:rFonts w:cs="Arial"/>
              </w:rPr>
            </w:pPr>
            <w:r w:rsidRPr="00F4606C">
              <w:rPr>
                <w:rFonts w:cs="Arial"/>
              </w:rPr>
              <w:t>Unfranked dividends declared to be conduit foreign income</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ED0EF84" w14:textId="77777777" w:rsidR="00115458" w:rsidRPr="00B11B96" w:rsidRDefault="00115458" w:rsidP="00F4606C">
            <w:pPr>
              <w:spacing w:after="0" w:line="240" w:lineRule="auto"/>
              <w:rPr>
                <w:rFonts w:cs="Arial"/>
              </w:rPr>
            </w:pPr>
            <w:r w:rsidRPr="00F4606C">
              <w:rPr>
                <w:rFonts w:cs="Arial"/>
              </w:rPr>
              <w:t>000000187500</w:t>
            </w:r>
          </w:p>
        </w:tc>
      </w:tr>
      <w:tr w:rsidR="00115458" w:rsidRPr="00B11B96" w14:paraId="5958EC7A"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6CEA45" w14:textId="77777777" w:rsidR="00115458" w:rsidRPr="00B11B96" w:rsidRDefault="00115458" w:rsidP="00F4606C">
            <w:pPr>
              <w:spacing w:after="0" w:line="240" w:lineRule="auto"/>
              <w:rPr>
                <w:rFonts w:cs="Arial"/>
              </w:rPr>
            </w:pPr>
            <w:r w:rsidRPr="00F4606C">
              <w:rPr>
                <w:rFonts w:cs="Arial"/>
              </w:rPr>
              <w:t>9.84</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46429B1" w14:textId="77777777" w:rsidR="00115458" w:rsidRPr="00B11B96" w:rsidRDefault="00115458" w:rsidP="00F4606C">
            <w:pPr>
              <w:spacing w:after="0" w:line="240" w:lineRule="auto"/>
              <w:rPr>
                <w:rFonts w:cs="Arial"/>
              </w:rPr>
            </w:pPr>
            <w:r w:rsidRPr="00F4606C">
              <w:rPr>
                <w:rFonts w:cs="Arial"/>
              </w:rPr>
              <w:t xml:space="preserve">Other taxable Australian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61A02FDC" w14:textId="77777777" w:rsidR="00115458" w:rsidRPr="00B11B96" w:rsidRDefault="00115458" w:rsidP="00F4606C">
            <w:pPr>
              <w:spacing w:after="0" w:line="240" w:lineRule="auto"/>
              <w:rPr>
                <w:rFonts w:cs="Arial"/>
              </w:rPr>
            </w:pPr>
            <w:r w:rsidRPr="00F4606C">
              <w:rPr>
                <w:rFonts w:cs="Arial"/>
              </w:rPr>
              <w:t>000000046500</w:t>
            </w:r>
          </w:p>
        </w:tc>
      </w:tr>
      <w:tr w:rsidR="00115458" w:rsidRPr="00B11B96" w14:paraId="42882DFB"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74F131" w14:textId="77777777" w:rsidR="00115458" w:rsidRPr="00B11B96" w:rsidRDefault="00115458" w:rsidP="00F4606C">
            <w:pPr>
              <w:spacing w:after="0" w:line="240" w:lineRule="auto"/>
              <w:rPr>
                <w:rFonts w:cs="Arial"/>
              </w:rPr>
            </w:pPr>
            <w:r w:rsidRPr="00F4606C">
              <w:rPr>
                <w:rFonts w:cs="Arial"/>
              </w:rPr>
              <w:t>9.85</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855BBB7" w14:textId="77777777" w:rsidR="00115458" w:rsidRPr="00B11B96" w:rsidRDefault="00115458" w:rsidP="00F4606C">
            <w:pPr>
              <w:spacing w:after="0" w:line="240" w:lineRule="auto"/>
              <w:rPr>
                <w:rFonts w:cs="Arial"/>
              </w:rPr>
            </w:pPr>
            <w:r w:rsidRPr="00F4606C">
              <w:rPr>
                <w:rFonts w:cs="Arial"/>
              </w:rPr>
              <w:t xml:space="preserve">Non-primary production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C0F504C" w14:textId="77777777" w:rsidR="00115458" w:rsidRPr="00B11B96" w:rsidRDefault="00115458" w:rsidP="00F4606C">
            <w:pPr>
              <w:spacing w:after="0" w:line="240" w:lineRule="auto"/>
              <w:rPr>
                <w:rFonts w:cs="Arial"/>
              </w:rPr>
            </w:pPr>
            <w:r w:rsidRPr="00F4606C">
              <w:rPr>
                <w:rFonts w:cs="Arial"/>
              </w:rPr>
              <w:t>000000414000</w:t>
            </w:r>
          </w:p>
        </w:tc>
      </w:tr>
    </w:tbl>
    <w:p w14:paraId="7D58BCC3" w14:textId="77777777" w:rsidR="00115458" w:rsidRPr="00B11B96" w:rsidRDefault="00115458" w:rsidP="00F4606C">
      <w:pPr>
        <w:spacing w:after="0" w:line="240" w:lineRule="auto"/>
        <w:rPr>
          <w:i/>
          <w:color w:val="000000"/>
        </w:rPr>
      </w:pPr>
    </w:p>
    <w:p w14:paraId="504E8916" w14:textId="77777777" w:rsidR="00115458" w:rsidRPr="00F4606C" w:rsidRDefault="00115458" w:rsidP="00B11B96">
      <w:pPr>
        <w:pStyle w:val="Maintext"/>
        <w:rPr>
          <w:rFonts w:asciiTheme="minorHAnsi" w:hAnsiTheme="minorHAnsi" w:cs="Arial"/>
          <w:sz w:val="20"/>
          <w:szCs w:val="20"/>
        </w:rPr>
      </w:pPr>
      <w:r w:rsidRPr="00F4606C">
        <w:rPr>
          <w:rFonts w:asciiTheme="minorHAnsi" w:hAnsiTheme="minorHAnsi" w:cs="Arial"/>
          <w:b/>
          <w:smallCaps/>
          <w:sz w:val="20"/>
          <w:szCs w:val="20"/>
        </w:rPr>
        <w:t xml:space="preserve">supplementary income account data record 1 for 1 investor </w:t>
      </w:r>
      <w:r w:rsidRPr="00F4606C">
        <w:rPr>
          <w:rFonts w:asciiTheme="minorHAnsi" w:hAnsiTheme="minorHAnsi" w:cs="Arial"/>
          <w:smallCaps/>
          <w:sz w:val="20"/>
          <w:szCs w:val="20"/>
        </w:rPr>
        <w:t>(extract)</w:t>
      </w:r>
    </w:p>
    <w:p w14:paraId="6FEE01C2" w14:textId="77777777" w:rsidR="00115458" w:rsidRPr="00B11B96" w:rsidRDefault="00115458" w:rsidP="00F4606C">
      <w:pPr>
        <w:spacing w:after="0" w:line="240" w:lineRule="auto"/>
        <w:rPr>
          <w:i/>
          <w:color w:val="000000"/>
        </w:rPr>
      </w:pPr>
    </w:p>
    <w:tbl>
      <w:tblPr>
        <w:tblW w:w="4763" w:type="pct"/>
        <w:tblInd w:w="108" w:type="dxa"/>
        <w:tblLook w:val="0000" w:firstRow="0" w:lastRow="0" w:firstColumn="0" w:lastColumn="0" w:noHBand="0" w:noVBand="0"/>
      </w:tblPr>
      <w:tblGrid>
        <w:gridCol w:w="1227"/>
        <w:gridCol w:w="5479"/>
        <w:gridCol w:w="2136"/>
      </w:tblGrid>
      <w:tr w:rsidR="00115458" w:rsidRPr="00B11B96" w14:paraId="7114C190" w14:textId="77777777" w:rsidTr="000C1365">
        <w:trPr>
          <w:tblHeader/>
        </w:trPr>
        <w:tc>
          <w:tcPr>
            <w:tcW w:w="618" w:type="pct"/>
            <w:tcBorders>
              <w:top w:val="single" w:sz="6" w:space="0" w:color="auto"/>
              <w:left w:val="single" w:sz="6" w:space="0" w:color="auto"/>
              <w:bottom w:val="single" w:sz="6" w:space="0" w:color="auto"/>
              <w:right w:val="single" w:sz="6" w:space="0" w:color="auto"/>
            </w:tcBorders>
            <w:shd w:val="clear" w:color="auto" w:fill="B3B3B3"/>
            <w:vAlign w:val="center"/>
          </w:tcPr>
          <w:p w14:paraId="18C6577B" w14:textId="77777777" w:rsidR="00115458" w:rsidRPr="00F4606C" w:rsidRDefault="00115458" w:rsidP="00F4606C">
            <w:pPr>
              <w:spacing w:after="0" w:line="240" w:lineRule="auto"/>
              <w:rPr>
                <w:rFonts w:cs="Arial"/>
                <w:b/>
              </w:rPr>
            </w:pPr>
            <w:r w:rsidRPr="00F4606C">
              <w:rPr>
                <w:rFonts w:cs="Arial"/>
                <w:b/>
              </w:rPr>
              <w:t>Reference</w:t>
            </w:r>
          </w:p>
          <w:p w14:paraId="0C16C1A9" w14:textId="77777777" w:rsidR="00115458" w:rsidRPr="00F4606C" w:rsidRDefault="00115458" w:rsidP="00F4606C">
            <w:pPr>
              <w:spacing w:after="0" w:line="240" w:lineRule="auto"/>
              <w:rPr>
                <w:rFonts w:cs="Arial"/>
                <w:b/>
              </w:rPr>
            </w:pPr>
            <w:r w:rsidRPr="00F4606C">
              <w:rPr>
                <w:rFonts w:cs="Arial"/>
                <w:b/>
              </w:rPr>
              <w:t>number</w:t>
            </w:r>
          </w:p>
        </w:tc>
        <w:tc>
          <w:tcPr>
            <w:tcW w:w="3136" w:type="pct"/>
            <w:tcBorders>
              <w:top w:val="single" w:sz="6" w:space="0" w:color="auto"/>
              <w:left w:val="single" w:sz="6" w:space="0" w:color="auto"/>
              <w:bottom w:val="single" w:sz="6" w:space="0" w:color="auto"/>
              <w:right w:val="single" w:sz="6" w:space="0" w:color="auto"/>
            </w:tcBorders>
            <w:shd w:val="clear" w:color="auto" w:fill="B3B3B3"/>
            <w:vAlign w:val="center"/>
          </w:tcPr>
          <w:p w14:paraId="601017CE" w14:textId="77777777" w:rsidR="00115458" w:rsidRPr="00F4606C" w:rsidRDefault="00115458" w:rsidP="00F4606C">
            <w:pPr>
              <w:spacing w:after="0" w:line="240" w:lineRule="auto"/>
              <w:rPr>
                <w:rFonts w:cs="Arial"/>
                <w:b/>
              </w:rPr>
            </w:pPr>
            <w:r w:rsidRPr="00F4606C">
              <w:rPr>
                <w:rFonts w:cs="Arial"/>
                <w:b/>
              </w:rPr>
              <w:t>Field name</w:t>
            </w:r>
          </w:p>
        </w:tc>
        <w:tc>
          <w:tcPr>
            <w:tcW w:w="1246" w:type="pct"/>
            <w:tcBorders>
              <w:top w:val="single" w:sz="6" w:space="0" w:color="auto"/>
              <w:left w:val="single" w:sz="6" w:space="0" w:color="auto"/>
              <w:bottom w:val="single" w:sz="6" w:space="0" w:color="auto"/>
              <w:right w:val="single" w:sz="6" w:space="0" w:color="auto"/>
            </w:tcBorders>
            <w:shd w:val="clear" w:color="auto" w:fill="B3B3B3"/>
            <w:vAlign w:val="center"/>
          </w:tcPr>
          <w:p w14:paraId="646E2881" w14:textId="77777777" w:rsidR="00115458" w:rsidRPr="00F4606C" w:rsidRDefault="00115458" w:rsidP="00F4606C">
            <w:pPr>
              <w:spacing w:after="0" w:line="240" w:lineRule="auto"/>
              <w:rPr>
                <w:rFonts w:cs="Arial"/>
                <w:b/>
              </w:rPr>
            </w:pPr>
            <w:r w:rsidRPr="00F4606C">
              <w:rPr>
                <w:rFonts w:cs="Arial"/>
                <w:b/>
              </w:rPr>
              <w:t>Content</w:t>
            </w:r>
          </w:p>
        </w:tc>
      </w:tr>
      <w:tr w:rsidR="00115458" w:rsidRPr="00B11B96" w14:paraId="07A04A0D" w14:textId="77777777" w:rsidTr="000C1365">
        <w:trPr>
          <w:trHeight w:val="225"/>
        </w:trPr>
        <w:tc>
          <w:tcPr>
            <w:tcW w:w="618" w:type="pct"/>
            <w:tcBorders>
              <w:top w:val="single" w:sz="6" w:space="0" w:color="auto"/>
              <w:left w:val="single" w:sz="6" w:space="0" w:color="auto"/>
              <w:bottom w:val="single" w:sz="6" w:space="0" w:color="auto"/>
              <w:right w:val="single" w:sz="6" w:space="0" w:color="auto"/>
            </w:tcBorders>
            <w:vAlign w:val="center"/>
          </w:tcPr>
          <w:p w14:paraId="4452B64F" w14:textId="77777777" w:rsidR="00115458" w:rsidRPr="00F4606C" w:rsidRDefault="00115458" w:rsidP="00F4606C">
            <w:pPr>
              <w:spacing w:after="0" w:line="240" w:lineRule="auto"/>
              <w:rPr>
                <w:rFonts w:cs="Arial"/>
              </w:rPr>
            </w:pPr>
            <w:r w:rsidRPr="00F4606C">
              <w:rPr>
                <w:rFonts w:cs="Arial"/>
              </w:rPr>
              <w:t>9.119</w:t>
            </w:r>
          </w:p>
        </w:tc>
        <w:tc>
          <w:tcPr>
            <w:tcW w:w="3136" w:type="pct"/>
            <w:tcBorders>
              <w:top w:val="single" w:sz="6" w:space="0" w:color="auto"/>
              <w:left w:val="single" w:sz="6" w:space="0" w:color="auto"/>
              <w:bottom w:val="single" w:sz="6" w:space="0" w:color="auto"/>
              <w:right w:val="single" w:sz="6" w:space="0" w:color="auto"/>
            </w:tcBorders>
            <w:vAlign w:val="center"/>
          </w:tcPr>
          <w:p w14:paraId="3428DE6D" w14:textId="77777777" w:rsidR="00115458" w:rsidRPr="00B11B96" w:rsidRDefault="00115458" w:rsidP="00F4606C">
            <w:pPr>
              <w:spacing w:after="0" w:line="240" w:lineRule="auto"/>
              <w:rPr>
                <w:rFonts w:cs="Arial"/>
              </w:rPr>
            </w:pPr>
            <w:r w:rsidRPr="00F4606C">
              <w:rPr>
                <w:rFonts w:cs="Arial"/>
              </w:rPr>
              <w:t>Unfranked distributions from  trusts</w:t>
            </w:r>
          </w:p>
        </w:tc>
        <w:tc>
          <w:tcPr>
            <w:tcW w:w="1246" w:type="pct"/>
            <w:tcBorders>
              <w:top w:val="single" w:sz="6" w:space="0" w:color="auto"/>
              <w:left w:val="single" w:sz="6" w:space="0" w:color="auto"/>
              <w:bottom w:val="single" w:sz="6" w:space="0" w:color="auto"/>
              <w:right w:val="single" w:sz="6" w:space="0" w:color="auto"/>
            </w:tcBorders>
            <w:vAlign w:val="center"/>
          </w:tcPr>
          <w:p w14:paraId="1EE9BA64" w14:textId="77777777" w:rsidR="00115458" w:rsidRPr="00F4606C" w:rsidRDefault="00115458" w:rsidP="00F4606C">
            <w:pPr>
              <w:spacing w:after="0" w:line="240" w:lineRule="auto"/>
              <w:rPr>
                <w:rFonts w:cs="Arial"/>
              </w:rPr>
            </w:pPr>
            <w:r w:rsidRPr="00F4606C">
              <w:rPr>
                <w:rFonts w:cs="Arial"/>
              </w:rPr>
              <w:t>000000337500</w:t>
            </w:r>
          </w:p>
        </w:tc>
      </w:tr>
      <w:tr w:rsidR="00115458" w:rsidRPr="00B11B96" w14:paraId="1E807478" w14:textId="77777777" w:rsidTr="000C1365">
        <w:trPr>
          <w:trHeight w:val="225"/>
        </w:trPr>
        <w:tc>
          <w:tcPr>
            <w:tcW w:w="618" w:type="pct"/>
            <w:tcBorders>
              <w:top w:val="single" w:sz="6" w:space="0" w:color="auto"/>
              <w:left w:val="single" w:sz="6" w:space="0" w:color="auto"/>
              <w:bottom w:val="single" w:sz="6" w:space="0" w:color="auto"/>
              <w:right w:val="single" w:sz="6" w:space="0" w:color="auto"/>
            </w:tcBorders>
            <w:vAlign w:val="center"/>
          </w:tcPr>
          <w:p w14:paraId="2B457F49" w14:textId="77777777" w:rsidR="00115458" w:rsidRPr="00F4606C" w:rsidRDefault="00115458" w:rsidP="00F4606C">
            <w:pPr>
              <w:spacing w:after="0" w:line="240" w:lineRule="auto"/>
              <w:rPr>
                <w:rFonts w:cs="Arial"/>
              </w:rPr>
            </w:pPr>
            <w:r w:rsidRPr="00F4606C">
              <w:rPr>
                <w:rFonts w:cs="Arial"/>
              </w:rPr>
              <w:t>9.131</w:t>
            </w:r>
          </w:p>
        </w:tc>
        <w:tc>
          <w:tcPr>
            <w:tcW w:w="3136" w:type="pct"/>
            <w:tcBorders>
              <w:top w:val="single" w:sz="6" w:space="0" w:color="auto"/>
              <w:left w:val="single" w:sz="6" w:space="0" w:color="auto"/>
              <w:bottom w:val="single" w:sz="6" w:space="0" w:color="auto"/>
              <w:right w:val="single" w:sz="6" w:space="0" w:color="auto"/>
            </w:tcBorders>
            <w:vAlign w:val="center"/>
          </w:tcPr>
          <w:p w14:paraId="2430CD97" w14:textId="77777777" w:rsidR="00115458" w:rsidRPr="00F4606C" w:rsidRDefault="00115458" w:rsidP="00F4606C">
            <w:pPr>
              <w:spacing w:after="0" w:line="240" w:lineRule="auto"/>
              <w:rPr>
                <w:rFonts w:cs="Arial"/>
              </w:rPr>
            </w:pPr>
            <w:r w:rsidRPr="00F4606C">
              <w:rPr>
                <w:rFonts w:cs="Arial"/>
              </w:rPr>
              <w:t>Name of AMIT class</w:t>
            </w:r>
          </w:p>
        </w:tc>
        <w:tc>
          <w:tcPr>
            <w:tcW w:w="1246" w:type="pct"/>
            <w:tcBorders>
              <w:top w:val="single" w:sz="6" w:space="0" w:color="auto"/>
              <w:left w:val="single" w:sz="6" w:space="0" w:color="auto"/>
              <w:bottom w:val="single" w:sz="6" w:space="0" w:color="auto"/>
              <w:right w:val="single" w:sz="6" w:space="0" w:color="auto"/>
            </w:tcBorders>
            <w:vAlign w:val="center"/>
          </w:tcPr>
          <w:p w14:paraId="7F4BEAED" w14:textId="77777777" w:rsidR="00115458" w:rsidRPr="00F4606C" w:rsidRDefault="00115458" w:rsidP="00F4606C">
            <w:pPr>
              <w:spacing w:after="0" w:line="240" w:lineRule="auto"/>
              <w:rPr>
                <w:rFonts w:cs="Arial"/>
              </w:rPr>
            </w:pPr>
            <w:r w:rsidRPr="00F4606C">
              <w:rPr>
                <w:rFonts w:cs="Arial"/>
              </w:rPr>
              <w:t>1-Australian equities</w:t>
            </w:r>
          </w:p>
        </w:tc>
      </w:tr>
    </w:tbl>
    <w:p w14:paraId="5AE44639" w14:textId="27E648C8" w:rsidR="00115458" w:rsidRPr="00777FBF" w:rsidRDefault="0028338D" w:rsidP="00F4606C">
      <w:pPr>
        <w:spacing w:after="0" w:line="240" w:lineRule="auto"/>
        <w:rPr>
          <w:sz w:val="18"/>
          <w:szCs w:val="18"/>
        </w:rPr>
      </w:pPr>
      <w:r>
        <w:rPr>
          <w:iCs/>
          <w:color w:val="000000"/>
          <w:sz w:val="18"/>
          <w:szCs w:val="18"/>
        </w:rPr>
        <w:t xml:space="preserve">An </w:t>
      </w:r>
      <w:r w:rsidR="00115458" w:rsidRPr="00777FBF">
        <w:rPr>
          <w:i/>
          <w:color w:val="000000"/>
          <w:sz w:val="18"/>
          <w:szCs w:val="18"/>
        </w:rPr>
        <w:t xml:space="preserve">Investor data record </w:t>
      </w:r>
      <w:r>
        <w:rPr>
          <w:color w:val="000000"/>
          <w:sz w:val="18"/>
          <w:szCs w:val="18"/>
        </w:rPr>
        <w:t>is required f</w:t>
      </w:r>
      <w:r w:rsidR="00115458" w:rsidRPr="00777FBF">
        <w:rPr>
          <w:color w:val="000000"/>
          <w:sz w:val="18"/>
          <w:szCs w:val="18"/>
        </w:rPr>
        <w:t>ollow</w:t>
      </w:r>
      <w:r>
        <w:rPr>
          <w:color w:val="000000"/>
          <w:sz w:val="18"/>
          <w:szCs w:val="18"/>
        </w:rPr>
        <w:t>ing</w:t>
      </w:r>
      <w:r w:rsidR="00115458" w:rsidRPr="00777FBF">
        <w:rPr>
          <w:color w:val="000000"/>
          <w:sz w:val="18"/>
          <w:szCs w:val="18"/>
        </w:rPr>
        <w:t xml:space="preserve"> the </w:t>
      </w:r>
      <w:r w:rsidR="00115458" w:rsidRPr="00777FBF">
        <w:rPr>
          <w:rFonts w:cs="Arial"/>
          <w:i/>
          <w:sz w:val="18"/>
          <w:szCs w:val="18"/>
        </w:rPr>
        <w:t>Supplementary income account data record</w:t>
      </w:r>
    </w:p>
    <w:p w14:paraId="0266DCBE" w14:textId="77777777" w:rsidR="00115458" w:rsidRPr="00F4606C" w:rsidRDefault="00115458" w:rsidP="00B11B96">
      <w:pPr>
        <w:pStyle w:val="Maintext"/>
        <w:rPr>
          <w:rFonts w:asciiTheme="minorHAnsi" w:hAnsiTheme="minorHAnsi" w:cs="Arial"/>
          <w:b/>
          <w:smallCaps/>
          <w:sz w:val="20"/>
          <w:szCs w:val="20"/>
        </w:rPr>
      </w:pPr>
    </w:p>
    <w:p w14:paraId="09DD79EF" w14:textId="7C71C0AC" w:rsidR="00115458" w:rsidRPr="00F4606C" w:rsidRDefault="00115458" w:rsidP="00B11B96">
      <w:pPr>
        <w:pStyle w:val="Maintext"/>
        <w:rPr>
          <w:rFonts w:asciiTheme="minorHAnsi" w:hAnsiTheme="minorHAnsi" w:cs="Arial"/>
          <w:sz w:val="20"/>
          <w:szCs w:val="20"/>
        </w:rPr>
      </w:pPr>
      <w:r w:rsidRPr="00F4606C">
        <w:rPr>
          <w:rFonts w:asciiTheme="minorHAnsi" w:hAnsiTheme="minorHAnsi" w:cs="Arial"/>
          <w:b/>
          <w:smallCaps/>
          <w:sz w:val="20"/>
          <w:szCs w:val="20"/>
        </w:rPr>
        <w:t xml:space="preserve">Investment account data record 1 for 1 investor </w:t>
      </w:r>
      <w:r w:rsidRPr="00F4606C">
        <w:rPr>
          <w:rFonts w:asciiTheme="minorHAnsi" w:hAnsiTheme="minorHAnsi" w:cs="Arial"/>
          <w:smallCaps/>
          <w:sz w:val="20"/>
          <w:szCs w:val="20"/>
        </w:rPr>
        <w:t xml:space="preserve">(extract) - </w:t>
      </w:r>
      <w:r w:rsidRPr="00F4606C">
        <w:rPr>
          <w:rFonts w:asciiTheme="minorHAnsi" w:hAnsiTheme="minorHAnsi" w:cs="Arial"/>
          <w:sz w:val="20"/>
          <w:szCs w:val="20"/>
        </w:rPr>
        <w:t>2–Explorer equities class</w:t>
      </w:r>
    </w:p>
    <w:p w14:paraId="109B6AEB" w14:textId="77777777" w:rsidR="00115458" w:rsidRPr="00F4606C" w:rsidRDefault="00115458" w:rsidP="00B11B96">
      <w:pPr>
        <w:pStyle w:val="Maintext"/>
        <w:rPr>
          <w:rFonts w:asciiTheme="minorHAnsi" w:hAnsiTheme="minorHAnsi"/>
          <w:color w:val="000000"/>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662"/>
        <w:gridCol w:w="2198"/>
      </w:tblGrid>
      <w:tr w:rsidR="00115458" w:rsidRPr="00B11B96" w14:paraId="4C8ECAB7" w14:textId="77777777" w:rsidTr="000C1365">
        <w:trPr>
          <w:trHeight w:val="495"/>
          <w:tblHeader/>
        </w:trPr>
        <w:tc>
          <w:tcPr>
            <w:tcW w:w="598"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561697A" w14:textId="77777777" w:rsidR="00115458" w:rsidRPr="00B11B96" w:rsidRDefault="00115458" w:rsidP="00F4606C">
            <w:pPr>
              <w:spacing w:after="0" w:line="240" w:lineRule="auto"/>
              <w:rPr>
                <w:rFonts w:cs="Arial"/>
              </w:rPr>
            </w:pPr>
            <w:r w:rsidRPr="00F4606C">
              <w:rPr>
                <w:rFonts w:cs="Arial"/>
                <w:b/>
                <w:bCs/>
              </w:rPr>
              <w:t>Reference number</w:t>
            </w:r>
          </w:p>
        </w:tc>
        <w:tc>
          <w:tcPr>
            <w:tcW w:w="31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5183852" w14:textId="77777777" w:rsidR="00115458" w:rsidRPr="00B11B96" w:rsidRDefault="00115458" w:rsidP="00F4606C">
            <w:pPr>
              <w:spacing w:after="0" w:line="240" w:lineRule="auto"/>
              <w:rPr>
                <w:rFonts w:cs="Arial"/>
              </w:rPr>
            </w:pPr>
            <w:r w:rsidRPr="00F4606C">
              <w:rPr>
                <w:rFonts w:cs="Arial"/>
                <w:b/>
                <w:bCs/>
              </w:rPr>
              <w:t>Field name</w:t>
            </w:r>
          </w:p>
        </w:tc>
        <w:tc>
          <w:tcPr>
            <w:tcW w:w="124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D359B2C" w14:textId="77777777" w:rsidR="00115458" w:rsidRPr="00B11B96" w:rsidRDefault="00115458" w:rsidP="00F4606C">
            <w:pPr>
              <w:spacing w:after="0" w:line="240" w:lineRule="auto"/>
              <w:rPr>
                <w:rFonts w:cs="Arial"/>
              </w:rPr>
            </w:pPr>
            <w:r w:rsidRPr="00F4606C">
              <w:rPr>
                <w:rFonts w:cs="Arial"/>
                <w:b/>
                <w:bCs/>
              </w:rPr>
              <w:t>Content</w:t>
            </w:r>
          </w:p>
        </w:tc>
      </w:tr>
      <w:tr w:rsidR="00115458" w:rsidRPr="00B11B96" w14:paraId="4743ACAB"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039F41" w14:textId="77777777" w:rsidR="00115458" w:rsidRPr="00B11B96" w:rsidRDefault="00115458" w:rsidP="00F4606C">
            <w:pPr>
              <w:spacing w:after="0" w:line="240" w:lineRule="auto"/>
              <w:rPr>
                <w:rFonts w:cs="Arial"/>
              </w:rPr>
            </w:pPr>
            <w:r w:rsidRPr="00F4606C">
              <w:rPr>
                <w:rFonts w:cs="Arial"/>
              </w:rPr>
              <w:t>9.62</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F01531C" w14:textId="77777777" w:rsidR="00115458" w:rsidRPr="00B11B96" w:rsidRDefault="00115458" w:rsidP="00F4606C">
            <w:pPr>
              <w:spacing w:after="0" w:line="240" w:lineRule="auto"/>
              <w:rPr>
                <w:rFonts w:cs="Arial"/>
              </w:rPr>
            </w:pPr>
            <w:r w:rsidRPr="00F4606C">
              <w:rPr>
                <w:rFonts w:cs="Arial"/>
              </w:rPr>
              <w:t>Sequence number of DACCOUNT record</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60DE327C" w14:textId="77777777" w:rsidR="00115458" w:rsidRPr="00B11B96" w:rsidRDefault="00115458" w:rsidP="00F4606C">
            <w:pPr>
              <w:spacing w:after="0" w:line="240" w:lineRule="auto"/>
              <w:rPr>
                <w:rFonts w:cs="Arial"/>
              </w:rPr>
            </w:pPr>
            <w:r w:rsidRPr="00F4606C">
              <w:rPr>
                <w:rFonts w:cs="Arial"/>
              </w:rPr>
              <w:t>03</w:t>
            </w:r>
          </w:p>
        </w:tc>
      </w:tr>
      <w:tr w:rsidR="00115458" w:rsidRPr="00B11B96" w14:paraId="2CC58E70"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3EC00" w14:textId="77777777" w:rsidR="00115458" w:rsidRPr="00B11B96" w:rsidRDefault="00115458" w:rsidP="00F4606C">
            <w:pPr>
              <w:spacing w:after="0" w:line="240" w:lineRule="auto"/>
              <w:rPr>
                <w:rFonts w:cs="Arial"/>
              </w:rPr>
            </w:pPr>
            <w:r w:rsidRPr="00F4606C">
              <w:rPr>
                <w:rFonts w:cs="Arial"/>
              </w:rPr>
              <w:t>9.63</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AC1613D" w14:textId="77777777" w:rsidR="00115458" w:rsidRPr="00B11B96" w:rsidRDefault="00115458" w:rsidP="00F4606C">
            <w:pPr>
              <w:spacing w:after="0" w:line="240" w:lineRule="auto"/>
              <w:rPr>
                <w:rFonts w:cs="Arial"/>
              </w:rPr>
            </w:pPr>
            <w:r w:rsidRPr="00F4606C">
              <w:rPr>
                <w:rFonts w:cs="Arial"/>
              </w:rPr>
              <w:t>Investment reference number</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BC4591" w14:textId="77777777" w:rsidR="00115458" w:rsidRPr="00B11B96" w:rsidRDefault="00115458" w:rsidP="00F4606C">
            <w:pPr>
              <w:spacing w:after="0" w:line="240" w:lineRule="auto"/>
              <w:rPr>
                <w:rFonts w:cs="Arial"/>
              </w:rPr>
            </w:pPr>
            <w:r w:rsidRPr="00F4606C">
              <w:rPr>
                <w:rFonts w:cs="Arial"/>
              </w:rPr>
              <w:t>4587221432</w:t>
            </w:r>
          </w:p>
        </w:tc>
      </w:tr>
      <w:tr w:rsidR="00115458" w:rsidRPr="00B11B96" w14:paraId="0C456DD1"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63275" w14:textId="77777777" w:rsidR="00115458" w:rsidRPr="00B11B96" w:rsidRDefault="00115458" w:rsidP="00F4606C">
            <w:pPr>
              <w:spacing w:after="0" w:line="240" w:lineRule="auto"/>
              <w:rPr>
                <w:rFonts w:cs="Arial"/>
              </w:rPr>
            </w:pPr>
            <w:r w:rsidRPr="00F4606C">
              <w:rPr>
                <w:rFonts w:cs="Arial"/>
              </w:rPr>
              <w:t>9.64</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CFA8F31" w14:textId="77777777" w:rsidR="00115458" w:rsidRPr="00B11B96" w:rsidRDefault="00115458" w:rsidP="00F4606C">
            <w:pPr>
              <w:spacing w:after="0" w:line="240" w:lineRule="auto"/>
              <w:rPr>
                <w:rFonts w:cs="Arial"/>
              </w:rPr>
            </w:pPr>
            <w:r w:rsidRPr="00F4606C">
              <w:rPr>
                <w:rFonts w:cs="Arial"/>
              </w:rPr>
              <w:t>Account reference number</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35418BA" w14:textId="77777777" w:rsidR="00115458" w:rsidRPr="00B11B96" w:rsidRDefault="00115458" w:rsidP="00F4606C">
            <w:pPr>
              <w:spacing w:after="0" w:line="240" w:lineRule="auto"/>
              <w:rPr>
                <w:rFonts w:cs="Arial"/>
              </w:rPr>
            </w:pPr>
            <w:r w:rsidRPr="00F4606C">
              <w:rPr>
                <w:rFonts w:cs="Arial"/>
              </w:rPr>
              <w:t>3214566971</w:t>
            </w:r>
          </w:p>
        </w:tc>
      </w:tr>
      <w:tr w:rsidR="00115458" w:rsidRPr="00B11B96" w14:paraId="111EC2B6"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92A106" w14:textId="77777777" w:rsidR="00115458" w:rsidRPr="00B11B96" w:rsidRDefault="00115458" w:rsidP="00F4606C">
            <w:pPr>
              <w:spacing w:after="0" w:line="240" w:lineRule="auto"/>
              <w:rPr>
                <w:rFonts w:cs="Arial"/>
              </w:rPr>
            </w:pPr>
            <w:r w:rsidRPr="00F4606C">
              <w:rPr>
                <w:rFonts w:cs="Arial"/>
              </w:rPr>
              <w:t>9.67</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A384290" w14:textId="77777777" w:rsidR="00115458" w:rsidRPr="00B11B96" w:rsidRDefault="00115458" w:rsidP="00F4606C">
            <w:pPr>
              <w:spacing w:after="0" w:line="240" w:lineRule="auto"/>
              <w:rPr>
                <w:rFonts w:cs="Arial"/>
              </w:rPr>
            </w:pPr>
            <w:r w:rsidRPr="00F4606C">
              <w:rPr>
                <w:rFonts w:cs="Arial"/>
              </w:rPr>
              <w:t>Account name</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E70EC" w14:textId="77777777" w:rsidR="00115458" w:rsidRPr="00B11B96" w:rsidRDefault="00115458" w:rsidP="00F4606C">
            <w:pPr>
              <w:spacing w:after="0" w:line="240" w:lineRule="auto"/>
              <w:rPr>
                <w:rFonts w:cs="Arial"/>
              </w:rPr>
            </w:pPr>
            <w:r w:rsidRPr="00F4606C">
              <w:rPr>
                <w:rFonts w:cs="Arial"/>
              </w:rPr>
              <w:t>John Bloggs</w:t>
            </w:r>
          </w:p>
        </w:tc>
      </w:tr>
      <w:tr w:rsidR="00115458" w:rsidRPr="00B11B96" w14:paraId="507D992A"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2083B3" w14:textId="77777777" w:rsidR="00115458" w:rsidRPr="00B11B96" w:rsidRDefault="00115458" w:rsidP="00F4606C">
            <w:pPr>
              <w:spacing w:after="0" w:line="240" w:lineRule="auto"/>
              <w:rPr>
                <w:rFonts w:cs="Arial"/>
              </w:rPr>
            </w:pPr>
            <w:r w:rsidRPr="00F4606C">
              <w:rPr>
                <w:rFonts w:cs="Arial"/>
              </w:rPr>
              <w:t>9.70</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E696416" w14:textId="77777777" w:rsidR="00115458" w:rsidRPr="00B11B96" w:rsidRDefault="00115458" w:rsidP="00F4606C">
            <w:pPr>
              <w:spacing w:after="0" w:line="240" w:lineRule="auto"/>
              <w:rPr>
                <w:rFonts w:cs="Arial"/>
              </w:rPr>
            </w:pPr>
            <w:r w:rsidRPr="00F4606C">
              <w:rPr>
                <w:rFonts w:cs="Arial"/>
              </w:rPr>
              <w:t>Date of payment (DDMMCCYY)</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3175B6" w14:textId="656F21F8" w:rsidR="00115458" w:rsidRPr="00B11B96" w:rsidRDefault="00115458" w:rsidP="00F4606C">
            <w:pPr>
              <w:spacing w:after="0" w:line="240" w:lineRule="auto"/>
              <w:rPr>
                <w:rFonts w:cs="Arial"/>
              </w:rPr>
            </w:pPr>
            <w:r w:rsidRPr="00F4606C">
              <w:rPr>
                <w:rFonts w:cs="Arial"/>
              </w:rPr>
              <w:t>3006202</w:t>
            </w:r>
            <w:r w:rsidR="00213510">
              <w:rPr>
                <w:rFonts w:cs="Arial"/>
              </w:rPr>
              <w:t>6</w:t>
            </w:r>
          </w:p>
        </w:tc>
      </w:tr>
      <w:tr w:rsidR="00115458" w:rsidRPr="00B11B96" w14:paraId="4272AB36"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69B61F" w14:textId="77777777" w:rsidR="00115458" w:rsidRPr="00B11B96" w:rsidRDefault="00115458" w:rsidP="00F4606C">
            <w:pPr>
              <w:spacing w:after="0" w:line="240" w:lineRule="auto"/>
              <w:rPr>
                <w:rFonts w:cs="Arial"/>
              </w:rPr>
            </w:pPr>
            <w:r w:rsidRPr="00F4606C">
              <w:rPr>
                <w:rFonts w:cs="Arial"/>
              </w:rPr>
              <w:t>9.71</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B7CC99B" w14:textId="77777777" w:rsidR="00115458" w:rsidRPr="00B11B96" w:rsidRDefault="00115458" w:rsidP="00F4606C">
            <w:pPr>
              <w:spacing w:after="0" w:line="240" w:lineRule="auto"/>
              <w:rPr>
                <w:rFonts w:cs="Arial"/>
              </w:rPr>
            </w:pPr>
            <w:r w:rsidRPr="00F4606C">
              <w:rPr>
                <w:rFonts w:cs="Arial"/>
              </w:rPr>
              <w:t>Type of investment</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D4F335F" w14:textId="77777777" w:rsidR="00115458" w:rsidRPr="00B11B96" w:rsidRDefault="00115458" w:rsidP="00F4606C">
            <w:pPr>
              <w:spacing w:after="0" w:line="240" w:lineRule="auto"/>
              <w:rPr>
                <w:rFonts w:cs="Arial"/>
              </w:rPr>
            </w:pPr>
            <w:r w:rsidRPr="00F4606C">
              <w:rPr>
                <w:rFonts w:cs="Arial"/>
              </w:rPr>
              <w:t>0</w:t>
            </w:r>
          </w:p>
        </w:tc>
      </w:tr>
      <w:tr w:rsidR="00115458" w:rsidRPr="00B11B96" w14:paraId="0FB19E84"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1F1F71" w14:textId="77777777" w:rsidR="00115458" w:rsidRPr="00B11B96" w:rsidRDefault="00115458" w:rsidP="00F4606C">
            <w:pPr>
              <w:spacing w:after="0" w:line="240" w:lineRule="auto"/>
              <w:rPr>
                <w:rFonts w:cs="Arial"/>
              </w:rPr>
            </w:pPr>
            <w:r w:rsidRPr="00F4606C">
              <w:rPr>
                <w:rFonts w:cs="Arial"/>
              </w:rPr>
              <w:t>9.72</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906104F" w14:textId="77777777" w:rsidR="00115458" w:rsidRPr="00B11B96" w:rsidRDefault="00115458" w:rsidP="00F4606C">
            <w:pPr>
              <w:spacing w:after="0" w:line="240" w:lineRule="auto"/>
              <w:rPr>
                <w:rFonts w:cs="Arial"/>
              </w:rPr>
            </w:pPr>
            <w:r w:rsidRPr="00F4606C">
              <w:rPr>
                <w:rFonts w:cs="Arial"/>
              </w:rPr>
              <w:t>Type of payment</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AC93DE" w14:textId="77777777" w:rsidR="00115458" w:rsidRPr="00B11B96" w:rsidRDefault="00115458" w:rsidP="00F4606C">
            <w:pPr>
              <w:spacing w:after="0" w:line="240" w:lineRule="auto"/>
              <w:rPr>
                <w:rFonts w:cs="Arial"/>
              </w:rPr>
            </w:pPr>
            <w:r w:rsidRPr="00F4606C">
              <w:rPr>
                <w:rFonts w:cs="Arial"/>
              </w:rPr>
              <w:t>AMT</w:t>
            </w:r>
          </w:p>
        </w:tc>
      </w:tr>
      <w:tr w:rsidR="00115458" w:rsidRPr="00B11B96" w14:paraId="2C3CE233"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1AF2F7" w14:textId="77777777" w:rsidR="00115458" w:rsidRPr="00B11B96" w:rsidRDefault="00115458" w:rsidP="00F4606C">
            <w:pPr>
              <w:spacing w:after="0" w:line="240" w:lineRule="auto"/>
              <w:rPr>
                <w:rFonts w:cs="Arial"/>
              </w:rPr>
            </w:pPr>
            <w:r w:rsidRPr="00F4606C">
              <w:rPr>
                <w:rFonts w:cs="Arial"/>
              </w:rPr>
              <w:t>9.79</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0E7AC5F" w14:textId="77777777" w:rsidR="00115458" w:rsidRPr="00B11B96" w:rsidRDefault="00115458" w:rsidP="00F4606C">
            <w:pPr>
              <w:spacing w:after="0" w:line="240" w:lineRule="auto"/>
              <w:rPr>
                <w:rFonts w:cs="Arial"/>
              </w:rPr>
            </w:pPr>
            <w:r w:rsidRPr="00F4606C">
              <w:rPr>
                <w:rFonts w:cs="Arial"/>
              </w:rPr>
              <w:t>Interest (cents)</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2CC8CA7" w14:textId="77777777" w:rsidR="00115458" w:rsidRPr="00B11B96" w:rsidRDefault="00115458" w:rsidP="00F4606C">
            <w:pPr>
              <w:spacing w:after="0" w:line="240" w:lineRule="auto"/>
              <w:rPr>
                <w:rFonts w:cs="Arial"/>
              </w:rPr>
            </w:pPr>
            <w:r w:rsidRPr="00F4606C">
              <w:rPr>
                <w:rFonts w:cs="Arial"/>
              </w:rPr>
              <w:t>000000020000</w:t>
            </w:r>
          </w:p>
        </w:tc>
      </w:tr>
      <w:tr w:rsidR="00115458" w:rsidRPr="00B11B96" w14:paraId="3BA24DD7"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BE7800" w14:textId="77777777" w:rsidR="00115458" w:rsidRPr="00B11B96" w:rsidRDefault="00115458" w:rsidP="00F4606C">
            <w:pPr>
              <w:spacing w:after="0" w:line="240" w:lineRule="auto"/>
              <w:rPr>
                <w:rFonts w:cs="Arial"/>
              </w:rPr>
            </w:pPr>
            <w:r w:rsidRPr="00F4606C">
              <w:rPr>
                <w:rFonts w:cs="Arial"/>
              </w:rPr>
              <w:t>9.80</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40E57B0" w14:textId="77777777" w:rsidR="00115458" w:rsidRPr="00B11B96" w:rsidRDefault="00115458" w:rsidP="00F4606C">
            <w:pPr>
              <w:spacing w:after="0" w:line="240" w:lineRule="auto"/>
              <w:rPr>
                <w:rFonts w:cs="Arial"/>
              </w:rPr>
            </w:pPr>
            <w:r w:rsidRPr="00F4606C">
              <w:rPr>
                <w:rFonts w:cs="Arial"/>
              </w:rPr>
              <w:t xml:space="preserve">Unfranked dividends not declared to be conduit foreign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546E3E9" w14:textId="77777777" w:rsidR="00115458" w:rsidRPr="00B11B96" w:rsidRDefault="00115458" w:rsidP="00F4606C">
            <w:pPr>
              <w:spacing w:after="0" w:line="240" w:lineRule="auto"/>
              <w:rPr>
                <w:rFonts w:cs="Arial"/>
              </w:rPr>
            </w:pPr>
            <w:r w:rsidRPr="00F4606C">
              <w:rPr>
                <w:rFonts w:cs="Arial"/>
              </w:rPr>
              <w:t>000000100000</w:t>
            </w:r>
          </w:p>
        </w:tc>
      </w:tr>
      <w:tr w:rsidR="00115458" w:rsidRPr="00B11B96" w14:paraId="3B23E056"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911608" w14:textId="77777777" w:rsidR="00115458" w:rsidRPr="00B11B96" w:rsidRDefault="00115458" w:rsidP="00F4606C">
            <w:pPr>
              <w:spacing w:after="0" w:line="240" w:lineRule="auto"/>
              <w:rPr>
                <w:rFonts w:cs="Arial"/>
              </w:rPr>
            </w:pPr>
            <w:r w:rsidRPr="00F4606C">
              <w:rPr>
                <w:rFonts w:cs="Arial"/>
              </w:rPr>
              <w:t>9.81</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5072472" w14:textId="77777777" w:rsidR="00115458" w:rsidRPr="00B11B96" w:rsidRDefault="00115458" w:rsidP="00F4606C">
            <w:pPr>
              <w:spacing w:after="0" w:line="240" w:lineRule="auto"/>
              <w:rPr>
                <w:rFonts w:cs="Arial"/>
              </w:rPr>
            </w:pPr>
            <w:r w:rsidRPr="00F4606C">
              <w:rPr>
                <w:rFonts w:cs="Arial"/>
              </w:rPr>
              <w:t>Unfranked dividends declared to be conduit foreign income</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0E06B3" w14:textId="77777777" w:rsidR="00115458" w:rsidRPr="00B11B96" w:rsidRDefault="00115458" w:rsidP="00F4606C">
            <w:pPr>
              <w:spacing w:after="0" w:line="240" w:lineRule="auto"/>
              <w:rPr>
                <w:rFonts w:cs="Arial"/>
              </w:rPr>
            </w:pPr>
            <w:r w:rsidRPr="00F4606C">
              <w:rPr>
                <w:rFonts w:cs="Arial"/>
              </w:rPr>
              <w:t>000000125000</w:t>
            </w:r>
          </w:p>
        </w:tc>
      </w:tr>
      <w:tr w:rsidR="00115458" w:rsidRPr="00B11B96" w14:paraId="5446B9E0"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621EE1" w14:textId="77777777" w:rsidR="00115458" w:rsidRPr="00B11B96" w:rsidRDefault="00115458" w:rsidP="00F4606C">
            <w:pPr>
              <w:spacing w:after="0" w:line="240" w:lineRule="auto"/>
              <w:rPr>
                <w:rFonts w:cs="Arial"/>
              </w:rPr>
            </w:pPr>
            <w:r w:rsidRPr="00F4606C">
              <w:rPr>
                <w:rFonts w:cs="Arial"/>
              </w:rPr>
              <w:t>9.84</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1477D32" w14:textId="77777777" w:rsidR="00115458" w:rsidRPr="00B11B96" w:rsidRDefault="00115458" w:rsidP="00F4606C">
            <w:pPr>
              <w:spacing w:after="0" w:line="240" w:lineRule="auto"/>
              <w:rPr>
                <w:rFonts w:cs="Arial"/>
              </w:rPr>
            </w:pPr>
            <w:r w:rsidRPr="00F4606C">
              <w:rPr>
                <w:rFonts w:cs="Arial"/>
              </w:rPr>
              <w:t xml:space="preserve">Other taxable Australian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9AD0BD" w14:textId="77777777" w:rsidR="00115458" w:rsidRPr="00B11B96" w:rsidRDefault="00115458" w:rsidP="00F4606C">
            <w:pPr>
              <w:spacing w:after="0" w:line="240" w:lineRule="auto"/>
              <w:rPr>
                <w:rFonts w:cs="Arial"/>
              </w:rPr>
            </w:pPr>
            <w:r w:rsidRPr="00F4606C">
              <w:rPr>
                <w:rFonts w:cs="Arial"/>
              </w:rPr>
              <w:t>000000031000</w:t>
            </w:r>
          </w:p>
        </w:tc>
      </w:tr>
      <w:tr w:rsidR="00115458" w:rsidRPr="00B11B96" w14:paraId="4BEE4148" w14:textId="77777777" w:rsidTr="000C1365">
        <w:trPr>
          <w:trHeight w:val="270"/>
        </w:trPr>
        <w:tc>
          <w:tcPr>
            <w:tcW w:w="5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55B0B3" w14:textId="77777777" w:rsidR="00115458" w:rsidRPr="00B11B96" w:rsidRDefault="00115458" w:rsidP="00F4606C">
            <w:pPr>
              <w:spacing w:after="0" w:line="240" w:lineRule="auto"/>
              <w:rPr>
                <w:rFonts w:cs="Arial"/>
              </w:rPr>
            </w:pPr>
            <w:r w:rsidRPr="00F4606C">
              <w:rPr>
                <w:rFonts w:cs="Arial"/>
              </w:rPr>
              <w:t>9.85</w:t>
            </w:r>
          </w:p>
        </w:tc>
        <w:tc>
          <w:tcPr>
            <w:tcW w:w="31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A689333" w14:textId="77777777" w:rsidR="00115458" w:rsidRPr="00B11B96" w:rsidRDefault="00115458" w:rsidP="00F4606C">
            <w:pPr>
              <w:spacing w:after="0" w:line="240" w:lineRule="auto"/>
              <w:rPr>
                <w:rFonts w:cs="Arial"/>
              </w:rPr>
            </w:pPr>
            <w:r w:rsidRPr="00F4606C">
              <w:rPr>
                <w:rFonts w:cs="Arial"/>
              </w:rPr>
              <w:t xml:space="preserve">Non-primary production income </w:t>
            </w:r>
          </w:p>
        </w:tc>
        <w:tc>
          <w:tcPr>
            <w:tcW w:w="1248" w:type="pct"/>
            <w:tcBorders>
              <w:top w:val="nil"/>
              <w:left w:val="nil"/>
              <w:bottom w:val="single" w:sz="8" w:space="0" w:color="auto"/>
              <w:right w:val="single" w:sz="8" w:space="0" w:color="auto"/>
            </w:tcBorders>
            <w:tcMar>
              <w:top w:w="0" w:type="dxa"/>
              <w:left w:w="108" w:type="dxa"/>
              <w:bottom w:w="0" w:type="dxa"/>
              <w:right w:w="108" w:type="dxa"/>
            </w:tcMar>
            <w:vAlign w:val="center"/>
          </w:tcPr>
          <w:p w14:paraId="28E3F301" w14:textId="77777777" w:rsidR="00115458" w:rsidRPr="00B11B96" w:rsidRDefault="00115458" w:rsidP="00F4606C">
            <w:pPr>
              <w:spacing w:after="0" w:line="240" w:lineRule="auto"/>
              <w:rPr>
                <w:rFonts w:cs="Arial"/>
              </w:rPr>
            </w:pPr>
            <w:r w:rsidRPr="00F4606C">
              <w:rPr>
                <w:rFonts w:cs="Arial"/>
              </w:rPr>
              <w:t>000000276000</w:t>
            </w:r>
          </w:p>
        </w:tc>
      </w:tr>
    </w:tbl>
    <w:p w14:paraId="0E4B51C8" w14:textId="77777777" w:rsidR="00115458" w:rsidRPr="00B11B96" w:rsidRDefault="00115458" w:rsidP="00F4606C">
      <w:pPr>
        <w:spacing w:after="0" w:line="240" w:lineRule="auto"/>
        <w:rPr>
          <w:i/>
          <w:color w:val="000000"/>
        </w:rPr>
      </w:pPr>
    </w:p>
    <w:p w14:paraId="7A8D2B56" w14:textId="77777777" w:rsidR="00115458" w:rsidRPr="00F4606C" w:rsidRDefault="00115458" w:rsidP="00B11B96">
      <w:pPr>
        <w:pStyle w:val="Maintext"/>
        <w:rPr>
          <w:rFonts w:asciiTheme="minorHAnsi" w:hAnsiTheme="minorHAnsi" w:cs="Arial"/>
          <w:sz w:val="20"/>
          <w:szCs w:val="20"/>
        </w:rPr>
      </w:pPr>
      <w:r w:rsidRPr="00F4606C">
        <w:rPr>
          <w:rFonts w:asciiTheme="minorHAnsi" w:hAnsiTheme="minorHAnsi" w:cs="Arial"/>
          <w:b/>
          <w:smallCaps/>
          <w:sz w:val="20"/>
          <w:szCs w:val="20"/>
        </w:rPr>
        <w:t xml:space="preserve">supplementary income account data record 1 for 1 investor </w:t>
      </w:r>
      <w:r w:rsidRPr="00F4606C">
        <w:rPr>
          <w:rFonts w:asciiTheme="minorHAnsi" w:hAnsiTheme="minorHAnsi" w:cs="Arial"/>
          <w:smallCaps/>
          <w:sz w:val="20"/>
          <w:szCs w:val="20"/>
        </w:rPr>
        <w:t xml:space="preserve">(extract) </w:t>
      </w:r>
    </w:p>
    <w:p w14:paraId="14C47F9A" w14:textId="77777777" w:rsidR="00115458" w:rsidRPr="00B11B96" w:rsidRDefault="00115458" w:rsidP="00F4606C">
      <w:pPr>
        <w:spacing w:after="0" w:line="240" w:lineRule="auto"/>
        <w:rPr>
          <w:i/>
          <w:color w:val="000000"/>
        </w:rPr>
      </w:pPr>
    </w:p>
    <w:tbl>
      <w:tblPr>
        <w:tblW w:w="4750" w:type="pct"/>
        <w:tblInd w:w="108" w:type="dxa"/>
        <w:tblLook w:val="0000" w:firstRow="0" w:lastRow="0" w:firstColumn="0" w:lastColumn="0" w:noHBand="0" w:noVBand="0"/>
      </w:tblPr>
      <w:tblGrid>
        <w:gridCol w:w="1227"/>
        <w:gridCol w:w="5506"/>
        <w:gridCol w:w="2085"/>
      </w:tblGrid>
      <w:tr w:rsidR="00115458" w:rsidRPr="00B11B96" w14:paraId="4A035978" w14:textId="77777777" w:rsidTr="000C1365">
        <w:trPr>
          <w:tblHeader/>
        </w:trPr>
        <w:tc>
          <w:tcPr>
            <w:tcW w:w="560" w:type="pct"/>
            <w:tcBorders>
              <w:top w:val="single" w:sz="6" w:space="0" w:color="auto"/>
              <w:left w:val="single" w:sz="6" w:space="0" w:color="auto"/>
              <w:bottom w:val="single" w:sz="6" w:space="0" w:color="auto"/>
              <w:right w:val="single" w:sz="6" w:space="0" w:color="auto"/>
            </w:tcBorders>
            <w:shd w:val="clear" w:color="auto" w:fill="B3B3B3"/>
            <w:vAlign w:val="center"/>
          </w:tcPr>
          <w:p w14:paraId="515FE613" w14:textId="77777777" w:rsidR="00115458" w:rsidRPr="00F4606C" w:rsidRDefault="00115458" w:rsidP="00F4606C">
            <w:pPr>
              <w:spacing w:after="0" w:line="240" w:lineRule="auto"/>
              <w:rPr>
                <w:rFonts w:cs="Arial"/>
                <w:b/>
              </w:rPr>
            </w:pPr>
            <w:r w:rsidRPr="00F4606C">
              <w:rPr>
                <w:rFonts w:cs="Arial"/>
                <w:b/>
              </w:rPr>
              <w:t>Reference</w:t>
            </w:r>
          </w:p>
          <w:p w14:paraId="670A4A68" w14:textId="77777777" w:rsidR="00115458" w:rsidRPr="00F4606C" w:rsidRDefault="00115458" w:rsidP="00F4606C">
            <w:pPr>
              <w:spacing w:after="0" w:line="240" w:lineRule="auto"/>
              <w:rPr>
                <w:rFonts w:cs="Arial"/>
                <w:b/>
              </w:rPr>
            </w:pPr>
            <w:r w:rsidRPr="00F4606C">
              <w:rPr>
                <w:rFonts w:cs="Arial"/>
                <w:b/>
              </w:rPr>
              <w:t>number</w:t>
            </w:r>
          </w:p>
        </w:tc>
        <w:tc>
          <w:tcPr>
            <w:tcW w:w="3190" w:type="pct"/>
            <w:tcBorders>
              <w:top w:val="single" w:sz="6" w:space="0" w:color="auto"/>
              <w:left w:val="single" w:sz="6" w:space="0" w:color="auto"/>
              <w:bottom w:val="single" w:sz="6" w:space="0" w:color="auto"/>
              <w:right w:val="single" w:sz="6" w:space="0" w:color="auto"/>
            </w:tcBorders>
            <w:shd w:val="clear" w:color="auto" w:fill="B3B3B3"/>
            <w:vAlign w:val="center"/>
          </w:tcPr>
          <w:p w14:paraId="10D55A04" w14:textId="77777777" w:rsidR="00115458" w:rsidRPr="00F4606C" w:rsidRDefault="00115458" w:rsidP="00F4606C">
            <w:pPr>
              <w:spacing w:after="0" w:line="240" w:lineRule="auto"/>
              <w:rPr>
                <w:rFonts w:cs="Arial"/>
                <w:b/>
              </w:rPr>
            </w:pPr>
            <w:r w:rsidRPr="00F4606C">
              <w:rPr>
                <w:rFonts w:cs="Arial"/>
                <w:b/>
              </w:rPr>
              <w:t>Field name</w:t>
            </w:r>
          </w:p>
        </w:tc>
        <w:tc>
          <w:tcPr>
            <w:tcW w:w="1250" w:type="pct"/>
            <w:tcBorders>
              <w:top w:val="single" w:sz="6" w:space="0" w:color="auto"/>
              <w:left w:val="single" w:sz="6" w:space="0" w:color="auto"/>
              <w:bottom w:val="single" w:sz="6" w:space="0" w:color="auto"/>
              <w:right w:val="single" w:sz="6" w:space="0" w:color="auto"/>
            </w:tcBorders>
            <w:shd w:val="clear" w:color="auto" w:fill="B3B3B3"/>
            <w:vAlign w:val="center"/>
          </w:tcPr>
          <w:p w14:paraId="63EB03F2" w14:textId="77777777" w:rsidR="00115458" w:rsidRPr="00F4606C" w:rsidRDefault="00115458" w:rsidP="00F4606C">
            <w:pPr>
              <w:spacing w:after="0" w:line="240" w:lineRule="auto"/>
              <w:rPr>
                <w:rFonts w:cs="Arial"/>
                <w:b/>
              </w:rPr>
            </w:pPr>
            <w:r w:rsidRPr="00F4606C">
              <w:rPr>
                <w:rFonts w:cs="Arial"/>
                <w:b/>
              </w:rPr>
              <w:t>Content</w:t>
            </w:r>
          </w:p>
        </w:tc>
      </w:tr>
      <w:tr w:rsidR="00115458" w:rsidRPr="00B11B96" w14:paraId="17AB21F2" w14:textId="77777777" w:rsidTr="000C1365">
        <w:trPr>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7D8C2269" w14:textId="77777777" w:rsidR="00115458" w:rsidRPr="00F4606C" w:rsidRDefault="00115458" w:rsidP="00F4606C">
            <w:pPr>
              <w:spacing w:after="0" w:line="240" w:lineRule="auto"/>
              <w:rPr>
                <w:rFonts w:cs="Arial"/>
              </w:rPr>
            </w:pPr>
            <w:r w:rsidRPr="00F4606C">
              <w:rPr>
                <w:rFonts w:cs="Arial"/>
              </w:rPr>
              <w:t>9.119</w:t>
            </w:r>
          </w:p>
        </w:tc>
        <w:tc>
          <w:tcPr>
            <w:tcW w:w="3190" w:type="pct"/>
            <w:tcBorders>
              <w:top w:val="single" w:sz="6" w:space="0" w:color="auto"/>
              <w:left w:val="single" w:sz="6" w:space="0" w:color="auto"/>
              <w:bottom w:val="single" w:sz="6" w:space="0" w:color="auto"/>
              <w:right w:val="single" w:sz="6" w:space="0" w:color="auto"/>
            </w:tcBorders>
            <w:vAlign w:val="center"/>
          </w:tcPr>
          <w:p w14:paraId="041123D7" w14:textId="77777777" w:rsidR="00115458" w:rsidRPr="00B11B96" w:rsidRDefault="00115458" w:rsidP="00F4606C">
            <w:pPr>
              <w:spacing w:after="0" w:line="240" w:lineRule="auto"/>
              <w:rPr>
                <w:rFonts w:cs="Arial"/>
              </w:rPr>
            </w:pPr>
            <w:r w:rsidRPr="00F4606C">
              <w:rPr>
                <w:rFonts w:cs="Arial"/>
              </w:rPr>
              <w:t>Unfranked distributions from  trusts</w:t>
            </w:r>
          </w:p>
        </w:tc>
        <w:tc>
          <w:tcPr>
            <w:tcW w:w="1250" w:type="pct"/>
            <w:tcBorders>
              <w:top w:val="single" w:sz="6" w:space="0" w:color="auto"/>
              <w:left w:val="single" w:sz="6" w:space="0" w:color="auto"/>
              <w:bottom w:val="single" w:sz="6" w:space="0" w:color="auto"/>
              <w:right w:val="single" w:sz="6" w:space="0" w:color="auto"/>
            </w:tcBorders>
            <w:vAlign w:val="center"/>
          </w:tcPr>
          <w:p w14:paraId="20988ECD" w14:textId="77777777" w:rsidR="00115458" w:rsidRPr="00F4606C" w:rsidRDefault="00115458" w:rsidP="00F4606C">
            <w:pPr>
              <w:spacing w:after="0" w:line="240" w:lineRule="auto"/>
              <w:rPr>
                <w:rFonts w:cs="Arial"/>
              </w:rPr>
            </w:pPr>
            <w:r w:rsidRPr="00F4606C">
              <w:rPr>
                <w:rFonts w:cs="Arial"/>
              </w:rPr>
              <w:t>000000225000</w:t>
            </w:r>
          </w:p>
        </w:tc>
      </w:tr>
      <w:tr w:rsidR="00115458" w:rsidRPr="00B11B96" w14:paraId="4EE0E5A5" w14:textId="77777777" w:rsidTr="000C1365">
        <w:trPr>
          <w:trHeight w:val="225"/>
        </w:trPr>
        <w:tc>
          <w:tcPr>
            <w:tcW w:w="560" w:type="pct"/>
            <w:tcBorders>
              <w:top w:val="single" w:sz="6" w:space="0" w:color="auto"/>
              <w:left w:val="single" w:sz="6" w:space="0" w:color="auto"/>
              <w:bottom w:val="single" w:sz="6" w:space="0" w:color="auto"/>
              <w:right w:val="single" w:sz="6" w:space="0" w:color="auto"/>
            </w:tcBorders>
            <w:vAlign w:val="center"/>
          </w:tcPr>
          <w:p w14:paraId="1B4201BB" w14:textId="77777777" w:rsidR="00115458" w:rsidRPr="00F4606C" w:rsidRDefault="00115458" w:rsidP="00F4606C">
            <w:pPr>
              <w:spacing w:after="0" w:line="240" w:lineRule="auto"/>
              <w:rPr>
                <w:rFonts w:cs="Arial"/>
              </w:rPr>
            </w:pPr>
            <w:r w:rsidRPr="00F4606C">
              <w:rPr>
                <w:rFonts w:cs="Arial"/>
              </w:rPr>
              <w:t>9.131</w:t>
            </w:r>
          </w:p>
        </w:tc>
        <w:tc>
          <w:tcPr>
            <w:tcW w:w="3190" w:type="pct"/>
            <w:tcBorders>
              <w:top w:val="single" w:sz="6" w:space="0" w:color="auto"/>
              <w:left w:val="single" w:sz="6" w:space="0" w:color="auto"/>
              <w:bottom w:val="single" w:sz="6" w:space="0" w:color="auto"/>
              <w:right w:val="single" w:sz="6" w:space="0" w:color="auto"/>
            </w:tcBorders>
            <w:vAlign w:val="center"/>
          </w:tcPr>
          <w:p w14:paraId="4E491AFB" w14:textId="77777777" w:rsidR="00115458" w:rsidRPr="00F4606C" w:rsidRDefault="00115458" w:rsidP="00F4606C">
            <w:pPr>
              <w:spacing w:after="0" w:line="240" w:lineRule="auto"/>
              <w:rPr>
                <w:rFonts w:cs="Arial"/>
              </w:rPr>
            </w:pPr>
            <w:r w:rsidRPr="00F4606C">
              <w:rPr>
                <w:rFonts w:cs="Arial"/>
              </w:rPr>
              <w:t>Name of AMIT class</w:t>
            </w:r>
          </w:p>
        </w:tc>
        <w:tc>
          <w:tcPr>
            <w:tcW w:w="1250" w:type="pct"/>
            <w:tcBorders>
              <w:top w:val="single" w:sz="6" w:space="0" w:color="auto"/>
              <w:left w:val="single" w:sz="6" w:space="0" w:color="auto"/>
              <w:bottom w:val="single" w:sz="6" w:space="0" w:color="auto"/>
              <w:right w:val="single" w:sz="6" w:space="0" w:color="auto"/>
            </w:tcBorders>
            <w:vAlign w:val="center"/>
          </w:tcPr>
          <w:p w14:paraId="659CE3ED" w14:textId="77777777" w:rsidR="00115458" w:rsidRPr="00F4606C" w:rsidRDefault="00115458" w:rsidP="00F4606C">
            <w:pPr>
              <w:spacing w:after="0" w:line="240" w:lineRule="auto"/>
              <w:rPr>
                <w:rFonts w:cs="Arial"/>
              </w:rPr>
            </w:pPr>
            <w:r w:rsidRPr="00F4606C">
              <w:rPr>
                <w:rFonts w:cs="Arial"/>
              </w:rPr>
              <w:t>2-Explorer equities</w:t>
            </w:r>
          </w:p>
        </w:tc>
      </w:tr>
    </w:tbl>
    <w:p w14:paraId="5FF72AED" w14:textId="000191BF" w:rsidR="00115458" w:rsidRPr="00777FBF" w:rsidRDefault="0028338D" w:rsidP="00F4606C">
      <w:pPr>
        <w:spacing w:after="0" w:line="240" w:lineRule="auto"/>
        <w:rPr>
          <w:rFonts w:cs="Arial"/>
          <w:sz w:val="18"/>
          <w:szCs w:val="18"/>
        </w:rPr>
      </w:pPr>
      <w:r>
        <w:rPr>
          <w:iCs/>
          <w:color w:val="000000"/>
          <w:sz w:val="18"/>
          <w:szCs w:val="18"/>
        </w:rPr>
        <w:t>An</w:t>
      </w:r>
      <w:r w:rsidR="00115458" w:rsidRPr="00777FBF">
        <w:rPr>
          <w:i/>
          <w:color w:val="000000"/>
          <w:sz w:val="18"/>
          <w:szCs w:val="18"/>
        </w:rPr>
        <w:t xml:space="preserve"> Investor data record </w:t>
      </w:r>
      <w:r w:rsidR="00777FBF" w:rsidRPr="00777FBF">
        <w:rPr>
          <w:i/>
          <w:color w:val="000000"/>
          <w:sz w:val="18"/>
          <w:szCs w:val="18"/>
        </w:rPr>
        <w:t xml:space="preserve"> </w:t>
      </w:r>
      <w:r>
        <w:rPr>
          <w:color w:val="000000"/>
          <w:sz w:val="18"/>
          <w:szCs w:val="18"/>
        </w:rPr>
        <w:t>is required f</w:t>
      </w:r>
      <w:r w:rsidR="00115458" w:rsidRPr="00777FBF">
        <w:rPr>
          <w:color w:val="000000"/>
          <w:sz w:val="18"/>
          <w:szCs w:val="18"/>
        </w:rPr>
        <w:t>ollow</w:t>
      </w:r>
      <w:r>
        <w:rPr>
          <w:color w:val="000000"/>
          <w:sz w:val="18"/>
          <w:szCs w:val="18"/>
        </w:rPr>
        <w:t>ing</w:t>
      </w:r>
      <w:r w:rsidR="00115458" w:rsidRPr="00777FBF">
        <w:rPr>
          <w:color w:val="000000"/>
          <w:sz w:val="18"/>
          <w:szCs w:val="18"/>
        </w:rPr>
        <w:t xml:space="preserve"> the</w:t>
      </w:r>
      <w:r w:rsidR="00115458" w:rsidRPr="00777FBF">
        <w:rPr>
          <w:rFonts w:cs="Arial"/>
          <w:i/>
          <w:sz w:val="18"/>
          <w:szCs w:val="18"/>
        </w:rPr>
        <w:t xml:space="preserve"> Supplementary income account data record</w:t>
      </w:r>
      <w:r w:rsidR="00115458" w:rsidRPr="00777FBF">
        <w:rPr>
          <w:rFonts w:cs="Arial"/>
          <w:sz w:val="18"/>
          <w:szCs w:val="18"/>
        </w:rPr>
        <w:t xml:space="preserve"> </w:t>
      </w:r>
    </w:p>
    <w:p w14:paraId="1F2EC4A6" w14:textId="77777777" w:rsidR="00D460C8" w:rsidRDefault="00D460C8" w:rsidP="00F4606C">
      <w:pPr>
        <w:spacing w:after="0" w:line="240" w:lineRule="auto"/>
        <w:rPr>
          <w:sz w:val="18"/>
          <w:szCs w:val="18"/>
        </w:rPr>
      </w:pPr>
    </w:p>
    <w:p w14:paraId="2836C182" w14:textId="77777777" w:rsidR="00115458" w:rsidRDefault="00115458" w:rsidP="00D460C8">
      <w:pPr>
        <w:pStyle w:val="Heading3"/>
        <w:spacing w:before="0" w:after="0" w:line="240" w:lineRule="auto"/>
      </w:pPr>
      <w:bookmarkStart w:id="1640" w:name="_Ref72137710"/>
      <w:bookmarkStart w:id="1641" w:name="_Ref72137769"/>
      <w:bookmarkStart w:id="1642" w:name="_Toc232191348"/>
      <w:r>
        <w:t>Allocation of deductions and flow through reporting</w:t>
      </w:r>
      <w:bookmarkEnd w:id="1640"/>
      <w:bookmarkEnd w:id="1641"/>
      <w:bookmarkEnd w:id="1642"/>
    </w:p>
    <w:p w14:paraId="5B6DA9B7" w14:textId="77777777" w:rsidR="00D460C8" w:rsidRDefault="00D460C8" w:rsidP="00115458">
      <w:pPr>
        <w:pStyle w:val="Maintext"/>
        <w:rPr>
          <w:rFonts w:asciiTheme="minorHAnsi" w:hAnsiTheme="minorHAnsi"/>
          <w:sz w:val="20"/>
          <w:szCs w:val="20"/>
        </w:rPr>
      </w:pPr>
    </w:p>
    <w:p w14:paraId="57AA51EC" w14:textId="40175D93" w:rsidR="00115458" w:rsidRPr="00F4606C" w:rsidRDefault="00115458" w:rsidP="00115458">
      <w:pPr>
        <w:pStyle w:val="Maintext"/>
        <w:rPr>
          <w:rFonts w:asciiTheme="minorHAnsi" w:hAnsiTheme="minorHAnsi"/>
          <w:sz w:val="20"/>
          <w:szCs w:val="20"/>
        </w:rPr>
      </w:pPr>
      <w:r w:rsidRPr="00F4606C">
        <w:rPr>
          <w:rFonts w:asciiTheme="minorHAnsi" w:hAnsiTheme="minorHAnsi"/>
          <w:sz w:val="20"/>
          <w:szCs w:val="20"/>
        </w:rPr>
        <w:t xml:space="preserve">Under the attribution regime, amounts of assessable income are net of deductions and must be reported in the AIIR as such.  Negative values are not permitted. In circumstances where deductions exceed the total assessable income, the income is reduced to nil. </w:t>
      </w:r>
    </w:p>
    <w:p w14:paraId="3C159F54" w14:textId="77777777" w:rsidR="00115458" w:rsidRPr="00F4606C" w:rsidRDefault="00115458" w:rsidP="00115458">
      <w:pPr>
        <w:pStyle w:val="Maintext"/>
        <w:rPr>
          <w:rFonts w:asciiTheme="minorHAnsi" w:hAnsiTheme="minorHAnsi"/>
          <w:sz w:val="20"/>
          <w:szCs w:val="20"/>
        </w:rPr>
      </w:pPr>
    </w:p>
    <w:p w14:paraId="248E3621" w14:textId="77777777" w:rsidR="00115458" w:rsidRPr="00F4606C" w:rsidRDefault="00115458" w:rsidP="00B11B96">
      <w:pPr>
        <w:pStyle w:val="Maintext"/>
        <w:rPr>
          <w:rFonts w:asciiTheme="minorHAnsi" w:eastAsiaTheme="majorEastAsia" w:hAnsiTheme="minorHAnsi" w:cstheme="majorBidi"/>
          <w:b/>
          <w:color w:val="000000" w:themeColor="text1"/>
          <w:spacing w:val="4"/>
          <w:sz w:val="24"/>
          <w:lang w:eastAsia="en-US"/>
        </w:rPr>
      </w:pPr>
      <w:r w:rsidRPr="00F4606C">
        <w:rPr>
          <w:rFonts w:asciiTheme="minorHAnsi" w:eastAsiaTheme="majorEastAsia" w:hAnsiTheme="minorHAnsi" w:cstheme="majorBidi"/>
          <w:b/>
          <w:color w:val="000000" w:themeColor="text1"/>
          <w:spacing w:val="4"/>
          <w:sz w:val="24"/>
          <w:lang w:eastAsia="en-US"/>
        </w:rPr>
        <w:t>Franking credits and Franked distributions</w:t>
      </w:r>
    </w:p>
    <w:p w14:paraId="7EBF56F1" w14:textId="77777777" w:rsidR="00115458" w:rsidRPr="00F4606C" w:rsidRDefault="00115458" w:rsidP="00B11B96">
      <w:pPr>
        <w:pStyle w:val="Maintext"/>
        <w:rPr>
          <w:rFonts w:asciiTheme="minorHAnsi" w:hAnsiTheme="minorHAnsi"/>
          <w:sz w:val="20"/>
          <w:szCs w:val="20"/>
        </w:rPr>
      </w:pPr>
    </w:p>
    <w:p w14:paraId="0D775C48" w14:textId="2CB3F70F" w:rsidR="00115458" w:rsidRDefault="00115458" w:rsidP="00B11B96">
      <w:pPr>
        <w:pStyle w:val="Maintext"/>
        <w:rPr>
          <w:rFonts w:asciiTheme="minorHAnsi" w:hAnsiTheme="minorHAnsi"/>
          <w:sz w:val="20"/>
          <w:szCs w:val="20"/>
        </w:rPr>
      </w:pPr>
      <w:r w:rsidRPr="00F4606C">
        <w:rPr>
          <w:rFonts w:asciiTheme="minorHAnsi" w:hAnsiTheme="minorHAnsi"/>
          <w:sz w:val="20"/>
          <w:szCs w:val="20"/>
        </w:rPr>
        <w:t xml:space="preserve">Where an AMIT has claimed deductions against franking credits, the franking credits gross up amount attributed to investors may be less than the actual franking credit tax offsets investors may be entitled to show in their ITR. In these circumstances, the amount at </w:t>
      </w:r>
      <w:r w:rsidRPr="00F4606C">
        <w:rPr>
          <w:rFonts w:asciiTheme="minorHAnsi" w:hAnsiTheme="minorHAnsi"/>
          <w:i/>
          <w:sz w:val="20"/>
          <w:szCs w:val="20"/>
        </w:rPr>
        <w:t>Franked distributions from trusts</w:t>
      </w:r>
      <w:r w:rsidRPr="00F4606C">
        <w:rPr>
          <w:rFonts w:asciiTheme="minorHAnsi" w:hAnsiTheme="minorHAnsi"/>
          <w:sz w:val="20"/>
          <w:szCs w:val="20"/>
        </w:rPr>
        <w:t xml:space="preserve"> (9.120) will equal the sum of </w:t>
      </w:r>
      <w:r w:rsidRPr="00F4606C">
        <w:rPr>
          <w:rFonts w:asciiTheme="minorHAnsi" w:hAnsiTheme="minorHAnsi"/>
          <w:i/>
          <w:sz w:val="20"/>
          <w:szCs w:val="20"/>
        </w:rPr>
        <w:t>Franked dividends</w:t>
      </w:r>
      <w:r w:rsidRPr="00F4606C">
        <w:rPr>
          <w:rFonts w:asciiTheme="minorHAnsi" w:hAnsiTheme="minorHAnsi"/>
          <w:sz w:val="20"/>
          <w:szCs w:val="20"/>
        </w:rPr>
        <w:t xml:space="preserve"> (9.82) and the franking credits gross up amount attributed to investors and not equal the sum of the amounts reported at the </w:t>
      </w:r>
      <w:r w:rsidRPr="00F4606C">
        <w:rPr>
          <w:rFonts w:asciiTheme="minorHAnsi" w:hAnsiTheme="minorHAnsi"/>
          <w:i/>
          <w:sz w:val="20"/>
          <w:szCs w:val="20"/>
        </w:rPr>
        <w:t xml:space="preserve">Franked dividends </w:t>
      </w:r>
      <w:r w:rsidRPr="00F4606C">
        <w:rPr>
          <w:rFonts w:asciiTheme="minorHAnsi" w:hAnsiTheme="minorHAnsi"/>
          <w:sz w:val="20"/>
          <w:szCs w:val="20"/>
        </w:rPr>
        <w:t xml:space="preserve">(9.82) and </w:t>
      </w:r>
      <w:r w:rsidRPr="00F4606C">
        <w:rPr>
          <w:rFonts w:asciiTheme="minorHAnsi" w:hAnsiTheme="minorHAnsi"/>
          <w:i/>
          <w:sz w:val="20"/>
          <w:szCs w:val="20"/>
        </w:rPr>
        <w:t xml:space="preserve">Franking credits </w:t>
      </w:r>
      <w:r w:rsidRPr="00F4606C">
        <w:rPr>
          <w:rFonts w:asciiTheme="minorHAnsi" w:hAnsiTheme="minorHAnsi"/>
          <w:sz w:val="20"/>
          <w:szCs w:val="20"/>
        </w:rPr>
        <w:t xml:space="preserve">(9.83) fields. </w:t>
      </w:r>
    </w:p>
    <w:p w14:paraId="0F19C827" w14:textId="77777777" w:rsidR="00B11B96" w:rsidRPr="00F4606C" w:rsidRDefault="00B11B96" w:rsidP="00F4606C">
      <w:pPr>
        <w:pStyle w:val="Maintext"/>
        <w:rPr>
          <w:rFonts w:asciiTheme="minorHAnsi" w:hAnsiTheme="minorHAnsi"/>
          <w:sz w:val="20"/>
          <w:szCs w:val="20"/>
        </w:rPr>
      </w:pPr>
    </w:p>
    <w:p w14:paraId="371BEC08" w14:textId="77777777" w:rsidR="00115458" w:rsidRPr="00F4606C" w:rsidRDefault="00115458" w:rsidP="00F4606C">
      <w:pPr>
        <w:pStyle w:val="Maintext"/>
        <w:rPr>
          <w:rFonts w:asciiTheme="minorHAnsi" w:hAnsiTheme="minorHAnsi"/>
          <w:i/>
          <w:sz w:val="20"/>
          <w:szCs w:val="20"/>
        </w:rPr>
      </w:pPr>
      <w:r w:rsidRPr="00F4606C">
        <w:rPr>
          <w:rFonts w:asciiTheme="minorHAnsi" w:hAnsiTheme="minorHAnsi"/>
          <w:sz w:val="20"/>
          <w:szCs w:val="20"/>
        </w:rPr>
        <w:t xml:space="preserve">Report the amount of franking credit tax offset entitled to investors at </w:t>
      </w:r>
      <w:r w:rsidRPr="00F4606C">
        <w:rPr>
          <w:rFonts w:asciiTheme="minorHAnsi" w:hAnsiTheme="minorHAnsi"/>
          <w:i/>
          <w:sz w:val="20"/>
          <w:szCs w:val="20"/>
        </w:rPr>
        <w:t>Franking credit</w:t>
      </w:r>
      <w:r w:rsidRPr="00F4606C">
        <w:rPr>
          <w:rFonts w:asciiTheme="minorHAnsi" w:hAnsiTheme="minorHAnsi"/>
          <w:sz w:val="20"/>
          <w:szCs w:val="20"/>
        </w:rPr>
        <w:t xml:space="preserve"> (9.83) field. The amount of franking credits gross up attributed to investors is not reported separately but is included in the calculation for </w:t>
      </w:r>
      <w:r w:rsidRPr="00F4606C">
        <w:rPr>
          <w:rFonts w:asciiTheme="minorHAnsi" w:hAnsiTheme="minorHAnsi"/>
          <w:i/>
          <w:sz w:val="20"/>
          <w:szCs w:val="20"/>
        </w:rPr>
        <w:t xml:space="preserve">Franked distributions from trusts (9.120) </w:t>
      </w:r>
      <w:r w:rsidRPr="00F4606C">
        <w:rPr>
          <w:rFonts w:asciiTheme="minorHAnsi" w:hAnsiTheme="minorHAnsi"/>
          <w:sz w:val="20"/>
          <w:szCs w:val="20"/>
        </w:rPr>
        <w:t xml:space="preserve">field. This will ensure the correct amounts are pre-filled at the appropriate items in the ITR. </w:t>
      </w:r>
    </w:p>
    <w:p w14:paraId="453AB963" w14:textId="77777777" w:rsidR="00115458" w:rsidRPr="00F4606C" w:rsidRDefault="00115458" w:rsidP="00F4606C">
      <w:pPr>
        <w:pStyle w:val="Maintext"/>
        <w:rPr>
          <w:rFonts w:asciiTheme="minorHAnsi" w:hAnsiTheme="minorHAnsi"/>
          <w:noProof/>
          <w:sz w:val="20"/>
          <w:szCs w:val="20"/>
        </w:rPr>
      </w:pPr>
      <w:r w:rsidRPr="00F4606C">
        <w:rPr>
          <w:rFonts w:asciiTheme="minorHAnsi" w:hAnsiTheme="minorHAnsi"/>
          <w:sz w:val="20"/>
          <w:szCs w:val="20"/>
        </w:rPr>
        <w:t>The example below shows how to report a franked distribution with flow through deductions as discussed in</w:t>
      </w:r>
      <w:r w:rsidRPr="00F4606C">
        <w:rPr>
          <w:rFonts w:asciiTheme="minorHAnsi" w:hAnsiTheme="minorHAnsi"/>
          <w:b/>
          <w:sz w:val="20"/>
          <w:szCs w:val="20"/>
        </w:rPr>
        <w:t xml:space="preserve"> </w:t>
      </w:r>
      <w:hyperlink r:id="rId34" w:history="1">
        <w:r w:rsidRPr="00F4606C">
          <w:rPr>
            <w:rStyle w:val="Hyperlink"/>
            <w:rFonts w:asciiTheme="minorHAnsi" w:hAnsiTheme="minorHAnsi"/>
            <w:szCs w:val="20"/>
          </w:rPr>
          <w:t>LCR 2015/6 Character flow-through for AMITs</w:t>
        </w:r>
        <w:r w:rsidRPr="00F4606C">
          <w:rPr>
            <w:rStyle w:val="Hyperlink"/>
            <w:rFonts w:asciiTheme="minorHAnsi" w:hAnsiTheme="minorHAnsi"/>
            <w:i/>
            <w:szCs w:val="20"/>
          </w:rPr>
          <w:t xml:space="preserve"> </w:t>
        </w:r>
      </w:hyperlink>
    </w:p>
    <w:p w14:paraId="78E6D391" w14:textId="77777777" w:rsidR="00115458" w:rsidRPr="00D460C8" w:rsidRDefault="00115458" w:rsidP="00115458">
      <w:pPr>
        <w:pStyle w:val="Head4"/>
        <w:rPr>
          <w:rFonts w:asciiTheme="minorHAnsi" w:hAnsiTheme="minorHAnsi"/>
          <w:sz w:val="20"/>
          <w:szCs w:val="20"/>
        </w:rPr>
      </w:pPr>
      <w:bookmarkStart w:id="1643" w:name="_Toc5193021"/>
      <w:r w:rsidRPr="00D460C8">
        <w:rPr>
          <w:rFonts w:asciiTheme="minorHAnsi" w:hAnsiTheme="minorHAnsi"/>
          <w:sz w:val="20"/>
          <w:szCs w:val="20"/>
        </w:rPr>
        <w:t>Example 6.9 – Franked distribution with flow through deduction</w:t>
      </w:r>
      <w:bookmarkEnd w:id="1643"/>
    </w:p>
    <w:p w14:paraId="4A4F6241" w14:textId="77777777" w:rsidR="00115458" w:rsidRPr="00AA677F" w:rsidRDefault="00115458" w:rsidP="00F4606C">
      <w:pPr>
        <w:spacing w:after="0" w:line="240" w:lineRule="auto"/>
        <w:rPr>
          <w:rFonts w:cs="Arial"/>
          <w:iCs/>
        </w:rPr>
      </w:pPr>
      <w:r w:rsidRPr="00AA677F">
        <w:rPr>
          <w:rFonts w:cs="Arial"/>
          <w:iCs/>
        </w:rPr>
        <w:t>The trustee of XYZ Trust, an AMIT, receives a franked distribution from a company:</w:t>
      </w:r>
    </w:p>
    <w:p w14:paraId="627925C3"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Franked distributions </w:t>
      </w:r>
      <w:r w:rsidRPr="00F4606C">
        <w:rPr>
          <w:rFonts w:asciiTheme="minorHAnsi" w:hAnsiTheme="minorHAnsi" w:cs="Arial"/>
          <w:sz w:val="20"/>
          <w:szCs w:val="20"/>
        </w:rPr>
        <w:tab/>
      </w:r>
      <w:r w:rsidRPr="00F4606C">
        <w:rPr>
          <w:rFonts w:asciiTheme="minorHAnsi" w:hAnsiTheme="minorHAnsi" w:cs="Arial"/>
          <w:sz w:val="20"/>
          <w:szCs w:val="20"/>
        </w:rPr>
        <w:tab/>
        <w:t>$70,000.00</w:t>
      </w:r>
    </w:p>
    <w:p w14:paraId="5CAA94FC"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Franking credit </w:t>
      </w:r>
      <w:r w:rsidRPr="00F4606C">
        <w:rPr>
          <w:rFonts w:asciiTheme="minorHAnsi" w:hAnsiTheme="minorHAnsi" w:cs="Arial"/>
          <w:sz w:val="20"/>
          <w:szCs w:val="20"/>
        </w:rPr>
        <w:tab/>
      </w:r>
      <w:r w:rsidRPr="00F4606C">
        <w:rPr>
          <w:rFonts w:asciiTheme="minorHAnsi" w:hAnsiTheme="minorHAnsi" w:cs="Arial"/>
          <w:sz w:val="20"/>
          <w:szCs w:val="20"/>
        </w:rPr>
        <w:tab/>
        <w:t>$30,000.00</w:t>
      </w:r>
    </w:p>
    <w:p w14:paraId="17227E03" w14:textId="77777777" w:rsidR="00115458" w:rsidRPr="00F4606C" w:rsidRDefault="00115458" w:rsidP="00AA677F">
      <w:pPr>
        <w:pStyle w:val="Bullet1"/>
        <w:spacing w:before="0" w:after="0"/>
        <w:ind w:left="714"/>
        <w:rPr>
          <w:rFonts w:asciiTheme="minorHAnsi" w:hAnsiTheme="minorHAnsi" w:cs="Arial"/>
          <w:sz w:val="20"/>
          <w:szCs w:val="20"/>
        </w:rPr>
      </w:pPr>
    </w:p>
    <w:p w14:paraId="2148F33D" w14:textId="77777777" w:rsidR="00115458" w:rsidRPr="00F4606C" w:rsidRDefault="00115458" w:rsidP="00F4606C">
      <w:pPr>
        <w:pStyle w:val="Bulletedlist1"/>
        <w:numPr>
          <w:ilvl w:val="0"/>
          <w:numId w:val="0"/>
        </w:numPr>
        <w:spacing w:before="0"/>
        <w:rPr>
          <w:rFonts w:asciiTheme="minorHAnsi" w:hAnsiTheme="minorHAnsi" w:cs="Arial"/>
          <w:iCs/>
          <w:sz w:val="20"/>
          <w:szCs w:val="20"/>
        </w:rPr>
      </w:pPr>
      <w:r w:rsidRPr="00F4606C">
        <w:rPr>
          <w:rFonts w:asciiTheme="minorHAnsi" w:hAnsiTheme="minorHAnsi" w:cs="Arial"/>
          <w:iCs/>
          <w:sz w:val="20"/>
          <w:szCs w:val="20"/>
        </w:rPr>
        <w:t>In working out the trust components of amounts having the character of a franked distribution and franking credit gross up, the trustee allocates deductions against these two amounts. After subtracting the deductions, the trust components are $63,000 and $27,000 respectively.</w:t>
      </w:r>
    </w:p>
    <w:p w14:paraId="06A81CD7" w14:textId="77777777" w:rsidR="00115458" w:rsidRPr="00F4606C" w:rsidRDefault="00115458" w:rsidP="00F4606C">
      <w:pPr>
        <w:pStyle w:val="Bulletedlist1"/>
        <w:numPr>
          <w:ilvl w:val="0"/>
          <w:numId w:val="0"/>
        </w:numPr>
        <w:spacing w:before="0"/>
        <w:rPr>
          <w:rFonts w:asciiTheme="minorHAnsi" w:hAnsiTheme="minorHAnsi" w:cs="Arial"/>
          <w:iCs/>
          <w:sz w:val="20"/>
          <w:szCs w:val="20"/>
        </w:rPr>
      </w:pPr>
      <w:r w:rsidRPr="00F4606C">
        <w:rPr>
          <w:rFonts w:asciiTheme="minorHAnsi" w:hAnsiTheme="minorHAnsi" w:cs="Arial"/>
          <w:iCs/>
          <w:sz w:val="20"/>
          <w:szCs w:val="20"/>
        </w:rPr>
        <w:t>The trustee reports the following in the AIIR for 10 resident investors:</w:t>
      </w:r>
    </w:p>
    <w:p w14:paraId="7A6727FD" w14:textId="77777777" w:rsidR="00115458" w:rsidRPr="00F4606C" w:rsidRDefault="00115458" w:rsidP="00AA677F">
      <w:pPr>
        <w:pStyle w:val="Bulletedlist1"/>
        <w:numPr>
          <w:ilvl w:val="0"/>
          <w:numId w:val="0"/>
        </w:numPr>
        <w:spacing w:before="0"/>
        <w:rPr>
          <w:rFonts w:asciiTheme="minorHAnsi" w:hAnsiTheme="minorHAnsi" w:cs="Arial"/>
          <w:iCs/>
          <w:sz w:val="20"/>
          <w:szCs w:val="20"/>
        </w:rPr>
      </w:pPr>
    </w:p>
    <w:p w14:paraId="6276047A"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i/>
          <w:sz w:val="20"/>
          <w:szCs w:val="20"/>
        </w:rPr>
        <w:t>Franked dividends</w:t>
      </w:r>
      <w:r w:rsidRPr="00F4606C">
        <w:rPr>
          <w:rFonts w:asciiTheme="minorHAnsi" w:hAnsiTheme="minorHAnsi" w:cs="Arial"/>
          <w:sz w:val="20"/>
          <w:szCs w:val="20"/>
        </w:rPr>
        <w:t xml:space="preserve"> (9.82) $63,000/10 = $6,300 (less allocated deductions)</w:t>
      </w:r>
    </w:p>
    <w:p w14:paraId="6496A7FE"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i/>
          <w:sz w:val="20"/>
          <w:szCs w:val="20"/>
        </w:rPr>
        <w:t>Franking credit</w:t>
      </w:r>
      <w:r w:rsidRPr="00F4606C">
        <w:rPr>
          <w:rFonts w:asciiTheme="minorHAnsi" w:hAnsiTheme="minorHAnsi" w:cs="Arial"/>
          <w:sz w:val="20"/>
          <w:szCs w:val="20"/>
        </w:rPr>
        <w:t xml:space="preserve"> (9.83) $30,000/10 = $3,000 (full franking credit offset available to investors)</w:t>
      </w:r>
    </w:p>
    <w:p w14:paraId="02B795CA"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iCs/>
          <w:sz w:val="20"/>
          <w:szCs w:val="20"/>
        </w:rPr>
      </w:pPr>
      <w:r w:rsidRPr="00F4606C">
        <w:rPr>
          <w:rFonts w:asciiTheme="minorHAnsi" w:hAnsiTheme="minorHAnsi" w:cs="Arial"/>
          <w:i/>
          <w:sz w:val="20"/>
          <w:szCs w:val="20"/>
        </w:rPr>
        <w:t>Franked distribution from trusts</w:t>
      </w:r>
      <w:r w:rsidRPr="00F4606C">
        <w:rPr>
          <w:rFonts w:asciiTheme="minorHAnsi" w:hAnsiTheme="minorHAnsi" w:cs="Arial"/>
          <w:sz w:val="20"/>
          <w:szCs w:val="20"/>
        </w:rPr>
        <w:t xml:space="preserve"> (9.120) $90,000/10 = $9,000 (Franked dividend plus the franking credit less allocated deductions of $10,000</w:t>
      </w:r>
      <w:r w:rsidRPr="00F4606C">
        <w:rPr>
          <w:rFonts w:asciiTheme="minorHAnsi" w:hAnsiTheme="minorHAnsi"/>
          <w:sz w:val="20"/>
          <w:szCs w:val="20"/>
        </w:rPr>
        <w:t>)</w:t>
      </w:r>
    </w:p>
    <w:p w14:paraId="57FA2A0B" w14:textId="77777777" w:rsidR="00115458" w:rsidRPr="00F4606C" w:rsidRDefault="00115458" w:rsidP="00AA677F">
      <w:pPr>
        <w:pStyle w:val="Bulletedlist1"/>
        <w:numPr>
          <w:ilvl w:val="0"/>
          <w:numId w:val="0"/>
        </w:numPr>
        <w:spacing w:before="0"/>
        <w:ind w:left="425" w:hanging="425"/>
        <w:rPr>
          <w:rFonts w:asciiTheme="minorHAnsi" w:hAnsiTheme="minorHAnsi" w:cs="Arial"/>
          <w:iCs/>
          <w:sz w:val="20"/>
          <w:szCs w:val="20"/>
        </w:rPr>
      </w:pPr>
    </w:p>
    <w:p w14:paraId="332BC2AA" w14:textId="77777777" w:rsidR="00115458" w:rsidRPr="00F4606C" w:rsidRDefault="00115458" w:rsidP="00AA677F">
      <w:pPr>
        <w:pStyle w:val="Maintext"/>
        <w:rPr>
          <w:rFonts w:asciiTheme="minorHAnsi" w:hAnsiTheme="minorHAnsi" w:cs="Arial"/>
          <w:smallCaps/>
          <w:sz w:val="20"/>
          <w:szCs w:val="20"/>
        </w:rPr>
      </w:pPr>
      <w:r w:rsidRPr="00F4606C">
        <w:rPr>
          <w:rFonts w:asciiTheme="minorHAnsi" w:hAnsiTheme="minorHAnsi" w:cs="Arial"/>
          <w:b/>
          <w:smallCaps/>
          <w:sz w:val="20"/>
          <w:szCs w:val="20"/>
        </w:rPr>
        <w:t xml:space="preserve">investment account data record 1 for 1 investor </w:t>
      </w:r>
      <w:r w:rsidRPr="00F4606C">
        <w:rPr>
          <w:rFonts w:asciiTheme="minorHAnsi" w:hAnsiTheme="minorHAnsi" w:cs="Arial"/>
          <w:smallCaps/>
          <w:sz w:val="20"/>
          <w:szCs w:val="20"/>
        </w:rPr>
        <w:t>(extract)</w:t>
      </w:r>
    </w:p>
    <w:p w14:paraId="30D7B5FF" w14:textId="77777777" w:rsidR="00115458" w:rsidRPr="00F4606C" w:rsidRDefault="00115458" w:rsidP="00AA677F">
      <w:pPr>
        <w:pStyle w:val="Maintext"/>
        <w:rPr>
          <w:rFonts w:asciiTheme="minorHAnsi" w:hAnsiTheme="minorHAnsi" w:cs="Arial"/>
          <w:smallCaps/>
          <w:sz w:val="20"/>
          <w:szCs w:val="20"/>
        </w:rPr>
      </w:pPr>
    </w:p>
    <w:tbl>
      <w:tblPr>
        <w:tblW w:w="9214" w:type="dxa"/>
        <w:tblInd w:w="93" w:type="dxa"/>
        <w:tblCellMar>
          <w:left w:w="0" w:type="dxa"/>
          <w:right w:w="0" w:type="dxa"/>
        </w:tblCellMar>
        <w:tblLook w:val="04A0" w:firstRow="1" w:lastRow="0" w:firstColumn="1" w:lastColumn="0" w:noHBand="0" w:noVBand="1"/>
      </w:tblPr>
      <w:tblGrid>
        <w:gridCol w:w="1227"/>
        <w:gridCol w:w="6089"/>
        <w:gridCol w:w="1898"/>
      </w:tblGrid>
      <w:tr w:rsidR="00115458" w:rsidRPr="00AA677F" w14:paraId="03F2B661" w14:textId="77777777" w:rsidTr="1E18DCE7">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E6DC0FD" w14:textId="77777777" w:rsidR="00115458" w:rsidRPr="00AA677F" w:rsidRDefault="00115458" w:rsidP="00F4606C">
            <w:pPr>
              <w:spacing w:after="0" w:line="240" w:lineRule="auto"/>
              <w:rPr>
                <w:rFonts w:cs="Arial"/>
              </w:rPr>
            </w:pPr>
            <w:r w:rsidRPr="00F4606C">
              <w:rPr>
                <w:rFonts w:cs="Arial"/>
                <w:b/>
                <w:bCs/>
              </w:rPr>
              <w:t>Reference number</w:t>
            </w:r>
          </w:p>
        </w:tc>
        <w:tc>
          <w:tcPr>
            <w:tcW w:w="334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391A372" w14:textId="77777777" w:rsidR="00115458" w:rsidRPr="00AA677F" w:rsidRDefault="00115458" w:rsidP="00F4606C">
            <w:pPr>
              <w:spacing w:after="0" w:line="240" w:lineRule="auto"/>
              <w:rPr>
                <w:rFonts w:cs="Arial"/>
              </w:rPr>
            </w:pPr>
            <w:r w:rsidRPr="00F4606C">
              <w:rPr>
                <w:rFonts w:cs="Arial"/>
                <w:b/>
                <w:bCs/>
              </w:rPr>
              <w:t>Field name</w:t>
            </w:r>
          </w:p>
        </w:tc>
        <w:tc>
          <w:tcPr>
            <w:tcW w:w="106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53817B7"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421E6755"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B5420" w14:textId="77777777" w:rsidR="00115458" w:rsidRPr="00AA677F" w:rsidRDefault="00115458" w:rsidP="00F4606C">
            <w:pPr>
              <w:spacing w:after="0" w:line="240" w:lineRule="auto"/>
              <w:rPr>
                <w:rFonts w:cs="Arial"/>
              </w:rPr>
            </w:pPr>
            <w:r w:rsidRPr="00F4606C">
              <w:rPr>
                <w:rFonts w:cs="Arial"/>
              </w:rPr>
              <w:t>9.62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6FB89" w14:textId="77777777" w:rsidR="00115458" w:rsidRPr="00AA677F" w:rsidRDefault="00115458" w:rsidP="00F4606C">
            <w:pPr>
              <w:spacing w:after="0" w:line="240" w:lineRule="auto"/>
              <w:rPr>
                <w:rFonts w:cs="Arial"/>
              </w:rPr>
            </w:pPr>
            <w:r w:rsidRPr="00F4606C">
              <w:rPr>
                <w:rFonts w:cs="Arial"/>
              </w:rPr>
              <w:t>Sequence number of DACCOUNT record</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54C7B2D" w14:textId="77777777" w:rsidR="00115458" w:rsidRPr="00AA677F" w:rsidRDefault="00115458" w:rsidP="00F4606C">
            <w:pPr>
              <w:spacing w:after="0" w:line="240" w:lineRule="auto"/>
              <w:rPr>
                <w:rFonts w:cs="Arial"/>
              </w:rPr>
            </w:pPr>
            <w:r w:rsidRPr="00F4606C">
              <w:rPr>
                <w:rFonts w:cs="Arial"/>
              </w:rPr>
              <w:t>01</w:t>
            </w:r>
          </w:p>
        </w:tc>
      </w:tr>
      <w:tr w:rsidR="00115458" w:rsidRPr="00AA677F" w14:paraId="6339A642"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6EF6A1" w14:textId="77777777" w:rsidR="00115458" w:rsidRPr="00AA677F" w:rsidRDefault="00115458" w:rsidP="00F4606C">
            <w:pPr>
              <w:spacing w:after="0" w:line="240" w:lineRule="auto"/>
              <w:rPr>
                <w:rFonts w:cs="Arial"/>
              </w:rPr>
            </w:pPr>
            <w:r w:rsidRPr="00F4606C">
              <w:rPr>
                <w:rFonts w:cs="Arial"/>
              </w:rPr>
              <w:t>9.67</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F854A7" w14:textId="77777777" w:rsidR="00115458" w:rsidRPr="00AA677F" w:rsidRDefault="00115458" w:rsidP="00F4606C">
            <w:pPr>
              <w:spacing w:after="0" w:line="240" w:lineRule="auto"/>
              <w:rPr>
                <w:rFonts w:cs="Arial"/>
              </w:rPr>
            </w:pPr>
            <w:r w:rsidRPr="00F4606C">
              <w:rPr>
                <w:rFonts w:cs="Arial"/>
              </w:rPr>
              <w:t>Account name</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BD48686" w14:textId="77777777" w:rsidR="00115458" w:rsidRPr="00AA677F" w:rsidRDefault="00115458" w:rsidP="00F4606C">
            <w:pPr>
              <w:spacing w:after="0" w:line="240" w:lineRule="auto"/>
              <w:rPr>
                <w:rFonts w:cs="Arial"/>
              </w:rPr>
            </w:pPr>
            <w:r w:rsidRPr="00F4606C">
              <w:rPr>
                <w:rFonts w:cs="Arial"/>
              </w:rPr>
              <w:t>Herby J Bay</w:t>
            </w:r>
          </w:p>
        </w:tc>
      </w:tr>
      <w:tr w:rsidR="00115458" w:rsidRPr="00AA677F" w14:paraId="7923F83F"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C1B2D" w14:textId="77777777" w:rsidR="00115458" w:rsidRPr="00AA677F" w:rsidRDefault="00115458" w:rsidP="00F4606C">
            <w:pPr>
              <w:spacing w:after="0" w:line="240" w:lineRule="auto"/>
              <w:rPr>
                <w:rFonts w:cs="Arial"/>
              </w:rPr>
            </w:pPr>
            <w:r w:rsidRPr="00F4606C">
              <w:rPr>
                <w:rFonts w:cs="Arial"/>
              </w:rPr>
              <w:t>9.70</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69B6816" w14:textId="77777777" w:rsidR="00115458" w:rsidRPr="00AA677F" w:rsidRDefault="00115458" w:rsidP="00F4606C">
            <w:pPr>
              <w:spacing w:after="0" w:line="240" w:lineRule="auto"/>
              <w:rPr>
                <w:rFonts w:cs="Arial"/>
              </w:rPr>
            </w:pPr>
            <w:r w:rsidRPr="00F4606C">
              <w:rPr>
                <w:rFonts w:cs="Arial"/>
              </w:rPr>
              <w:t>Date of payment (DDMMCCYY)</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2F4EC8F" w14:textId="119CC6A3" w:rsidR="00115458" w:rsidRPr="00AA677F" w:rsidRDefault="00115458" w:rsidP="00F4606C">
            <w:pPr>
              <w:spacing w:after="0" w:line="240" w:lineRule="auto"/>
              <w:rPr>
                <w:rFonts w:cs="Arial"/>
              </w:rPr>
            </w:pPr>
            <w:r w:rsidRPr="00F4606C">
              <w:rPr>
                <w:rFonts w:cs="Arial"/>
              </w:rPr>
              <w:t>3006202</w:t>
            </w:r>
            <w:r w:rsidR="00213510">
              <w:rPr>
                <w:rFonts w:cs="Arial"/>
              </w:rPr>
              <w:t>6</w:t>
            </w:r>
          </w:p>
        </w:tc>
      </w:tr>
      <w:tr w:rsidR="00115458" w:rsidRPr="00AA677F" w14:paraId="55C2FDBB"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F781F8" w14:textId="77777777" w:rsidR="00115458" w:rsidRPr="00AA677F" w:rsidRDefault="00115458" w:rsidP="00F4606C">
            <w:pPr>
              <w:spacing w:after="0" w:line="240" w:lineRule="auto"/>
              <w:rPr>
                <w:rFonts w:cs="Arial"/>
              </w:rPr>
            </w:pPr>
            <w:r w:rsidRPr="00F4606C">
              <w:rPr>
                <w:rFonts w:cs="Arial"/>
              </w:rPr>
              <w:t>9.71</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941F54F" w14:textId="77777777" w:rsidR="00115458" w:rsidRPr="00AA677F" w:rsidRDefault="00115458" w:rsidP="00F4606C">
            <w:pPr>
              <w:spacing w:after="0" w:line="240" w:lineRule="auto"/>
              <w:rPr>
                <w:rFonts w:cs="Arial"/>
              </w:rPr>
            </w:pPr>
            <w:r w:rsidRPr="00F4606C">
              <w:rPr>
                <w:rFonts w:cs="Arial"/>
              </w:rPr>
              <w:t>Type of investment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26CDF64" w14:textId="77777777" w:rsidR="00115458" w:rsidRPr="00AA677F" w:rsidRDefault="00115458" w:rsidP="00F4606C">
            <w:pPr>
              <w:spacing w:after="0" w:line="240" w:lineRule="auto"/>
              <w:rPr>
                <w:rFonts w:cs="Arial"/>
              </w:rPr>
            </w:pPr>
            <w:r w:rsidRPr="00F4606C">
              <w:rPr>
                <w:rFonts w:cs="Arial"/>
              </w:rPr>
              <w:t>0</w:t>
            </w:r>
          </w:p>
        </w:tc>
      </w:tr>
      <w:tr w:rsidR="00115458" w:rsidRPr="00AA677F" w14:paraId="728EC413"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8CD942" w14:textId="77777777" w:rsidR="00115458" w:rsidRPr="00AA677F" w:rsidRDefault="00115458" w:rsidP="00F4606C">
            <w:pPr>
              <w:spacing w:after="0" w:line="240" w:lineRule="auto"/>
              <w:rPr>
                <w:rFonts w:cs="Arial"/>
              </w:rPr>
            </w:pPr>
            <w:r w:rsidRPr="00F4606C">
              <w:rPr>
                <w:rFonts w:cs="Arial"/>
              </w:rPr>
              <w:t>9.72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778927" w14:textId="77777777" w:rsidR="00115458" w:rsidRPr="00AA677F" w:rsidRDefault="00115458" w:rsidP="00F4606C">
            <w:pPr>
              <w:spacing w:after="0" w:line="240" w:lineRule="auto"/>
              <w:rPr>
                <w:rFonts w:cs="Arial"/>
              </w:rPr>
            </w:pPr>
            <w:r w:rsidRPr="00F4606C">
              <w:rPr>
                <w:rFonts w:cs="Arial"/>
              </w:rPr>
              <w:t>Type of payment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6D55E47" w14:textId="77777777" w:rsidR="00115458" w:rsidRPr="00AA677F" w:rsidRDefault="00115458" w:rsidP="00F4606C">
            <w:pPr>
              <w:spacing w:after="0" w:line="240" w:lineRule="auto"/>
              <w:rPr>
                <w:rFonts w:cs="Arial"/>
              </w:rPr>
            </w:pPr>
            <w:r w:rsidRPr="00F4606C">
              <w:rPr>
                <w:rFonts w:cs="Arial"/>
              </w:rPr>
              <w:t>AMT</w:t>
            </w:r>
          </w:p>
        </w:tc>
      </w:tr>
      <w:tr w:rsidR="00115458" w:rsidRPr="00AA677F" w14:paraId="2430C4A0"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04F786" w14:textId="77777777" w:rsidR="00115458" w:rsidRPr="00AA677F" w:rsidRDefault="00115458" w:rsidP="00F4606C">
            <w:pPr>
              <w:spacing w:after="0" w:line="240" w:lineRule="auto"/>
              <w:rPr>
                <w:rFonts w:cs="Arial"/>
              </w:rPr>
            </w:pPr>
            <w:r w:rsidRPr="00F4606C">
              <w:rPr>
                <w:rFonts w:cs="Arial"/>
              </w:rPr>
              <w:t>9.79</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B98BBCD" w14:textId="77777777" w:rsidR="00115458" w:rsidRPr="00AA677F" w:rsidRDefault="00115458" w:rsidP="00F4606C">
            <w:pPr>
              <w:spacing w:after="0" w:line="240" w:lineRule="auto"/>
              <w:rPr>
                <w:rFonts w:cs="Arial"/>
              </w:rPr>
            </w:pPr>
            <w:r w:rsidRPr="00F4606C">
              <w:rPr>
                <w:rFonts w:cs="Arial"/>
              </w:rPr>
              <w:t>Interest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0D698570"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055AABCC"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F3E4AB" w14:textId="77777777" w:rsidR="00115458" w:rsidRPr="00AA677F" w:rsidRDefault="00115458" w:rsidP="00F4606C">
            <w:pPr>
              <w:spacing w:after="0" w:line="240" w:lineRule="auto"/>
              <w:rPr>
                <w:rFonts w:cs="Arial"/>
              </w:rPr>
            </w:pPr>
            <w:r w:rsidRPr="00F4606C">
              <w:rPr>
                <w:rFonts w:cs="Arial"/>
              </w:rPr>
              <w:t>9.80</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87D51" w14:textId="77777777" w:rsidR="00115458" w:rsidRPr="00AA677F" w:rsidRDefault="00115458" w:rsidP="00F4606C">
            <w:pPr>
              <w:spacing w:after="0" w:line="240" w:lineRule="auto"/>
              <w:rPr>
                <w:rFonts w:cs="Arial"/>
              </w:rPr>
            </w:pPr>
            <w:r w:rsidRPr="00F4606C">
              <w:rPr>
                <w:rFonts w:cs="Arial"/>
              </w:rPr>
              <w:t>Unfranked dividends not declared to be conduit foreign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450C5661"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367940CC"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7D5B73" w14:textId="77777777" w:rsidR="00115458" w:rsidRPr="00AA677F" w:rsidRDefault="00115458" w:rsidP="00F4606C">
            <w:pPr>
              <w:spacing w:after="0" w:line="240" w:lineRule="auto"/>
              <w:rPr>
                <w:rFonts w:cs="Arial"/>
              </w:rPr>
            </w:pPr>
            <w:r w:rsidRPr="00F4606C">
              <w:rPr>
                <w:rFonts w:cs="Arial"/>
              </w:rPr>
              <w:t>9.81</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E29EFF2" w14:textId="77777777" w:rsidR="00115458" w:rsidRPr="00AA677F" w:rsidRDefault="00115458" w:rsidP="00F4606C">
            <w:pPr>
              <w:spacing w:after="0" w:line="240" w:lineRule="auto"/>
              <w:rPr>
                <w:rFonts w:cs="Arial"/>
              </w:rPr>
            </w:pPr>
            <w:r w:rsidRPr="00F4606C">
              <w:rPr>
                <w:rFonts w:cs="Arial"/>
              </w:rPr>
              <w:t>Unfranked dividends declared to be conduit foreign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49E6CDFD"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3EAD9586"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79C70" w14:textId="77777777" w:rsidR="00115458" w:rsidRPr="00AA677F" w:rsidRDefault="00115458" w:rsidP="00F4606C">
            <w:pPr>
              <w:spacing w:after="0" w:line="240" w:lineRule="auto"/>
              <w:rPr>
                <w:rFonts w:cs="Arial"/>
              </w:rPr>
            </w:pPr>
            <w:r w:rsidRPr="00F4606C">
              <w:rPr>
                <w:rFonts w:cs="Arial"/>
              </w:rPr>
              <w:t>9.82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F955B8" w14:textId="77777777" w:rsidR="00115458" w:rsidRPr="00AA677F" w:rsidRDefault="00115458" w:rsidP="00F4606C">
            <w:pPr>
              <w:spacing w:after="0" w:line="240" w:lineRule="auto"/>
              <w:rPr>
                <w:rFonts w:cs="Arial"/>
              </w:rPr>
            </w:pPr>
            <w:r w:rsidRPr="00F4606C">
              <w:rPr>
                <w:rFonts w:cs="Arial"/>
              </w:rPr>
              <w:t>Franked dividends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25A564C" w14:textId="77777777" w:rsidR="00115458" w:rsidRPr="00AA677F" w:rsidRDefault="00115458" w:rsidP="00F4606C">
            <w:pPr>
              <w:spacing w:after="0" w:line="240" w:lineRule="auto"/>
              <w:rPr>
                <w:rFonts w:cs="Arial"/>
              </w:rPr>
            </w:pPr>
            <w:r w:rsidRPr="00F4606C">
              <w:rPr>
                <w:rFonts w:cs="Arial"/>
              </w:rPr>
              <w:t>000000630000</w:t>
            </w:r>
          </w:p>
        </w:tc>
      </w:tr>
      <w:tr w:rsidR="00115458" w:rsidRPr="00AA677F" w14:paraId="0B262100"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4E0F72" w14:textId="77777777" w:rsidR="00115458" w:rsidRPr="00AA677F" w:rsidRDefault="00115458" w:rsidP="00F4606C">
            <w:pPr>
              <w:spacing w:after="0" w:line="240" w:lineRule="auto"/>
              <w:rPr>
                <w:rFonts w:cs="Arial"/>
              </w:rPr>
            </w:pPr>
            <w:r w:rsidRPr="00F4606C">
              <w:rPr>
                <w:rFonts w:cs="Arial"/>
              </w:rPr>
              <w:t>9.83</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1B3531E" w14:textId="77777777" w:rsidR="00115458" w:rsidRPr="00AA677F" w:rsidRDefault="00115458" w:rsidP="00F4606C">
            <w:pPr>
              <w:spacing w:after="0" w:line="240" w:lineRule="auto"/>
              <w:rPr>
                <w:rFonts w:cs="Arial"/>
              </w:rPr>
            </w:pPr>
            <w:r w:rsidRPr="00F4606C">
              <w:rPr>
                <w:rFonts w:cs="Arial"/>
              </w:rPr>
              <w:t>Franking credit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7888369" w14:textId="77777777" w:rsidR="00115458" w:rsidRPr="00AA677F" w:rsidRDefault="00115458" w:rsidP="00F4606C">
            <w:pPr>
              <w:spacing w:after="0" w:line="240" w:lineRule="auto"/>
              <w:rPr>
                <w:rFonts w:cs="Arial"/>
              </w:rPr>
            </w:pPr>
            <w:r w:rsidRPr="00F4606C">
              <w:rPr>
                <w:rFonts w:cs="Arial"/>
              </w:rPr>
              <w:t>000000300000</w:t>
            </w:r>
          </w:p>
        </w:tc>
      </w:tr>
      <w:tr w:rsidR="00115458" w:rsidRPr="00AA677F" w14:paraId="2F91D165"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CCA5E9" w14:textId="77777777" w:rsidR="00115458" w:rsidRPr="00AA677F" w:rsidRDefault="00115458" w:rsidP="00F4606C">
            <w:pPr>
              <w:spacing w:after="0" w:line="240" w:lineRule="auto"/>
              <w:rPr>
                <w:rFonts w:cs="Arial"/>
              </w:rPr>
            </w:pPr>
            <w:r w:rsidRPr="00F4606C">
              <w:rPr>
                <w:rFonts w:cs="Arial"/>
              </w:rPr>
              <w:t>9.84</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605BC3A" w14:textId="77777777" w:rsidR="00115458" w:rsidRPr="00AA677F" w:rsidRDefault="00115458" w:rsidP="00F4606C">
            <w:pPr>
              <w:spacing w:after="0" w:line="240" w:lineRule="auto"/>
              <w:rPr>
                <w:rFonts w:cs="Arial"/>
              </w:rPr>
            </w:pPr>
            <w:r w:rsidRPr="00F4606C">
              <w:rPr>
                <w:rFonts w:cs="Arial"/>
              </w:rPr>
              <w:t>Other taxable Australian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512DC15"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148E0F42" w14:textId="77777777" w:rsidTr="1E18DCE7">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1AD946" w14:textId="77777777" w:rsidR="00115458" w:rsidRPr="00AA677F" w:rsidRDefault="00115458" w:rsidP="00F4606C">
            <w:pPr>
              <w:spacing w:after="0" w:line="240" w:lineRule="auto"/>
              <w:rPr>
                <w:rFonts w:cs="Arial"/>
              </w:rPr>
            </w:pPr>
            <w:r w:rsidRPr="00F4606C">
              <w:rPr>
                <w:rFonts w:cs="Arial"/>
              </w:rPr>
              <w:t>9.85</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090E1425" w14:textId="77777777" w:rsidR="00115458" w:rsidRPr="00AA677F" w:rsidRDefault="00115458" w:rsidP="00F4606C">
            <w:pPr>
              <w:spacing w:after="0" w:line="240" w:lineRule="auto"/>
              <w:rPr>
                <w:rFonts w:cs="Arial"/>
              </w:rPr>
            </w:pPr>
            <w:r w:rsidRPr="00F4606C">
              <w:rPr>
                <w:rFonts w:cs="Arial"/>
              </w:rPr>
              <w:t>Non-primary production income (cents)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C278E61"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41390974" w14:textId="77777777" w:rsidTr="1E18DCE7">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C1FBC" w14:textId="77777777" w:rsidR="00115458" w:rsidRPr="00AA677F" w:rsidRDefault="00115458" w:rsidP="00F4606C">
            <w:pPr>
              <w:spacing w:after="0" w:line="240" w:lineRule="auto"/>
              <w:rPr>
                <w:rFonts w:cs="Arial"/>
              </w:rPr>
            </w:pPr>
            <w:r w:rsidRPr="00F4606C">
              <w:rPr>
                <w:rFonts w:cs="Arial"/>
              </w:rPr>
              <w:t>9.98</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A3116" w14:textId="77777777" w:rsidR="00115458" w:rsidRPr="00AA677F" w:rsidRDefault="00115458" w:rsidP="00F4606C">
            <w:pPr>
              <w:spacing w:after="0" w:line="240" w:lineRule="auto"/>
              <w:rPr>
                <w:rFonts w:cs="Arial"/>
              </w:rPr>
            </w:pPr>
            <w:r w:rsidRPr="00F4606C">
              <w:rPr>
                <w:rFonts w:cs="Arial"/>
              </w:rPr>
              <w:t>Other allowable trust deductions (cents)</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9DEE7" w14:textId="77777777" w:rsidR="00115458" w:rsidRPr="00AA677F" w:rsidRDefault="00115458" w:rsidP="00F4606C">
            <w:pPr>
              <w:spacing w:after="0" w:line="240" w:lineRule="auto"/>
              <w:rPr>
                <w:rFonts w:cs="Arial"/>
              </w:rPr>
            </w:pPr>
            <w:r w:rsidRPr="00F4606C">
              <w:rPr>
                <w:rFonts w:cs="Arial"/>
              </w:rPr>
              <w:t>000000000000</w:t>
            </w:r>
          </w:p>
        </w:tc>
      </w:tr>
    </w:tbl>
    <w:p w14:paraId="442C7032" w14:textId="77777777" w:rsidR="00115458" w:rsidRPr="00F4606C" w:rsidRDefault="00115458" w:rsidP="00AA677F">
      <w:pPr>
        <w:pStyle w:val="Maintext"/>
        <w:rPr>
          <w:rFonts w:asciiTheme="minorHAnsi" w:hAnsiTheme="minorHAnsi" w:cs="Arial"/>
          <w:b/>
          <w:smallCaps/>
          <w:sz w:val="20"/>
          <w:szCs w:val="20"/>
        </w:rPr>
      </w:pPr>
    </w:p>
    <w:p w14:paraId="77D90BD2" w14:textId="77777777" w:rsidR="00115458" w:rsidRPr="00F4606C" w:rsidRDefault="00115458" w:rsidP="00AA677F">
      <w:pPr>
        <w:pStyle w:val="Maintext"/>
        <w:rPr>
          <w:rFonts w:asciiTheme="minorHAnsi" w:hAnsiTheme="minorHAnsi" w:cs="Arial"/>
          <w:b/>
          <w:smallCaps/>
          <w:sz w:val="20"/>
          <w:szCs w:val="20"/>
        </w:rPr>
      </w:pPr>
      <w:r w:rsidRPr="00F4606C">
        <w:rPr>
          <w:rFonts w:asciiTheme="minorHAnsi" w:hAnsiTheme="minorHAnsi" w:cs="Arial"/>
          <w:b/>
          <w:smallCaps/>
          <w:sz w:val="20"/>
          <w:szCs w:val="20"/>
        </w:rPr>
        <w:t xml:space="preserve">supplementary income account data record 1 for 1 investor </w:t>
      </w:r>
      <w:r w:rsidRPr="00F4606C">
        <w:rPr>
          <w:rFonts w:asciiTheme="minorHAnsi" w:hAnsiTheme="minorHAnsi" w:cs="Arial"/>
          <w:smallCaps/>
          <w:sz w:val="20"/>
          <w:szCs w:val="20"/>
        </w:rPr>
        <w:t>(extract)</w:t>
      </w:r>
    </w:p>
    <w:p w14:paraId="5CA77970" w14:textId="77777777" w:rsidR="00115458" w:rsidRPr="00F4606C" w:rsidRDefault="00115458" w:rsidP="00AA677F">
      <w:pPr>
        <w:pStyle w:val="Maintext"/>
        <w:rPr>
          <w:rFonts w:asciiTheme="minorHAnsi" w:hAnsiTheme="minorHAnsi" w:cs="Arial"/>
          <w:sz w:val="20"/>
          <w:szCs w:val="20"/>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6089"/>
        <w:gridCol w:w="1898"/>
      </w:tblGrid>
      <w:tr w:rsidR="00115458" w:rsidRPr="00AA677F" w14:paraId="5482BE5C" w14:textId="77777777" w:rsidTr="000C1365">
        <w:trPr>
          <w:cantSplit/>
          <w:trHeight w:val="495"/>
          <w:tblHeader/>
        </w:trPr>
        <w:tc>
          <w:tcPr>
            <w:tcW w:w="590" w:type="pct"/>
            <w:shd w:val="clear" w:color="auto" w:fill="B3B3B3"/>
            <w:tcMar>
              <w:top w:w="0" w:type="dxa"/>
              <w:left w:w="108" w:type="dxa"/>
              <w:bottom w:w="0" w:type="dxa"/>
              <w:right w:w="108" w:type="dxa"/>
            </w:tcMar>
            <w:vAlign w:val="center"/>
          </w:tcPr>
          <w:p w14:paraId="1FEAAB29" w14:textId="77777777" w:rsidR="00115458" w:rsidRPr="00AA677F" w:rsidRDefault="00115458" w:rsidP="00F4606C">
            <w:pPr>
              <w:spacing w:after="0" w:line="240" w:lineRule="auto"/>
              <w:rPr>
                <w:rFonts w:cs="Arial"/>
              </w:rPr>
            </w:pPr>
            <w:r w:rsidRPr="00F4606C">
              <w:rPr>
                <w:rFonts w:cs="Arial"/>
                <w:b/>
                <w:bCs/>
              </w:rPr>
              <w:t>Reference number</w:t>
            </w:r>
          </w:p>
        </w:tc>
        <w:tc>
          <w:tcPr>
            <w:tcW w:w="3342" w:type="pct"/>
            <w:shd w:val="clear" w:color="auto" w:fill="B3B3B3"/>
            <w:tcMar>
              <w:top w:w="0" w:type="dxa"/>
              <w:left w:w="108" w:type="dxa"/>
              <w:bottom w:w="0" w:type="dxa"/>
              <w:right w:w="108" w:type="dxa"/>
            </w:tcMar>
            <w:vAlign w:val="center"/>
          </w:tcPr>
          <w:p w14:paraId="08B505D6" w14:textId="77777777" w:rsidR="00115458" w:rsidRPr="00AA677F" w:rsidRDefault="00115458" w:rsidP="00F4606C">
            <w:pPr>
              <w:spacing w:after="0" w:line="240" w:lineRule="auto"/>
              <w:rPr>
                <w:rFonts w:cs="Arial"/>
              </w:rPr>
            </w:pPr>
            <w:r w:rsidRPr="00F4606C">
              <w:rPr>
                <w:rFonts w:cs="Arial"/>
                <w:b/>
                <w:bCs/>
              </w:rPr>
              <w:t>Field name</w:t>
            </w:r>
          </w:p>
        </w:tc>
        <w:tc>
          <w:tcPr>
            <w:tcW w:w="1068" w:type="pct"/>
            <w:shd w:val="clear" w:color="auto" w:fill="B3B3B3"/>
            <w:tcMar>
              <w:top w:w="0" w:type="dxa"/>
              <w:left w:w="108" w:type="dxa"/>
              <w:bottom w:w="0" w:type="dxa"/>
              <w:right w:w="108" w:type="dxa"/>
            </w:tcMar>
            <w:vAlign w:val="center"/>
          </w:tcPr>
          <w:p w14:paraId="23AD903A"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117C3E56" w14:textId="77777777" w:rsidTr="000C1365">
        <w:trPr>
          <w:cantSplit/>
          <w:trHeight w:val="270"/>
        </w:trPr>
        <w:tc>
          <w:tcPr>
            <w:tcW w:w="590" w:type="pct"/>
            <w:tcMar>
              <w:top w:w="0" w:type="dxa"/>
              <w:left w:w="108" w:type="dxa"/>
              <w:bottom w:w="0" w:type="dxa"/>
              <w:right w:w="108" w:type="dxa"/>
            </w:tcMar>
            <w:vAlign w:val="center"/>
          </w:tcPr>
          <w:p w14:paraId="36CDBF97" w14:textId="77777777" w:rsidR="00115458" w:rsidRPr="00AA677F" w:rsidRDefault="00115458" w:rsidP="00F4606C">
            <w:pPr>
              <w:spacing w:after="0" w:line="240" w:lineRule="auto"/>
              <w:rPr>
                <w:rFonts w:cs="Arial"/>
              </w:rPr>
            </w:pPr>
            <w:r w:rsidRPr="00F4606C">
              <w:rPr>
                <w:rFonts w:cs="Arial"/>
              </w:rPr>
              <w:t>9.119</w:t>
            </w:r>
          </w:p>
        </w:tc>
        <w:tc>
          <w:tcPr>
            <w:tcW w:w="3342" w:type="pct"/>
            <w:tcMar>
              <w:top w:w="0" w:type="dxa"/>
              <w:left w:w="108" w:type="dxa"/>
              <w:bottom w:w="0" w:type="dxa"/>
              <w:right w:w="108" w:type="dxa"/>
            </w:tcMar>
            <w:vAlign w:val="center"/>
          </w:tcPr>
          <w:p w14:paraId="0E3BDA7A" w14:textId="77777777" w:rsidR="00115458" w:rsidRPr="00AA677F" w:rsidRDefault="00115458" w:rsidP="00F4606C">
            <w:pPr>
              <w:spacing w:after="0" w:line="240" w:lineRule="auto"/>
              <w:rPr>
                <w:rFonts w:cs="Arial"/>
              </w:rPr>
            </w:pPr>
            <w:r w:rsidRPr="00F4606C">
              <w:rPr>
                <w:rFonts w:cs="Arial"/>
              </w:rPr>
              <w:t>Unfranked distributions from trusts (cents)</w:t>
            </w:r>
          </w:p>
        </w:tc>
        <w:tc>
          <w:tcPr>
            <w:tcW w:w="1068" w:type="pct"/>
            <w:tcMar>
              <w:top w:w="0" w:type="dxa"/>
              <w:left w:w="108" w:type="dxa"/>
              <w:bottom w:w="0" w:type="dxa"/>
              <w:right w:w="108" w:type="dxa"/>
            </w:tcMar>
            <w:vAlign w:val="center"/>
          </w:tcPr>
          <w:p w14:paraId="29392CE6" w14:textId="77777777" w:rsidR="00115458" w:rsidRPr="00AA677F" w:rsidRDefault="00115458" w:rsidP="00F4606C">
            <w:pPr>
              <w:spacing w:after="0" w:line="240" w:lineRule="auto"/>
              <w:rPr>
                <w:rFonts w:cs="Arial"/>
              </w:rPr>
            </w:pPr>
            <w:r w:rsidRPr="00F4606C">
              <w:rPr>
                <w:rFonts w:cs="Arial"/>
              </w:rPr>
              <w:t>000000000000</w:t>
            </w:r>
          </w:p>
        </w:tc>
      </w:tr>
      <w:tr w:rsidR="00115458" w:rsidRPr="00AA677F" w14:paraId="0CCA0811" w14:textId="77777777" w:rsidTr="000C1365">
        <w:trPr>
          <w:cantSplit/>
          <w:trHeight w:val="270"/>
        </w:trPr>
        <w:tc>
          <w:tcPr>
            <w:tcW w:w="590" w:type="pct"/>
            <w:tcMar>
              <w:top w:w="0" w:type="dxa"/>
              <w:left w:w="108" w:type="dxa"/>
              <w:bottom w:w="0" w:type="dxa"/>
              <w:right w:w="108" w:type="dxa"/>
            </w:tcMar>
            <w:vAlign w:val="center"/>
          </w:tcPr>
          <w:p w14:paraId="6670275B" w14:textId="77777777" w:rsidR="00115458" w:rsidRPr="00AA677F" w:rsidRDefault="00115458" w:rsidP="00F4606C">
            <w:pPr>
              <w:spacing w:after="0" w:line="240" w:lineRule="auto"/>
              <w:rPr>
                <w:rFonts w:cs="Arial"/>
              </w:rPr>
            </w:pPr>
            <w:r w:rsidRPr="00F4606C">
              <w:rPr>
                <w:rFonts w:cs="Arial"/>
              </w:rPr>
              <w:t>9.120</w:t>
            </w:r>
          </w:p>
        </w:tc>
        <w:tc>
          <w:tcPr>
            <w:tcW w:w="3342" w:type="pct"/>
            <w:tcMar>
              <w:top w:w="0" w:type="dxa"/>
              <w:left w:w="108" w:type="dxa"/>
              <w:bottom w:w="0" w:type="dxa"/>
              <w:right w:w="108" w:type="dxa"/>
            </w:tcMar>
            <w:vAlign w:val="center"/>
          </w:tcPr>
          <w:p w14:paraId="77A2BE26" w14:textId="77777777" w:rsidR="00115458" w:rsidRPr="00AA677F" w:rsidRDefault="00115458" w:rsidP="00F4606C">
            <w:pPr>
              <w:spacing w:after="0" w:line="240" w:lineRule="auto"/>
              <w:rPr>
                <w:rFonts w:cs="Arial"/>
              </w:rPr>
            </w:pPr>
            <w:r w:rsidRPr="00F4606C">
              <w:rPr>
                <w:rFonts w:cs="Arial"/>
              </w:rPr>
              <w:t>Franked distributions from trusts (cents)</w:t>
            </w:r>
          </w:p>
        </w:tc>
        <w:tc>
          <w:tcPr>
            <w:tcW w:w="1068" w:type="pct"/>
            <w:tcMar>
              <w:top w:w="0" w:type="dxa"/>
              <w:left w:w="108" w:type="dxa"/>
              <w:bottom w:w="0" w:type="dxa"/>
              <w:right w:w="108" w:type="dxa"/>
            </w:tcMar>
            <w:vAlign w:val="center"/>
          </w:tcPr>
          <w:p w14:paraId="3965ADD1" w14:textId="77777777" w:rsidR="00115458" w:rsidRPr="00AA677F" w:rsidRDefault="00115458" w:rsidP="00F4606C">
            <w:pPr>
              <w:spacing w:after="0" w:line="240" w:lineRule="auto"/>
              <w:rPr>
                <w:rFonts w:cs="Arial"/>
              </w:rPr>
            </w:pPr>
            <w:r w:rsidRPr="00F4606C">
              <w:rPr>
                <w:rFonts w:cs="Arial"/>
              </w:rPr>
              <w:t>000000900000</w:t>
            </w:r>
          </w:p>
        </w:tc>
      </w:tr>
    </w:tbl>
    <w:p w14:paraId="3DA41F2F" w14:textId="0570F820" w:rsidR="00115458" w:rsidRPr="00777FBF" w:rsidRDefault="0028338D" w:rsidP="00F4606C">
      <w:pPr>
        <w:spacing w:after="0" w:line="240" w:lineRule="auto"/>
        <w:rPr>
          <w:rFonts w:cs="Arial"/>
          <w:sz w:val="18"/>
          <w:szCs w:val="18"/>
        </w:rPr>
      </w:pPr>
      <w:r>
        <w:rPr>
          <w:iCs/>
          <w:color w:val="000000"/>
          <w:sz w:val="18"/>
          <w:szCs w:val="18"/>
        </w:rPr>
        <w:t xml:space="preserve">An </w:t>
      </w:r>
      <w:r w:rsidR="00115458" w:rsidRPr="00777FBF">
        <w:rPr>
          <w:i/>
          <w:color w:val="000000"/>
          <w:sz w:val="18"/>
          <w:szCs w:val="18"/>
        </w:rPr>
        <w:t xml:space="preserve">Investor data record </w:t>
      </w:r>
      <w:r>
        <w:rPr>
          <w:color w:val="000000"/>
          <w:sz w:val="18"/>
          <w:szCs w:val="18"/>
        </w:rPr>
        <w:t>is required f</w:t>
      </w:r>
      <w:r w:rsidR="00115458" w:rsidRPr="00777FBF">
        <w:rPr>
          <w:color w:val="000000"/>
          <w:sz w:val="18"/>
          <w:szCs w:val="18"/>
        </w:rPr>
        <w:t>ollow</w:t>
      </w:r>
      <w:r>
        <w:rPr>
          <w:color w:val="000000"/>
          <w:sz w:val="18"/>
          <w:szCs w:val="18"/>
        </w:rPr>
        <w:t>ing</w:t>
      </w:r>
      <w:r w:rsidR="00115458" w:rsidRPr="00777FBF">
        <w:rPr>
          <w:color w:val="000000"/>
          <w:sz w:val="18"/>
          <w:szCs w:val="18"/>
        </w:rPr>
        <w:t xml:space="preserve"> the</w:t>
      </w:r>
      <w:r w:rsidR="00115458" w:rsidRPr="00777FBF">
        <w:rPr>
          <w:rFonts w:cs="Arial"/>
          <w:i/>
          <w:sz w:val="18"/>
          <w:szCs w:val="18"/>
        </w:rPr>
        <w:t xml:space="preserve"> Supplementary income account data record</w:t>
      </w:r>
      <w:r w:rsidR="00115458" w:rsidRPr="00777FBF">
        <w:rPr>
          <w:i/>
          <w:color w:val="000000"/>
          <w:sz w:val="18"/>
          <w:szCs w:val="18"/>
        </w:rPr>
        <w:t xml:space="preserve"> </w:t>
      </w:r>
    </w:p>
    <w:p w14:paraId="5C4D31F4" w14:textId="77777777" w:rsidR="00115458" w:rsidRDefault="00115458" w:rsidP="00115458">
      <w:pPr>
        <w:pStyle w:val="Maintext"/>
        <w:rPr>
          <w:sz w:val="18"/>
          <w:szCs w:val="18"/>
        </w:rPr>
      </w:pPr>
    </w:p>
    <w:p w14:paraId="18823C5A" w14:textId="77777777" w:rsidR="00115458" w:rsidRDefault="00115458" w:rsidP="00115458">
      <w:r>
        <w:br w:type="page"/>
      </w:r>
    </w:p>
    <w:p w14:paraId="575212F3" w14:textId="28786553" w:rsidR="00115458" w:rsidRPr="00E57001" w:rsidRDefault="008F33C3" w:rsidP="008F33C3">
      <w:pPr>
        <w:pStyle w:val="Heading1"/>
      </w:pPr>
      <w:bookmarkStart w:id="1644" w:name="def782"/>
      <w:bookmarkStart w:id="1645" w:name="def784"/>
      <w:bookmarkStart w:id="1646" w:name="_msocom_1"/>
      <w:bookmarkStart w:id="1647" w:name="_msocom_2"/>
      <w:bookmarkStart w:id="1648" w:name="_msocom_3"/>
      <w:bookmarkStart w:id="1649" w:name="_Toc448311527"/>
      <w:bookmarkStart w:id="1650" w:name="_Toc5193024"/>
      <w:bookmarkStart w:id="1651" w:name="Section7"/>
      <w:bookmarkStart w:id="1652" w:name="_Toc355859714"/>
      <w:bookmarkStart w:id="1653" w:name="_Toc232191349"/>
      <w:bookmarkEnd w:id="1612"/>
      <w:bookmarkEnd w:id="1644"/>
      <w:bookmarkEnd w:id="1645"/>
      <w:bookmarkEnd w:id="1646"/>
      <w:bookmarkEnd w:id="1647"/>
      <w:bookmarkEnd w:id="1648"/>
      <w:r>
        <w:t xml:space="preserve">7 </w:t>
      </w:r>
      <w:r w:rsidR="00115458" w:rsidRPr="00E57001">
        <w:t xml:space="preserve">Trust </w:t>
      </w:r>
      <w:bookmarkEnd w:id="1649"/>
      <w:bookmarkEnd w:id="1650"/>
      <w:r w:rsidR="00115458" w:rsidRPr="00E57001">
        <w:t>Reporting</w:t>
      </w:r>
      <w:bookmarkEnd w:id="1653"/>
      <w:r w:rsidR="00115458" w:rsidRPr="00E57001">
        <w:t xml:space="preserve"> </w:t>
      </w:r>
    </w:p>
    <w:bookmarkEnd w:id="1651"/>
    <w:p w14:paraId="02ADCE58" w14:textId="77777777" w:rsidR="00115458" w:rsidRPr="00AA677F" w:rsidRDefault="00115458" w:rsidP="00F4606C">
      <w:pPr>
        <w:spacing w:after="0" w:line="240" w:lineRule="auto"/>
        <w:rPr>
          <w:rFonts w:cs="Arial"/>
        </w:rPr>
      </w:pPr>
      <w:r w:rsidRPr="00AA677F">
        <w:rPr>
          <w:rFonts w:cs="Arial"/>
        </w:rPr>
        <w:t>This section generally applies to trusts that are not attribution MITs. However, where there are legislative changes and reporting requirements that generally apply to both AMITs and non-AMITs they have also been included.  It includes examples for reporting Non-concessional MIT income (NCMI), capital gains, franked and unfranked distributions and reporting for stapled securities and IDPS platforms.</w:t>
      </w:r>
    </w:p>
    <w:p w14:paraId="60D1C62E" w14:textId="77777777" w:rsidR="00115458" w:rsidRPr="00AA677F" w:rsidRDefault="00115458" w:rsidP="00F4606C">
      <w:pPr>
        <w:spacing w:after="0" w:line="240" w:lineRule="auto"/>
        <w:rPr>
          <w:rFonts w:cs="Arial"/>
        </w:rPr>
      </w:pPr>
    </w:p>
    <w:p w14:paraId="6AACC61A" w14:textId="77777777" w:rsidR="00115458" w:rsidRDefault="00115458" w:rsidP="00AA677F">
      <w:pPr>
        <w:pStyle w:val="Maintext"/>
        <w:rPr>
          <w:rFonts w:asciiTheme="minorHAnsi" w:hAnsiTheme="minorHAnsi" w:cs="Arial"/>
          <w:sz w:val="20"/>
          <w:szCs w:val="20"/>
        </w:rPr>
      </w:pPr>
      <w:r w:rsidRPr="00F4606C">
        <w:rPr>
          <w:rFonts w:asciiTheme="minorHAnsi" w:hAnsiTheme="minorHAnsi" w:cs="Arial"/>
          <w:sz w:val="20"/>
          <w:szCs w:val="20"/>
        </w:rPr>
        <w:t xml:space="preserve">Trusts and custodians that provide investment products for funds, including IDPS and stapled securities, may be required to lodge an AIIR to report investment income that often includes unit trust distributions, attributions from MITs, fund payments and other investment types such as dividends and interest. </w:t>
      </w:r>
    </w:p>
    <w:p w14:paraId="71C801BC" w14:textId="759C6FE6" w:rsidR="00777FBF" w:rsidRPr="00777FBF" w:rsidRDefault="000F5BD0" w:rsidP="00777FBF">
      <w:pPr>
        <w:pStyle w:val="Heading3"/>
      </w:pPr>
      <w:bookmarkStart w:id="1654" w:name="_Toc232191350"/>
      <w:r w:rsidRPr="005C4B6F">
        <w:t>Build to Rent (BTR) Measure – new from Version 14</w:t>
      </w:r>
      <w:r w:rsidR="009B4F83">
        <w:t xml:space="preserve"> </w:t>
      </w:r>
      <w:r w:rsidR="000E6FEF">
        <w:t>reporting for 2025/2026 Financial Year onwards</w:t>
      </w:r>
      <w:bookmarkEnd w:id="1654"/>
    </w:p>
    <w:p w14:paraId="70669337" w14:textId="4CE8B319" w:rsidR="000F5BD0" w:rsidRPr="005923B3" w:rsidRDefault="000F5BD0" w:rsidP="000F5BD0">
      <w:p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A BTR Entity owns an active BTR development. A BTR Payment Recipient receives a payment either directly or indirectly from an owner of an active BTR development. </w:t>
      </w:r>
    </w:p>
    <w:p w14:paraId="00691334" w14:textId="77777777" w:rsidR="000F5BD0" w:rsidRPr="005923B3" w:rsidRDefault="000F5BD0" w:rsidP="000F5BD0">
      <w:pPr>
        <w:spacing w:after="0" w:line="240" w:lineRule="auto"/>
        <w:rPr>
          <w:rFonts w:ascii="Inter" w:eastAsia="MS Gothic" w:hAnsi="Inter"/>
          <w:bCs/>
          <w:color w:val="000000"/>
          <w:spacing w:val="4"/>
        </w:rPr>
      </w:pPr>
    </w:p>
    <w:p w14:paraId="682BBCC7" w14:textId="26F717E1" w:rsidR="000F5BD0" w:rsidRPr="005923B3" w:rsidRDefault="000F5BD0" w:rsidP="000F5BD0">
      <w:p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If an entity is both a BTR Entity and BTR Payment Recipient, then they must complete the fields shown separately for each entity type. </w:t>
      </w:r>
    </w:p>
    <w:p w14:paraId="5D5B1BDD" w14:textId="77777777" w:rsidR="000F5BD0" w:rsidRPr="005923B3" w:rsidRDefault="000F5BD0" w:rsidP="000F5BD0">
      <w:pPr>
        <w:spacing w:after="0" w:line="240" w:lineRule="auto"/>
        <w:rPr>
          <w:rFonts w:ascii="Inter" w:eastAsia="MS Gothic" w:hAnsi="Inter"/>
          <w:bCs/>
          <w:color w:val="000000"/>
          <w:spacing w:val="4"/>
        </w:rPr>
      </w:pPr>
    </w:p>
    <w:p w14:paraId="4FEDD6B8" w14:textId="1ECF4696" w:rsidR="000F5BD0" w:rsidRPr="005923B3" w:rsidRDefault="000F5BD0" w:rsidP="000F5BD0">
      <w:pPr>
        <w:spacing w:after="0" w:line="240" w:lineRule="auto"/>
        <w:rPr>
          <w:rFonts w:ascii="Inter" w:eastAsia="MS Gothic" w:hAnsi="Inter"/>
          <w:bCs/>
          <w:color w:val="000000"/>
          <w:spacing w:val="4"/>
        </w:rPr>
      </w:pPr>
      <w:r w:rsidRPr="005923B3">
        <w:rPr>
          <w:rFonts w:ascii="Inter" w:eastAsia="MS Gothic" w:hAnsi="Inter"/>
          <w:bCs/>
          <w:color w:val="000000"/>
          <w:spacing w:val="4"/>
        </w:rPr>
        <w:t>There are five new fields in AIIR v14 that are applicable to a BTR Entity or a BTR Payment Recipient.</w:t>
      </w:r>
    </w:p>
    <w:p w14:paraId="59F683AB" w14:textId="77777777" w:rsidR="000F5BD0" w:rsidRPr="005923B3" w:rsidRDefault="000F5BD0" w:rsidP="000F5BD0">
      <w:pPr>
        <w:spacing w:after="0" w:line="240" w:lineRule="auto"/>
        <w:rPr>
          <w:rFonts w:ascii="Inter" w:eastAsia="MS Gothic" w:hAnsi="Inter"/>
          <w:bCs/>
          <w:color w:val="000000"/>
          <w:spacing w:val="4"/>
        </w:rPr>
      </w:pPr>
    </w:p>
    <w:p w14:paraId="02B4CE23" w14:textId="1DF06F5D" w:rsidR="000F5BD0" w:rsidRPr="005923B3" w:rsidRDefault="000F5BD0" w:rsidP="000F5BD0">
      <w:pPr>
        <w:numPr>
          <w:ilvl w:val="0"/>
          <w:numId w:val="79"/>
        </w:numPr>
        <w:spacing w:after="0" w:line="240" w:lineRule="auto"/>
        <w:contextualSpacing/>
        <w:rPr>
          <w:rFonts w:ascii="Inter" w:eastAsia="MS Mincho" w:hAnsi="Inter"/>
          <w:i/>
          <w:iCs/>
          <w:color w:val="000000"/>
          <w:szCs w:val="22"/>
        </w:rPr>
      </w:pPr>
      <w:r w:rsidRPr="005923B3">
        <w:rPr>
          <w:rFonts w:ascii="Inter" w:eastAsia="MS Mincho" w:hAnsi="Inter"/>
          <w:i/>
          <w:iCs/>
          <w:color w:val="000000"/>
          <w:szCs w:val="22"/>
        </w:rPr>
        <w:t xml:space="preserve">BTR Entity or Payment Recipient </w:t>
      </w:r>
      <w:r w:rsidRPr="005923B3">
        <w:rPr>
          <w:rFonts w:ascii="Inter" w:eastAsia="MS Mincho" w:hAnsi="Inter"/>
          <w:color w:val="000000"/>
          <w:szCs w:val="22"/>
        </w:rPr>
        <w:t>(9.142)</w:t>
      </w:r>
      <w:r w:rsidRPr="005923B3">
        <w:rPr>
          <w:rFonts w:ascii="Inter" w:eastAsia="MS Mincho" w:hAnsi="Inter"/>
          <w:i/>
          <w:iCs/>
          <w:color w:val="000000"/>
          <w:szCs w:val="22"/>
        </w:rPr>
        <w:t xml:space="preserve"> </w:t>
      </w:r>
    </w:p>
    <w:p w14:paraId="7B2F041B" w14:textId="77777777" w:rsidR="000F5BD0" w:rsidRPr="005923B3" w:rsidRDefault="000F5BD0" w:rsidP="000F5BD0">
      <w:pPr>
        <w:numPr>
          <w:ilvl w:val="0"/>
          <w:numId w:val="79"/>
        </w:numPr>
        <w:spacing w:after="0" w:line="240" w:lineRule="auto"/>
        <w:contextualSpacing/>
        <w:rPr>
          <w:rFonts w:ascii="Inter" w:eastAsia="MS Mincho" w:hAnsi="Inter"/>
          <w:i/>
          <w:iCs/>
          <w:color w:val="000000"/>
          <w:szCs w:val="22"/>
        </w:rPr>
      </w:pPr>
      <w:r w:rsidRPr="005923B3">
        <w:rPr>
          <w:rFonts w:ascii="Inter" w:eastAsia="MS Mincho" w:hAnsi="Inter"/>
          <w:i/>
          <w:iCs/>
          <w:color w:val="000000"/>
          <w:szCs w:val="22"/>
        </w:rPr>
        <w:t xml:space="preserve">ATO BTR development ID </w:t>
      </w:r>
      <w:r w:rsidRPr="005923B3">
        <w:rPr>
          <w:rFonts w:ascii="Inter" w:eastAsia="MS Mincho" w:hAnsi="Inter"/>
          <w:color w:val="000000"/>
          <w:szCs w:val="22"/>
        </w:rPr>
        <w:t>(9.143)</w:t>
      </w:r>
    </w:p>
    <w:p w14:paraId="6D54C710" w14:textId="619D8848" w:rsidR="000F5BD0" w:rsidRPr="005923B3" w:rsidRDefault="000F5BD0" w:rsidP="000F5BD0">
      <w:pPr>
        <w:numPr>
          <w:ilvl w:val="0"/>
          <w:numId w:val="79"/>
        </w:numPr>
        <w:spacing w:after="0" w:line="240" w:lineRule="auto"/>
        <w:contextualSpacing/>
        <w:rPr>
          <w:rFonts w:ascii="Inter" w:eastAsia="MS Mincho" w:hAnsi="Inter"/>
          <w:i/>
          <w:iCs/>
          <w:color w:val="000000"/>
          <w:szCs w:val="22"/>
        </w:rPr>
      </w:pPr>
      <w:r w:rsidRPr="005923B3">
        <w:rPr>
          <w:rFonts w:ascii="Inter" w:eastAsia="MS Mincho" w:hAnsi="Inter"/>
          <w:i/>
          <w:iCs/>
          <w:color w:val="000000"/>
          <w:szCs w:val="22"/>
        </w:rPr>
        <w:t xml:space="preserve">BTR excluded from NCMI – non-primary production </w:t>
      </w:r>
      <w:r w:rsidRPr="005923B3">
        <w:rPr>
          <w:rFonts w:ascii="Inter" w:eastAsia="MS Mincho" w:hAnsi="Inter"/>
          <w:color w:val="000000"/>
          <w:szCs w:val="22"/>
        </w:rPr>
        <w:t>(9.144)</w:t>
      </w:r>
      <w:r w:rsidRPr="005923B3">
        <w:rPr>
          <w:rFonts w:ascii="Inter" w:eastAsia="MS Mincho" w:hAnsi="Inter"/>
          <w:i/>
          <w:iCs/>
          <w:color w:val="000000"/>
          <w:szCs w:val="22"/>
        </w:rPr>
        <w:t xml:space="preserve"> </w:t>
      </w:r>
    </w:p>
    <w:p w14:paraId="6865B36A" w14:textId="4CF19AF9" w:rsidR="000F5BD0" w:rsidRPr="005923B3" w:rsidRDefault="000F5BD0" w:rsidP="000F5BD0">
      <w:pPr>
        <w:numPr>
          <w:ilvl w:val="0"/>
          <w:numId w:val="79"/>
        </w:numPr>
        <w:spacing w:after="0" w:line="240" w:lineRule="auto"/>
        <w:contextualSpacing/>
        <w:rPr>
          <w:rFonts w:ascii="Inter" w:eastAsia="MS Mincho" w:hAnsi="Inter"/>
          <w:color w:val="000000"/>
          <w:szCs w:val="22"/>
        </w:rPr>
      </w:pPr>
      <w:r w:rsidRPr="005923B3">
        <w:rPr>
          <w:rFonts w:ascii="Inter" w:eastAsia="MS Mincho" w:hAnsi="Inter"/>
          <w:i/>
          <w:iCs/>
          <w:color w:val="000000"/>
          <w:szCs w:val="22"/>
        </w:rPr>
        <w:t xml:space="preserve">BTR excluded from NCMI capital gains </w:t>
      </w:r>
      <w:r w:rsidRPr="005923B3">
        <w:rPr>
          <w:rFonts w:ascii="Inter" w:eastAsia="MS Mincho" w:hAnsi="Inter"/>
          <w:color w:val="000000"/>
          <w:szCs w:val="22"/>
        </w:rPr>
        <w:t>(9.145)</w:t>
      </w:r>
    </w:p>
    <w:p w14:paraId="553803BF" w14:textId="09A128C6" w:rsidR="000F5BD0" w:rsidRPr="005923B3" w:rsidRDefault="000F5BD0" w:rsidP="000F5BD0">
      <w:pPr>
        <w:numPr>
          <w:ilvl w:val="0"/>
          <w:numId w:val="79"/>
        </w:numPr>
        <w:spacing w:after="0" w:line="240" w:lineRule="auto"/>
        <w:contextualSpacing/>
        <w:rPr>
          <w:rFonts w:ascii="Inter" w:eastAsia="MS Mincho" w:hAnsi="Inter"/>
          <w:color w:val="000000"/>
          <w:szCs w:val="22"/>
        </w:rPr>
      </w:pPr>
      <w:r w:rsidRPr="005923B3">
        <w:rPr>
          <w:rFonts w:ascii="Inter" w:eastAsia="MS Mincho" w:hAnsi="Inter"/>
          <w:i/>
          <w:iCs/>
          <w:color w:val="000000"/>
          <w:szCs w:val="22"/>
        </w:rPr>
        <w:t xml:space="preserve">Active BTR withholding </w:t>
      </w:r>
      <w:r w:rsidRPr="005923B3">
        <w:rPr>
          <w:rFonts w:ascii="Inter" w:eastAsia="MS Mincho" w:hAnsi="Inter"/>
          <w:color w:val="000000"/>
          <w:szCs w:val="22"/>
        </w:rPr>
        <w:t>(9.146)</w:t>
      </w:r>
    </w:p>
    <w:p w14:paraId="61EE87EE" w14:textId="77777777" w:rsidR="000F5BD0" w:rsidRPr="005923B3" w:rsidRDefault="000F5BD0" w:rsidP="000F5BD0">
      <w:pPr>
        <w:spacing w:after="0" w:line="240" w:lineRule="auto"/>
        <w:rPr>
          <w:rFonts w:ascii="Inter" w:eastAsia="MS Gothic" w:hAnsi="Inter"/>
          <w:bCs/>
          <w:color w:val="000000"/>
          <w:spacing w:val="4"/>
        </w:rPr>
      </w:pPr>
    </w:p>
    <w:p w14:paraId="2098D79D" w14:textId="5B6A4854" w:rsidR="000F5BD0" w:rsidRPr="005923B3" w:rsidRDefault="000F5BD0" w:rsidP="000F5BD0">
      <w:p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The following 3 examples are all connected to demonstrate how the distribution of a BTR payment could flow through BTR entities and BTR payment recipients. </w:t>
      </w:r>
    </w:p>
    <w:p w14:paraId="288A7306" w14:textId="3FEE7E5E" w:rsidR="000F5BD0" w:rsidRPr="005923B3" w:rsidRDefault="000F5BD0" w:rsidP="005C4B6F">
      <w:pPr>
        <w:pStyle w:val="Heading4"/>
      </w:pPr>
      <w:r w:rsidRPr="005923B3">
        <w:rPr>
          <w:rFonts w:cs="Times New Roman"/>
        </w:rPr>
        <w:t xml:space="preserve">Example </w:t>
      </w:r>
      <w:r w:rsidRPr="005923B3">
        <w:t>7.1 – Distribution from a BTR Entity (E) to a resident investor</w:t>
      </w:r>
    </w:p>
    <w:p w14:paraId="514ED3F1" w14:textId="09D4A4EF" w:rsidR="000F5BD0" w:rsidRPr="005923B3" w:rsidRDefault="000F5BD0" w:rsidP="000F5BD0">
      <w:p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Big Building Fund owns an active BTR development, ‘BTR Development 1’. </w:t>
      </w:r>
    </w:p>
    <w:p w14:paraId="470B5B60" w14:textId="77777777" w:rsidR="000F5BD0" w:rsidRPr="005923B3" w:rsidRDefault="000F5BD0" w:rsidP="000F5BD0">
      <w:pPr>
        <w:spacing w:after="0" w:line="240" w:lineRule="auto"/>
        <w:rPr>
          <w:rFonts w:ascii="Inter" w:eastAsia="MS Gothic" w:hAnsi="Inter"/>
          <w:bCs/>
          <w:color w:val="000000"/>
          <w:spacing w:val="4"/>
        </w:rPr>
      </w:pPr>
    </w:p>
    <w:p w14:paraId="61C6A438" w14:textId="6E538D57" w:rsidR="000F5BD0" w:rsidRDefault="000F5BD0" w:rsidP="000F5BD0">
      <w:pPr>
        <w:spacing w:after="0" w:line="240" w:lineRule="auto"/>
        <w:rPr>
          <w:rFonts w:ascii="Inter" w:eastAsia="MS Gothic" w:hAnsi="Inter"/>
          <w:color w:val="000000"/>
        </w:rPr>
      </w:pPr>
      <w:r w:rsidRPr="005923B3">
        <w:rPr>
          <w:rFonts w:ascii="Inter" w:eastAsia="MS Gothic" w:hAnsi="Inter"/>
          <w:color w:val="000000"/>
        </w:rPr>
        <w:t>Big Building Fund distributes the following amounts from BTR Development 1 to its resident investor:</w:t>
      </w:r>
    </w:p>
    <w:p w14:paraId="1E95CC6B" w14:textId="77777777" w:rsidR="00777FBF" w:rsidRPr="005923B3" w:rsidRDefault="00777FBF" w:rsidP="000F5BD0">
      <w:pPr>
        <w:spacing w:after="0" w:line="240" w:lineRule="auto"/>
        <w:rPr>
          <w:rFonts w:ascii="Inter" w:eastAsia="MS Gothic" w:hAnsi="Inter"/>
          <w:color w:val="000000"/>
        </w:rPr>
      </w:pPr>
    </w:p>
    <w:p w14:paraId="305C72A7" w14:textId="5ACBD5B1" w:rsidR="000F5BD0" w:rsidRPr="005923B3" w:rsidRDefault="000F5BD0" w:rsidP="000F5BD0">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 non-primary production </w:t>
      </w:r>
      <w:r w:rsidRPr="005923B3">
        <w:rPr>
          <w:rFonts w:ascii="Inter" w:eastAsia="MS Gothic" w:hAnsi="Inter"/>
          <w:bCs/>
          <w:color w:val="000000"/>
          <w:spacing w:val="4"/>
        </w:rPr>
        <w:tab/>
        <w:t>$10,000.00</w:t>
      </w:r>
    </w:p>
    <w:p w14:paraId="65A73B85" w14:textId="765E8ECF" w:rsidR="000F5BD0" w:rsidRPr="005923B3" w:rsidRDefault="000F5BD0" w:rsidP="000F5BD0">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capital gains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$7,000.00</w:t>
      </w:r>
    </w:p>
    <w:p w14:paraId="5BA348C3" w14:textId="4251B0E5" w:rsidR="000F5BD0" w:rsidRPr="005923B3" w:rsidRDefault="000F5BD0" w:rsidP="000F5BD0">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Active BTR withholding amount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$0.00</w:t>
      </w:r>
    </w:p>
    <w:p w14:paraId="3822E323" w14:textId="77777777" w:rsidR="00777FBF" w:rsidRDefault="00777FBF" w:rsidP="000F5BD0">
      <w:pPr>
        <w:spacing w:after="0" w:line="240" w:lineRule="auto"/>
        <w:textAlignment w:val="baseline"/>
        <w:rPr>
          <w:rFonts w:ascii="Inter" w:eastAsia="Times New Roman" w:hAnsi="Inter" w:cs="Segoe UI"/>
          <w:b/>
          <w:bCs/>
          <w:smallCaps/>
          <w:lang w:eastAsia="en-AU"/>
        </w:rPr>
      </w:pPr>
    </w:p>
    <w:p w14:paraId="721119FC" w14:textId="77777777" w:rsidR="00777FBF" w:rsidRDefault="00777FBF" w:rsidP="000F5BD0">
      <w:pPr>
        <w:spacing w:after="0" w:line="240" w:lineRule="auto"/>
        <w:textAlignment w:val="baseline"/>
        <w:rPr>
          <w:rFonts w:ascii="Inter" w:eastAsia="Times New Roman" w:hAnsi="Inter" w:cs="Segoe UI"/>
          <w:b/>
          <w:bCs/>
          <w:smallCaps/>
          <w:lang w:eastAsia="en-AU"/>
        </w:rPr>
      </w:pPr>
    </w:p>
    <w:p w14:paraId="35ED0AC6" w14:textId="77777777" w:rsidR="00777FBF" w:rsidRDefault="00777FBF" w:rsidP="000F5BD0">
      <w:pPr>
        <w:spacing w:after="0" w:line="240" w:lineRule="auto"/>
        <w:textAlignment w:val="baseline"/>
        <w:rPr>
          <w:rFonts w:ascii="Inter" w:eastAsia="Times New Roman" w:hAnsi="Inter" w:cs="Segoe UI"/>
          <w:b/>
          <w:bCs/>
          <w:smallCaps/>
          <w:lang w:eastAsia="en-AU"/>
        </w:rPr>
      </w:pPr>
    </w:p>
    <w:p w14:paraId="3036F19E" w14:textId="77777777" w:rsidR="00777FBF" w:rsidRDefault="00777FBF" w:rsidP="000F5BD0">
      <w:pPr>
        <w:spacing w:after="0" w:line="240" w:lineRule="auto"/>
        <w:textAlignment w:val="baseline"/>
        <w:rPr>
          <w:rFonts w:ascii="Inter" w:eastAsia="Times New Roman" w:hAnsi="Inter" w:cs="Segoe UI"/>
          <w:b/>
          <w:bCs/>
          <w:smallCaps/>
          <w:lang w:eastAsia="en-AU"/>
        </w:rPr>
      </w:pPr>
    </w:p>
    <w:p w14:paraId="6069AE20" w14:textId="77777777" w:rsidR="00777FBF" w:rsidRDefault="00777FBF" w:rsidP="000F5BD0">
      <w:pPr>
        <w:spacing w:after="0" w:line="240" w:lineRule="auto"/>
        <w:textAlignment w:val="baseline"/>
        <w:rPr>
          <w:rFonts w:ascii="Inter" w:eastAsia="Times New Roman" w:hAnsi="Inter" w:cs="Segoe UI"/>
          <w:b/>
          <w:bCs/>
          <w:smallCaps/>
          <w:lang w:eastAsia="en-AU"/>
        </w:rPr>
      </w:pPr>
    </w:p>
    <w:p w14:paraId="2B09C861" w14:textId="77777777" w:rsidR="00777FBF" w:rsidRDefault="00777FBF" w:rsidP="000F5BD0">
      <w:pPr>
        <w:spacing w:after="0" w:line="240" w:lineRule="auto"/>
        <w:textAlignment w:val="baseline"/>
        <w:rPr>
          <w:rFonts w:ascii="Inter" w:eastAsia="Times New Roman" w:hAnsi="Inter" w:cs="Segoe UI"/>
          <w:b/>
          <w:bCs/>
          <w:smallCaps/>
          <w:lang w:eastAsia="en-AU"/>
        </w:rPr>
      </w:pPr>
    </w:p>
    <w:p w14:paraId="4190BCC2" w14:textId="61F910E3" w:rsidR="000F5BD0" w:rsidRPr="005923B3" w:rsidRDefault="000F5BD0" w:rsidP="000F5BD0">
      <w:pPr>
        <w:spacing w:after="0" w:line="240" w:lineRule="auto"/>
        <w:textAlignment w:val="baseline"/>
        <w:rPr>
          <w:rFonts w:ascii="Segoe UI" w:eastAsia="Times New Roman" w:hAnsi="Segoe UI" w:cs="Segoe UI"/>
          <w:sz w:val="18"/>
          <w:szCs w:val="18"/>
          <w:lang w:eastAsia="en-AU"/>
        </w:rPr>
      </w:pPr>
      <w:r w:rsidRPr="005923B3">
        <w:rPr>
          <w:rFonts w:ascii="Inter" w:eastAsia="Times New Roman" w:hAnsi="Inter" w:cs="Segoe UI"/>
          <w:b/>
          <w:bCs/>
          <w:smallCaps/>
          <w:lang w:eastAsia="en-AU"/>
        </w:rPr>
        <w:t>Investment body identity data record </w:t>
      </w:r>
      <w:r w:rsidRPr="005923B3">
        <w:rPr>
          <w:rFonts w:ascii="Inter" w:eastAsia="Times New Roman" w:hAnsi="Inter" w:cs="Segoe UI"/>
          <w:smallCaps/>
          <w:lang w:eastAsia="en-AU"/>
        </w:rPr>
        <w:t>(extract) </w:t>
      </w:r>
      <w:r w:rsidRPr="005923B3">
        <w:rPr>
          <w:rFonts w:ascii="Inter" w:eastAsia="Times New Roman" w:hAnsi="Inter" w:cs="Segoe UI"/>
          <w:lang w:eastAsia="en-AU"/>
        </w:rPr>
        <w:t> </w:t>
      </w:r>
    </w:p>
    <w:p w14:paraId="68A630D2" w14:textId="77777777" w:rsidR="00EE34B9" w:rsidRPr="001F4A1E" w:rsidRDefault="00EE34B9" w:rsidP="00EE34B9">
      <w:pPr>
        <w:spacing w:after="0" w:line="240" w:lineRule="auto"/>
        <w:textAlignment w:val="baseline"/>
        <w:rPr>
          <w:rFonts w:ascii="Segoe UI" w:eastAsia="Times New Roman" w:hAnsi="Segoe UI" w:cs="Segoe UI"/>
          <w:color w:val="auto"/>
          <w:sz w:val="18"/>
          <w:szCs w:val="18"/>
          <w:lang w:eastAsia="en-AU"/>
        </w:rPr>
      </w:pPr>
      <w:r w:rsidRPr="001F4A1E">
        <w:rPr>
          <w:rFonts w:ascii="Arial" w:eastAsia="Times New Roman" w:hAnsi="Arial" w:cs="Arial"/>
          <w:color w:val="auto"/>
          <w:lang w:eastAsia="en-AU"/>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5185"/>
        <w:gridCol w:w="2863"/>
      </w:tblGrid>
      <w:tr w:rsidR="00EE34B9" w:rsidRPr="001F4A1E" w14:paraId="247CBEEE" w14:textId="77777777">
        <w:trPr>
          <w:trHeight w:val="495"/>
        </w:trPr>
        <w:tc>
          <w:tcPr>
            <w:tcW w:w="1140"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4AABDA08"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Reference number</w:t>
            </w:r>
            <w:r w:rsidRPr="001F4A1E">
              <w:rPr>
                <w:rFonts w:ascii="Inter" w:eastAsia="Times New Roman" w:hAnsi="Inter"/>
                <w:color w:val="000000"/>
                <w:lang w:eastAsia="en-AU"/>
              </w:rPr>
              <w:t> </w:t>
            </w:r>
          </w:p>
        </w:tc>
        <w:tc>
          <w:tcPr>
            <w:tcW w:w="5190" w:type="dxa"/>
            <w:tcBorders>
              <w:top w:val="single" w:sz="8" w:space="0" w:color="auto"/>
              <w:left w:val="nil"/>
              <w:bottom w:val="single" w:sz="8" w:space="0" w:color="auto"/>
              <w:right w:val="single" w:sz="8" w:space="0" w:color="auto"/>
            </w:tcBorders>
            <w:shd w:val="clear" w:color="auto" w:fill="B3B3B3"/>
            <w:vAlign w:val="center"/>
            <w:hideMark/>
          </w:tcPr>
          <w:p w14:paraId="3DD83468"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Field name</w:t>
            </w:r>
            <w:r w:rsidRPr="001F4A1E">
              <w:rPr>
                <w:rFonts w:ascii="Inter" w:eastAsia="Times New Roman" w:hAnsi="Inter"/>
                <w:color w:val="000000"/>
                <w:lang w:eastAsia="en-AU"/>
              </w:rPr>
              <w:t> </w:t>
            </w:r>
          </w:p>
        </w:tc>
        <w:tc>
          <w:tcPr>
            <w:tcW w:w="2865" w:type="dxa"/>
            <w:tcBorders>
              <w:top w:val="single" w:sz="8" w:space="0" w:color="auto"/>
              <w:left w:val="nil"/>
              <w:bottom w:val="single" w:sz="8" w:space="0" w:color="auto"/>
              <w:right w:val="single" w:sz="8" w:space="0" w:color="auto"/>
            </w:tcBorders>
            <w:shd w:val="clear" w:color="auto" w:fill="B3B3B3"/>
            <w:vAlign w:val="center"/>
            <w:hideMark/>
          </w:tcPr>
          <w:p w14:paraId="2A5F48E8"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Content</w:t>
            </w:r>
            <w:r w:rsidRPr="001F4A1E">
              <w:rPr>
                <w:rFonts w:ascii="Inter" w:eastAsia="Times New Roman" w:hAnsi="Inter"/>
                <w:color w:val="000000"/>
                <w:lang w:eastAsia="en-AU"/>
              </w:rPr>
              <w:t> </w:t>
            </w:r>
          </w:p>
        </w:tc>
      </w:tr>
      <w:tr w:rsidR="00EE34B9" w:rsidRPr="001F4A1E" w14:paraId="5CF7C395" w14:textId="77777777">
        <w:trPr>
          <w:trHeight w:val="270"/>
        </w:trPr>
        <w:tc>
          <w:tcPr>
            <w:tcW w:w="1140" w:type="dxa"/>
            <w:tcBorders>
              <w:top w:val="nil"/>
              <w:left w:val="single" w:sz="8" w:space="0" w:color="auto"/>
              <w:bottom w:val="single" w:sz="4" w:space="0" w:color="auto"/>
              <w:right w:val="single" w:sz="8" w:space="0" w:color="auto"/>
            </w:tcBorders>
            <w:vAlign w:val="center"/>
            <w:hideMark/>
          </w:tcPr>
          <w:p w14:paraId="60B57159"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9.30 </w:t>
            </w:r>
          </w:p>
        </w:tc>
        <w:tc>
          <w:tcPr>
            <w:tcW w:w="5190" w:type="dxa"/>
            <w:tcBorders>
              <w:top w:val="nil"/>
              <w:left w:val="nil"/>
              <w:bottom w:val="single" w:sz="4" w:space="0" w:color="auto"/>
              <w:right w:val="single" w:sz="8" w:space="0" w:color="auto"/>
            </w:tcBorders>
            <w:vAlign w:val="center"/>
            <w:hideMark/>
          </w:tcPr>
          <w:p w14:paraId="2BCA48B6"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Financial year </w:t>
            </w:r>
          </w:p>
        </w:tc>
        <w:tc>
          <w:tcPr>
            <w:tcW w:w="2865" w:type="dxa"/>
            <w:tcBorders>
              <w:top w:val="nil"/>
              <w:left w:val="nil"/>
              <w:bottom w:val="single" w:sz="4" w:space="0" w:color="auto"/>
              <w:right w:val="single" w:sz="8" w:space="0" w:color="auto"/>
            </w:tcBorders>
            <w:vAlign w:val="center"/>
            <w:hideMark/>
          </w:tcPr>
          <w:p w14:paraId="0A543EBE"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2</w:t>
            </w:r>
            <w:r>
              <w:rPr>
                <w:rFonts w:eastAsia="Times New Roman"/>
                <w:lang w:eastAsia="en-AU"/>
              </w:rPr>
              <w:t>026</w:t>
            </w:r>
          </w:p>
        </w:tc>
      </w:tr>
      <w:tr w:rsidR="00EE34B9" w:rsidRPr="001F4A1E" w14:paraId="269E5955" w14:textId="77777777">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28170CB0"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9.31 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174E8273"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Australian business number (ABN) or withholding payer number (WPN)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39EF2655"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 xml:space="preserve">ABN of </w:t>
            </w:r>
            <w:r>
              <w:rPr>
                <w:rFonts w:ascii="Inter" w:eastAsia="Times New Roman" w:hAnsi="Inter"/>
                <w:color w:val="000000"/>
                <w:lang w:eastAsia="en-AU"/>
              </w:rPr>
              <w:t>Big Building Fund</w:t>
            </w:r>
            <w:r w:rsidRPr="001F4A1E">
              <w:rPr>
                <w:rFonts w:ascii="Inter" w:eastAsia="Times New Roman" w:hAnsi="Inter"/>
                <w:color w:val="000000"/>
                <w:lang w:eastAsia="en-AU"/>
              </w:rPr>
              <w:t> </w:t>
            </w:r>
          </w:p>
        </w:tc>
      </w:tr>
      <w:tr w:rsidR="00EE34B9" w:rsidRPr="001F4A1E" w14:paraId="25AAB0D5" w14:textId="77777777">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23D5CC2D"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9.33 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5C0699F6"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registered name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44D5461"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Big Building Fund</w:t>
            </w:r>
            <w:r w:rsidRPr="001F4A1E">
              <w:rPr>
                <w:rFonts w:ascii="Inter" w:eastAsia="Times New Roman" w:hAnsi="Inter"/>
                <w:color w:val="000000"/>
                <w:lang w:eastAsia="en-AU"/>
              </w:rPr>
              <w:t> </w:t>
            </w:r>
          </w:p>
        </w:tc>
      </w:tr>
      <w:tr w:rsidR="00EE34B9" w:rsidRPr="001F4A1E" w14:paraId="3172EAE0" w14:textId="77777777">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204E9992"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9.48 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026646BE"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entity type code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28B48C31"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T </w:t>
            </w:r>
          </w:p>
        </w:tc>
      </w:tr>
      <w:tr w:rsidR="00EE34B9" w:rsidRPr="001F4A1E" w14:paraId="213D40A0" w14:textId="77777777">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20A97143"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9.49 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1F6AE1AC"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entity sub-type code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2603E27" w14:textId="77777777" w:rsidR="00EE34B9" w:rsidRPr="001F4A1E" w:rsidRDefault="00EE34B9">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NMT</w:t>
            </w:r>
          </w:p>
        </w:tc>
      </w:tr>
    </w:tbl>
    <w:p w14:paraId="7E5E91DE" w14:textId="77777777" w:rsidR="00EE34B9" w:rsidRDefault="00EE34B9" w:rsidP="00EE34B9">
      <w:pPr>
        <w:pStyle w:val="Maintext"/>
        <w:rPr>
          <w:rFonts w:asciiTheme="minorHAnsi" w:eastAsiaTheme="majorEastAsia" w:hAnsiTheme="minorHAnsi" w:cstheme="majorBidi"/>
          <w:bCs/>
          <w:color w:val="000000" w:themeColor="text1"/>
          <w:spacing w:val="4"/>
          <w:sz w:val="20"/>
          <w:szCs w:val="20"/>
          <w:lang w:eastAsia="en-US"/>
        </w:rPr>
      </w:pPr>
    </w:p>
    <w:p w14:paraId="0D0EEAF6" w14:textId="77777777" w:rsidR="00EE34B9" w:rsidRDefault="00EE34B9" w:rsidP="00EE34B9">
      <w:pPr>
        <w:spacing w:after="0" w:line="240" w:lineRule="auto"/>
        <w:textAlignment w:val="baseline"/>
        <w:rPr>
          <w:rFonts w:ascii="Inter" w:eastAsia="Times New Roman" w:hAnsi="Inter" w:cs="Segoe UI"/>
          <w:color w:val="000000"/>
          <w:lang w:eastAsia="en-AU"/>
        </w:rPr>
      </w:pPr>
      <w:r w:rsidRPr="00793CF4">
        <w:rPr>
          <w:rFonts w:ascii="Inter" w:eastAsia="Times New Roman" w:hAnsi="Inter" w:cs="Segoe UI"/>
          <w:b/>
          <w:bCs/>
          <w:smallCaps/>
          <w:color w:val="000000"/>
          <w:lang w:eastAsia="en-AU"/>
        </w:rPr>
        <w:t>investment account data record 1 </w:t>
      </w:r>
      <w:r w:rsidRPr="00793CF4">
        <w:rPr>
          <w:rFonts w:ascii="Inter" w:eastAsia="Times New Roman" w:hAnsi="Inter" w:cs="Segoe UI"/>
          <w:smallCaps/>
          <w:color w:val="000000"/>
          <w:lang w:eastAsia="en-AU"/>
        </w:rPr>
        <w:t>(extract)</w:t>
      </w:r>
      <w:r w:rsidRPr="00793CF4">
        <w:rPr>
          <w:rFonts w:ascii="Inter" w:eastAsia="Times New Roman" w:hAnsi="Inter" w:cs="Segoe UI"/>
          <w:color w:val="000000"/>
          <w:lang w:eastAsia="en-AU"/>
        </w:rPr>
        <w:t> </w:t>
      </w:r>
    </w:p>
    <w:p w14:paraId="105895D8" w14:textId="77777777" w:rsidR="00EE34B9" w:rsidRPr="00793CF4" w:rsidRDefault="00EE34B9" w:rsidP="00EE34B9">
      <w:pPr>
        <w:spacing w:after="0" w:line="240" w:lineRule="auto"/>
        <w:textAlignment w:val="baseline"/>
        <w:rPr>
          <w:rFonts w:ascii="Segoe UI" w:eastAsia="Times New Roman" w:hAnsi="Segoe UI" w:cs="Segoe UI"/>
          <w:color w:val="000000"/>
          <w:sz w:val="18"/>
          <w:szCs w:val="18"/>
          <w:lang w:eastAsia="en-AU"/>
        </w:rPr>
      </w:pPr>
    </w:p>
    <w:tbl>
      <w:tblPr>
        <w:tblW w:w="9188"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4"/>
        <w:gridCol w:w="4744"/>
        <w:gridCol w:w="2720"/>
      </w:tblGrid>
      <w:tr w:rsidR="00EE34B9" w:rsidRPr="00793CF4" w14:paraId="2BDABFCE" w14:textId="77777777">
        <w:trPr>
          <w:trHeight w:val="495"/>
        </w:trPr>
        <w:tc>
          <w:tcPr>
            <w:tcW w:w="1724"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317934F8"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b/>
                <w:bCs/>
                <w:color w:val="000000"/>
                <w:lang w:eastAsia="en-AU"/>
              </w:rPr>
              <w:t>Reference number</w:t>
            </w:r>
            <w:r w:rsidRPr="00793CF4">
              <w:rPr>
                <w:rFonts w:ascii="Inter" w:eastAsia="Times New Roman" w:hAnsi="Inter"/>
                <w:color w:val="000000"/>
                <w:lang w:eastAsia="en-AU"/>
              </w:rPr>
              <w:t> </w:t>
            </w:r>
          </w:p>
        </w:tc>
        <w:tc>
          <w:tcPr>
            <w:tcW w:w="4744" w:type="dxa"/>
            <w:tcBorders>
              <w:top w:val="single" w:sz="8" w:space="0" w:color="auto"/>
              <w:left w:val="nil"/>
              <w:bottom w:val="single" w:sz="8" w:space="0" w:color="auto"/>
              <w:right w:val="single" w:sz="8" w:space="0" w:color="auto"/>
            </w:tcBorders>
            <w:shd w:val="clear" w:color="auto" w:fill="B3B3B3"/>
            <w:vAlign w:val="center"/>
            <w:hideMark/>
          </w:tcPr>
          <w:p w14:paraId="11F1DC19"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b/>
                <w:bCs/>
                <w:color w:val="000000"/>
                <w:lang w:eastAsia="en-AU"/>
              </w:rPr>
              <w:t>Field name</w:t>
            </w:r>
            <w:r w:rsidRPr="00793CF4">
              <w:rPr>
                <w:rFonts w:ascii="Inter" w:eastAsia="Times New Roman" w:hAnsi="Inter"/>
                <w:color w:val="000000"/>
                <w:lang w:eastAsia="en-AU"/>
              </w:rPr>
              <w:t> </w:t>
            </w:r>
          </w:p>
        </w:tc>
        <w:tc>
          <w:tcPr>
            <w:tcW w:w="2720" w:type="dxa"/>
            <w:tcBorders>
              <w:top w:val="single" w:sz="8" w:space="0" w:color="auto"/>
              <w:left w:val="nil"/>
              <w:bottom w:val="single" w:sz="8" w:space="0" w:color="auto"/>
              <w:right w:val="single" w:sz="8" w:space="0" w:color="auto"/>
            </w:tcBorders>
            <w:shd w:val="clear" w:color="auto" w:fill="B3B3B3"/>
            <w:vAlign w:val="center"/>
            <w:hideMark/>
          </w:tcPr>
          <w:p w14:paraId="069561EF"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b/>
                <w:bCs/>
                <w:color w:val="000000"/>
                <w:lang w:eastAsia="en-AU"/>
              </w:rPr>
              <w:t>Content</w:t>
            </w:r>
            <w:r w:rsidRPr="00793CF4">
              <w:rPr>
                <w:rFonts w:ascii="Inter" w:eastAsia="Times New Roman" w:hAnsi="Inter"/>
                <w:color w:val="000000"/>
                <w:lang w:eastAsia="en-AU"/>
              </w:rPr>
              <w:t> </w:t>
            </w:r>
          </w:p>
        </w:tc>
      </w:tr>
      <w:tr w:rsidR="00EE34B9" w:rsidRPr="00793CF4" w14:paraId="75415D2E" w14:textId="77777777">
        <w:trPr>
          <w:trHeight w:val="270"/>
        </w:trPr>
        <w:tc>
          <w:tcPr>
            <w:tcW w:w="1724" w:type="dxa"/>
            <w:tcBorders>
              <w:top w:val="nil"/>
              <w:left w:val="single" w:sz="8" w:space="0" w:color="auto"/>
              <w:bottom w:val="single" w:sz="8" w:space="0" w:color="auto"/>
              <w:right w:val="single" w:sz="8" w:space="0" w:color="auto"/>
            </w:tcBorders>
            <w:vAlign w:val="center"/>
            <w:hideMark/>
          </w:tcPr>
          <w:p w14:paraId="01FCFB3C"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9.62 </w:t>
            </w:r>
          </w:p>
        </w:tc>
        <w:tc>
          <w:tcPr>
            <w:tcW w:w="4744" w:type="dxa"/>
            <w:tcBorders>
              <w:top w:val="nil"/>
              <w:left w:val="nil"/>
              <w:bottom w:val="single" w:sz="8" w:space="0" w:color="auto"/>
              <w:right w:val="single" w:sz="8" w:space="0" w:color="auto"/>
            </w:tcBorders>
            <w:vAlign w:val="center"/>
            <w:hideMark/>
          </w:tcPr>
          <w:p w14:paraId="613EE584"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Sequence number of DACCOUNT record </w:t>
            </w:r>
          </w:p>
        </w:tc>
        <w:tc>
          <w:tcPr>
            <w:tcW w:w="2720" w:type="dxa"/>
            <w:tcBorders>
              <w:top w:val="nil"/>
              <w:left w:val="nil"/>
              <w:bottom w:val="single" w:sz="8" w:space="0" w:color="auto"/>
              <w:right w:val="single" w:sz="8" w:space="0" w:color="auto"/>
            </w:tcBorders>
            <w:vAlign w:val="center"/>
            <w:hideMark/>
          </w:tcPr>
          <w:p w14:paraId="44F7E60D"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01 </w:t>
            </w:r>
          </w:p>
        </w:tc>
      </w:tr>
      <w:tr w:rsidR="00EE34B9" w:rsidRPr="00793CF4" w14:paraId="16630A12" w14:textId="77777777">
        <w:trPr>
          <w:trHeight w:val="270"/>
        </w:trPr>
        <w:tc>
          <w:tcPr>
            <w:tcW w:w="1724" w:type="dxa"/>
            <w:tcBorders>
              <w:top w:val="nil"/>
              <w:left w:val="single" w:sz="8" w:space="0" w:color="auto"/>
              <w:bottom w:val="single" w:sz="8" w:space="0" w:color="auto"/>
              <w:right w:val="single" w:sz="8" w:space="0" w:color="auto"/>
            </w:tcBorders>
            <w:vAlign w:val="center"/>
            <w:hideMark/>
          </w:tcPr>
          <w:p w14:paraId="67A0B375"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9.63 </w:t>
            </w:r>
          </w:p>
        </w:tc>
        <w:tc>
          <w:tcPr>
            <w:tcW w:w="4744" w:type="dxa"/>
            <w:tcBorders>
              <w:top w:val="nil"/>
              <w:left w:val="nil"/>
              <w:bottom w:val="single" w:sz="8" w:space="0" w:color="auto"/>
              <w:right w:val="single" w:sz="8" w:space="0" w:color="auto"/>
            </w:tcBorders>
            <w:vAlign w:val="center"/>
            <w:hideMark/>
          </w:tcPr>
          <w:p w14:paraId="1B117230"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Investment reference number </w:t>
            </w:r>
          </w:p>
        </w:tc>
        <w:tc>
          <w:tcPr>
            <w:tcW w:w="2720" w:type="dxa"/>
            <w:tcBorders>
              <w:top w:val="nil"/>
              <w:left w:val="nil"/>
              <w:bottom w:val="single" w:sz="8" w:space="0" w:color="auto"/>
              <w:right w:val="single" w:sz="8" w:space="0" w:color="auto"/>
            </w:tcBorders>
            <w:vAlign w:val="center"/>
            <w:hideMark/>
          </w:tcPr>
          <w:p w14:paraId="07565762"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968265448</w:t>
            </w:r>
          </w:p>
        </w:tc>
      </w:tr>
      <w:tr w:rsidR="00EE34B9" w:rsidRPr="00793CF4" w14:paraId="0C6943F0" w14:textId="77777777">
        <w:trPr>
          <w:trHeight w:val="270"/>
        </w:trPr>
        <w:tc>
          <w:tcPr>
            <w:tcW w:w="1724" w:type="dxa"/>
            <w:tcBorders>
              <w:top w:val="nil"/>
              <w:left w:val="single" w:sz="8" w:space="0" w:color="auto"/>
              <w:bottom w:val="single" w:sz="8" w:space="0" w:color="auto"/>
              <w:right w:val="single" w:sz="8" w:space="0" w:color="auto"/>
            </w:tcBorders>
            <w:vAlign w:val="center"/>
            <w:hideMark/>
          </w:tcPr>
          <w:p w14:paraId="7086023E"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9.64 </w:t>
            </w:r>
          </w:p>
        </w:tc>
        <w:tc>
          <w:tcPr>
            <w:tcW w:w="4744" w:type="dxa"/>
            <w:tcBorders>
              <w:top w:val="nil"/>
              <w:left w:val="nil"/>
              <w:bottom w:val="single" w:sz="8" w:space="0" w:color="auto"/>
              <w:right w:val="single" w:sz="8" w:space="0" w:color="auto"/>
            </w:tcBorders>
            <w:vAlign w:val="center"/>
            <w:hideMark/>
          </w:tcPr>
          <w:p w14:paraId="6010FD15"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Account reference number </w:t>
            </w:r>
          </w:p>
        </w:tc>
        <w:tc>
          <w:tcPr>
            <w:tcW w:w="2720" w:type="dxa"/>
            <w:tcBorders>
              <w:top w:val="nil"/>
              <w:left w:val="nil"/>
              <w:bottom w:val="single" w:sz="8" w:space="0" w:color="auto"/>
              <w:right w:val="single" w:sz="8" w:space="0" w:color="auto"/>
            </w:tcBorders>
            <w:vAlign w:val="center"/>
            <w:hideMark/>
          </w:tcPr>
          <w:p w14:paraId="06C9F283"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4486572</w:t>
            </w:r>
          </w:p>
        </w:tc>
      </w:tr>
      <w:tr w:rsidR="00EE34B9" w:rsidRPr="00793CF4" w14:paraId="4C175190" w14:textId="77777777">
        <w:trPr>
          <w:trHeight w:val="270"/>
        </w:trPr>
        <w:tc>
          <w:tcPr>
            <w:tcW w:w="1724" w:type="dxa"/>
            <w:tcBorders>
              <w:top w:val="nil"/>
              <w:left w:val="single" w:sz="8" w:space="0" w:color="auto"/>
              <w:bottom w:val="single" w:sz="8" w:space="0" w:color="auto"/>
              <w:right w:val="single" w:sz="8" w:space="0" w:color="auto"/>
            </w:tcBorders>
            <w:vAlign w:val="center"/>
          </w:tcPr>
          <w:p w14:paraId="3D601871" w14:textId="77777777" w:rsidR="00EE34B9" w:rsidRPr="00793CF4" w:rsidRDefault="00EE34B9">
            <w:pPr>
              <w:spacing w:after="0" w:line="240" w:lineRule="auto"/>
              <w:textAlignment w:val="baseline"/>
              <w:rPr>
                <w:rFonts w:ascii="Inter" w:eastAsia="Times New Roman" w:hAnsi="Inter"/>
                <w:color w:val="000000"/>
                <w:lang w:eastAsia="en-AU"/>
              </w:rPr>
            </w:pPr>
            <w:r w:rsidRPr="004722FB">
              <w:rPr>
                <w:rFonts w:ascii="Inter" w:eastAsia="Times New Roman" w:hAnsi="Inter"/>
                <w:color w:val="000000"/>
                <w:lang w:eastAsia="en-AU"/>
              </w:rPr>
              <w:t>9.67</w:t>
            </w:r>
          </w:p>
        </w:tc>
        <w:tc>
          <w:tcPr>
            <w:tcW w:w="4744" w:type="dxa"/>
            <w:tcBorders>
              <w:top w:val="nil"/>
              <w:left w:val="nil"/>
              <w:bottom w:val="single" w:sz="8" w:space="0" w:color="auto"/>
              <w:right w:val="single" w:sz="8" w:space="0" w:color="auto"/>
            </w:tcBorders>
            <w:vAlign w:val="center"/>
          </w:tcPr>
          <w:p w14:paraId="2A96811E" w14:textId="77777777" w:rsidR="00EE34B9" w:rsidRPr="00793CF4" w:rsidRDefault="00EE34B9">
            <w:pPr>
              <w:spacing w:after="0" w:line="240" w:lineRule="auto"/>
              <w:textAlignment w:val="baseline"/>
              <w:rPr>
                <w:rFonts w:ascii="Inter" w:eastAsia="Times New Roman" w:hAnsi="Inter"/>
                <w:color w:val="000000"/>
                <w:lang w:eastAsia="en-AU"/>
              </w:rPr>
            </w:pPr>
            <w:r w:rsidRPr="004722FB">
              <w:rPr>
                <w:rFonts w:ascii="Inter" w:eastAsia="Times New Roman" w:hAnsi="Inter"/>
                <w:color w:val="000000"/>
                <w:lang w:eastAsia="en-AU"/>
              </w:rPr>
              <w:t>Account name</w:t>
            </w:r>
          </w:p>
        </w:tc>
        <w:tc>
          <w:tcPr>
            <w:tcW w:w="2720" w:type="dxa"/>
            <w:tcBorders>
              <w:top w:val="nil"/>
              <w:left w:val="nil"/>
              <w:bottom w:val="single" w:sz="8" w:space="0" w:color="auto"/>
              <w:right w:val="single" w:sz="8" w:space="0" w:color="auto"/>
            </w:tcBorders>
            <w:vAlign w:val="center"/>
          </w:tcPr>
          <w:p w14:paraId="6AE41C1C" w14:textId="77777777" w:rsidR="00EE34B9" w:rsidRPr="00793CF4" w:rsidRDefault="00EE34B9">
            <w:pPr>
              <w:spacing w:after="0" w:line="240" w:lineRule="auto"/>
              <w:textAlignment w:val="baseline"/>
              <w:rPr>
                <w:rFonts w:ascii="Inter" w:eastAsia="Times New Roman" w:hAnsi="Inter"/>
                <w:color w:val="000000"/>
                <w:lang w:eastAsia="en-AU"/>
              </w:rPr>
            </w:pPr>
            <w:r>
              <w:rPr>
                <w:rFonts w:ascii="Inter" w:eastAsia="Times New Roman" w:hAnsi="Inter"/>
                <w:color w:val="000000"/>
                <w:lang w:eastAsia="en-AU"/>
              </w:rPr>
              <w:t>Greenway Commercial Trust</w:t>
            </w:r>
          </w:p>
        </w:tc>
      </w:tr>
      <w:tr w:rsidR="00EE34B9" w:rsidRPr="00793CF4" w14:paraId="34F11F0D" w14:textId="77777777">
        <w:trPr>
          <w:trHeight w:val="270"/>
        </w:trPr>
        <w:tc>
          <w:tcPr>
            <w:tcW w:w="1724" w:type="dxa"/>
            <w:tcBorders>
              <w:top w:val="nil"/>
              <w:left w:val="single" w:sz="8" w:space="0" w:color="auto"/>
              <w:bottom w:val="single" w:sz="8" w:space="0" w:color="auto"/>
              <w:right w:val="single" w:sz="8" w:space="0" w:color="auto"/>
            </w:tcBorders>
            <w:vAlign w:val="center"/>
            <w:hideMark/>
          </w:tcPr>
          <w:p w14:paraId="35A0D0AA"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9.70 </w:t>
            </w:r>
          </w:p>
        </w:tc>
        <w:tc>
          <w:tcPr>
            <w:tcW w:w="4744" w:type="dxa"/>
            <w:tcBorders>
              <w:top w:val="nil"/>
              <w:left w:val="nil"/>
              <w:bottom w:val="single" w:sz="8" w:space="0" w:color="auto"/>
              <w:right w:val="single" w:sz="8" w:space="0" w:color="auto"/>
            </w:tcBorders>
            <w:vAlign w:val="center"/>
            <w:hideMark/>
          </w:tcPr>
          <w:p w14:paraId="7571CAF1"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Date of payment (DDMMCCYY) </w:t>
            </w:r>
          </w:p>
        </w:tc>
        <w:tc>
          <w:tcPr>
            <w:tcW w:w="2720" w:type="dxa"/>
            <w:tcBorders>
              <w:top w:val="nil"/>
              <w:left w:val="nil"/>
              <w:bottom w:val="single" w:sz="8" w:space="0" w:color="auto"/>
              <w:right w:val="single" w:sz="8" w:space="0" w:color="auto"/>
            </w:tcBorders>
            <w:vAlign w:val="center"/>
            <w:hideMark/>
          </w:tcPr>
          <w:p w14:paraId="298380CE"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30062026</w:t>
            </w:r>
          </w:p>
        </w:tc>
      </w:tr>
      <w:tr w:rsidR="00EE34B9" w:rsidRPr="00793CF4" w14:paraId="305176BE" w14:textId="77777777">
        <w:trPr>
          <w:trHeight w:val="270"/>
        </w:trPr>
        <w:tc>
          <w:tcPr>
            <w:tcW w:w="1724" w:type="dxa"/>
            <w:tcBorders>
              <w:top w:val="nil"/>
              <w:left w:val="single" w:sz="8" w:space="0" w:color="auto"/>
              <w:bottom w:val="single" w:sz="8" w:space="0" w:color="auto"/>
              <w:right w:val="single" w:sz="8" w:space="0" w:color="auto"/>
            </w:tcBorders>
            <w:vAlign w:val="center"/>
            <w:hideMark/>
          </w:tcPr>
          <w:p w14:paraId="214102C0" w14:textId="77777777" w:rsidR="00EE34B9" w:rsidRPr="00717766" w:rsidRDefault="00EE34B9">
            <w:pPr>
              <w:spacing w:after="0" w:line="240" w:lineRule="auto"/>
              <w:textAlignment w:val="baseline"/>
              <w:rPr>
                <w:rFonts w:ascii="Times New Roman" w:eastAsia="Times New Roman" w:hAnsi="Times New Roman"/>
                <w:color w:val="000000"/>
                <w:sz w:val="24"/>
                <w:szCs w:val="24"/>
                <w:lang w:eastAsia="en-AU"/>
              </w:rPr>
            </w:pPr>
            <w:r w:rsidRPr="00717766">
              <w:rPr>
                <w:rFonts w:ascii="Inter" w:eastAsia="Times New Roman" w:hAnsi="Inter"/>
                <w:color w:val="000000"/>
                <w:lang w:eastAsia="en-AU"/>
              </w:rPr>
              <w:t>9.71 </w:t>
            </w:r>
          </w:p>
        </w:tc>
        <w:tc>
          <w:tcPr>
            <w:tcW w:w="4744" w:type="dxa"/>
            <w:tcBorders>
              <w:top w:val="nil"/>
              <w:left w:val="nil"/>
              <w:bottom w:val="single" w:sz="8" w:space="0" w:color="auto"/>
              <w:right w:val="single" w:sz="8" w:space="0" w:color="auto"/>
            </w:tcBorders>
            <w:vAlign w:val="center"/>
            <w:hideMark/>
          </w:tcPr>
          <w:p w14:paraId="56134F19" w14:textId="77777777" w:rsidR="00EE34B9" w:rsidRPr="00B078CC" w:rsidRDefault="00EE34B9">
            <w:pPr>
              <w:spacing w:after="0" w:line="240" w:lineRule="auto"/>
              <w:textAlignment w:val="baseline"/>
              <w:rPr>
                <w:rFonts w:ascii="Inter" w:eastAsia="Times New Roman" w:hAnsi="Inter"/>
                <w:color w:val="000000"/>
                <w:lang w:eastAsia="en-AU"/>
              </w:rPr>
            </w:pPr>
            <w:r w:rsidRPr="00717766">
              <w:rPr>
                <w:rFonts w:ascii="Inter" w:eastAsia="Times New Roman" w:hAnsi="Inter"/>
                <w:color w:val="000000"/>
                <w:lang w:eastAsia="en-AU"/>
              </w:rPr>
              <w:t>Type of investment </w:t>
            </w:r>
          </w:p>
        </w:tc>
        <w:tc>
          <w:tcPr>
            <w:tcW w:w="2720" w:type="dxa"/>
            <w:tcBorders>
              <w:top w:val="nil"/>
              <w:left w:val="nil"/>
              <w:bottom w:val="single" w:sz="8" w:space="0" w:color="auto"/>
              <w:right w:val="single" w:sz="8" w:space="0" w:color="auto"/>
            </w:tcBorders>
            <w:vAlign w:val="center"/>
            <w:hideMark/>
          </w:tcPr>
          <w:p w14:paraId="3DCE59A2" w14:textId="77777777" w:rsidR="00EE34B9" w:rsidRPr="00B078CC" w:rsidRDefault="00EE34B9">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5</w:t>
            </w:r>
          </w:p>
        </w:tc>
      </w:tr>
      <w:tr w:rsidR="00EE34B9" w:rsidRPr="00793CF4" w14:paraId="5C9B625E" w14:textId="77777777">
        <w:trPr>
          <w:trHeight w:val="270"/>
        </w:trPr>
        <w:tc>
          <w:tcPr>
            <w:tcW w:w="1724" w:type="dxa"/>
            <w:tcBorders>
              <w:top w:val="nil"/>
              <w:left w:val="single" w:sz="8" w:space="0" w:color="auto"/>
              <w:bottom w:val="single" w:sz="8" w:space="0" w:color="auto"/>
              <w:right w:val="single" w:sz="8" w:space="0" w:color="auto"/>
            </w:tcBorders>
            <w:vAlign w:val="center"/>
            <w:hideMark/>
          </w:tcPr>
          <w:p w14:paraId="4045172A"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9.72 </w:t>
            </w:r>
          </w:p>
        </w:tc>
        <w:tc>
          <w:tcPr>
            <w:tcW w:w="4744" w:type="dxa"/>
            <w:tcBorders>
              <w:top w:val="nil"/>
              <w:left w:val="nil"/>
              <w:bottom w:val="single" w:sz="8" w:space="0" w:color="auto"/>
              <w:right w:val="single" w:sz="8" w:space="0" w:color="auto"/>
            </w:tcBorders>
            <w:vAlign w:val="center"/>
            <w:hideMark/>
          </w:tcPr>
          <w:p w14:paraId="35966C51"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sidRPr="00793CF4">
              <w:rPr>
                <w:rFonts w:ascii="Inter" w:eastAsia="Times New Roman" w:hAnsi="Inter"/>
                <w:color w:val="000000"/>
                <w:lang w:eastAsia="en-AU"/>
              </w:rPr>
              <w:t>Type of payment </w:t>
            </w:r>
          </w:p>
        </w:tc>
        <w:tc>
          <w:tcPr>
            <w:tcW w:w="2720" w:type="dxa"/>
            <w:tcBorders>
              <w:top w:val="nil"/>
              <w:left w:val="nil"/>
              <w:bottom w:val="single" w:sz="8" w:space="0" w:color="auto"/>
              <w:right w:val="single" w:sz="8" w:space="0" w:color="auto"/>
            </w:tcBorders>
            <w:vAlign w:val="center"/>
            <w:hideMark/>
          </w:tcPr>
          <w:p w14:paraId="66C632E5" w14:textId="77777777" w:rsidR="00EE34B9" w:rsidRPr="00793CF4" w:rsidRDefault="00EE34B9">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UTD</w:t>
            </w:r>
          </w:p>
        </w:tc>
      </w:tr>
      <w:tr w:rsidR="00EE34B9" w:rsidRPr="00FA0A4C" w14:paraId="3B30B210" w14:textId="77777777">
        <w:trPr>
          <w:trHeight w:val="270"/>
        </w:trPr>
        <w:tc>
          <w:tcPr>
            <w:tcW w:w="1724" w:type="dxa"/>
            <w:tcBorders>
              <w:top w:val="nil"/>
              <w:left w:val="single" w:sz="8" w:space="0" w:color="auto"/>
              <w:bottom w:val="single" w:sz="8" w:space="0" w:color="auto"/>
              <w:right w:val="single" w:sz="8" w:space="0" w:color="auto"/>
            </w:tcBorders>
            <w:vAlign w:val="center"/>
          </w:tcPr>
          <w:p w14:paraId="50198E8F" w14:textId="77777777" w:rsidR="00EE34B9" w:rsidRPr="00476429" w:rsidRDefault="00EE34B9">
            <w:pPr>
              <w:spacing w:after="0" w:line="240" w:lineRule="auto"/>
              <w:textAlignment w:val="baseline"/>
              <w:rPr>
                <w:rFonts w:ascii="Inter" w:eastAsia="Times New Roman" w:hAnsi="Inter"/>
                <w:color w:val="000000"/>
                <w:lang w:eastAsia="en-AU"/>
              </w:rPr>
            </w:pPr>
            <w:r w:rsidRPr="00476429">
              <w:rPr>
                <w:rFonts w:ascii="Inter" w:eastAsia="Times New Roman" w:hAnsi="Inter"/>
                <w:color w:val="000000"/>
                <w:lang w:eastAsia="en-AU"/>
              </w:rPr>
              <w:t>9.76</w:t>
            </w:r>
          </w:p>
        </w:tc>
        <w:tc>
          <w:tcPr>
            <w:tcW w:w="4744" w:type="dxa"/>
            <w:tcBorders>
              <w:top w:val="nil"/>
              <w:left w:val="nil"/>
              <w:bottom w:val="single" w:sz="8" w:space="0" w:color="auto"/>
              <w:right w:val="single" w:sz="8" w:space="0" w:color="auto"/>
            </w:tcBorders>
            <w:vAlign w:val="center"/>
          </w:tcPr>
          <w:p w14:paraId="7F7ED8B1" w14:textId="77777777" w:rsidR="00EE34B9" w:rsidRPr="00476429" w:rsidRDefault="00EE34B9">
            <w:pPr>
              <w:spacing w:after="0" w:line="240" w:lineRule="auto"/>
              <w:textAlignment w:val="baseline"/>
              <w:rPr>
                <w:rFonts w:ascii="Inter" w:eastAsia="Times New Roman" w:hAnsi="Inter"/>
                <w:color w:val="000000"/>
                <w:lang w:eastAsia="en-AU"/>
              </w:rPr>
            </w:pPr>
            <w:r w:rsidRPr="00476429">
              <w:rPr>
                <w:rFonts w:ascii="Inter" w:eastAsia="Times New Roman" w:hAnsi="Inter"/>
                <w:color w:val="000000"/>
                <w:lang w:eastAsia="en-AU"/>
              </w:rPr>
              <w:t>Non-resident withholding amount deducted</w:t>
            </w:r>
          </w:p>
        </w:tc>
        <w:tc>
          <w:tcPr>
            <w:tcW w:w="2720" w:type="dxa"/>
            <w:tcBorders>
              <w:top w:val="nil"/>
              <w:left w:val="nil"/>
              <w:bottom w:val="single" w:sz="8" w:space="0" w:color="auto"/>
              <w:right w:val="single" w:sz="8" w:space="0" w:color="auto"/>
            </w:tcBorders>
            <w:vAlign w:val="center"/>
          </w:tcPr>
          <w:p w14:paraId="404BE8D9" w14:textId="77777777" w:rsidR="00EE34B9" w:rsidRPr="00476429" w:rsidRDefault="00EE34B9">
            <w:pPr>
              <w:spacing w:after="0" w:line="240" w:lineRule="auto"/>
              <w:textAlignment w:val="baseline"/>
              <w:rPr>
                <w:rStyle w:val="normaltextrun"/>
                <w:rFonts w:ascii="Inter" w:hAnsi="Inter"/>
                <w:color w:val="000000"/>
                <w:shd w:val="clear" w:color="auto" w:fill="FFFFFF"/>
              </w:rPr>
            </w:pPr>
            <w:r w:rsidRPr="00476429">
              <w:rPr>
                <w:rStyle w:val="normaltextrun"/>
                <w:rFonts w:ascii="Inter" w:hAnsi="Inter"/>
                <w:color w:val="000000"/>
                <w:shd w:val="clear" w:color="auto" w:fill="FFFFFF"/>
              </w:rPr>
              <w:t>000000</w:t>
            </w:r>
            <w:r w:rsidRPr="00B078CC">
              <w:rPr>
                <w:rStyle w:val="normaltextrun"/>
                <w:rFonts w:ascii="Inter" w:hAnsi="Inter"/>
                <w:color w:val="000000"/>
                <w:shd w:val="clear" w:color="auto" w:fill="FFFFFF"/>
              </w:rPr>
              <w:t>00</w:t>
            </w:r>
            <w:r w:rsidRPr="00476429">
              <w:rPr>
                <w:rStyle w:val="normaltextrun"/>
                <w:rFonts w:ascii="Inter" w:hAnsi="Inter"/>
                <w:color w:val="000000"/>
                <w:shd w:val="clear" w:color="auto" w:fill="FFFFFF"/>
              </w:rPr>
              <w:t>0000</w:t>
            </w:r>
          </w:p>
        </w:tc>
      </w:tr>
      <w:tr w:rsidR="00EE34B9" w:rsidRPr="00793CF4" w14:paraId="411B7535" w14:textId="77777777">
        <w:trPr>
          <w:trHeight w:val="270"/>
        </w:trPr>
        <w:tc>
          <w:tcPr>
            <w:tcW w:w="1724" w:type="dxa"/>
            <w:tcBorders>
              <w:top w:val="nil"/>
              <w:left w:val="single" w:sz="8" w:space="0" w:color="auto"/>
              <w:bottom w:val="single" w:sz="8" w:space="0" w:color="auto"/>
              <w:right w:val="single" w:sz="8" w:space="0" w:color="auto"/>
            </w:tcBorders>
            <w:vAlign w:val="center"/>
          </w:tcPr>
          <w:p w14:paraId="562BD27F" w14:textId="77777777" w:rsidR="00EE34B9" w:rsidRPr="00024725" w:rsidRDefault="00EE34B9">
            <w:pPr>
              <w:spacing w:after="0" w:line="240" w:lineRule="auto"/>
              <w:textAlignment w:val="baseline"/>
              <w:rPr>
                <w:rFonts w:ascii="Inter" w:eastAsia="Times New Roman" w:hAnsi="Inter"/>
                <w:color w:val="000000"/>
                <w:lang w:eastAsia="en-AU"/>
              </w:rPr>
            </w:pPr>
            <w:r w:rsidRPr="00024725">
              <w:rPr>
                <w:rFonts w:ascii="Inter" w:eastAsia="Times New Roman" w:hAnsi="Inter"/>
                <w:color w:val="000000"/>
                <w:lang w:eastAsia="en-AU"/>
              </w:rPr>
              <w:t>9.85</w:t>
            </w:r>
          </w:p>
        </w:tc>
        <w:tc>
          <w:tcPr>
            <w:tcW w:w="4744" w:type="dxa"/>
            <w:tcBorders>
              <w:top w:val="nil"/>
              <w:left w:val="nil"/>
              <w:bottom w:val="single" w:sz="8" w:space="0" w:color="auto"/>
              <w:right w:val="single" w:sz="8" w:space="0" w:color="auto"/>
            </w:tcBorders>
            <w:vAlign w:val="center"/>
          </w:tcPr>
          <w:p w14:paraId="6A37454D" w14:textId="77777777" w:rsidR="00EE34B9" w:rsidRPr="00024725" w:rsidRDefault="00EE34B9">
            <w:pPr>
              <w:spacing w:after="0" w:line="240" w:lineRule="auto"/>
              <w:textAlignment w:val="baseline"/>
              <w:rPr>
                <w:rFonts w:ascii="Inter" w:eastAsia="Times New Roman" w:hAnsi="Inter"/>
                <w:color w:val="000000"/>
                <w:lang w:eastAsia="en-AU"/>
              </w:rPr>
            </w:pPr>
            <w:r w:rsidRPr="00024725">
              <w:rPr>
                <w:rFonts w:ascii="Inter" w:eastAsia="Times New Roman" w:hAnsi="Inter"/>
                <w:color w:val="000000"/>
                <w:lang w:eastAsia="en-AU"/>
              </w:rPr>
              <w:t>Non-primary production income</w:t>
            </w:r>
          </w:p>
        </w:tc>
        <w:tc>
          <w:tcPr>
            <w:tcW w:w="2720" w:type="dxa"/>
            <w:tcBorders>
              <w:top w:val="nil"/>
              <w:left w:val="nil"/>
              <w:bottom w:val="single" w:sz="8" w:space="0" w:color="auto"/>
              <w:right w:val="single" w:sz="8" w:space="0" w:color="auto"/>
            </w:tcBorders>
            <w:vAlign w:val="center"/>
          </w:tcPr>
          <w:p w14:paraId="656A7BC7" w14:textId="77777777" w:rsidR="00EE34B9" w:rsidRPr="00024725" w:rsidRDefault="00EE34B9">
            <w:pPr>
              <w:spacing w:after="0" w:line="240" w:lineRule="auto"/>
              <w:textAlignment w:val="baseline"/>
              <w:rPr>
                <w:rFonts w:ascii="Inter" w:eastAsia="Times New Roman" w:hAnsi="Inter"/>
                <w:color w:val="000000"/>
                <w:lang w:eastAsia="en-AU"/>
              </w:rPr>
            </w:pPr>
            <w:r w:rsidRPr="00024725">
              <w:rPr>
                <w:rStyle w:val="normaltextrun"/>
                <w:rFonts w:ascii="Inter" w:hAnsi="Inter"/>
                <w:color w:val="000000"/>
                <w:shd w:val="clear" w:color="auto" w:fill="FFFFFF"/>
              </w:rPr>
              <w:t>00000</w:t>
            </w:r>
            <w:r w:rsidRPr="00B078CC">
              <w:rPr>
                <w:rStyle w:val="normaltextrun"/>
                <w:rFonts w:ascii="Inter" w:hAnsi="Inter"/>
                <w:color w:val="000000"/>
                <w:shd w:val="clear" w:color="auto" w:fill="FFFFFF"/>
              </w:rPr>
              <w:t>100</w:t>
            </w:r>
            <w:r w:rsidRPr="00024725">
              <w:rPr>
                <w:rStyle w:val="normaltextrun"/>
                <w:rFonts w:ascii="Inter" w:hAnsi="Inter"/>
                <w:color w:val="000000"/>
                <w:shd w:val="clear" w:color="auto" w:fill="FFFFFF"/>
              </w:rPr>
              <w:t>0000</w:t>
            </w:r>
            <w:r w:rsidRPr="00024725">
              <w:rPr>
                <w:rStyle w:val="eop"/>
                <w:rFonts w:ascii="Inter" w:hAnsi="Inter"/>
                <w:color w:val="000000"/>
                <w:shd w:val="clear" w:color="auto" w:fill="FFFFFF"/>
              </w:rPr>
              <w:t> </w:t>
            </w:r>
          </w:p>
        </w:tc>
      </w:tr>
      <w:tr w:rsidR="00EE34B9" w:rsidRPr="00793CF4" w14:paraId="713927DD" w14:textId="77777777">
        <w:trPr>
          <w:trHeight w:val="270"/>
        </w:trPr>
        <w:tc>
          <w:tcPr>
            <w:tcW w:w="1724" w:type="dxa"/>
            <w:tcBorders>
              <w:top w:val="nil"/>
              <w:left w:val="single" w:sz="8" w:space="0" w:color="auto"/>
              <w:bottom w:val="single" w:sz="8" w:space="0" w:color="auto"/>
              <w:right w:val="single" w:sz="8" w:space="0" w:color="auto"/>
            </w:tcBorders>
            <w:vAlign w:val="center"/>
          </w:tcPr>
          <w:p w14:paraId="556C4C04" w14:textId="77777777" w:rsidR="00EE34B9" w:rsidRPr="00024725" w:rsidRDefault="00EE34B9">
            <w:pPr>
              <w:spacing w:after="0" w:line="240" w:lineRule="auto"/>
              <w:textAlignment w:val="baseline"/>
              <w:rPr>
                <w:rFonts w:ascii="Inter" w:eastAsia="Times New Roman" w:hAnsi="Inter"/>
                <w:color w:val="000000"/>
                <w:lang w:eastAsia="en-AU"/>
              </w:rPr>
            </w:pPr>
            <w:r w:rsidRPr="00024725">
              <w:rPr>
                <w:rFonts w:ascii="Inter" w:eastAsia="Times New Roman" w:hAnsi="Inter"/>
                <w:color w:val="000000"/>
                <w:lang w:eastAsia="en-AU"/>
              </w:rPr>
              <w:t>9.88</w:t>
            </w:r>
          </w:p>
        </w:tc>
        <w:tc>
          <w:tcPr>
            <w:tcW w:w="4744" w:type="dxa"/>
            <w:tcBorders>
              <w:top w:val="nil"/>
              <w:left w:val="nil"/>
              <w:bottom w:val="single" w:sz="8" w:space="0" w:color="auto"/>
              <w:right w:val="single" w:sz="8" w:space="0" w:color="auto"/>
            </w:tcBorders>
            <w:vAlign w:val="center"/>
          </w:tcPr>
          <w:p w14:paraId="36AD2685" w14:textId="77777777" w:rsidR="00EE34B9" w:rsidRPr="00024725" w:rsidRDefault="00EE34B9">
            <w:pPr>
              <w:spacing w:after="0" w:line="240" w:lineRule="auto"/>
              <w:textAlignment w:val="baseline"/>
              <w:rPr>
                <w:rFonts w:ascii="Inter" w:eastAsia="Times New Roman" w:hAnsi="Inter"/>
                <w:color w:val="000000"/>
                <w:lang w:eastAsia="en-AU"/>
              </w:rPr>
            </w:pPr>
            <w:r w:rsidRPr="00024725">
              <w:rPr>
                <w:rFonts w:ascii="Inter" w:eastAsia="Times New Roman" w:hAnsi="Inter"/>
                <w:color w:val="000000"/>
                <w:lang w:eastAsia="en-AU"/>
              </w:rPr>
              <w:t xml:space="preserve">Net capital gain </w:t>
            </w:r>
          </w:p>
        </w:tc>
        <w:tc>
          <w:tcPr>
            <w:tcW w:w="2720" w:type="dxa"/>
            <w:tcBorders>
              <w:top w:val="nil"/>
              <w:left w:val="nil"/>
              <w:bottom w:val="single" w:sz="8" w:space="0" w:color="auto"/>
              <w:right w:val="single" w:sz="8" w:space="0" w:color="auto"/>
            </w:tcBorders>
            <w:vAlign w:val="center"/>
          </w:tcPr>
          <w:p w14:paraId="2BAB99D4" w14:textId="77777777" w:rsidR="00EE34B9" w:rsidRPr="00024725" w:rsidRDefault="00EE34B9">
            <w:pPr>
              <w:spacing w:after="0" w:line="240" w:lineRule="auto"/>
              <w:textAlignment w:val="baseline"/>
              <w:rPr>
                <w:rFonts w:ascii="Inter" w:eastAsia="Times New Roman" w:hAnsi="Inter"/>
                <w:color w:val="000000"/>
                <w:lang w:eastAsia="en-AU"/>
              </w:rPr>
            </w:pPr>
            <w:r w:rsidRPr="00024725">
              <w:rPr>
                <w:rStyle w:val="normaltextrun"/>
                <w:rFonts w:ascii="Inter" w:hAnsi="Inter"/>
                <w:color w:val="000000"/>
                <w:shd w:val="clear" w:color="auto" w:fill="FFFFFF"/>
              </w:rPr>
              <w:t>000000</w:t>
            </w:r>
            <w:r w:rsidRPr="00B078CC">
              <w:rPr>
                <w:rStyle w:val="normaltextrun"/>
                <w:rFonts w:ascii="Inter" w:hAnsi="Inter"/>
                <w:color w:val="000000"/>
                <w:shd w:val="clear" w:color="auto" w:fill="FFFFFF"/>
              </w:rPr>
              <w:t>35</w:t>
            </w:r>
            <w:r w:rsidRPr="00024725">
              <w:rPr>
                <w:rStyle w:val="normaltextrun"/>
                <w:rFonts w:ascii="Inter" w:hAnsi="Inter"/>
                <w:color w:val="000000"/>
                <w:shd w:val="clear" w:color="auto" w:fill="FFFFFF"/>
              </w:rPr>
              <w:t>0000</w:t>
            </w:r>
          </w:p>
        </w:tc>
      </w:tr>
      <w:tr w:rsidR="00EE34B9" w:rsidRPr="00793CF4" w14:paraId="3CCAFA3C" w14:textId="77777777">
        <w:trPr>
          <w:trHeight w:val="270"/>
        </w:trPr>
        <w:tc>
          <w:tcPr>
            <w:tcW w:w="1724" w:type="dxa"/>
            <w:tcBorders>
              <w:top w:val="nil"/>
              <w:left w:val="single" w:sz="8" w:space="0" w:color="auto"/>
              <w:bottom w:val="single" w:sz="8" w:space="0" w:color="auto"/>
              <w:right w:val="single" w:sz="8" w:space="0" w:color="auto"/>
            </w:tcBorders>
            <w:vAlign w:val="center"/>
          </w:tcPr>
          <w:p w14:paraId="38BB3EEC" w14:textId="77777777" w:rsidR="00EE34B9" w:rsidRPr="00793CF4" w:rsidRDefault="00EE34B9">
            <w:pPr>
              <w:spacing w:after="0" w:line="240" w:lineRule="auto"/>
              <w:textAlignment w:val="baseline"/>
              <w:rPr>
                <w:rFonts w:ascii="Inter" w:eastAsia="Times New Roman" w:hAnsi="Inter"/>
                <w:color w:val="000000"/>
                <w:lang w:eastAsia="en-AU"/>
              </w:rPr>
            </w:pPr>
            <w:r w:rsidRPr="00793CF4">
              <w:rPr>
                <w:rFonts w:ascii="Inter" w:eastAsia="Times New Roman" w:hAnsi="Inter"/>
                <w:color w:val="000000"/>
                <w:lang w:eastAsia="en-AU"/>
              </w:rPr>
              <w:t>9.89</w:t>
            </w:r>
          </w:p>
        </w:tc>
        <w:tc>
          <w:tcPr>
            <w:tcW w:w="4744" w:type="dxa"/>
            <w:tcBorders>
              <w:top w:val="nil"/>
              <w:left w:val="nil"/>
              <w:bottom w:val="single" w:sz="8" w:space="0" w:color="auto"/>
              <w:right w:val="single" w:sz="8" w:space="0" w:color="auto"/>
            </w:tcBorders>
            <w:vAlign w:val="center"/>
          </w:tcPr>
          <w:p w14:paraId="0269C479" w14:textId="77777777" w:rsidR="00EE34B9" w:rsidRPr="00793CF4" w:rsidRDefault="00EE34B9">
            <w:pPr>
              <w:spacing w:after="0" w:line="240" w:lineRule="auto"/>
              <w:textAlignment w:val="baseline"/>
              <w:rPr>
                <w:rFonts w:ascii="Inter" w:eastAsia="Times New Roman" w:hAnsi="Inter"/>
                <w:color w:val="000000"/>
                <w:lang w:eastAsia="en-AU"/>
              </w:rPr>
            </w:pPr>
            <w:r w:rsidRPr="00793CF4">
              <w:rPr>
                <w:rFonts w:ascii="Inter" w:eastAsia="Times New Roman" w:hAnsi="Inter"/>
                <w:color w:val="000000"/>
                <w:lang w:eastAsia="en-AU"/>
              </w:rPr>
              <w:t>Total year capital gains</w:t>
            </w:r>
            <w:r>
              <w:rPr>
                <w:rFonts w:ascii="Inter" w:eastAsia="Times New Roman" w:hAnsi="Inter"/>
                <w:color w:val="000000"/>
                <w:lang w:eastAsia="en-AU"/>
              </w:rPr>
              <w:t xml:space="preserve"> </w:t>
            </w:r>
          </w:p>
        </w:tc>
        <w:tc>
          <w:tcPr>
            <w:tcW w:w="2720" w:type="dxa"/>
            <w:tcBorders>
              <w:top w:val="nil"/>
              <w:left w:val="nil"/>
              <w:bottom w:val="single" w:sz="8" w:space="0" w:color="auto"/>
              <w:right w:val="single" w:sz="8" w:space="0" w:color="auto"/>
            </w:tcBorders>
            <w:vAlign w:val="center"/>
          </w:tcPr>
          <w:p w14:paraId="2EA2F62D" w14:textId="77777777" w:rsidR="00EE34B9" w:rsidRPr="00793CF4" w:rsidRDefault="00EE34B9">
            <w:pPr>
              <w:spacing w:after="0" w:line="240" w:lineRule="auto"/>
              <w:textAlignment w:val="baseline"/>
              <w:rPr>
                <w:rFonts w:ascii="Inter" w:eastAsia="Times New Roman" w:hAnsi="Inter"/>
                <w:color w:val="000000"/>
                <w:lang w:eastAsia="en-AU"/>
              </w:rPr>
            </w:pPr>
            <w:r w:rsidRPr="00FA0A4C">
              <w:rPr>
                <w:rStyle w:val="normaltextrun"/>
                <w:rFonts w:ascii="Inter" w:hAnsi="Inter"/>
                <w:color w:val="000000"/>
                <w:shd w:val="clear" w:color="auto" w:fill="FFFFFF"/>
              </w:rPr>
              <w:t>000000</w:t>
            </w:r>
            <w:r>
              <w:rPr>
                <w:rStyle w:val="normaltextrun"/>
                <w:rFonts w:ascii="Inter" w:hAnsi="Inter"/>
                <w:color w:val="000000"/>
                <w:shd w:val="clear" w:color="auto" w:fill="FFFFFF"/>
              </w:rPr>
              <w:t>70</w:t>
            </w:r>
            <w:r w:rsidRPr="00FA0A4C">
              <w:rPr>
                <w:rStyle w:val="normaltextrun"/>
                <w:rFonts w:ascii="Inter" w:hAnsi="Inter"/>
                <w:color w:val="000000"/>
                <w:shd w:val="clear" w:color="auto" w:fill="FFFFFF"/>
              </w:rPr>
              <w:t>0000</w:t>
            </w:r>
          </w:p>
        </w:tc>
      </w:tr>
    </w:tbl>
    <w:p w14:paraId="51EEB121" w14:textId="77777777" w:rsidR="00EE34B9" w:rsidRDefault="00EE34B9" w:rsidP="00EE34B9">
      <w:pPr>
        <w:pStyle w:val="Maintext"/>
        <w:rPr>
          <w:rFonts w:asciiTheme="minorHAnsi" w:hAnsiTheme="minorHAnsi" w:cs="Arial"/>
          <w:b/>
          <w:smallCaps/>
          <w:sz w:val="20"/>
          <w:szCs w:val="20"/>
        </w:rPr>
      </w:pPr>
    </w:p>
    <w:p w14:paraId="4D0E16F4" w14:textId="77777777" w:rsidR="00EE34B9" w:rsidRPr="00F4606C" w:rsidRDefault="00EE34B9" w:rsidP="00EE34B9">
      <w:pPr>
        <w:pStyle w:val="Maintext"/>
        <w:rPr>
          <w:rFonts w:asciiTheme="minorHAnsi" w:hAnsiTheme="minorHAnsi" w:cs="Arial"/>
          <w:sz w:val="20"/>
          <w:szCs w:val="20"/>
        </w:rPr>
      </w:pPr>
      <w:r w:rsidRPr="00793CF4">
        <w:rPr>
          <w:rFonts w:asciiTheme="minorHAnsi" w:hAnsiTheme="minorHAnsi" w:cs="Arial"/>
          <w:b/>
          <w:smallCaps/>
          <w:sz w:val="20"/>
          <w:szCs w:val="20"/>
        </w:rPr>
        <w:t>supplementary income</w:t>
      </w:r>
      <w:r w:rsidRPr="00AD7802">
        <w:rPr>
          <w:rFonts w:asciiTheme="minorHAnsi" w:hAnsiTheme="minorHAnsi" w:cs="Arial"/>
          <w:b/>
          <w:smallCaps/>
          <w:sz w:val="20"/>
          <w:szCs w:val="20"/>
        </w:rPr>
        <w:t xml:space="preserve"> account data record </w:t>
      </w:r>
      <w:r w:rsidRPr="00F4606C">
        <w:rPr>
          <w:rFonts w:asciiTheme="minorHAnsi" w:hAnsiTheme="minorHAnsi" w:cs="Arial"/>
          <w:b/>
          <w:smallCaps/>
          <w:sz w:val="20"/>
          <w:szCs w:val="20"/>
        </w:rPr>
        <w:t xml:space="preserve">1 for 1 investor </w:t>
      </w:r>
      <w:r w:rsidRPr="00F4606C">
        <w:rPr>
          <w:rFonts w:asciiTheme="minorHAnsi" w:hAnsiTheme="minorHAnsi" w:cs="Arial"/>
          <w:smallCaps/>
          <w:sz w:val="20"/>
          <w:szCs w:val="20"/>
        </w:rPr>
        <w:t xml:space="preserve">(extract) </w:t>
      </w:r>
    </w:p>
    <w:p w14:paraId="309371EC" w14:textId="77777777" w:rsidR="00EE34B9" w:rsidRPr="00F4606C" w:rsidRDefault="00EE34B9" w:rsidP="00EE34B9">
      <w:pPr>
        <w:pStyle w:val="Maintext"/>
        <w:rPr>
          <w:rFonts w:asciiTheme="minorHAnsi" w:hAnsiTheme="minorHAnsi"/>
          <w:color w:val="000000"/>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534"/>
        <w:gridCol w:w="2326"/>
      </w:tblGrid>
      <w:tr w:rsidR="00EE34B9" w:rsidRPr="00B11B96" w14:paraId="2FC018C3" w14:textId="77777777">
        <w:trPr>
          <w:trHeight w:val="495"/>
          <w:tblHeader/>
        </w:trPr>
        <w:tc>
          <w:tcPr>
            <w:tcW w:w="675"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3863810" w14:textId="77777777" w:rsidR="00EE34B9" w:rsidRPr="00B11B96" w:rsidRDefault="00EE34B9">
            <w:pPr>
              <w:spacing w:after="0" w:line="240" w:lineRule="auto"/>
              <w:rPr>
                <w:rFonts w:cs="Arial"/>
              </w:rPr>
            </w:pPr>
            <w:r w:rsidRPr="00F4606C">
              <w:rPr>
                <w:rFonts w:cs="Arial"/>
                <w:b/>
                <w:bCs/>
              </w:rPr>
              <w:t>Reference number</w:t>
            </w:r>
          </w:p>
        </w:tc>
        <w:tc>
          <w:tcPr>
            <w:tcW w:w="3045"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F2182AB" w14:textId="77777777" w:rsidR="00EE34B9" w:rsidRPr="00B11B96" w:rsidRDefault="00EE34B9">
            <w:pPr>
              <w:spacing w:after="0" w:line="240" w:lineRule="auto"/>
              <w:rPr>
                <w:rFonts w:cs="Arial"/>
              </w:rPr>
            </w:pPr>
            <w:r w:rsidRPr="00F4606C">
              <w:rPr>
                <w:rFonts w:cs="Arial"/>
                <w:b/>
                <w:bCs/>
              </w:rPr>
              <w:t>Field name</w:t>
            </w:r>
          </w:p>
        </w:tc>
        <w:tc>
          <w:tcPr>
            <w:tcW w:w="1280"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39ED78C" w14:textId="77777777" w:rsidR="00EE34B9" w:rsidRPr="00B11B96" w:rsidRDefault="00EE34B9">
            <w:pPr>
              <w:spacing w:after="0" w:line="240" w:lineRule="auto"/>
              <w:rPr>
                <w:rFonts w:cs="Arial"/>
              </w:rPr>
            </w:pPr>
            <w:r w:rsidRPr="00F4606C">
              <w:rPr>
                <w:rFonts w:cs="Arial"/>
                <w:b/>
                <w:bCs/>
              </w:rPr>
              <w:t>Content</w:t>
            </w:r>
          </w:p>
        </w:tc>
      </w:tr>
      <w:tr w:rsidR="00EE34B9" w:rsidRPr="00B11B96" w14:paraId="20F71B11"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82B0E7" w14:textId="77777777" w:rsidR="00EE34B9" w:rsidRPr="00024725" w:rsidRDefault="00EE34B9">
            <w:pPr>
              <w:spacing w:after="0" w:line="240" w:lineRule="auto"/>
              <w:rPr>
                <w:rFonts w:cs="Arial"/>
              </w:rPr>
            </w:pPr>
            <w:r>
              <w:rPr>
                <w:rFonts w:cs="Arial"/>
              </w:rPr>
              <w:t>9.121</w:t>
            </w:r>
          </w:p>
        </w:tc>
        <w:tc>
          <w:tcPr>
            <w:tcW w:w="3045" w:type="pct"/>
            <w:tcBorders>
              <w:top w:val="nil"/>
              <w:left w:val="nil"/>
              <w:bottom w:val="single" w:sz="8" w:space="0" w:color="auto"/>
              <w:right w:val="single" w:sz="8" w:space="0" w:color="auto"/>
            </w:tcBorders>
            <w:tcMar>
              <w:top w:w="0" w:type="dxa"/>
              <w:left w:w="108" w:type="dxa"/>
              <w:bottom w:w="0" w:type="dxa"/>
              <w:right w:w="108" w:type="dxa"/>
            </w:tcMar>
            <w:vAlign w:val="center"/>
          </w:tcPr>
          <w:p w14:paraId="6BC9735E" w14:textId="77777777" w:rsidR="00EE34B9" w:rsidRPr="00024725" w:rsidRDefault="00EE34B9">
            <w:pPr>
              <w:spacing w:after="0" w:line="240" w:lineRule="auto"/>
              <w:rPr>
                <w:rFonts w:cs="Arial"/>
              </w:rPr>
            </w:pPr>
            <w:r>
              <w:rPr>
                <w:rFonts w:cs="Arial"/>
              </w:rPr>
              <w:t xml:space="preserve">Gross cash distribution </w:t>
            </w:r>
          </w:p>
        </w:tc>
        <w:tc>
          <w:tcPr>
            <w:tcW w:w="1280" w:type="pct"/>
            <w:tcBorders>
              <w:top w:val="nil"/>
              <w:left w:val="nil"/>
              <w:bottom w:val="single" w:sz="8" w:space="0" w:color="auto"/>
              <w:right w:val="single" w:sz="8" w:space="0" w:color="auto"/>
            </w:tcBorders>
            <w:tcMar>
              <w:top w:w="0" w:type="dxa"/>
              <w:left w:w="108" w:type="dxa"/>
              <w:bottom w:w="0" w:type="dxa"/>
              <w:right w:w="108" w:type="dxa"/>
            </w:tcMar>
            <w:vAlign w:val="center"/>
          </w:tcPr>
          <w:p w14:paraId="2A5BDB41" w14:textId="77777777" w:rsidR="00EE34B9" w:rsidRPr="00024725" w:rsidRDefault="00EE34B9">
            <w:pPr>
              <w:spacing w:after="0" w:line="240" w:lineRule="auto"/>
              <w:rPr>
                <w:rFonts w:cs="Arial"/>
              </w:rPr>
            </w:pPr>
            <w:r w:rsidRPr="00024725">
              <w:rPr>
                <w:rFonts w:cs="Arial"/>
              </w:rPr>
              <w:t>00000</w:t>
            </w:r>
            <w:r>
              <w:rPr>
                <w:rFonts w:cs="Arial"/>
              </w:rPr>
              <w:t>170</w:t>
            </w:r>
            <w:r w:rsidRPr="00024725">
              <w:rPr>
                <w:rFonts w:cs="Arial"/>
              </w:rPr>
              <w:t>0000</w:t>
            </w:r>
          </w:p>
        </w:tc>
      </w:tr>
      <w:tr w:rsidR="00EE34B9" w:rsidRPr="00B11B96" w14:paraId="73937F50"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1578" w14:textId="77777777" w:rsidR="00EE34B9" w:rsidRPr="00024725" w:rsidRDefault="00EE34B9">
            <w:pPr>
              <w:spacing w:after="0" w:line="240" w:lineRule="auto"/>
              <w:rPr>
                <w:rFonts w:cs="Arial"/>
              </w:rPr>
            </w:pPr>
            <w:r w:rsidRPr="00024725">
              <w:rPr>
                <w:rFonts w:cs="Arial"/>
              </w:rPr>
              <w:t>9.123</w:t>
            </w:r>
          </w:p>
        </w:tc>
        <w:tc>
          <w:tcPr>
            <w:tcW w:w="304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028293" w14:textId="77777777" w:rsidR="00EE34B9" w:rsidRPr="00024725" w:rsidRDefault="00EE34B9">
            <w:pPr>
              <w:spacing w:after="0" w:line="240" w:lineRule="auto"/>
              <w:rPr>
                <w:rFonts w:cs="Arial"/>
              </w:rPr>
            </w:pPr>
            <w:r w:rsidRPr="00024725">
              <w:rPr>
                <w:rFonts w:cs="Arial"/>
              </w:rPr>
              <w:t>Capital Gains discount method – Taxable Australian property</w:t>
            </w:r>
          </w:p>
        </w:tc>
        <w:tc>
          <w:tcPr>
            <w:tcW w:w="1280" w:type="pct"/>
            <w:tcBorders>
              <w:top w:val="nil"/>
              <w:left w:val="nil"/>
              <w:bottom w:val="single" w:sz="8" w:space="0" w:color="auto"/>
              <w:right w:val="single" w:sz="8" w:space="0" w:color="auto"/>
            </w:tcBorders>
            <w:tcMar>
              <w:top w:w="0" w:type="dxa"/>
              <w:left w:w="108" w:type="dxa"/>
              <w:bottom w:w="0" w:type="dxa"/>
              <w:right w:w="108" w:type="dxa"/>
            </w:tcMar>
            <w:vAlign w:val="center"/>
          </w:tcPr>
          <w:p w14:paraId="3D57FD0C" w14:textId="77777777" w:rsidR="00EE34B9" w:rsidRPr="00024725" w:rsidRDefault="00EE34B9">
            <w:pPr>
              <w:spacing w:after="0" w:line="240" w:lineRule="auto"/>
              <w:rPr>
                <w:rFonts w:cs="Arial"/>
              </w:rPr>
            </w:pPr>
            <w:r w:rsidRPr="00024725">
              <w:rPr>
                <w:rFonts w:cs="Arial"/>
              </w:rPr>
              <w:t>000000</w:t>
            </w:r>
            <w:r w:rsidRPr="00B078CC">
              <w:rPr>
                <w:rFonts w:cs="Arial"/>
              </w:rPr>
              <w:t>35</w:t>
            </w:r>
            <w:r w:rsidRPr="00024725">
              <w:rPr>
                <w:rFonts w:cs="Arial"/>
              </w:rPr>
              <w:t>0000</w:t>
            </w:r>
          </w:p>
        </w:tc>
      </w:tr>
      <w:tr w:rsidR="00EE34B9" w:rsidRPr="00B11B96" w14:paraId="01A715C3"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8049D" w14:textId="77777777" w:rsidR="00EE34B9" w:rsidRDefault="00EE34B9">
            <w:pPr>
              <w:spacing w:after="0" w:line="240" w:lineRule="auto"/>
              <w:rPr>
                <w:rFonts w:cs="Arial"/>
              </w:rPr>
            </w:pPr>
            <w:r>
              <w:rPr>
                <w:rFonts w:cs="Arial"/>
              </w:rPr>
              <w:t>9.138</w:t>
            </w:r>
          </w:p>
        </w:tc>
        <w:tc>
          <w:tcPr>
            <w:tcW w:w="3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5F240" w14:textId="77777777" w:rsidR="00EE34B9" w:rsidRPr="00302E32" w:rsidRDefault="00EE34B9">
            <w:pPr>
              <w:spacing w:after="0" w:line="240" w:lineRule="auto"/>
              <w:rPr>
                <w:rFonts w:cs="Arial"/>
              </w:rPr>
            </w:pPr>
            <w:r>
              <w:rPr>
                <w:rFonts w:cs="Arial"/>
              </w:rPr>
              <w:t>Excluded from NCMI – Non-primary production</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B346E" w14:textId="4D942526" w:rsidR="00EE34B9" w:rsidRPr="00F4606C" w:rsidRDefault="00EE34B9">
            <w:pPr>
              <w:spacing w:after="0" w:line="240" w:lineRule="auto"/>
              <w:rPr>
                <w:rFonts w:cs="Arial"/>
              </w:rPr>
            </w:pPr>
            <w:r w:rsidRPr="00F4606C">
              <w:rPr>
                <w:rFonts w:cs="Arial"/>
              </w:rPr>
              <w:t>00000</w:t>
            </w:r>
            <w:r>
              <w:rPr>
                <w:rFonts w:cs="Arial"/>
              </w:rPr>
              <w:t>1000</w:t>
            </w:r>
            <w:r w:rsidRPr="00F4606C">
              <w:rPr>
                <w:rFonts w:cs="Arial"/>
              </w:rPr>
              <w:t>00</w:t>
            </w:r>
            <w:r w:rsidR="002A13F4">
              <w:rPr>
                <w:rFonts w:cs="Arial"/>
              </w:rPr>
              <w:t>0</w:t>
            </w:r>
          </w:p>
        </w:tc>
      </w:tr>
      <w:tr w:rsidR="00EE34B9" w:rsidRPr="00B11B96" w14:paraId="27C076BB"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A9D5B" w14:textId="77777777" w:rsidR="00EE34B9" w:rsidRDefault="00EE34B9">
            <w:pPr>
              <w:spacing w:after="0" w:line="240" w:lineRule="auto"/>
              <w:rPr>
                <w:rFonts w:cs="Arial"/>
              </w:rPr>
            </w:pPr>
            <w:r>
              <w:rPr>
                <w:rFonts w:cs="Arial"/>
              </w:rPr>
              <w:t>9.141</w:t>
            </w:r>
          </w:p>
        </w:tc>
        <w:tc>
          <w:tcPr>
            <w:tcW w:w="3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3526D" w14:textId="77777777" w:rsidR="00EE34B9" w:rsidRDefault="00EE34B9">
            <w:pPr>
              <w:pStyle w:val="Maintext"/>
              <w:rPr>
                <w:rFonts w:asciiTheme="minorHAnsi" w:eastAsiaTheme="majorEastAsia" w:hAnsiTheme="minorHAnsi" w:cstheme="majorBidi"/>
                <w:bCs/>
                <w:color w:val="000000" w:themeColor="text1"/>
                <w:spacing w:val="4"/>
                <w:sz w:val="20"/>
                <w:szCs w:val="20"/>
                <w:lang w:eastAsia="en-US"/>
              </w:rPr>
            </w:pPr>
            <w:r>
              <w:rPr>
                <w:rFonts w:asciiTheme="minorHAnsi" w:eastAsiaTheme="majorEastAsia" w:hAnsiTheme="minorHAnsi" w:cstheme="majorBidi"/>
                <w:bCs/>
                <w:color w:val="000000" w:themeColor="text1"/>
                <w:spacing w:val="4"/>
                <w:sz w:val="20"/>
                <w:szCs w:val="20"/>
                <w:lang w:eastAsia="en-US"/>
              </w:rPr>
              <w:t>Excluded from NCMI Capital Gains</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DDE93" w14:textId="77777777" w:rsidR="00EE34B9" w:rsidRPr="00F4606C" w:rsidRDefault="00EE34B9">
            <w:pPr>
              <w:spacing w:after="0" w:line="240" w:lineRule="auto"/>
              <w:rPr>
                <w:rFonts w:cs="Arial"/>
              </w:rPr>
            </w:pPr>
            <w:r w:rsidRPr="00F4606C">
              <w:rPr>
                <w:rFonts w:cs="Arial"/>
              </w:rPr>
              <w:t>000000</w:t>
            </w:r>
            <w:r>
              <w:rPr>
                <w:rFonts w:cs="Arial"/>
              </w:rPr>
              <w:t>7000</w:t>
            </w:r>
            <w:r w:rsidRPr="00F4606C">
              <w:rPr>
                <w:rFonts w:cs="Arial"/>
              </w:rPr>
              <w:t>00</w:t>
            </w:r>
          </w:p>
        </w:tc>
      </w:tr>
      <w:tr w:rsidR="00EE34B9" w:rsidRPr="00B11B96" w14:paraId="3C8DBA59"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7AFB0" w14:textId="77777777" w:rsidR="00EE34B9" w:rsidRDefault="00EE34B9">
            <w:pPr>
              <w:spacing w:after="0" w:line="240" w:lineRule="auto"/>
              <w:rPr>
                <w:rFonts w:cs="Arial"/>
              </w:rPr>
            </w:pPr>
            <w:r w:rsidRPr="00F4606C">
              <w:rPr>
                <w:rFonts w:cs="Arial"/>
              </w:rPr>
              <w:t>9.</w:t>
            </w:r>
            <w:r>
              <w:rPr>
                <w:rFonts w:cs="Arial"/>
              </w:rPr>
              <w:t>142</w:t>
            </w:r>
          </w:p>
        </w:tc>
        <w:tc>
          <w:tcPr>
            <w:tcW w:w="3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3BBEEA" w14:textId="77777777" w:rsidR="00EE34B9" w:rsidRPr="00E97F33" w:rsidRDefault="00EE34B9">
            <w:pPr>
              <w:pStyle w:val="Maintext"/>
              <w:rPr>
                <w:rFonts w:asciiTheme="minorHAnsi" w:eastAsiaTheme="majorEastAsia" w:hAnsiTheme="minorHAnsi" w:cstheme="majorBidi"/>
                <w:bCs/>
                <w:color w:val="000000" w:themeColor="text1"/>
                <w:spacing w:val="4"/>
                <w:sz w:val="20"/>
                <w:szCs w:val="20"/>
                <w:lang w:eastAsia="en-US"/>
              </w:rPr>
            </w:pPr>
            <w:r w:rsidRPr="00B078CC">
              <w:rPr>
                <w:rFonts w:asciiTheme="minorHAnsi" w:hAnsiTheme="minorHAnsi" w:cs="Arial"/>
                <w:sz w:val="20"/>
                <w:szCs w:val="20"/>
              </w:rPr>
              <w:t xml:space="preserve">BTR entity of payment recipient </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7F7E5" w14:textId="77777777" w:rsidR="00EE34B9" w:rsidRPr="00045550" w:rsidRDefault="00EE34B9">
            <w:pPr>
              <w:spacing w:after="0" w:line="240" w:lineRule="auto"/>
              <w:rPr>
                <w:rFonts w:cs="Arial"/>
              </w:rPr>
            </w:pPr>
            <w:r w:rsidRPr="00045550">
              <w:rPr>
                <w:rFonts w:cs="Arial"/>
              </w:rPr>
              <w:t>E</w:t>
            </w:r>
          </w:p>
        </w:tc>
      </w:tr>
      <w:tr w:rsidR="00EE34B9" w:rsidRPr="00B11B96" w14:paraId="146FDB1C"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2BDFA" w14:textId="77777777" w:rsidR="00EE34B9" w:rsidRDefault="00EE34B9">
            <w:pPr>
              <w:spacing w:after="0" w:line="240" w:lineRule="auto"/>
              <w:rPr>
                <w:rFonts w:cs="Arial"/>
              </w:rPr>
            </w:pPr>
            <w:r>
              <w:rPr>
                <w:rFonts w:cs="Arial"/>
              </w:rPr>
              <w:t>9.143</w:t>
            </w:r>
          </w:p>
        </w:tc>
        <w:tc>
          <w:tcPr>
            <w:tcW w:w="3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EEAE6" w14:textId="77777777" w:rsidR="00EE34B9" w:rsidRPr="00E97F33" w:rsidRDefault="00EE34B9">
            <w:pPr>
              <w:pStyle w:val="Maintext"/>
              <w:rPr>
                <w:rFonts w:asciiTheme="minorHAnsi" w:eastAsiaTheme="majorEastAsia" w:hAnsiTheme="minorHAnsi" w:cstheme="majorBidi"/>
                <w:bCs/>
                <w:color w:val="000000" w:themeColor="text1"/>
                <w:spacing w:val="4"/>
                <w:sz w:val="20"/>
                <w:szCs w:val="20"/>
                <w:lang w:eastAsia="en-US"/>
              </w:rPr>
            </w:pPr>
            <w:r w:rsidRPr="00B078CC">
              <w:rPr>
                <w:rFonts w:asciiTheme="minorHAnsi" w:hAnsiTheme="minorHAnsi" w:cs="Arial"/>
                <w:sz w:val="20"/>
                <w:szCs w:val="20"/>
              </w:rPr>
              <w:t>ATO BTR Development ID</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6538B" w14:textId="77777777" w:rsidR="00EE34B9" w:rsidRPr="00045550" w:rsidRDefault="00EE34B9">
            <w:pPr>
              <w:spacing w:after="0" w:line="240" w:lineRule="auto"/>
              <w:rPr>
                <w:rFonts w:cs="Arial"/>
              </w:rPr>
            </w:pPr>
            <w:r w:rsidRPr="00045550">
              <w:rPr>
                <w:rFonts w:cs="Arial"/>
              </w:rPr>
              <w:t>9563874125687</w:t>
            </w:r>
          </w:p>
        </w:tc>
      </w:tr>
      <w:tr w:rsidR="00EE34B9" w:rsidRPr="00B11B96" w14:paraId="3297DB66"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56BF5" w14:textId="77777777" w:rsidR="00EE34B9" w:rsidRDefault="00EE34B9">
            <w:pPr>
              <w:spacing w:after="0" w:line="240" w:lineRule="auto"/>
              <w:rPr>
                <w:rFonts w:cs="Arial"/>
              </w:rPr>
            </w:pPr>
            <w:r>
              <w:rPr>
                <w:rFonts w:cs="Arial"/>
              </w:rPr>
              <w:t>9.144</w:t>
            </w:r>
          </w:p>
        </w:tc>
        <w:tc>
          <w:tcPr>
            <w:tcW w:w="3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B64FA" w14:textId="77777777" w:rsidR="00EE34B9" w:rsidRDefault="00EE34B9">
            <w:pPr>
              <w:spacing w:after="0" w:line="240" w:lineRule="auto"/>
              <w:rPr>
                <w:rFonts w:cs="Arial"/>
              </w:rPr>
            </w:pPr>
            <w:r w:rsidRPr="00302E32">
              <w:rPr>
                <w:rFonts w:cs="Arial"/>
              </w:rPr>
              <w:t>BTR excluded from NCMI – non-primary productio</w:t>
            </w:r>
            <w:r>
              <w:rPr>
                <w:rFonts w:cs="Arial"/>
              </w:rPr>
              <w:t xml:space="preserve">n </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DB5E4" w14:textId="4B3AFCF9" w:rsidR="00EE34B9" w:rsidRDefault="00EE34B9">
            <w:pPr>
              <w:spacing w:after="0" w:line="240" w:lineRule="auto"/>
              <w:rPr>
                <w:rFonts w:cs="Arial"/>
              </w:rPr>
            </w:pPr>
            <w:r w:rsidRPr="00F4606C">
              <w:rPr>
                <w:rFonts w:cs="Arial"/>
              </w:rPr>
              <w:t>00000</w:t>
            </w:r>
            <w:r>
              <w:rPr>
                <w:rFonts w:cs="Arial"/>
              </w:rPr>
              <w:t>1000</w:t>
            </w:r>
            <w:r w:rsidRPr="00F4606C">
              <w:rPr>
                <w:rFonts w:cs="Arial"/>
              </w:rPr>
              <w:t>00</w:t>
            </w:r>
            <w:r w:rsidR="00FF2E34">
              <w:rPr>
                <w:rFonts w:cs="Arial"/>
              </w:rPr>
              <w:t>0</w:t>
            </w:r>
          </w:p>
        </w:tc>
      </w:tr>
      <w:tr w:rsidR="00EE34B9" w:rsidRPr="00B11B96" w14:paraId="1724C585"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89D5E" w14:textId="77777777" w:rsidR="00EE34B9" w:rsidRDefault="00EE34B9">
            <w:pPr>
              <w:spacing w:after="0" w:line="240" w:lineRule="auto"/>
              <w:rPr>
                <w:rFonts w:cs="Arial"/>
              </w:rPr>
            </w:pPr>
            <w:r>
              <w:rPr>
                <w:rFonts w:cs="Arial"/>
              </w:rPr>
              <w:t>9.145</w:t>
            </w:r>
          </w:p>
        </w:tc>
        <w:tc>
          <w:tcPr>
            <w:tcW w:w="3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9D34C" w14:textId="77777777" w:rsidR="00EE34B9" w:rsidRPr="00793CF4" w:rsidRDefault="00EE34B9">
            <w:pPr>
              <w:pStyle w:val="Maintext"/>
              <w:rPr>
                <w:rFonts w:eastAsiaTheme="majorEastAsia" w:cstheme="majorBidi"/>
                <w:spacing w:val="4"/>
              </w:rPr>
            </w:pPr>
            <w:r>
              <w:rPr>
                <w:rFonts w:asciiTheme="minorHAnsi" w:eastAsiaTheme="majorEastAsia" w:hAnsiTheme="minorHAnsi" w:cstheme="majorBidi"/>
                <w:bCs/>
                <w:color w:val="000000" w:themeColor="text1"/>
                <w:spacing w:val="4"/>
                <w:sz w:val="20"/>
                <w:szCs w:val="20"/>
                <w:lang w:eastAsia="en-US"/>
              </w:rPr>
              <w:t xml:space="preserve">BTR excluded from NCMI capital gains </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BF4A3" w14:textId="77777777" w:rsidR="00EE34B9" w:rsidRDefault="00EE34B9">
            <w:pPr>
              <w:spacing w:after="0" w:line="240" w:lineRule="auto"/>
              <w:rPr>
                <w:rFonts w:cs="Arial"/>
              </w:rPr>
            </w:pPr>
            <w:r w:rsidRPr="00F4606C">
              <w:rPr>
                <w:rFonts w:cs="Arial"/>
              </w:rPr>
              <w:t>000000</w:t>
            </w:r>
            <w:r>
              <w:rPr>
                <w:rFonts w:cs="Arial"/>
              </w:rPr>
              <w:t>7000</w:t>
            </w:r>
            <w:r w:rsidRPr="00F4606C">
              <w:rPr>
                <w:rFonts w:cs="Arial"/>
              </w:rPr>
              <w:t>00</w:t>
            </w:r>
          </w:p>
        </w:tc>
      </w:tr>
      <w:tr w:rsidR="00EE34B9" w:rsidRPr="00B11B96" w14:paraId="3946C3A2"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A2A8C" w14:textId="77777777" w:rsidR="00EE34B9" w:rsidRPr="00476429" w:rsidRDefault="00EE34B9">
            <w:pPr>
              <w:spacing w:after="0" w:line="240" w:lineRule="auto"/>
              <w:rPr>
                <w:rFonts w:cs="Arial"/>
              </w:rPr>
            </w:pPr>
            <w:r w:rsidRPr="00476429">
              <w:rPr>
                <w:rFonts w:cs="Arial"/>
              </w:rPr>
              <w:t>9.146</w:t>
            </w:r>
          </w:p>
        </w:tc>
        <w:tc>
          <w:tcPr>
            <w:tcW w:w="3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F4404" w14:textId="77777777" w:rsidR="00EE34B9" w:rsidRPr="00476429" w:rsidRDefault="00EE34B9">
            <w:pPr>
              <w:pStyle w:val="Maintext"/>
              <w:rPr>
                <w:rFonts w:asciiTheme="minorHAnsi" w:eastAsiaTheme="majorEastAsia" w:hAnsiTheme="minorHAnsi" w:cstheme="majorBidi"/>
                <w:bCs/>
                <w:color w:val="000000" w:themeColor="text1"/>
                <w:spacing w:val="4"/>
                <w:sz w:val="20"/>
                <w:szCs w:val="20"/>
                <w:lang w:eastAsia="en-US"/>
              </w:rPr>
            </w:pPr>
            <w:r w:rsidRPr="00476429">
              <w:rPr>
                <w:rFonts w:asciiTheme="minorHAnsi" w:eastAsiaTheme="majorEastAsia" w:hAnsiTheme="minorHAnsi" w:cstheme="majorBidi"/>
                <w:bCs/>
                <w:color w:val="000000" w:themeColor="text1"/>
                <w:spacing w:val="4"/>
                <w:sz w:val="20"/>
                <w:szCs w:val="20"/>
                <w:lang w:eastAsia="en-US"/>
              </w:rPr>
              <w:t xml:space="preserve">Active BTR withholding amount </w:t>
            </w:r>
          </w:p>
        </w:tc>
        <w:tc>
          <w:tcPr>
            <w:tcW w:w="1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0FC96" w14:textId="77777777" w:rsidR="00EE34B9" w:rsidRPr="00476429" w:rsidRDefault="00EE34B9">
            <w:pPr>
              <w:spacing w:after="0" w:line="240" w:lineRule="auto"/>
              <w:rPr>
                <w:rFonts w:cs="Arial"/>
              </w:rPr>
            </w:pPr>
            <w:r w:rsidRPr="00476429">
              <w:rPr>
                <w:rFonts w:cs="Arial"/>
              </w:rPr>
              <w:t>000000</w:t>
            </w:r>
            <w:r w:rsidRPr="00B078CC">
              <w:rPr>
                <w:rFonts w:cs="Arial"/>
              </w:rPr>
              <w:t>00</w:t>
            </w:r>
            <w:r w:rsidRPr="00476429">
              <w:rPr>
                <w:rFonts w:cs="Arial"/>
              </w:rPr>
              <w:t>0000</w:t>
            </w:r>
          </w:p>
        </w:tc>
      </w:tr>
    </w:tbl>
    <w:p w14:paraId="6ACC0015" w14:textId="77777777" w:rsidR="00EE34B9" w:rsidRPr="00B078CC" w:rsidRDefault="00EE34B9" w:rsidP="00EE34B9">
      <w:pPr>
        <w:rPr>
          <w:rFonts w:eastAsiaTheme="majorEastAsia" w:cstheme="majorBidi"/>
          <w:bCs/>
          <w:spacing w:val="4"/>
        </w:rPr>
      </w:pPr>
    </w:p>
    <w:p w14:paraId="40203322" w14:textId="77777777" w:rsidR="00777FBF" w:rsidRDefault="00777FBF" w:rsidP="00EE34B9">
      <w:pPr>
        <w:rPr>
          <w:rFonts w:ascii="Inter" w:eastAsia="Inter" w:hAnsi="Inter" w:cs="Inter"/>
          <w:b/>
          <w:bCs/>
          <w:smallCaps/>
        </w:rPr>
      </w:pPr>
    </w:p>
    <w:p w14:paraId="61521029" w14:textId="77777777" w:rsidR="00777FBF" w:rsidRDefault="00777FBF" w:rsidP="00EE34B9">
      <w:pPr>
        <w:rPr>
          <w:rFonts w:ascii="Inter" w:eastAsia="Inter" w:hAnsi="Inter" w:cs="Inter"/>
          <w:b/>
          <w:bCs/>
          <w:smallCaps/>
        </w:rPr>
      </w:pPr>
    </w:p>
    <w:p w14:paraId="7642C947" w14:textId="77777777" w:rsidR="00777FBF" w:rsidRDefault="00777FBF" w:rsidP="00EE34B9">
      <w:pPr>
        <w:rPr>
          <w:rFonts w:ascii="Inter" w:eastAsia="Inter" w:hAnsi="Inter" w:cs="Inter"/>
          <w:b/>
          <w:bCs/>
          <w:smallCaps/>
        </w:rPr>
      </w:pPr>
    </w:p>
    <w:p w14:paraId="2F2C047D" w14:textId="19DAB447" w:rsidR="00EE34B9" w:rsidRPr="00B078CC" w:rsidRDefault="00EE34B9" w:rsidP="00EE34B9">
      <w:pPr>
        <w:rPr>
          <w:rFonts w:cs="Arial"/>
          <w:smallCaps/>
        </w:rPr>
      </w:pPr>
      <w:r w:rsidRPr="00F4209B">
        <w:rPr>
          <w:rFonts w:ascii="Inter" w:eastAsia="Inter" w:hAnsi="Inter" w:cs="Inter"/>
          <w:b/>
          <w:bCs/>
          <w:smallCaps/>
        </w:rPr>
        <w:t>investor data record</w:t>
      </w:r>
      <w:r w:rsidRPr="00F4209B">
        <w:rPr>
          <w:rFonts w:ascii="Inter" w:eastAsia="Inter" w:hAnsi="Inter" w:cs="Inter"/>
        </w:rPr>
        <w:t xml:space="preserve"> </w:t>
      </w:r>
      <w:r w:rsidRPr="00F4209B">
        <w:rPr>
          <w:rFonts w:cs="Arial"/>
          <w:b/>
          <w:bCs/>
          <w:smallCaps/>
        </w:rPr>
        <w:t xml:space="preserve">1 for 1 investor </w:t>
      </w:r>
      <w:r w:rsidRPr="00F4209B">
        <w:rPr>
          <w:rFonts w:cs="Arial"/>
          <w:smallCaps/>
        </w:rPr>
        <w:t xml:space="preserve">(extract)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21"/>
        <w:gridCol w:w="5196"/>
        <w:gridCol w:w="2865"/>
      </w:tblGrid>
      <w:tr w:rsidR="00EE34B9" w:rsidRPr="00F4209B" w14:paraId="04BA25CC" w14:textId="77777777">
        <w:trPr>
          <w:trHeight w:val="495"/>
        </w:trPr>
        <w:tc>
          <w:tcPr>
            <w:tcW w:w="1221"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46B507C0" w14:textId="77777777" w:rsidR="00EE34B9" w:rsidRPr="00F4209B" w:rsidRDefault="00EE34B9">
            <w:pPr>
              <w:spacing w:after="0" w:line="240" w:lineRule="auto"/>
              <w:rPr>
                <w:rFonts w:ascii="Inter" w:eastAsia="Inter" w:hAnsi="Inter" w:cs="Inter"/>
              </w:rPr>
            </w:pPr>
            <w:r w:rsidRPr="00F4209B">
              <w:rPr>
                <w:rFonts w:ascii="Inter" w:eastAsia="Inter" w:hAnsi="Inter" w:cs="Inter"/>
                <w:b/>
                <w:bCs/>
              </w:rPr>
              <w:t>Reference number</w:t>
            </w:r>
          </w:p>
        </w:tc>
        <w:tc>
          <w:tcPr>
            <w:tcW w:w="5196"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29F73083" w14:textId="77777777" w:rsidR="00EE34B9" w:rsidRPr="00F4209B" w:rsidRDefault="00EE34B9">
            <w:pPr>
              <w:spacing w:after="0" w:line="240" w:lineRule="auto"/>
              <w:rPr>
                <w:rFonts w:ascii="Inter" w:eastAsia="Inter" w:hAnsi="Inter" w:cs="Inter"/>
              </w:rPr>
            </w:pPr>
            <w:r w:rsidRPr="00F4209B">
              <w:rPr>
                <w:rFonts w:ascii="Inter" w:eastAsia="Inter" w:hAnsi="Inter" w:cs="Inter"/>
                <w:b/>
                <w:bCs/>
              </w:rPr>
              <w:t>Field name</w:t>
            </w:r>
          </w:p>
        </w:tc>
        <w:tc>
          <w:tcPr>
            <w:tcW w:w="2865"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0B0CCA50" w14:textId="77777777" w:rsidR="00EE34B9" w:rsidRPr="00F4209B" w:rsidRDefault="00EE34B9">
            <w:pPr>
              <w:spacing w:after="0" w:line="240" w:lineRule="auto"/>
              <w:rPr>
                <w:rFonts w:ascii="Inter" w:eastAsia="Inter" w:hAnsi="Inter" w:cs="Inter"/>
              </w:rPr>
            </w:pPr>
            <w:r w:rsidRPr="00F4209B">
              <w:rPr>
                <w:rFonts w:ascii="Inter" w:eastAsia="Inter" w:hAnsi="Inter" w:cs="Inter"/>
                <w:b/>
                <w:bCs/>
              </w:rPr>
              <w:t>Content</w:t>
            </w:r>
          </w:p>
        </w:tc>
      </w:tr>
      <w:tr w:rsidR="00EE34B9" w:rsidRPr="00F4209B" w14:paraId="0770ECF0" w14:textId="77777777">
        <w:trPr>
          <w:trHeight w:val="270"/>
        </w:trPr>
        <w:tc>
          <w:tcPr>
            <w:tcW w:w="1221"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7448C891" w14:textId="77777777" w:rsidR="00EE34B9" w:rsidRPr="00F4209B" w:rsidRDefault="00EE34B9">
            <w:pPr>
              <w:spacing w:after="0" w:line="240" w:lineRule="auto"/>
              <w:rPr>
                <w:rFonts w:ascii="Inter" w:eastAsia="Inter" w:hAnsi="Inter" w:cs="Inter"/>
              </w:rPr>
            </w:pPr>
            <w:r w:rsidRPr="00F4209B">
              <w:rPr>
                <w:rFonts w:ascii="Inter" w:eastAsia="Inter" w:hAnsi="Inter" w:cs="Inter"/>
              </w:rPr>
              <w:t>9.197</w:t>
            </w:r>
          </w:p>
        </w:tc>
        <w:tc>
          <w:tcPr>
            <w:tcW w:w="5196"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27434B21" w14:textId="77777777" w:rsidR="00EE34B9" w:rsidRPr="00F4209B" w:rsidRDefault="00EE34B9">
            <w:pPr>
              <w:spacing w:after="0" w:line="240" w:lineRule="auto"/>
              <w:rPr>
                <w:rFonts w:ascii="Inter" w:eastAsia="Inter" w:hAnsi="Inter" w:cs="Inter"/>
              </w:rPr>
            </w:pPr>
            <w:r w:rsidRPr="00F4209B">
              <w:rPr>
                <w:rFonts w:ascii="Inter" w:eastAsia="Inter" w:hAnsi="Inter" w:cs="Inter"/>
              </w:rPr>
              <w:t>Investor entity type</w:t>
            </w:r>
          </w:p>
        </w:tc>
        <w:tc>
          <w:tcPr>
            <w:tcW w:w="2865"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5BA5EC8E" w14:textId="77777777" w:rsidR="00EE34B9" w:rsidRPr="00F4209B" w:rsidRDefault="00EE34B9">
            <w:pPr>
              <w:spacing w:after="0" w:line="240" w:lineRule="auto"/>
              <w:rPr>
                <w:rFonts w:ascii="Inter" w:eastAsia="Inter" w:hAnsi="Inter" w:cs="Inter"/>
              </w:rPr>
            </w:pPr>
            <w:r w:rsidRPr="00B078CC">
              <w:rPr>
                <w:rFonts w:ascii="Inter" w:eastAsia="Inter" w:hAnsi="Inter" w:cs="Inter"/>
              </w:rPr>
              <w:t>T</w:t>
            </w:r>
          </w:p>
        </w:tc>
      </w:tr>
      <w:tr w:rsidR="00EE34B9" w:rsidRPr="00F4209B" w14:paraId="14BE1513" w14:textId="77777777">
        <w:trPr>
          <w:trHeight w:val="270"/>
        </w:trPr>
        <w:tc>
          <w:tcPr>
            <w:tcW w:w="1221"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23E7581" w14:textId="77777777" w:rsidR="00EE34B9" w:rsidRPr="00F4209B" w:rsidRDefault="00EE34B9">
            <w:pPr>
              <w:spacing w:after="0" w:line="240" w:lineRule="auto"/>
              <w:rPr>
                <w:rFonts w:ascii="Inter" w:eastAsia="Inter" w:hAnsi="Inter" w:cs="Inter"/>
              </w:rPr>
            </w:pPr>
            <w:r w:rsidRPr="00F4209B">
              <w:rPr>
                <w:rFonts w:ascii="Inter" w:eastAsia="Inter" w:hAnsi="Inter" w:cs="Inter"/>
              </w:rPr>
              <w:t>9.198</w:t>
            </w:r>
          </w:p>
        </w:tc>
        <w:tc>
          <w:tcPr>
            <w:tcW w:w="5196"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12E7FD4" w14:textId="77777777" w:rsidR="00EE34B9" w:rsidRPr="00F4209B" w:rsidRDefault="00EE34B9">
            <w:pPr>
              <w:spacing w:after="0" w:line="240" w:lineRule="auto"/>
              <w:rPr>
                <w:rFonts w:ascii="Inter" w:eastAsia="Inter" w:hAnsi="Inter" w:cs="Inter"/>
              </w:rPr>
            </w:pPr>
            <w:r w:rsidRPr="00F4209B">
              <w:rPr>
                <w:rFonts w:ascii="Inter" w:eastAsia="Inter" w:hAnsi="Inter" w:cs="Inter"/>
              </w:rPr>
              <w:t>Investor tax file number</w:t>
            </w:r>
          </w:p>
        </w:tc>
        <w:tc>
          <w:tcPr>
            <w:tcW w:w="28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FEA90B3" w14:textId="77777777" w:rsidR="00EE34B9" w:rsidRPr="00F4209B" w:rsidRDefault="00EE34B9">
            <w:pPr>
              <w:spacing w:after="0" w:line="240" w:lineRule="auto"/>
              <w:rPr>
                <w:rFonts w:ascii="Inter" w:eastAsia="Inter" w:hAnsi="Inter" w:cs="Inter"/>
              </w:rPr>
            </w:pPr>
            <w:r w:rsidRPr="00F4209B">
              <w:rPr>
                <w:rFonts w:ascii="Inter" w:eastAsia="Inter" w:hAnsi="Inter" w:cs="Inter"/>
              </w:rPr>
              <w:t>965466891</w:t>
            </w:r>
          </w:p>
        </w:tc>
      </w:tr>
      <w:tr w:rsidR="00EE34B9" w:rsidRPr="00476429" w14:paraId="33C50D5A" w14:textId="77777777">
        <w:trPr>
          <w:trHeight w:val="270"/>
        </w:trPr>
        <w:tc>
          <w:tcPr>
            <w:tcW w:w="1221"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B3B2416" w14:textId="77777777" w:rsidR="00EE34B9" w:rsidRPr="00F4209B" w:rsidRDefault="00EE34B9">
            <w:pPr>
              <w:spacing w:after="0" w:line="240" w:lineRule="auto"/>
              <w:rPr>
                <w:rFonts w:ascii="Inter" w:eastAsia="Inter" w:hAnsi="Inter" w:cs="Inter"/>
              </w:rPr>
            </w:pPr>
            <w:r w:rsidRPr="00F4209B">
              <w:rPr>
                <w:rFonts w:ascii="Inter" w:eastAsia="Inter" w:hAnsi="Inter" w:cs="Inter"/>
              </w:rPr>
              <w:t>9.206</w:t>
            </w:r>
          </w:p>
        </w:tc>
        <w:tc>
          <w:tcPr>
            <w:tcW w:w="5196"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6E443F3" w14:textId="77777777" w:rsidR="00EE34B9" w:rsidRPr="00F4209B" w:rsidRDefault="00EE34B9">
            <w:pPr>
              <w:spacing w:after="0" w:line="240" w:lineRule="auto"/>
              <w:rPr>
                <w:rFonts w:ascii="Inter" w:eastAsia="Inter" w:hAnsi="Inter" w:cs="Inter"/>
              </w:rPr>
            </w:pPr>
            <w:r w:rsidRPr="00F4209B">
              <w:rPr>
                <w:rFonts w:ascii="Inter" w:eastAsia="Inter" w:hAnsi="Inter" w:cs="Inter"/>
              </w:rPr>
              <w:t>Non-individual investor name</w:t>
            </w:r>
          </w:p>
        </w:tc>
        <w:tc>
          <w:tcPr>
            <w:tcW w:w="28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E0F8097" w14:textId="77777777" w:rsidR="00EE34B9" w:rsidRPr="00F4209B" w:rsidRDefault="00EE34B9">
            <w:pPr>
              <w:spacing w:after="0" w:line="240" w:lineRule="auto"/>
              <w:rPr>
                <w:rFonts w:ascii="Inter" w:eastAsia="Inter" w:hAnsi="Inter" w:cs="Inter"/>
              </w:rPr>
            </w:pPr>
            <w:r w:rsidRPr="00F4209B">
              <w:rPr>
                <w:rFonts w:ascii="Inter" w:eastAsia="Inter" w:hAnsi="Inter" w:cs="Inter"/>
              </w:rPr>
              <w:t>Greenway Commercial Trust</w:t>
            </w:r>
          </w:p>
        </w:tc>
      </w:tr>
    </w:tbl>
    <w:p w14:paraId="6CBE8D9D" w14:textId="3E5C8D87" w:rsidR="00B0387A" w:rsidRPr="005923B3" w:rsidRDefault="00B0387A" w:rsidP="005C4B6F">
      <w:pPr>
        <w:pStyle w:val="Heading4"/>
      </w:pPr>
      <w:r w:rsidRPr="005923B3">
        <w:rPr>
          <w:rFonts w:cs="Times New Roman"/>
        </w:rPr>
        <w:t xml:space="preserve">Example </w:t>
      </w:r>
      <w:r w:rsidRPr="005923B3">
        <w:t>7.2 – Distribution from a BTR Payment Recipient (P) to a resident investor</w:t>
      </w:r>
    </w:p>
    <w:p w14:paraId="23B67188" w14:textId="77777777" w:rsidR="00B0387A" w:rsidRPr="005923B3" w:rsidRDefault="00B0387A" w:rsidP="00B0387A">
      <w:pPr>
        <w:spacing w:after="0" w:line="240" w:lineRule="auto"/>
        <w:rPr>
          <w:rFonts w:ascii="Inter" w:eastAsia="MS Gothic" w:hAnsi="Inter"/>
          <w:color w:val="000000"/>
          <w:spacing w:val="4"/>
        </w:rPr>
      </w:pPr>
      <w:r w:rsidRPr="005923B3">
        <w:rPr>
          <w:rFonts w:ascii="Inter" w:eastAsia="MS Gothic" w:hAnsi="Inter"/>
          <w:color w:val="000000"/>
          <w:spacing w:val="4"/>
        </w:rPr>
        <w:t>Greenway</w:t>
      </w:r>
      <w:r w:rsidRPr="005923B3">
        <w:rPr>
          <w:rFonts w:ascii="Inter" w:eastAsia="MS Gothic" w:hAnsi="Inter"/>
          <w:bCs/>
          <w:color w:val="000000"/>
          <w:spacing w:val="4"/>
        </w:rPr>
        <w:t xml:space="preserve"> Commercial Trust, as a BTR Payment Recipient, distributes the following BTR payments received from Big Building Fund (BTR Entity owner), to its resident investor:</w:t>
      </w:r>
    </w:p>
    <w:p w14:paraId="292E2ACD" w14:textId="77777777" w:rsidR="00B0387A" w:rsidRPr="005923B3" w:rsidRDefault="00B0387A" w:rsidP="00B0387A">
      <w:pPr>
        <w:spacing w:after="0" w:line="240" w:lineRule="auto"/>
        <w:rPr>
          <w:rFonts w:ascii="Inter" w:eastAsia="MS Gothic" w:hAnsi="Inter"/>
          <w:bCs/>
          <w:color w:val="000000"/>
          <w:spacing w:val="4"/>
        </w:rPr>
      </w:pPr>
    </w:p>
    <w:p w14:paraId="6B2CBD62" w14:textId="77777777" w:rsidR="00B0387A" w:rsidRPr="005923B3" w:rsidRDefault="00B0387A" w:rsidP="00B0387A">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 non-primary production </w:t>
      </w:r>
      <w:r w:rsidRPr="005923B3">
        <w:rPr>
          <w:rFonts w:ascii="Inter" w:eastAsia="MS Gothic" w:hAnsi="Inter"/>
          <w:bCs/>
          <w:color w:val="000000"/>
          <w:spacing w:val="4"/>
        </w:rPr>
        <w:tab/>
        <w:t>$10,000.00</w:t>
      </w:r>
    </w:p>
    <w:p w14:paraId="2E6A3A4F" w14:textId="77777777" w:rsidR="00B0387A" w:rsidRPr="005923B3" w:rsidRDefault="00B0387A" w:rsidP="00B0387A">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capital gains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$7,000.00</w:t>
      </w:r>
    </w:p>
    <w:p w14:paraId="3C4BBD25" w14:textId="77777777" w:rsidR="00B0387A" w:rsidRPr="005923B3" w:rsidRDefault="00B0387A" w:rsidP="00B0387A">
      <w:pPr>
        <w:numPr>
          <w:ilvl w:val="0"/>
          <w:numId w:val="96"/>
        </w:numPr>
        <w:spacing w:after="0" w:line="240" w:lineRule="auto"/>
        <w:rPr>
          <w:rFonts w:ascii="Inter" w:eastAsia="MS Gothic" w:hAnsi="Inter"/>
          <w:color w:val="000000"/>
          <w:spacing w:val="4"/>
        </w:rPr>
      </w:pPr>
      <w:r w:rsidRPr="005923B3">
        <w:rPr>
          <w:rFonts w:ascii="Inter" w:eastAsia="MS Gothic" w:hAnsi="Inter"/>
          <w:color w:val="000000"/>
          <w:spacing w:val="4"/>
        </w:rPr>
        <w:t>Active BTR withholding amount</w:t>
      </w:r>
      <w:r w:rsidRPr="005923B3">
        <w:rPr>
          <w:rFonts w:ascii="Arial" w:eastAsia="MS Gothic" w:hAnsi="Arial"/>
          <w:spacing w:val="4"/>
          <w:sz w:val="22"/>
          <w:lang w:eastAsia="en-AU"/>
        </w:rPr>
        <w:t xml:space="preserve"> </w:t>
      </w:r>
      <w:r w:rsidRPr="005923B3">
        <w:rPr>
          <w:rFonts w:ascii="Arial" w:eastAsia="MS Gothic" w:hAnsi="Arial"/>
          <w:spacing w:val="4"/>
          <w:sz w:val="22"/>
          <w:lang w:eastAsia="en-AU"/>
        </w:rPr>
        <w:tab/>
      </w:r>
      <w:r w:rsidRPr="005923B3">
        <w:rPr>
          <w:rFonts w:ascii="Arial" w:eastAsia="MS Gothic" w:hAnsi="Arial"/>
          <w:spacing w:val="4"/>
          <w:sz w:val="22"/>
          <w:lang w:eastAsia="en-AU"/>
        </w:rPr>
        <w:tab/>
      </w:r>
      <w:r w:rsidRPr="005923B3">
        <w:rPr>
          <w:rFonts w:ascii="Arial" w:eastAsia="MS Gothic" w:hAnsi="Arial"/>
          <w:spacing w:val="4"/>
          <w:sz w:val="22"/>
          <w:lang w:eastAsia="en-AU"/>
        </w:rPr>
        <w:tab/>
      </w:r>
      <w:r w:rsidRPr="005923B3">
        <w:rPr>
          <w:rFonts w:ascii="Arial" w:eastAsia="MS Gothic" w:hAnsi="Arial"/>
          <w:spacing w:val="4"/>
          <w:sz w:val="22"/>
          <w:lang w:eastAsia="en-AU"/>
        </w:rPr>
        <w:tab/>
        <w:t>$</w:t>
      </w:r>
      <w:r w:rsidRPr="005923B3" w:rsidDel="005446D8">
        <w:rPr>
          <w:rFonts w:ascii="Inter" w:eastAsia="MS Gothic" w:hAnsi="Inter"/>
          <w:color w:val="000000"/>
          <w:spacing w:val="4"/>
        </w:rPr>
        <w:t>0</w:t>
      </w:r>
      <w:r w:rsidRPr="005923B3">
        <w:rPr>
          <w:rFonts w:ascii="Inter" w:eastAsia="MS Gothic" w:hAnsi="Inter"/>
          <w:bCs/>
          <w:color w:val="000000"/>
          <w:spacing w:val="4"/>
        </w:rPr>
        <w:t>.00</w:t>
      </w:r>
    </w:p>
    <w:p w14:paraId="3E11735F" w14:textId="77777777" w:rsidR="006D4E53" w:rsidRDefault="006D4E53" w:rsidP="002A5357">
      <w:pPr>
        <w:spacing w:after="0" w:line="240" w:lineRule="auto"/>
        <w:textAlignment w:val="baseline"/>
        <w:rPr>
          <w:rFonts w:ascii="Inter" w:eastAsia="Times New Roman" w:hAnsi="Inter" w:cs="Segoe UI"/>
          <w:b/>
          <w:bCs/>
          <w:smallCaps/>
          <w:color w:val="auto"/>
          <w:lang w:eastAsia="en-AU"/>
        </w:rPr>
      </w:pPr>
    </w:p>
    <w:p w14:paraId="55A3921A" w14:textId="77777777" w:rsidR="002A5357" w:rsidRPr="001F4A1E" w:rsidRDefault="002A5357" w:rsidP="002A5357">
      <w:pPr>
        <w:spacing w:after="0" w:line="240" w:lineRule="auto"/>
        <w:textAlignment w:val="baseline"/>
        <w:rPr>
          <w:rFonts w:ascii="Segoe UI" w:eastAsia="Times New Roman" w:hAnsi="Segoe UI" w:cs="Segoe UI"/>
          <w:color w:val="auto"/>
          <w:sz w:val="18"/>
          <w:szCs w:val="18"/>
          <w:lang w:eastAsia="en-AU"/>
        </w:rPr>
      </w:pPr>
      <w:r>
        <w:rPr>
          <w:rFonts w:ascii="Inter" w:eastAsia="Times New Roman" w:hAnsi="Inter" w:cs="Segoe UI"/>
          <w:b/>
          <w:bCs/>
          <w:smallCaps/>
          <w:color w:val="auto"/>
          <w:lang w:eastAsia="en-AU"/>
        </w:rPr>
        <w:t>I</w:t>
      </w:r>
      <w:r w:rsidRPr="001F4A1E">
        <w:rPr>
          <w:rFonts w:ascii="Inter" w:eastAsia="Times New Roman" w:hAnsi="Inter" w:cs="Segoe UI"/>
          <w:b/>
          <w:bCs/>
          <w:smallCaps/>
          <w:color w:val="auto"/>
          <w:lang w:eastAsia="en-AU"/>
        </w:rPr>
        <w:t>nvestment body identity data record </w:t>
      </w:r>
      <w:r w:rsidRPr="001F4A1E">
        <w:rPr>
          <w:rFonts w:ascii="Inter" w:eastAsia="Times New Roman" w:hAnsi="Inter" w:cs="Segoe UI"/>
          <w:smallCaps/>
          <w:color w:val="auto"/>
          <w:lang w:eastAsia="en-AU"/>
        </w:rPr>
        <w:t>(extract) </w:t>
      </w:r>
      <w:r w:rsidRPr="001F4A1E">
        <w:rPr>
          <w:rFonts w:ascii="Inter" w:eastAsia="Times New Roman" w:hAnsi="Inter" w:cs="Segoe UI"/>
          <w:color w:val="auto"/>
          <w:lang w:eastAsia="en-AU"/>
        </w:rPr>
        <w:t> </w:t>
      </w:r>
    </w:p>
    <w:p w14:paraId="7F28C5D6" w14:textId="77777777" w:rsidR="002A5357" w:rsidRPr="001F4A1E" w:rsidRDefault="002A5357" w:rsidP="002A5357">
      <w:pPr>
        <w:spacing w:after="0" w:line="240" w:lineRule="auto"/>
        <w:textAlignment w:val="baseline"/>
        <w:rPr>
          <w:rFonts w:ascii="Segoe UI" w:eastAsia="Times New Roman" w:hAnsi="Segoe UI" w:cs="Segoe UI"/>
          <w:color w:val="auto"/>
          <w:sz w:val="18"/>
          <w:szCs w:val="18"/>
          <w:lang w:eastAsia="en-AU"/>
        </w:rPr>
      </w:pPr>
      <w:r w:rsidRPr="001F4A1E">
        <w:rPr>
          <w:rFonts w:ascii="Arial" w:eastAsia="Times New Roman" w:hAnsi="Arial" w:cs="Arial"/>
          <w:color w:val="auto"/>
          <w:lang w:eastAsia="en-AU"/>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5185"/>
        <w:gridCol w:w="2863"/>
      </w:tblGrid>
      <w:tr w:rsidR="002A5357" w:rsidRPr="001F4A1E" w14:paraId="3120E776" w14:textId="77777777">
        <w:trPr>
          <w:trHeight w:val="495"/>
        </w:trPr>
        <w:tc>
          <w:tcPr>
            <w:tcW w:w="1140"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5A3AA424"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Reference number</w:t>
            </w:r>
            <w:r w:rsidRPr="001F4A1E">
              <w:rPr>
                <w:rFonts w:ascii="Inter" w:eastAsia="Times New Roman" w:hAnsi="Inter"/>
                <w:color w:val="000000"/>
                <w:lang w:eastAsia="en-AU"/>
              </w:rPr>
              <w:t> </w:t>
            </w:r>
          </w:p>
        </w:tc>
        <w:tc>
          <w:tcPr>
            <w:tcW w:w="5190" w:type="dxa"/>
            <w:tcBorders>
              <w:top w:val="single" w:sz="8" w:space="0" w:color="auto"/>
              <w:left w:val="nil"/>
              <w:bottom w:val="single" w:sz="8" w:space="0" w:color="auto"/>
              <w:right w:val="single" w:sz="8" w:space="0" w:color="auto"/>
            </w:tcBorders>
            <w:shd w:val="clear" w:color="auto" w:fill="B3B3B3"/>
            <w:vAlign w:val="center"/>
            <w:hideMark/>
          </w:tcPr>
          <w:p w14:paraId="16B7ED98"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Field name</w:t>
            </w:r>
            <w:r w:rsidRPr="001F4A1E">
              <w:rPr>
                <w:rFonts w:ascii="Inter" w:eastAsia="Times New Roman" w:hAnsi="Inter"/>
                <w:color w:val="000000"/>
                <w:lang w:eastAsia="en-AU"/>
              </w:rPr>
              <w:t> </w:t>
            </w:r>
          </w:p>
        </w:tc>
        <w:tc>
          <w:tcPr>
            <w:tcW w:w="2865" w:type="dxa"/>
            <w:tcBorders>
              <w:top w:val="single" w:sz="8" w:space="0" w:color="auto"/>
              <w:left w:val="nil"/>
              <w:bottom w:val="single" w:sz="8" w:space="0" w:color="auto"/>
              <w:right w:val="single" w:sz="8" w:space="0" w:color="auto"/>
            </w:tcBorders>
            <w:shd w:val="clear" w:color="auto" w:fill="B3B3B3"/>
            <w:vAlign w:val="center"/>
            <w:hideMark/>
          </w:tcPr>
          <w:p w14:paraId="2922A501"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Content</w:t>
            </w:r>
            <w:r w:rsidRPr="001F4A1E">
              <w:rPr>
                <w:rFonts w:ascii="Inter" w:eastAsia="Times New Roman" w:hAnsi="Inter"/>
                <w:color w:val="000000"/>
                <w:lang w:eastAsia="en-AU"/>
              </w:rPr>
              <w:t> </w:t>
            </w:r>
          </w:p>
        </w:tc>
      </w:tr>
      <w:tr w:rsidR="002A5357" w:rsidRPr="001F4A1E" w14:paraId="4017C82F" w14:textId="77777777">
        <w:trPr>
          <w:trHeight w:val="270"/>
        </w:trPr>
        <w:tc>
          <w:tcPr>
            <w:tcW w:w="1140" w:type="dxa"/>
            <w:tcBorders>
              <w:top w:val="nil"/>
              <w:left w:val="single" w:sz="8" w:space="0" w:color="auto"/>
              <w:bottom w:val="single" w:sz="4" w:space="0" w:color="auto"/>
              <w:right w:val="single" w:sz="8" w:space="0" w:color="auto"/>
            </w:tcBorders>
            <w:vAlign w:val="center"/>
            <w:hideMark/>
          </w:tcPr>
          <w:p w14:paraId="565C7A60"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9.30 </w:t>
            </w:r>
          </w:p>
        </w:tc>
        <w:tc>
          <w:tcPr>
            <w:tcW w:w="5190" w:type="dxa"/>
            <w:tcBorders>
              <w:top w:val="nil"/>
              <w:left w:val="nil"/>
              <w:bottom w:val="single" w:sz="4" w:space="0" w:color="auto"/>
              <w:right w:val="single" w:sz="8" w:space="0" w:color="auto"/>
            </w:tcBorders>
            <w:vAlign w:val="center"/>
            <w:hideMark/>
          </w:tcPr>
          <w:p w14:paraId="34CF8CEB"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Financial year </w:t>
            </w:r>
          </w:p>
        </w:tc>
        <w:tc>
          <w:tcPr>
            <w:tcW w:w="2865" w:type="dxa"/>
            <w:tcBorders>
              <w:top w:val="nil"/>
              <w:left w:val="nil"/>
              <w:bottom w:val="single" w:sz="4" w:space="0" w:color="auto"/>
              <w:right w:val="single" w:sz="8" w:space="0" w:color="auto"/>
            </w:tcBorders>
            <w:vAlign w:val="center"/>
            <w:hideMark/>
          </w:tcPr>
          <w:p w14:paraId="195DD742"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2</w:t>
            </w:r>
            <w:r>
              <w:rPr>
                <w:rFonts w:eastAsia="Times New Roman"/>
                <w:lang w:eastAsia="en-AU"/>
              </w:rPr>
              <w:t>026</w:t>
            </w:r>
          </w:p>
        </w:tc>
      </w:tr>
      <w:tr w:rsidR="002A5357" w:rsidRPr="001F4A1E" w14:paraId="6730845A" w14:textId="77777777">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6B67784E"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9.31 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7B7F423E"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Australian business number (ABN) or withholding payer number (WPN)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C1D32BE"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 xml:space="preserve">ABN of </w:t>
            </w:r>
            <w:r>
              <w:rPr>
                <w:rFonts w:ascii="Inter" w:eastAsia="Times New Roman" w:hAnsi="Inter"/>
                <w:color w:val="000000"/>
                <w:lang w:eastAsia="en-AU"/>
              </w:rPr>
              <w:t>Greenway</w:t>
            </w:r>
            <w:r w:rsidR="00F75F7C">
              <w:rPr>
                <w:rFonts w:ascii="Inter" w:eastAsia="Times New Roman" w:hAnsi="Inter"/>
                <w:color w:val="000000"/>
                <w:lang w:eastAsia="en-AU"/>
              </w:rPr>
              <w:t xml:space="preserve"> </w:t>
            </w:r>
            <w:r w:rsidR="004A6E6F">
              <w:rPr>
                <w:rFonts w:ascii="Inter" w:eastAsia="Times New Roman" w:hAnsi="Inter"/>
                <w:color w:val="000000"/>
                <w:lang w:eastAsia="en-AU"/>
              </w:rPr>
              <w:t>Commercial</w:t>
            </w:r>
            <w:r w:rsidR="00F75F7C">
              <w:rPr>
                <w:rFonts w:ascii="Inter" w:eastAsia="Times New Roman" w:hAnsi="Inter"/>
                <w:color w:val="000000"/>
                <w:lang w:eastAsia="en-AU"/>
              </w:rPr>
              <w:t xml:space="preserve"> Trust</w:t>
            </w:r>
            <w:r w:rsidRPr="001F4A1E">
              <w:rPr>
                <w:rFonts w:ascii="Inter" w:eastAsia="Times New Roman" w:hAnsi="Inter"/>
                <w:color w:val="000000"/>
                <w:lang w:eastAsia="en-AU"/>
              </w:rPr>
              <w:t> </w:t>
            </w:r>
          </w:p>
        </w:tc>
      </w:tr>
      <w:tr w:rsidR="002A5357" w:rsidRPr="001F4A1E" w14:paraId="3A1B4B06" w14:textId="77777777">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4B526F06"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9.33 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347A1C76"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registered name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BA2A831" w14:textId="77777777" w:rsidR="002A5357" w:rsidRPr="001F4A1E" w:rsidRDefault="00F75F7C">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 xml:space="preserve">Greenway </w:t>
            </w:r>
            <w:r w:rsidR="004A6E6F">
              <w:rPr>
                <w:rFonts w:ascii="Inter" w:eastAsia="Times New Roman" w:hAnsi="Inter"/>
                <w:color w:val="000000"/>
                <w:lang w:eastAsia="en-AU"/>
              </w:rPr>
              <w:t>Commercial</w:t>
            </w:r>
            <w:r>
              <w:rPr>
                <w:rFonts w:ascii="Inter" w:eastAsia="Times New Roman" w:hAnsi="Inter"/>
                <w:color w:val="000000"/>
                <w:lang w:eastAsia="en-AU"/>
              </w:rPr>
              <w:t xml:space="preserve"> Trust</w:t>
            </w:r>
            <w:r w:rsidRPr="001F4A1E">
              <w:rPr>
                <w:rFonts w:ascii="Inter" w:eastAsia="Times New Roman" w:hAnsi="Inter"/>
                <w:color w:val="000000"/>
                <w:lang w:eastAsia="en-AU"/>
              </w:rPr>
              <w:t> </w:t>
            </w:r>
          </w:p>
        </w:tc>
      </w:tr>
      <w:tr w:rsidR="002A5357" w:rsidRPr="001F4A1E" w14:paraId="6D028731" w14:textId="77777777">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4419FC3F"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9.48 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33EED946"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entity type code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D122AD8"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T </w:t>
            </w:r>
          </w:p>
        </w:tc>
      </w:tr>
      <w:tr w:rsidR="002A5357" w:rsidRPr="001F4A1E" w14:paraId="5D935FC1" w14:textId="77777777">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15096434"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9.49 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2455ED0B"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entity sub-type code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F7383C9" w14:textId="77777777" w:rsidR="002A5357" w:rsidRPr="001F4A1E" w:rsidRDefault="002A5357">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NMT</w:t>
            </w:r>
          </w:p>
        </w:tc>
      </w:tr>
    </w:tbl>
    <w:p w14:paraId="79CD4F9E" w14:textId="77777777" w:rsidR="002A5357" w:rsidRDefault="002A5357">
      <w:pPr>
        <w:pStyle w:val="Maintext"/>
        <w:rPr>
          <w:rFonts w:asciiTheme="minorHAnsi" w:eastAsiaTheme="majorEastAsia" w:hAnsiTheme="minorHAnsi" w:cstheme="majorBidi"/>
          <w:bCs/>
          <w:color w:val="000000" w:themeColor="text1"/>
          <w:spacing w:val="4"/>
          <w:sz w:val="20"/>
          <w:szCs w:val="20"/>
          <w:lang w:eastAsia="en-US"/>
        </w:rPr>
      </w:pPr>
    </w:p>
    <w:p w14:paraId="54745ECD" w14:textId="77777777" w:rsidR="00B76E6C" w:rsidRDefault="00B76E6C" w:rsidP="00B76E6C">
      <w:pPr>
        <w:spacing w:after="0" w:line="240" w:lineRule="auto"/>
        <w:textAlignment w:val="baseline"/>
        <w:rPr>
          <w:rFonts w:ascii="Inter" w:eastAsia="Times New Roman" w:hAnsi="Inter" w:cs="Segoe UI"/>
          <w:color w:val="000000"/>
          <w:lang w:eastAsia="en-AU"/>
        </w:rPr>
      </w:pPr>
      <w:r w:rsidRPr="00B078CC">
        <w:rPr>
          <w:rFonts w:ascii="Inter" w:eastAsia="Times New Roman" w:hAnsi="Inter" w:cs="Segoe UI"/>
          <w:b/>
          <w:smallCaps/>
          <w:color w:val="000000"/>
          <w:lang w:eastAsia="en-AU"/>
        </w:rPr>
        <w:t>investment account data record 1 </w:t>
      </w:r>
      <w:r w:rsidRPr="00B078CC">
        <w:rPr>
          <w:rFonts w:ascii="Inter" w:eastAsia="Times New Roman" w:hAnsi="Inter" w:cs="Segoe UI"/>
          <w:smallCaps/>
          <w:color w:val="000000"/>
          <w:lang w:eastAsia="en-AU"/>
        </w:rPr>
        <w:t>(extract)</w:t>
      </w:r>
      <w:r w:rsidRPr="00B078CC">
        <w:rPr>
          <w:rFonts w:ascii="Inter" w:eastAsia="Times New Roman" w:hAnsi="Inter" w:cs="Segoe UI"/>
          <w:color w:val="000000"/>
          <w:lang w:eastAsia="en-AU"/>
        </w:rPr>
        <w:t> </w:t>
      </w:r>
    </w:p>
    <w:p w14:paraId="0F65C8CD" w14:textId="77777777" w:rsidR="00E1251B" w:rsidRPr="00B078CC" w:rsidRDefault="00E1251B" w:rsidP="00B76E6C">
      <w:pPr>
        <w:spacing w:after="0" w:line="240" w:lineRule="auto"/>
        <w:textAlignment w:val="baseline"/>
        <w:rPr>
          <w:rFonts w:ascii="Segoe UI" w:eastAsia="Times New Roman" w:hAnsi="Segoe UI" w:cs="Segoe UI"/>
          <w:color w:val="000000"/>
          <w:sz w:val="18"/>
          <w:szCs w:val="18"/>
          <w:lang w:eastAsia="en-AU"/>
        </w:rPr>
      </w:pPr>
    </w:p>
    <w:tbl>
      <w:tblPr>
        <w:tblW w:w="9188"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5185"/>
        <w:gridCol w:w="2863"/>
      </w:tblGrid>
      <w:tr w:rsidR="00B76E6C" w:rsidRPr="001F6FCD" w14:paraId="03C10D32" w14:textId="77777777">
        <w:trPr>
          <w:trHeight w:val="495"/>
        </w:trPr>
        <w:tc>
          <w:tcPr>
            <w:tcW w:w="1140"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4ED50A48" w14:textId="77777777" w:rsidR="00B76E6C" w:rsidRPr="00B078CC" w:rsidRDefault="00B76E6C">
            <w:pPr>
              <w:spacing w:after="0" w:line="240" w:lineRule="auto"/>
              <w:textAlignment w:val="baseline"/>
              <w:rPr>
                <w:rFonts w:ascii="Times New Roman" w:eastAsia="Times New Roman" w:hAnsi="Times New Roman"/>
                <w:color w:val="000000"/>
                <w:sz w:val="24"/>
                <w:szCs w:val="24"/>
                <w:lang w:eastAsia="en-AU"/>
              </w:rPr>
            </w:pPr>
            <w:r w:rsidRPr="00B078CC">
              <w:rPr>
                <w:rFonts w:ascii="Inter" w:eastAsia="Times New Roman" w:hAnsi="Inter"/>
                <w:b/>
                <w:color w:val="000000"/>
                <w:lang w:eastAsia="en-AU"/>
              </w:rPr>
              <w:t>Reference number</w:t>
            </w:r>
            <w:r w:rsidRPr="00B078CC">
              <w:rPr>
                <w:rFonts w:ascii="Inter" w:eastAsia="Times New Roman" w:hAnsi="Inter"/>
                <w:color w:val="000000"/>
                <w:lang w:eastAsia="en-AU"/>
              </w:rPr>
              <w:t> </w:t>
            </w:r>
          </w:p>
        </w:tc>
        <w:tc>
          <w:tcPr>
            <w:tcW w:w="5185" w:type="dxa"/>
            <w:tcBorders>
              <w:top w:val="single" w:sz="8" w:space="0" w:color="auto"/>
              <w:left w:val="nil"/>
              <w:bottom w:val="single" w:sz="8" w:space="0" w:color="auto"/>
              <w:right w:val="single" w:sz="8" w:space="0" w:color="auto"/>
            </w:tcBorders>
            <w:shd w:val="clear" w:color="auto" w:fill="B3B3B3"/>
            <w:vAlign w:val="center"/>
            <w:hideMark/>
          </w:tcPr>
          <w:p w14:paraId="5DF853A1" w14:textId="77777777" w:rsidR="00B76E6C" w:rsidRPr="00B078CC" w:rsidRDefault="00B76E6C">
            <w:pPr>
              <w:spacing w:after="0" w:line="240" w:lineRule="auto"/>
              <w:textAlignment w:val="baseline"/>
              <w:rPr>
                <w:rFonts w:ascii="Times New Roman" w:eastAsia="Times New Roman" w:hAnsi="Times New Roman"/>
                <w:color w:val="000000"/>
                <w:sz w:val="24"/>
                <w:szCs w:val="24"/>
                <w:lang w:eastAsia="en-AU"/>
              </w:rPr>
            </w:pPr>
            <w:r w:rsidRPr="00B078CC">
              <w:rPr>
                <w:rFonts w:ascii="Inter" w:eastAsia="Times New Roman" w:hAnsi="Inter"/>
                <w:b/>
                <w:color w:val="000000"/>
                <w:lang w:eastAsia="en-AU"/>
              </w:rPr>
              <w:t>Field name</w:t>
            </w:r>
            <w:r w:rsidRPr="00B078CC">
              <w:rPr>
                <w:rFonts w:ascii="Inter" w:eastAsia="Times New Roman" w:hAnsi="Inter"/>
                <w:color w:val="000000"/>
                <w:lang w:eastAsia="en-AU"/>
              </w:rPr>
              <w:t> </w:t>
            </w:r>
          </w:p>
        </w:tc>
        <w:tc>
          <w:tcPr>
            <w:tcW w:w="2863" w:type="dxa"/>
            <w:tcBorders>
              <w:top w:val="single" w:sz="8" w:space="0" w:color="auto"/>
              <w:left w:val="nil"/>
              <w:bottom w:val="single" w:sz="8" w:space="0" w:color="auto"/>
              <w:right w:val="single" w:sz="8" w:space="0" w:color="auto"/>
            </w:tcBorders>
            <w:shd w:val="clear" w:color="auto" w:fill="B3B3B3"/>
            <w:vAlign w:val="center"/>
            <w:hideMark/>
          </w:tcPr>
          <w:p w14:paraId="1AAD41C6" w14:textId="77777777" w:rsidR="00B76E6C" w:rsidRPr="00B078CC" w:rsidRDefault="00B76E6C">
            <w:pPr>
              <w:spacing w:after="0" w:line="240" w:lineRule="auto"/>
              <w:textAlignment w:val="baseline"/>
              <w:rPr>
                <w:rFonts w:ascii="Times New Roman" w:eastAsia="Times New Roman" w:hAnsi="Times New Roman"/>
                <w:color w:val="000000"/>
                <w:sz w:val="24"/>
                <w:szCs w:val="24"/>
                <w:lang w:eastAsia="en-AU"/>
              </w:rPr>
            </w:pPr>
            <w:r w:rsidRPr="00B078CC">
              <w:rPr>
                <w:rFonts w:ascii="Inter" w:eastAsia="Times New Roman" w:hAnsi="Inter"/>
                <w:b/>
                <w:color w:val="000000"/>
                <w:lang w:eastAsia="en-AU"/>
              </w:rPr>
              <w:t>Content</w:t>
            </w:r>
            <w:r w:rsidRPr="00B078CC">
              <w:rPr>
                <w:rFonts w:ascii="Inter" w:eastAsia="Times New Roman" w:hAnsi="Inter"/>
                <w:color w:val="000000"/>
                <w:lang w:eastAsia="en-AU"/>
              </w:rPr>
              <w:t> </w:t>
            </w:r>
          </w:p>
        </w:tc>
      </w:tr>
      <w:tr w:rsidR="00B76E6C" w:rsidRPr="001F6FCD" w14:paraId="242CAA43"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2023D67D"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9.62 </w:t>
            </w:r>
          </w:p>
        </w:tc>
        <w:tc>
          <w:tcPr>
            <w:tcW w:w="5185" w:type="dxa"/>
            <w:tcBorders>
              <w:top w:val="nil"/>
              <w:left w:val="nil"/>
              <w:bottom w:val="single" w:sz="8" w:space="0" w:color="auto"/>
              <w:right w:val="single" w:sz="8" w:space="0" w:color="auto"/>
            </w:tcBorders>
            <w:vAlign w:val="center"/>
            <w:hideMark/>
          </w:tcPr>
          <w:p w14:paraId="19E82A0B"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Sequence number of DACCOUNT record </w:t>
            </w:r>
          </w:p>
        </w:tc>
        <w:tc>
          <w:tcPr>
            <w:tcW w:w="2863" w:type="dxa"/>
            <w:tcBorders>
              <w:top w:val="nil"/>
              <w:left w:val="nil"/>
              <w:bottom w:val="single" w:sz="8" w:space="0" w:color="auto"/>
              <w:right w:val="single" w:sz="8" w:space="0" w:color="auto"/>
            </w:tcBorders>
            <w:vAlign w:val="center"/>
            <w:hideMark/>
          </w:tcPr>
          <w:p w14:paraId="7AA1970C"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01 </w:t>
            </w:r>
          </w:p>
        </w:tc>
      </w:tr>
      <w:tr w:rsidR="00B76E6C" w:rsidRPr="001F6FCD" w14:paraId="4C1EA4BF"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608C8C67"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9.63 </w:t>
            </w:r>
          </w:p>
        </w:tc>
        <w:tc>
          <w:tcPr>
            <w:tcW w:w="5185" w:type="dxa"/>
            <w:tcBorders>
              <w:top w:val="nil"/>
              <w:left w:val="nil"/>
              <w:bottom w:val="single" w:sz="8" w:space="0" w:color="auto"/>
              <w:right w:val="single" w:sz="8" w:space="0" w:color="auto"/>
            </w:tcBorders>
            <w:vAlign w:val="center"/>
            <w:hideMark/>
          </w:tcPr>
          <w:p w14:paraId="0AF330E0"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Investment reference number </w:t>
            </w:r>
          </w:p>
        </w:tc>
        <w:tc>
          <w:tcPr>
            <w:tcW w:w="2863" w:type="dxa"/>
            <w:tcBorders>
              <w:top w:val="nil"/>
              <w:left w:val="nil"/>
              <w:bottom w:val="single" w:sz="8" w:space="0" w:color="auto"/>
              <w:right w:val="single" w:sz="8" w:space="0" w:color="auto"/>
            </w:tcBorders>
            <w:vAlign w:val="center"/>
            <w:hideMark/>
          </w:tcPr>
          <w:p w14:paraId="2EA6B29B" w14:textId="77777777" w:rsidR="00B76E6C" w:rsidRPr="001F6FCD" w:rsidRDefault="00531B7D">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85644931</w:t>
            </w:r>
          </w:p>
        </w:tc>
      </w:tr>
      <w:tr w:rsidR="00B76E6C" w:rsidRPr="001F6FCD" w14:paraId="44B1A3A2"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4EA31551"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9.64 </w:t>
            </w:r>
          </w:p>
        </w:tc>
        <w:tc>
          <w:tcPr>
            <w:tcW w:w="5185" w:type="dxa"/>
            <w:tcBorders>
              <w:top w:val="nil"/>
              <w:left w:val="nil"/>
              <w:bottom w:val="single" w:sz="8" w:space="0" w:color="auto"/>
              <w:right w:val="single" w:sz="8" w:space="0" w:color="auto"/>
            </w:tcBorders>
            <w:vAlign w:val="center"/>
            <w:hideMark/>
          </w:tcPr>
          <w:p w14:paraId="6175ADC6"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Account reference number </w:t>
            </w:r>
          </w:p>
        </w:tc>
        <w:tc>
          <w:tcPr>
            <w:tcW w:w="2863" w:type="dxa"/>
            <w:tcBorders>
              <w:top w:val="nil"/>
              <w:left w:val="nil"/>
              <w:bottom w:val="single" w:sz="8" w:space="0" w:color="auto"/>
              <w:right w:val="single" w:sz="8" w:space="0" w:color="auto"/>
            </w:tcBorders>
            <w:vAlign w:val="center"/>
            <w:hideMark/>
          </w:tcPr>
          <w:p w14:paraId="7A986D9A" w14:textId="77777777" w:rsidR="00B76E6C" w:rsidRPr="001F6FCD" w:rsidRDefault="00531B7D">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3596724</w:t>
            </w:r>
          </w:p>
        </w:tc>
      </w:tr>
      <w:tr w:rsidR="00B76E6C" w:rsidRPr="001F6FCD" w14:paraId="3007DC9A" w14:textId="77777777">
        <w:trPr>
          <w:trHeight w:val="270"/>
        </w:trPr>
        <w:tc>
          <w:tcPr>
            <w:tcW w:w="1140" w:type="dxa"/>
            <w:tcBorders>
              <w:top w:val="nil"/>
              <w:left w:val="single" w:sz="8" w:space="0" w:color="auto"/>
              <w:bottom w:val="single" w:sz="8" w:space="0" w:color="auto"/>
              <w:right w:val="single" w:sz="8" w:space="0" w:color="auto"/>
            </w:tcBorders>
            <w:vAlign w:val="center"/>
          </w:tcPr>
          <w:p w14:paraId="6DDF4CE6" w14:textId="77777777" w:rsidR="00B76E6C" w:rsidRPr="00B078CC" w:rsidRDefault="00B76E6C">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9.67</w:t>
            </w:r>
          </w:p>
        </w:tc>
        <w:tc>
          <w:tcPr>
            <w:tcW w:w="5185" w:type="dxa"/>
            <w:tcBorders>
              <w:top w:val="nil"/>
              <w:left w:val="nil"/>
              <w:bottom w:val="single" w:sz="8" w:space="0" w:color="auto"/>
              <w:right w:val="single" w:sz="8" w:space="0" w:color="auto"/>
            </w:tcBorders>
            <w:vAlign w:val="center"/>
          </w:tcPr>
          <w:p w14:paraId="2A960599" w14:textId="77777777" w:rsidR="00B76E6C" w:rsidRPr="00B078CC" w:rsidRDefault="00B76E6C">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Account name</w:t>
            </w:r>
          </w:p>
        </w:tc>
        <w:tc>
          <w:tcPr>
            <w:tcW w:w="2863" w:type="dxa"/>
            <w:tcBorders>
              <w:top w:val="nil"/>
              <w:left w:val="nil"/>
              <w:bottom w:val="single" w:sz="8" w:space="0" w:color="auto"/>
              <w:right w:val="single" w:sz="8" w:space="0" w:color="auto"/>
            </w:tcBorders>
            <w:vAlign w:val="center"/>
          </w:tcPr>
          <w:p w14:paraId="586183BD" w14:textId="77777777" w:rsidR="00B76E6C" w:rsidRPr="00B078CC" w:rsidRDefault="00EB0EB1">
            <w:pPr>
              <w:spacing w:after="0" w:line="240" w:lineRule="auto"/>
              <w:textAlignment w:val="baseline"/>
              <w:rPr>
                <w:rFonts w:ascii="Inter" w:eastAsia="Times New Roman" w:hAnsi="Inter"/>
                <w:color w:val="000000"/>
                <w:lang w:eastAsia="en-AU"/>
              </w:rPr>
            </w:pPr>
            <w:r>
              <w:rPr>
                <w:rFonts w:ascii="Inter" w:eastAsia="Times New Roman" w:hAnsi="Inter"/>
                <w:color w:val="000000"/>
                <w:lang w:eastAsia="en-AU"/>
              </w:rPr>
              <w:t>P</w:t>
            </w:r>
            <w:r>
              <w:rPr>
                <w:rFonts w:eastAsia="Times New Roman"/>
                <w:lang w:eastAsia="en-AU"/>
              </w:rPr>
              <w:t>acific Trail Trust</w:t>
            </w:r>
          </w:p>
        </w:tc>
      </w:tr>
      <w:tr w:rsidR="00B76E6C" w:rsidRPr="001F6FCD" w14:paraId="52CD3EE3"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38A6CBD9"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9.70 </w:t>
            </w:r>
          </w:p>
        </w:tc>
        <w:tc>
          <w:tcPr>
            <w:tcW w:w="5185" w:type="dxa"/>
            <w:tcBorders>
              <w:top w:val="nil"/>
              <w:left w:val="nil"/>
              <w:bottom w:val="single" w:sz="8" w:space="0" w:color="auto"/>
              <w:right w:val="single" w:sz="8" w:space="0" w:color="auto"/>
            </w:tcBorders>
            <w:vAlign w:val="center"/>
            <w:hideMark/>
          </w:tcPr>
          <w:p w14:paraId="71E71DBE"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Date of payment (DDMMCCYY) </w:t>
            </w:r>
          </w:p>
        </w:tc>
        <w:tc>
          <w:tcPr>
            <w:tcW w:w="2863" w:type="dxa"/>
            <w:tcBorders>
              <w:top w:val="nil"/>
              <w:left w:val="nil"/>
              <w:bottom w:val="single" w:sz="8" w:space="0" w:color="auto"/>
              <w:right w:val="single" w:sz="8" w:space="0" w:color="auto"/>
            </w:tcBorders>
            <w:vAlign w:val="center"/>
            <w:hideMark/>
          </w:tcPr>
          <w:p w14:paraId="4A6D0107"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30062026</w:t>
            </w:r>
          </w:p>
        </w:tc>
      </w:tr>
      <w:tr w:rsidR="00B76E6C" w:rsidRPr="001F6FCD" w14:paraId="0F924592"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26F26009" w14:textId="77777777" w:rsidR="00B76E6C" w:rsidRPr="007B2CCC" w:rsidRDefault="00B76E6C">
            <w:pPr>
              <w:spacing w:after="0" w:line="240" w:lineRule="auto"/>
              <w:textAlignment w:val="baseline"/>
              <w:rPr>
                <w:rFonts w:ascii="Times New Roman" w:eastAsia="Times New Roman" w:hAnsi="Times New Roman"/>
                <w:color w:val="000000"/>
                <w:sz w:val="24"/>
                <w:szCs w:val="24"/>
                <w:lang w:eastAsia="en-AU"/>
              </w:rPr>
            </w:pPr>
            <w:r w:rsidRPr="007B2CCC">
              <w:rPr>
                <w:rFonts w:ascii="Inter" w:eastAsia="Times New Roman" w:hAnsi="Inter"/>
                <w:color w:val="000000"/>
                <w:lang w:eastAsia="en-AU"/>
              </w:rPr>
              <w:t>9.71 </w:t>
            </w:r>
          </w:p>
        </w:tc>
        <w:tc>
          <w:tcPr>
            <w:tcW w:w="5185" w:type="dxa"/>
            <w:tcBorders>
              <w:top w:val="nil"/>
              <w:left w:val="nil"/>
              <w:bottom w:val="single" w:sz="8" w:space="0" w:color="auto"/>
              <w:right w:val="single" w:sz="8" w:space="0" w:color="auto"/>
            </w:tcBorders>
            <w:vAlign w:val="center"/>
            <w:hideMark/>
          </w:tcPr>
          <w:p w14:paraId="3B5AFD61" w14:textId="77777777" w:rsidR="00B76E6C" w:rsidRPr="00B078CC" w:rsidRDefault="00B76E6C">
            <w:pPr>
              <w:spacing w:after="0" w:line="240" w:lineRule="auto"/>
              <w:textAlignment w:val="baseline"/>
              <w:rPr>
                <w:rFonts w:ascii="Inter" w:eastAsia="Times New Roman" w:hAnsi="Inter"/>
                <w:color w:val="000000"/>
                <w:lang w:eastAsia="en-AU"/>
              </w:rPr>
            </w:pPr>
            <w:r w:rsidRPr="007B2CCC">
              <w:rPr>
                <w:rFonts w:ascii="Inter" w:eastAsia="Times New Roman" w:hAnsi="Inter"/>
                <w:color w:val="000000"/>
                <w:lang w:eastAsia="en-AU"/>
              </w:rPr>
              <w:t>Type of investment </w:t>
            </w:r>
          </w:p>
        </w:tc>
        <w:tc>
          <w:tcPr>
            <w:tcW w:w="2863" w:type="dxa"/>
            <w:tcBorders>
              <w:top w:val="nil"/>
              <w:left w:val="nil"/>
              <w:bottom w:val="single" w:sz="8" w:space="0" w:color="auto"/>
              <w:right w:val="single" w:sz="8" w:space="0" w:color="auto"/>
            </w:tcBorders>
            <w:vAlign w:val="center"/>
            <w:hideMark/>
          </w:tcPr>
          <w:p w14:paraId="2CB7505A" w14:textId="77777777" w:rsidR="00B76E6C" w:rsidRPr="00B078CC" w:rsidRDefault="009B5C10">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5</w:t>
            </w:r>
          </w:p>
        </w:tc>
      </w:tr>
      <w:tr w:rsidR="00B76E6C" w:rsidRPr="001F6FCD" w14:paraId="474BD90F"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7983A057" w14:textId="77777777" w:rsidR="00B76E6C" w:rsidRPr="001F6FCD" w:rsidRDefault="00B76E6C">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9.72 </w:t>
            </w:r>
          </w:p>
        </w:tc>
        <w:tc>
          <w:tcPr>
            <w:tcW w:w="5185" w:type="dxa"/>
            <w:tcBorders>
              <w:top w:val="nil"/>
              <w:left w:val="nil"/>
              <w:bottom w:val="single" w:sz="8" w:space="0" w:color="auto"/>
              <w:right w:val="single" w:sz="8" w:space="0" w:color="auto"/>
            </w:tcBorders>
            <w:vAlign w:val="center"/>
            <w:hideMark/>
          </w:tcPr>
          <w:p w14:paraId="49AB338C" w14:textId="77777777" w:rsidR="00B76E6C" w:rsidRPr="00B078CC" w:rsidRDefault="00B76E6C">
            <w:pPr>
              <w:spacing w:after="0" w:line="240" w:lineRule="auto"/>
              <w:textAlignment w:val="baseline"/>
              <w:rPr>
                <w:rFonts w:ascii="Inter" w:eastAsia="Times New Roman" w:hAnsi="Inter"/>
                <w:color w:val="000000"/>
                <w:lang w:eastAsia="en-AU"/>
              </w:rPr>
            </w:pPr>
            <w:r w:rsidRPr="001F6FCD">
              <w:rPr>
                <w:rFonts w:ascii="Inter" w:eastAsia="Times New Roman" w:hAnsi="Inter"/>
                <w:color w:val="000000"/>
                <w:lang w:eastAsia="en-AU"/>
              </w:rPr>
              <w:t>Type of payment </w:t>
            </w:r>
          </w:p>
        </w:tc>
        <w:tc>
          <w:tcPr>
            <w:tcW w:w="2863" w:type="dxa"/>
            <w:tcBorders>
              <w:top w:val="nil"/>
              <w:left w:val="nil"/>
              <w:bottom w:val="single" w:sz="8" w:space="0" w:color="auto"/>
              <w:right w:val="single" w:sz="8" w:space="0" w:color="auto"/>
            </w:tcBorders>
            <w:vAlign w:val="center"/>
            <w:hideMark/>
          </w:tcPr>
          <w:p w14:paraId="47E56B22" w14:textId="77777777" w:rsidR="00B76E6C" w:rsidRPr="00B078CC" w:rsidRDefault="009B5C10">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UTD</w:t>
            </w:r>
          </w:p>
        </w:tc>
      </w:tr>
      <w:tr w:rsidR="00B10C25" w:rsidRPr="001F6FCD" w14:paraId="64FD2472" w14:textId="77777777">
        <w:trPr>
          <w:trHeight w:val="270"/>
        </w:trPr>
        <w:tc>
          <w:tcPr>
            <w:tcW w:w="1140" w:type="dxa"/>
            <w:tcBorders>
              <w:top w:val="nil"/>
              <w:left w:val="single" w:sz="8" w:space="0" w:color="auto"/>
              <w:bottom w:val="single" w:sz="8" w:space="0" w:color="auto"/>
              <w:right w:val="single" w:sz="8" w:space="0" w:color="auto"/>
            </w:tcBorders>
            <w:vAlign w:val="center"/>
          </w:tcPr>
          <w:p w14:paraId="43D2E8E5"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w:t>
            </w:r>
            <w:r w:rsidRPr="00B078CC">
              <w:rPr>
                <w:rFonts w:eastAsia="Times New Roman"/>
                <w:lang w:eastAsia="en-AU"/>
              </w:rPr>
              <w:t>.76</w:t>
            </w:r>
          </w:p>
        </w:tc>
        <w:tc>
          <w:tcPr>
            <w:tcW w:w="5185" w:type="dxa"/>
            <w:tcBorders>
              <w:top w:val="nil"/>
              <w:left w:val="nil"/>
              <w:bottom w:val="single" w:sz="8" w:space="0" w:color="auto"/>
              <w:right w:val="single" w:sz="8" w:space="0" w:color="auto"/>
            </w:tcBorders>
            <w:vAlign w:val="center"/>
          </w:tcPr>
          <w:p w14:paraId="0D3D67DF"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EB0EB1">
              <w:rPr>
                <w:rFonts w:ascii="Inter" w:eastAsia="Times New Roman" w:hAnsi="Inter"/>
                <w:color w:val="000000"/>
                <w:lang w:eastAsia="en-AU"/>
              </w:rPr>
              <w:t>Non-resident withholding amount deducted</w:t>
            </w:r>
          </w:p>
        </w:tc>
        <w:tc>
          <w:tcPr>
            <w:tcW w:w="2863" w:type="dxa"/>
            <w:tcBorders>
              <w:top w:val="nil"/>
              <w:left w:val="nil"/>
              <w:bottom w:val="single" w:sz="8" w:space="0" w:color="auto"/>
              <w:right w:val="single" w:sz="8" w:space="0" w:color="auto"/>
            </w:tcBorders>
            <w:vAlign w:val="center"/>
          </w:tcPr>
          <w:p w14:paraId="07C67EDA" w14:textId="77777777" w:rsidR="00B10C25" w:rsidRPr="00B078CC" w:rsidRDefault="00362215" w:rsidP="00B10C25">
            <w:pPr>
              <w:spacing w:after="0" w:line="240" w:lineRule="auto"/>
              <w:textAlignment w:val="baseline"/>
              <w:rPr>
                <w:rStyle w:val="normaltextrun"/>
                <w:rFonts w:ascii="Inter" w:hAnsi="Inter"/>
                <w:color w:val="000000"/>
                <w:shd w:val="clear" w:color="auto" w:fill="FFFFFF"/>
              </w:rPr>
            </w:pPr>
            <w:r w:rsidRPr="00EB0EB1">
              <w:rPr>
                <w:rStyle w:val="normaltextrun"/>
                <w:rFonts w:ascii="Inter" w:hAnsi="Inter"/>
                <w:color w:val="000000"/>
                <w:shd w:val="clear" w:color="auto" w:fill="FFFFFF"/>
              </w:rPr>
              <w:t>000000</w:t>
            </w:r>
            <w:r w:rsidR="00476429" w:rsidRPr="00B078CC">
              <w:rPr>
                <w:rStyle w:val="normaltextrun"/>
                <w:rFonts w:ascii="Inter" w:hAnsi="Inter"/>
                <w:color w:val="000000"/>
                <w:shd w:val="clear" w:color="auto" w:fill="FFFFFF"/>
              </w:rPr>
              <w:t>00</w:t>
            </w:r>
            <w:r w:rsidRPr="00EB0EB1">
              <w:rPr>
                <w:rStyle w:val="normaltextrun"/>
                <w:rFonts w:ascii="Inter" w:hAnsi="Inter"/>
                <w:color w:val="000000"/>
                <w:shd w:val="clear" w:color="auto" w:fill="FFFFFF"/>
              </w:rPr>
              <w:t>0000</w:t>
            </w:r>
          </w:p>
        </w:tc>
      </w:tr>
      <w:tr w:rsidR="00B10C25" w:rsidRPr="001F6FCD" w14:paraId="645DED16" w14:textId="77777777">
        <w:trPr>
          <w:trHeight w:val="270"/>
        </w:trPr>
        <w:tc>
          <w:tcPr>
            <w:tcW w:w="1140" w:type="dxa"/>
            <w:tcBorders>
              <w:top w:val="nil"/>
              <w:left w:val="single" w:sz="8" w:space="0" w:color="auto"/>
              <w:bottom w:val="single" w:sz="8" w:space="0" w:color="auto"/>
              <w:right w:val="single" w:sz="8" w:space="0" w:color="auto"/>
            </w:tcBorders>
            <w:vAlign w:val="center"/>
          </w:tcPr>
          <w:p w14:paraId="5E6C0C8B"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9.85</w:t>
            </w:r>
          </w:p>
        </w:tc>
        <w:tc>
          <w:tcPr>
            <w:tcW w:w="5185" w:type="dxa"/>
            <w:tcBorders>
              <w:top w:val="nil"/>
              <w:left w:val="nil"/>
              <w:bottom w:val="single" w:sz="8" w:space="0" w:color="auto"/>
              <w:right w:val="single" w:sz="8" w:space="0" w:color="auto"/>
            </w:tcBorders>
            <w:vAlign w:val="center"/>
          </w:tcPr>
          <w:p w14:paraId="722A163F"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Non-primary production income</w:t>
            </w:r>
            <w:r w:rsidR="00B80CC6" w:rsidRPr="00B078CC">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53A4625A"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B078CC">
              <w:rPr>
                <w:rStyle w:val="normaltextrun"/>
                <w:rFonts w:ascii="Inter" w:hAnsi="Inter"/>
                <w:color w:val="000000"/>
                <w:shd w:val="clear" w:color="auto" w:fill="FFFFFF"/>
              </w:rPr>
              <w:t>000001000000</w:t>
            </w:r>
            <w:r w:rsidRPr="00B078CC">
              <w:rPr>
                <w:rStyle w:val="eop"/>
                <w:rFonts w:ascii="Inter" w:hAnsi="Inter"/>
                <w:color w:val="000000"/>
                <w:shd w:val="clear" w:color="auto" w:fill="FFFFFF"/>
              </w:rPr>
              <w:t> </w:t>
            </w:r>
          </w:p>
        </w:tc>
      </w:tr>
      <w:tr w:rsidR="00B10C25" w:rsidRPr="001F6FCD" w14:paraId="59863193" w14:textId="77777777">
        <w:trPr>
          <w:trHeight w:val="270"/>
        </w:trPr>
        <w:tc>
          <w:tcPr>
            <w:tcW w:w="1140" w:type="dxa"/>
            <w:tcBorders>
              <w:top w:val="nil"/>
              <w:left w:val="single" w:sz="8" w:space="0" w:color="auto"/>
              <w:bottom w:val="single" w:sz="8" w:space="0" w:color="auto"/>
              <w:right w:val="single" w:sz="8" w:space="0" w:color="auto"/>
            </w:tcBorders>
            <w:vAlign w:val="center"/>
          </w:tcPr>
          <w:p w14:paraId="025D4F65"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9.88</w:t>
            </w:r>
          </w:p>
        </w:tc>
        <w:tc>
          <w:tcPr>
            <w:tcW w:w="5185" w:type="dxa"/>
            <w:tcBorders>
              <w:top w:val="nil"/>
              <w:left w:val="nil"/>
              <w:bottom w:val="single" w:sz="8" w:space="0" w:color="auto"/>
              <w:right w:val="single" w:sz="8" w:space="0" w:color="auto"/>
            </w:tcBorders>
            <w:vAlign w:val="center"/>
          </w:tcPr>
          <w:p w14:paraId="50BB8678"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Net capital gain</w:t>
            </w:r>
            <w:r w:rsidR="00B80CC6" w:rsidRPr="00B078CC">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45228CF3"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024725">
              <w:rPr>
                <w:rStyle w:val="normaltextrun"/>
                <w:rFonts w:ascii="Inter" w:hAnsi="Inter"/>
                <w:color w:val="000000"/>
                <w:shd w:val="clear" w:color="auto" w:fill="FFFFFF"/>
              </w:rPr>
              <w:t>000000</w:t>
            </w:r>
            <w:r w:rsidR="006B43E0" w:rsidRPr="00B078CC">
              <w:rPr>
                <w:rStyle w:val="normaltextrun"/>
                <w:rFonts w:ascii="Inter" w:hAnsi="Inter"/>
                <w:color w:val="000000"/>
                <w:shd w:val="clear" w:color="auto" w:fill="FFFFFF"/>
              </w:rPr>
              <w:t>35</w:t>
            </w:r>
            <w:r w:rsidRPr="00024725">
              <w:rPr>
                <w:rStyle w:val="normaltextrun"/>
                <w:rFonts w:ascii="Inter" w:hAnsi="Inter"/>
                <w:color w:val="000000"/>
                <w:shd w:val="clear" w:color="auto" w:fill="FFFFFF"/>
              </w:rPr>
              <w:t>0000</w:t>
            </w:r>
          </w:p>
        </w:tc>
      </w:tr>
      <w:tr w:rsidR="00B10C25" w:rsidRPr="001F6FCD" w14:paraId="18E49E2B" w14:textId="77777777">
        <w:trPr>
          <w:trHeight w:val="270"/>
        </w:trPr>
        <w:tc>
          <w:tcPr>
            <w:tcW w:w="1140" w:type="dxa"/>
            <w:tcBorders>
              <w:top w:val="nil"/>
              <w:left w:val="single" w:sz="8" w:space="0" w:color="auto"/>
              <w:bottom w:val="single" w:sz="8" w:space="0" w:color="auto"/>
              <w:right w:val="single" w:sz="8" w:space="0" w:color="auto"/>
            </w:tcBorders>
            <w:vAlign w:val="center"/>
          </w:tcPr>
          <w:p w14:paraId="0C28B271"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9.89</w:t>
            </w:r>
          </w:p>
        </w:tc>
        <w:tc>
          <w:tcPr>
            <w:tcW w:w="5185" w:type="dxa"/>
            <w:tcBorders>
              <w:top w:val="nil"/>
              <w:left w:val="nil"/>
              <w:bottom w:val="single" w:sz="8" w:space="0" w:color="auto"/>
              <w:right w:val="single" w:sz="8" w:space="0" w:color="auto"/>
            </w:tcBorders>
            <w:vAlign w:val="center"/>
          </w:tcPr>
          <w:p w14:paraId="10524AF5"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Total year capital gains</w:t>
            </w:r>
            <w:r w:rsidR="00B80CC6">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40124B6E" w14:textId="77777777" w:rsidR="00B10C25" w:rsidRPr="00B078CC" w:rsidRDefault="00B10C25" w:rsidP="00B10C25">
            <w:pPr>
              <w:spacing w:after="0" w:line="240" w:lineRule="auto"/>
              <w:textAlignment w:val="baseline"/>
              <w:rPr>
                <w:rFonts w:ascii="Inter" w:eastAsia="Times New Roman" w:hAnsi="Inter"/>
                <w:color w:val="000000"/>
                <w:lang w:eastAsia="en-AU"/>
              </w:rPr>
            </w:pPr>
            <w:r w:rsidRPr="001F6FCD">
              <w:rPr>
                <w:rStyle w:val="normaltextrun"/>
                <w:rFonts w:ascii="Inter" w:hAnsi="Inter"/>
                <w:color w:val="000000"/>
                <w:shd w:val="clear" w:color="auto" w:fill="FFFFFF"/>
              </w:rPr>
              <w:t>000000</w:t>
            </w:r>
            <w:r w:rsidR="006B43E0">
              <w:rPr>
                <w:rStyle w:val="normaltextrun"/>
                <w:rFonts w:ascii="Inter" w:hAnsi="Inter"/>
                <w:color w:val="000000"/>
                <w:shd w:val="clear" w:color="auto" w:fill="FFFFFF"/>
              </w:rPr>
              <w:t>7</w:t>
            </w:r>
            <w:r>
              <w:rPr>
                <w:rStyle w:val="normaltextrun"/>
                <w:rFonts w:ascii="Inter" w:hAnsi="Inter"/>
                <w:color w:val="000000"/>
                <w:shd w:val="clear" w:color="auto" w:fill="FFFFFF"/>
              </w:rPr>
              <w:t>0</w:t>
            </w:r>
            <w:r w:rsidRPr="001F6FCD">
              <w:rPr>
                <w:rStyle w:val="normaltextrun"/>
                <w:rFonts w:ascii="Inter" w:hAnsi="Inter"/>
                <w:color w:val="000000"/>
                <w:shd w:val="clear" w:color="auto" w:fill="FFFFFF"/>
              </w:rPr>
              <w:t>0000</w:t>
            </w:r>
          </w:p>
        </w:tc>
      </w:tr>
    </w:tbl>
    <w:p w14:paraId="15949DFB" w14:textId="77777777" w:rsidR="00B76E6C" w:rsidRPr="0009262D" w:rsidRDefault="00B76E6C" w:rsidP="00B76E6C">
      <w:pPr>
        <w:pStyle w:val="Maintext"/>
        <w:rPr>
          <w:rFonts w:asciiTheme="minorHAnsi" w:hAnsiTheme="minorHAnsi" w:cs="Arial"/>
          <w:b/>
          <w:smallCaps/>
          <w:sz w:val="20"/>
          <w:szCs w:val="20"/>
        </w:rPr>
      </w:pPr>
    </w:p>
    <w:p w14:paraId="7CAB13C2" w14:textId="77777777" w:rsidR="00777FBF" w:rsidRDefault="00777FBF" w:rsidP="00AA677F">
      <w:pPr>
        <w:pStyle w:val="Maintext"/>
        <w:rPr>
          <w:rFonts w:asciiTheme="minorHAnsi" w:hAnsiTheme="minorHAnsi" w:cs="Arial"/>
          <w:b/>
          <w:smallCaps/>
          <w:sz w:val="20"/>
          <w:szCs w:val="20"/>
        </w:rPr>
      </w:pPr>
    </w:p>
    <w:p w14:paraId="5FCC3B1E" w14:textId="77777777" w:rsidR="00777FBF" w:rsidRDefault="00777FBF" w:rsidP="00AA677F">
      <w:pPr>
        <w:pStyle w:val="Maintext"/>
        <w:rPr>
          <w:rFonts w:asciiTheme="minorHAnsi" w:hAnsiTheme="minorHAnsi" w:cs="Arial"/>
          <w:b/>
          <w:smallCaps/>
          <w:sz w:val="20"/>
          <w:szCs w:val="20"/>
        </w:rPr>
      </w:pPr>
    </w:p>
    <w:p w14:paraId="36E0AF8C" w14:textId="77777777" w:rsidR="00777FBF" w:rsidRDefault="00777FBF" w:rsidP="00AA677F">
      <w:pPr>
        <w:pStyle w:val="Maintext"/>
        <w:rPr>
          <w:rFonts w:asciiTheme="minorHAnsi" w:hAnsiTheme="minorHAnsi" w:cs="Arial"/>
          <w:b/>
          <w:smallCaps/>
          <w:sz w:val="20"/>
          <w:szCs w:val="20"/>
        </w:rPr>
      </w:pPr>
    </w:p>
    <w:p w14:paraId="5A4974E0" w14:textId="77777777" w:rsidR="00777FBF" w:rsidRDefault="00777FBF" w:rsidP="00AA677F">
      <w:pPr>
        <w:pStyle w:val="Maintext"/>
        <w:rPr>
          <w:rFonts w:asciiTheme="minorHAnsi" w:hAnsiTheme="minorHAnsi" w:cs="Arial"/>
          <w:b/>
          <w:smallCaps/>
          <w:sz w:val="20"/>
          <w:szCs w:val="20"/>
        </w:rPr>
      </w:pPr>
    </w:p>
    <w:p w14:paraId="017D6F2B" w14:textId="12657BC2" w:rsidR="00E73AD7" w:rsidRDefault="00B76E6C" w:rsidP="00AA677F">
      <w:pPr>
        <w:pStyle w:val="Maintext"/>
        <w:rPr>
          <w:rFonts w:asciiTheme="minorHAnsi" w:hAnsiTheme="minorHAnsi" w:cs="Arial"/>
          <w:smallCaps/>
          <w:sz w:val="20"/>
          <w:szCs w:val="20"/>
        </w:rPr>
      </w:pPr>
      <w:r w:rsidRPr="00301F1F">
        <w:rPr>
          <w:rFonts w:asciiTheme="minorHAnsi" w:hAnsiTheme="minorHAnsi" w:cs="Arial"/>
          <w:b/>
          <w:smallCaps/>
          <w:sz w:val="20"/>
          <w:szCs w:val="20"/>
        </w:rPr>
        <w:t xml:space="preserve">supplementary income account data record 1 for 1 investor </w:t>
      </w:r>
      <w:r w:rsidRPr="00301F1F">
        <w:rPr>
          <w:rFonts w:asciiTheme="minorHAnsi" w:hAnsiTheme="minorHAnsi" w:cs="Arial"/>
          <w:smallCaps/>
          <w:sz w:val="20"/>
          <w:szCs w:val="20"/>
        </w:rPr>
        <w:t xml:space="preserve">(extract) </w:t>
      </w:r>
    </w:p>
    <w:p w14:paraId="441E74F3" w14:textId="77777777" w:rsidR="00E1251B" w:rsidRDefault="00E1251B" w:rsidP="00AA677F">
      <w:pPr>
        <w:pStyle w:val="Maintext"/>
        <w:rPr>
          <w:rFonts w:asciiTheme="minorHAnsi" w:hAnsiTheme="minorHAnsi" w:cs="Arial"/>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499"/>
        <w:gridCol w:w="2361"/>
      </w:tblGrid>
      <w:tr w:rsidR="0072037E" w:rsidRPr="00B11B96" w14:paraId="38D85DE2" w14:textId="77777777">
        <w:trPr>
          <w:trHeight w:val="495"/>
          <w:tblHeader/>
        </w:trPr>
        <w:tc>
          <w:tcPr>
            <w:tcW w:w="675"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F796E2F" w14:textId="77777777" w:rsidR="0072037E" w:rsidRPr="00B11B96" w:rsidRDefault="0072037E">
            <w:pPr>
              <w:spacing w:after="0" w:line="240" w:lineRule="auto"/>
              <w:rPr>
                <w:rFonts w:cs="Arial"/>
              </w:rPr>
            </w:pPr>
            <w:r w:rsidRPr="00F4606C">
              <w:rPr>
                <w:rFonts w:cs="Arial"/>
                <w:b/>
                <w:bCs/>
              </w:rPr>
              <w:t>Reference number</w:t>
            </w:r>
          </w:p>
        </w:tc>
        <w:tc>
          <w:tcPr>
            <w:tcW w:w="302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084F98F" w14:textId="77777777" w:rsidR="0072037E" w:rsidRPr="00B11B96" w:rsidRDefault="0072037E">
            <w:pPr>
              <w:spacing w:after="0" w:line="240" w:lineRule="auto"/>
              <w:rPr>
                <w:rFonts w:cs="Arial"/>
              </w:rPr>
            </w:pPr>
            <w:r w:rsidRPr="00F4606C">
              <w:rPr>
                <w:rFonts w:cs="Arial"/>
                <w:b/>
                <w:bCs/>
              </w:rPr>
              <w:t>Field name</w:t>
            </w:r>
          </w:p>
        </w:tc>
        <w:tc>
          <w:tcPr>
            <w:tcW w:w="1299"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866BFCA" w14:textId="77777777" w:rsidR="0072037E" w:rsidRPr="00B11B96" w:rsidRDefault="0072037E">
            <w:pPr>
              <w:spacing w:after="0" w:line="240" w:lineRule="auto"/>
              <w:rPr>
                <w:rFonts w:cs="Arial"/>
              </w:rPr>
            </w:pPr>
            <w:r w:rsidRPr="00F4606C">
              <w:rPr>
                <w:rFonts w:cs="Arial"/>
                <w:b/>
                <w:bCs/>
              </w:rPr>
              <w:t>Content</w:t>
            </w:r>
          </w:p>
        </w:tc>
      </w:tr>
      <w:tr w:rsidR="0072037E" w:rsidRPr="00B11B96" w14:paraId="52638845"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96751A" w14:textId="77777777" w:rsidR="0072037E" w:rsidRPr="004358BF" w:rsidRDefault="0072037E">
            <w:pPr>
              <w:spacing w:after="0" w:line="240" w:lineRule="auto"/>
              <w:rPr>
                <w:rFonts w:cs="Arial"/>
              </w:rPr>
            </w:pPr>
            <w:r>
              <w:rPr>
                <w:rFonts w:cs="Arial"/>
              </w:rPr>
              <w:t>9.121</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A1743A8" w14:textId="77777777" w:rsidR="0072037E" w:rsidRPr="004358BF" w:rsidRDefault="0072037E">
            <w:pPr>
              <w:spacing w:after="0" w:line="240" w:lineRule="auto"/>
              <w:rPr>
                <w:rFonts w:cs="Arial"/>
              </w:rPr>
            </w:pPr>
            <w:r>
              <w:rPr>
                <w:rFonts w:cs="Arial"/>
              </w:rPr>
              <w:t xml:space="preserve">Gross cash distribution </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598B5C5F" w14:textId="77777777" w:rsidR="0072037E" w:rsidRPr="004358BF" w:rsidRDefault="0072037E">
            <w:pPr>
              <w:spacing w:after="0" w:line="240" w:lineRule="auto"/>
              <w:rPr>
                <w:rFonts w:cs="Arial"/>
              </w:rPr>
            </w:pPr>
            <w:r w:rsidRPr="00024725">
              <w:rPr>
                <w:rFonts w:cs="Arial"/>
              </w:rPr>
              <w:t>00000</w:t>
            </w:r>
            <w:r>
              <w:rPr>
                <w:rFonts w:cs="Arial"/>
              </w:rPr>
              <w:t>170</w:t>
            </w:r>
            <w:r w:rsidRPr="00024725">
              <w:rPr>
                <w:rFonts w:cs="Arial"/>
              </w:rPr>
              <w:t>0000</w:t>
            </w:r>
          </w:p>
        </w:tc>
      </w:tr>
      <w:tr w:rsidR="0072037E" w:rsidRPr="00B11B96" w14:paraId="60E66653"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6F9E26" w14:textId="77777777" w:rsidR="0072037E" w:rsidRPr="004358BF" w:rsidRDefault="0072037E">
            <w:pPr>
              <w:spacing w:after="0" w:line="240" w:lineRule="auto"/>
              <w:rPr>
                <w:rFonts w:cs="Arial"/>
              </w:rPr>
            </w:pPr>
            <w:r w:rsidRPr="004358BF">
              <w:rPr>
                <w:rFonts w:cs="Arial"/>
              </w:rPr>
              <w:t>9.123</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081304E7" w14:textId="77777777" w:rsidR="0072037E" w:rsidRPr="004358BF" w:rsidRDefault="0072037E">
            <w:pPr>
              <w:spacing w:after="0" w:line="240" w:lineRule="auto"/>
              <w:rPr>
                <w:rFonts w:cs="Arial"/>
              </w:rPr>
            </w:pPr>
            <w:r w:rsidRPr="004358BF">
              <w:rPr>
                <w:rFonts w:cs="Arial"/>
              </w:rPr>
              <w:t>Capital Gains discount method – Taxable Australian property</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5CAFD760" w14:textId="77777777" w:rsidR="0072037E" w:rsidRPr="004358BF" w:rsidRDefault="0072037E">
            <w:pPr>
              <w:spacing w:after="0" w:line="240" w:lineRule="auto"/>
              <w:rPr>
                <w:rFonts w:cs="Arial"/>
              </w:rPr>
            </w:pPr>
            <w:r w:rsidRPr="004358BF">
              <w:rPr>
                <w:rFonts w:cs="Arial"/>
              </w:rPr>
              <w:t>000000350000</w:t>
            </w:r>
          </w:p>
        </w:tc>
      </w:tr>
      <w:tr w:rsidR="0072037E" w:rsidRPr="00B11B96" w14:paraId="7090B00E"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05FF0" w14:textId="77777777" w:rsidR="0072037E" w:rsidRPr="009B0441" w:rsidRDefault="0072037E">
            <w:pPr>
              <w:spacing w:after="0" w:line="240" w:lineRule="auto"/>
              <w:rPr>
                <w:rFonts w:cs="Arial"/>
              </w:rPr>
            </w:pPr>
            <w:r w:rsidRPr="009B0441">
              <w:rPr>
                <w:rFonts w:cs="Arial"/>
              </w:rPr>
              <w:t>9.138</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D2F3C" w14:textId="77777777" w:rsidR="0072037E" w:rsidRPr="009B0441" w:rsidRDefault="0072037E">
            <w:pPr>
              <w:spacing w:after="0" w:line="240" w:lineRule="auto"/>
              <w:rPr>
                <w:rFonts w:cs="Arial"/>
              </w:rPr>
            </w:pPr>
            <w:r w:rsidRPr="009B0441">
              <w:rPr>
                <w:rFonts w:cs="Arial"/>
              </w:rPr>
              <w:t>Excluded from NCMI – Non-primary production</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A01B8" w14:textId="49EA2C1A" w:rsidR="0072037E" w:rsidRPr="009B0441" w:rsidRDefault="0072037E">
            <w:pPr>
              <w:spacing w:after="0" w:line="240" w:lineRule="auto"/>
              <w:rPr>
                <w:rFonts w:cs="Arial"/>
              </w:rPr>
            </w:pPr>
            <w:r w:rsidRPr="009B0441">
              <w:rPr>
                <w:rFonts w:cs="Arial"/>
              </w:rPr>
              <w:t>00000100000</w:t>
            </w:r>
            <w:r w:rsidR="009B0441" w:rsidRPr="005C4B6F">
              <w:rPr>
                <w:rFonts w:cs="Arial"/>
              </w:rPr>
              <w:t>0</w:t>
            </w:r>
          </w:p>
        </w:tc>
      </w:tr>
      <w:tr w:rsidR="0072037E" w:rsidRPr="00B11B96" w14:paraId="6231873E"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EFC79" w14:textId="77777777" w:rsidR="0072037E" w:rsidRDefault="0072037E">
            <w:pPr>
              <w:spacing w:after="0" w:line="240" w:lineRule="auto"/>
              <w:rPr>
                <w:rFonts w:cs="Arial"/>
              </w:rPr>
            </w:pPr>
            <w:r>
              <w:rPr>
                <w:rFonts w:cs="Arial"/>
              </w:rPr>
              <w:t>9.141</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E8A3AC" w14:textId="77777777" w:rsidR="0072037E" w:rsidRDefault="0072037E">
            <w:pPr>
              <w:pStyle w:val="Maintext"/>
              <w:rPr>
                <w:rFonts w:asciiTheme="minorHAnsi" w:eastAsiaTheme="majorEastAsia" w:hAnsiTheme="minorHAnsi" w:cstheme="majorBidi"/>
                <w:bCs/>
                <w:color w:val="000000" w:themeColor="text1"/>
                <w:spacing w:val="4"/>
                <w:sz w:val="20"/>
                <w:szCs w:val="20"/>
                <w:lang w:eastAsia="en-US"/>
              </w:rPr>
            </w:pPr>
            <w:r>
              <w:rPr>
                <w:rFonts w:asciiTheme="minorHAnsi" w:eastAsiaTheme="majorEastAsia" w:hAnsiTheme="minorHAnsi" w:cstheme="majorBidi"/>
                <w:bCs/>
                <w:color w:val="000000" w:themeColor="text1"/>
                <w:spacing w:val="4"/>
                <w:sz w:val="20"/>
                <w:szCs w:val="20"/>
                <w:lang w:eastAsia="en-US"/>
              </w:rPr>
              <w:t>Excluded from NCMI Capital Gains</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BBEC0" w14:textId="77777777" w:rsidR="0072037E" w:rsidRPr="00F4606C" w:rsidRDefault="0072037E">
            <w:pPr>
              <w:spacing w:after="0" w:line="240" w:lineRule="auto"/>
              <w:rPr>
                <w:rFonts w:cs="Arial"/>
              </w:rPr>
            </w:pPr>
            <w:r w:rsidRPr="00F4606C">
              <w:rPr>
                <w:rFonts w:cs="Arial"/>
              </w:rPr>
              <w:t>000000</w:t>
            </w:r>
            <w:r>
              <w:rPr>
                <w:rFonts w:cs="Arial"/>
              </w:rPr>
              <w:t>7000</w:t>
            </w:r>
            <w:r w:rsidRPr="00F4606C">
              <w:rPr>
                <w:rFonts w:cs="Arial"/>
              </w:rPr>
              <w:t>00</w:t>
            </w:r>
          </w:p>
        </w:tc>
      </w:tr>
      <w:tr w:rsidR="0072037E" w:rsidRPr="00B11B96" w14:paraId="6E678788"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1E37E8" w14:textId="77777777" w:rsidR="0072037E" w:rsidRPr="00E97F33" w:rsidRDefault="0072037E">
            <w:pPr>
              <w:spacing w:after="0" w:line="240" w:lineRule="auto"/>
              <w:rPr>
                <w:rFonts w:cs="Arial"/>
              </w:rPr>
            </w:pPr>
            <w:r w:rsidRPr="00E97F33">
              <w:rPr>
                <w:rFonts w:cs="Arial"/>
              </w:rPr>
              <w:t>9.142</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1F5385B7" w14:textId="77777777" w:rsidR="0072037E" w:rsidRPr="00E97F33" w:rsidRDefault="0072037E">
            <w:pPr>
              <w:pStyle w:val="Maintext"/>
              <w:rPr>
                <w:rFonts w:asciiTheme="minorHAnsi" w:eastAsiaTheme="majorEastAsia" w:hAnsiTheme="minorHAnsi" w:cstheme="majorBidi"/>
                <w:bCs/>
                <w:color w:val="000000" w:themeColor="text1"/>
                <w:spacing w:val="4"/>
                <w:sz w:val="20"/>
                <w:szCs w:val="20"/>
                <w:lang w:eastAsia="en-US"/>
              </w:rPr>
            </w:pPr>
            <w:r w:rsidRPr="00B078CC">
              <w:rPr>
                <w:rFonts w:asciiTheme="minorHAnsi" w:hAnsiTheme="minorHAnsi" w:cs="Arial"/>
                <w:sz w:val="20"/>
                <w:szCs w:val="20"/>
              </w:rPr>
              <w:t xml:space="preserve">BTR entity of payment recipient </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D8D6D" w14:textId="77777777" w:rsidR="0072037E" w:rsidRPr="00045550" w:rsidRDefault="0072037E">
            <w:pPr>
              <w:spacing w:after="0" w:line="240" w:lineRule="auto"/>
              <w:rPr>
                <w:rFonts w:cs="Arial"/>
              </w:rPr>
            </w:pPr>
            <w:r w:rsidRPr="00045550">
              <w:rPr>
                <w:rFonts w:cs="Arial"/>
              </w:rPr>
              <w:t>P</w:t>
            </w:r>
          </w:p>
        </w:tc>
      </w:tr>
      <w:tr w:rsidR="0072037E" w:rsidRPr="00B11B96" w14:paraId="50C92E29"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74CB1" w14:textId="77777777" w:rsidR="0072037E" w:rsidRPr="00E97F33" w:rsidRDefault="0072037E">
            <w:pPr>
              <w:spacing w:after="0" w:line="240" w:lineRule="auto"/>
              <w:rPr>
                <w:rFonts w:cs="Arial"/>
              </w:rPr>
            </w:pPr>
            <w:r w:rsidRPr="00E97F33">
              <w:rPr>
                <w:rFonts w:cs="Arial"/>
              </w:rPr>
              <w:t>9.143</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5E583" w14:textId="77777777" w:rsidR="0072037E" w:rsidRPr="00E97F33" w:rsidRDefault="0072037E">
            <w:pPr>
              <w:pStyle w:val="Maintext"/>
              <w:rPr>
                <w:rFonts w:asciiTheme="minorHAnsi" w:eastAsiaTheme="majorEastAsia" w:hAnsiTheme="minorHAnsi" w:cstheme="majorBidi"/>
                <w:bCs/>
                <w:color w:val="000000" w:themeColor="text1"/>
                <w:spacing w:val="4"/>
                <w:sz w:val="20"/>
                <w:szCs w:val="20"/>
                <w:lang w:eastAsia="en-US"/>
              </w:rPr>
            </w:pPr>
            <w:r w:rsidRPr="00B078CC">
              <w:rPr>
                <w:rFonts w:asciiTheme="minorHAnsi" w:hAnsiTheme="minorHAnsi" w:cs="Arial"/>
                <w:sz w:val="20"/>
                <w:szCs w:val="20"/>
              </w:rPr>
              <w:t>ATO BTR Development ID</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74D2A9CE" w14:textId="77777777" w:rsidR="0072037E" w:rsidRPr="00045550" w:rsidRDefault="0072037E">
            <w:pPr>
              <w:spacing w:after="0" w:line="240" w:lineRule="auto"/>
              <w:rPr>
                <w:rFonts w:cs="Arial"/>
              </w:rPr>
            </w:pPr>
          </w:p>
        </w:tc>
      </w:tr>
      <w:tr w:rsidR="0072037E" w:rsidRPr="00B11B96" w14:paraId="791B8951"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CAB24" w14:textId="77777777" w:rsidR="0072037E" w:rsidRPr="009B0441" w:rsidRDefault="0072037E">
            <w:pPr>
              <w:spacing w:after="0" w:line="240" w:lineRule="auto"/>
              <w:rPr>
                <w:rFonts w:cs="Arial"/>
              </w:rPr>
            </w:pPr>
            <w:r w:rsidRPr="009B0441">
              <w:rPr>
                <w:rFonts w:cs="Arial"/>
              </w:rPr>
              <w:t>9.144</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E7287" w14:textId="77777777" w:rsidR="0072037E" w:rsidRPr="009B0441" w:rsidRDefault="0072037E">
            <w:pPr>
              <w:spacing w:after="0" w:line="240" w:lineRule="auto"/>
              <w:rPr>
                <w:rFonts w:eastAsiaTheme="majorEastAsia" w:cstheme="majorBidi"/>
              </w:rPr>
            </w:pPr>
            <w:r w:rsidRPr="009B0441">
              <w:rPr>
                <w:rFonts w:cs="Arial"/>
              </w:rPr>
              <w:t xml:space="preserve">BTR excluded from NCMI – non-primary production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C4E7A" w14:textId="4E99B6C2" w:rsidR="0072037E" w:rsidRPr="009B0441" w:rsidRDefault="0072037E">
            <w:pPr>
              <w:spacing w:after="0" w:line="240" w:lineRule="auto"/>
              <w:rPr>
                <w:rFonts w:cs="Arial"/>
              </w:rPr>
            </w:pPr>
            <w:r w:rsidRPr="009B0441">
              <w:rPr>
                <w:rFonts w:cs="Arial"/>
              </w:rPr>
              <w:t>00000100000</w:t>
            </w:r>
            <w:r w:rsidR="009B0441" w:rsidRPr="005C4B6F">
              <w:rPr>
                <w:rFonts w:cs="Arial"/>
              </w:rPr>
              <w:t>0</w:t>
            </w:r>
          </w:p>
        </w:tc>
      </w:tr>
      <w:tr w:rsidR="0072037E" w:rsidRPr="00B11B96" w14:paraId="5AE0F88F"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FD0F4" w14:textId="77777777" w:rsidR="0072037E" w:rsidRDefault="0072037E">
            <w:pPr>
              <w:spacing w:after="0" w:line="240" w:lineRule="auto"/>
              <w:rPr>
                <w:rFonts w:cs="Arial"/>
              </w:rPr>
            </w:pPr>
            <w:r>
              <w:rPr>
                <w:rFonts w:cs="Arial"/>
              </w:rPr>
              <w:t>9.145</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FE31A" w14:textId="77777777" w:rsidR="0072037E" w:rsidRPr="00793CF4" w:rsidRDefault="0072037E">
            <w:pPr>
              <w:pStyle w:val="Maintext"/>
              <w:rPr>
                <w:rFonts w:eastAsiaTheme="majorEastAsia" w:cstheme="majorBidi"/>
                <w:spacing w:val="4"/>
              </w:rPr>
            </w:pPr>
            <w:r>
              <w:rPr>
                <w:rFonts w:asciiTheme="minorHAnsi" w:eastAsiaTheme="majorEastAsia" w:hAnsiTheme="minorHAnsi" w:cstheme="majorBidi"/>
                <w:bCs/>
                <w:color w:val="000000" w:themeColor="text1"/>
                <w:spacing w:val="4"/>
                <w:sz w:val="20"/>
                <w:szCs w:val="20"/>
                <w:lang w:eastAsia="en-US"/>
              </w:rPr>
              <w:t xml:space="preserve">BTR excluded from NCMI capital gains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83AB5" w14:textId="77777777" w:rsidR="0072037E" w:rsidRDefault="0072037E">
            <w:pPr>
              <w:spacing w:after="0" w:line="240" w:lineRule="auto"/>
              <w:rPr>
                <w:rFonts w:cs="Arial"/>
              </w:rPr>
            </w:pPr>
            <w:r w:rsidRPr="00F4606C">
              <w:rPr>
                <w:rFonts w:cs="Arial"/>
              </w:rPr>
              <w:t>000000</w:t>
            </w:r>
            <w:r>
              <w:rPr>
                <w:rFonts w:cs="Arial"/>
              </w:rPr>
              <w:t>7000</w:t>
            </w:r>
            <w:r w:rsidRPr="00F4606C">
              <w:rPr>
                <w:rFonts w:cs="Arial"/>
              </w:rPr>
              <w:t>00</w:t>
            </w:r>
          </w:p>
        </w:tc>
      </w:tr>
      <w:tr w:rsidR="0072037E" w:rsidRPr="00B11B96" w14:paraId="49233E11"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C78BE" w14:textId="77777777" w:rsidR="0072037E" w:rsidRPr="00A575CD" w:rsidRDefault="0072037E">
            <w:pPr>
              <w:spacing w:after="0" w:line="240" w:lineRule="auto"/>
              <w:rPr>
                <w:rFonts w:cs="Arial"/>
              </w:rPr>
            </w:pPr>
            <w:r w:rsidRPr="00A575CD">
              <w:rPr>
                <w:rFonts w:cs="Arial"/>
              </w:rPr>
              <w:t>9.146</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A0CEFE" w14:textId="77777777" w:rsidR="0072037E" w:rsidRPr="00A575CD" w:rsidRDefault="0072037E">
            <w:pPr>
              <w:pStyle w:val="Maintext"/>
              <w:rPr>
                <w:rFonts w:asciiTheme="minorHAnsi" w:eastAsiaTheme="majorEastAsia" w:hAnsiTheme="minorHAnsi" w:cstheme="majorBidi"/>
                <w:bCs/>
                <w:color w:val="000000" w:themeColor="text1"/>
                <w:spacing w:val="4"/>
                <w:sz w:val="20"/>
                <w:szCs w:val="20"/>
                <w:lang w:eastAsia="en-US"/>
              </w:rPr>
            </w:pPr>
            <w:r w:rsidRPr="00A575CD">
              <w:rPr>
                <w:rFonts w:asciiTheme="minorHAnsi" w:eastAsiaTheme="majorEastAsia" w:hAnsiTheme="minorHAnsi" w:cstheme="majorBidi"/>
                <w:bCs/>
                <w:color w:val="000000" w:themeColor="text1"/>
                <w:spacing w:val="4"/>
                <w:sz w:val="20"/>
                <w:szCs w:val="20"/>
                <w:lang w:eastAsia="en-US"/>
              </w:rPr>
              <w:t xml:space="preserve">Active BTR withholding amount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1A211" w14:textId="77777777" w:rsidR="0072037E" w:rsidRPr="00A575CD" w:rsidRDefault="0072037E">
            <w:pPr>
              <w:spacing w:after="0" w:line="240" w:lineRule="auto"/>
              <w:rPr>
                <w:rFonts w:cs="Arial"/>
              </w:rPr>
            </w:pPr>
            <w:r w:rsidRPr="00A575CD">
              <w:rPr>
                <w:rFonts w:cs="Arial"/>
              </w:rPr>
              <w:t>000000</w:t>
            </w:r>
            <w:r w:rsidRPr="00B078CC">
              <w:rPr>
                <w:rFonts w:cs="Arial"/>
              </w:rPr>
              <w:t>00</w:t>
            </w:r>
            <w:r w:rsidRPr="00A575CD">
              <w:rPr>
                <w:rFonts w:cs="Arial"/>
              </w:rPr>
              <w:t>0000</w:t>
            </w:r>
          </w:p>
        </w:tc>
      </w:tr>
    </w:tbl>
    <w:p w14:paraId="52CCE2DA" w14:textId="77777777" w:rsidR="00777FBF" w:rsidRDefault="00777FBF" w:rsidP="00D958B4">
      <w:pPr>
        <w:rPr>
          <w:rFonts w:ascii="Inter" w:eastAsia="Inter" w:hAnsi="Inter" w:cs="Inter"/>
          <w:b/>
          <w:bCs/>
          <w:smallCaps/>
        </w:rPr>
      </w:pPr>
    </w:p>
    <w:p w14:paraId="6C9A02DB" w14:textId="3C9FA014" w:rsidR="00D958B4" w:rsidRPr="003265D1" w:rsidRDefault="00D958B4" w:rsidP="00D958B4">
      <w:pPr>
        <w:rPr>
          <w:rFonts w:cs="Arial"/>
        </w:rPr>
      </w:pPr>
      <w:r w:rsidRPr="003265D1">
        <w:rPr>
          <w:rFonts w:ascii="Inter" w:eastAsia="Inter" w:hAnsi="Inter" w:cs="Inter"/>
          <w:b/>
          <w:bCs/>
          <w:smallCaps/>
        </w:rPr>
        <w:t>investor data record</w:t>
      </w:r>
      <w:r w:rsidRPr="003265D1">
        <w:rPr>
          <w:rFonts w:ascii="Inter" w:eastAsia="Inter" w:hAnsi="Inter" w:cs="Inter"/>
        </w:rPr>
        <w:t xml:space="preserve"> </w:t>
      </w:r>
      <w:r w:rsidRPr="003265D1">
        <w:rPr>
          <w:rFonts w:cs="Arial"/>
          <w:b/>
          <w:bCs/>
          <w:smallCaps/>
        </w:rPr>
        <w:t xml:space="preserve">1 for 1 investor </w:t>
      </w:r>
      <w:r w:rsidRPr="003265D1">
        <w:rPr>
          <w:rFonts w:cs="Arial"/>
          <w:smallCaps/>
        </w:rPr>
        <w:t xml:space="preserve">(extract)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21"/>
        <w:gridCol w:w="5196"/>
        <w:gridCol w:w="2865"/>
      </w:tblGrid>
      <w:tr w:rsidR="00D958B4" w:rsidRPr="003265D1" w14:paraId="42CFB846" w14:textId="77777777">
        <w:trPr>
          <w:trHeight w:val="495"/>
        </w:trPr>
        <w:tc>
          <w:tcPr>
            <w:tcW w:w="1140"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6B6C7667" w14:textId="77777777" w:rsidR="00D958B4" w:rsidRPr="003265D1" w:rsidRDefault="00D958B4">
            <w:pPr>
              <w:spacing w:after="0" w:line="240" w:lineRule="auto"/>
              <w:rPr>
                <w:rFonts w:ascii="Inter" w:eastAsia="Inter" w:hAnsi="Inter" w:cs="Inter"/>
              </w:rPr>
            </w:pPr>
            <w:r w:rsidRPr="003265D1">
              <w:rPr>
                <w:rFonts w:ascii="Inter" w:eastAsia="Inter" w:hAnsi="Inter" w:cs="Inter"/>
                <w:b/>
                <w:bCs/>
              </w:rPr>
              <w:t>Reference number</w:t>
            </w:r>
          </w:p>
        </w:tc>
        <w:tc>
          <w:tcPr>
            <w:tcW w:w="5235"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3B074E85" w14:textId="77777777" w:rsidR="00D958B4" w:rsidRPr="003265D1" w:rsidRDefault="00D958B4">
            <w:pPr>
              <w:spacing w:after="0" w:line="240" w:lineRule="auto"/>
              <w:rPr>
                <w:rFonts w:ascii="Inter" w:eastAsia="Inter" w:hAnsi="Inter" w:cs="Inter"/>
              </w:rPr>
            </w:pPr>
            <w:r w:rsidRPr="003265D1">
              <w:rPr>
                <w:rFonts w:ascii="Inter" w:eastAsia="Inter" w:hAnsi="Inter" w:cs="Inter"/>
                <w:b/>
                <w:bCs/>
              </w:rPr>
              <w:t>Field name</w:t>
            </w:r>
          </w:p>
        </w:tc>
        <w:tc>
          <w:tcPr>
            <w:tcW w:w="2880"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225C1CF5" w14:textId="77777777" w:rsidR="00D958B4" w:rsidRPr="003265D1" w:rsidRDefault="00D958B4">
            <w:pPr>
              <w:spacing w:after="0" w:line="240" w:lineRule="auto"/>
              <w:rPr>
                <w:rFonts w:ascii="Inter" w:eastAsia="Inter" w:hAnsi="Inter" w:cs="Inter"/>
              </w:rPr>
            </w:pPr>
            <w:r w:rsidRPr="003265D1">
              <w:rPr>
                <w:rFonts w:ascii="Inter" w:eastAsia="Inter" w:hAnsi="Inter" w:cs="Inter"/>
                <w:b/>
                <w:bCs/>
              </w:rPr>
              <w:t>Content</w:t>
            </w:r>
          </w:p>
        </w:tc>
      </w:tr>
      <w:tr w:rsidR="00D958B4" w:rsidRPr="003265D1" w14:paraId="7395119B" w14:textId="77777777">
        <w:trPr>
          <w:trHeight w:val="270"/>
        </w:trPr>
        <w:tc>
          <w:tcPr>
            <w:tcW w:w="1140"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35DD2408" w14:textId="77777777" w:rsidR="00D958B4" w:rsidRPr="003265D1" w:rsidRDefault="00D958B4">
            <w:pPr>
              <w:spacing w:after="0" w:line="240" w:lineRule="auto"/>
              <w:rPr>
                <w:rFonts w:ascii="Inter" w:eastAsia="Inter" w:hAnsi="Inter" w:cs="Inter"/>
              </w:rPr>
            </w:pPr>
            <w:r w:rsidRPr="003265D1">
              <w:rPr>
                <w:rFonts w:ascii="Inter" w:eastAsia="Inter" w:hAnsi="Inter" w:cs="Inter"/>
              </w:rPr>
              <w:t>9.197</w:t>
            </w:r>
          </w:p>
        </w:tc>
        <w:tc>
          <w:tcPr>
            <w:tcW w:w="5235"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7FBC0F22" w14:textId="77777777" w:rsidR="00D958B4" w:rsidRPr="003265D1" w:rsidRDefault="00D958B4">
            <w:pPr>
              <w:spacing w:after="0" w:line="240" w:lineRule="auto"/>
              <w:rPr>
                <w:rFonts w:ascii="Inter" w:eastAsia="Inter" w:hAnsi="Inter" w:cs="Inter"/>
              </w:rPr>
            </w:pPr>
            <w:r w:rsidRPr="003265D1">
              <w:rPr>
                <w:rFonts w:ascii="Inter" w:eastAsia="Inter" w:hAnsi="Inter" w:cs="Inter"/>
              </w:rPr>
              <w:t>Investor entity type</w:t>
            </w:r>
          </w:p>
        </w:tc>
        <w:tc>
          <w:tcPr>
            <w:tcW w:w="2880"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6C9D8F73" w14:textId="77777777" w:rsidR="00D958B4" w:rsidRPr="003265D1" w:rsidRDefault="00D958B4">
            <w:pPr>
              <w:spacing w:after="0" w:line="240" w:lineRule="auto"/>
              <w:rPr>
                <w:rFonts w:ascii="Inter" w:eastAsia="Inter" w:hAnsi="Inter" w:cs="Inter"/>
              </w:rPr>
            </w:pPr>
            <w:r w:rsidRPr="003265D1">
              <w:rPr>
                <w:rFonts w:ascii="Inter" w:eastAsia="Inter" w:hAnsi="Inter" w:cs="Inter"/>
              </w:rPr>
              <w:t>T</w:t>
            </w:r>
          </w:p>
        </w:tc>
      </w:tr>
      <w:tr w:rsidR="00D958B4" w:rsidRPr="003265D1" w14:paraId="332F9810" w14:textId="77777777">
        <w:trPr>
          <w:trHeight w:val="270"/>
        </w:trPr>
        <w:tc>
          <w:tcPr>
            <w:tcW w:w="1140"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8D157A0" w14:textId="77777777" w:rsidR="00D958B4" w:rsidRPr="003265D1" w:rsidRDefault="00D958B4">
            <w:pPr>
              <w:spacing w:after="0" w:line="240" w:lineRule="auto"/>
              <w:rPr>
                <w:rFonts w:ascii="Inter" w:eastAsia="Inter" w:hAnsi="Inter" w:cs="Inter"/>
              </w:rPr>
            </w:pPr>
            <w:r w:rsidRPr="003265D1">
              <w:rPr>
                <w:rFonts w:ascii="Inter" w:eastAsia="Inter" w:hAnsi="Inter" w:cs="Inter"/>
              </w:rPr>
              <w:t>9.198</w:t>
            </w:r>
          </w:p>
        </w:tc>
        <w:tc>
          <w:tcPr>
            <w:tcW w:w="523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21B79C1" w14:textId="77777777" w:rsidR="00D958B4" w:rsidRPr="003265D1" w:rsidRDefault="00D958B4">
            <w:pPr>
              <w:spacing w:after="0" w:line="240" w:lineRule="auto"/>
              <w:rPr>
                <w:rFonts w:ascii="Inter" w:eastAsia="Inter" w:hAnsi="Inter" w:cs="Inter"/>
              </w:rPr>
            </w:pPr>
            <w:r w:rsidRPr="003265D1">
              <w:rPr>
                <w:rFonts w:ascii="Inter" w:eastAsia="Inter" w:hAnsi="Inter" w:cs="Inter"/>
              </w:rPr>
              <w:t>Investor tax file number</w:t>
            </w:r>
          </w:p>
        </w:tc>
        <w:tc>
          <w:tcPr>
            <w:tcW w:w="2880"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31AB8C9" w14:textId="77777777" w:rsidR="00C3202B" w:rsidRPr="003265D1" w:rsidRDefault="0050639A">
            <w:pPr>
              <w:spacing w:after="0" w:line="240" w:lineRule="auto"/>
              <w:rPr>
                <w:rFonts w:ascii="Inter" w:eastAsia="Inter" w:hAnsi="Inter" w:cs="Inter"/>
              </w:rPr>
            </w:pPr>
            <w:r w:rsidRPr="00B078CC">
              <w:rPr>
                <w:rFonts w:ascii="Inter" w:eastAsia="Inter" w:hAnsi="Inter" w:cs="Inter"/>
              </w:rPr>
              <w:t>635895213</w:t>
            </w:r>
          </w:p>
        </w:tc>
      </w:tr>
      <w:tr w:rsidR="00D958B4" w:rsidRPr="00B16B7F" w14:paraId="6F19A11D" w14:textId="77777777">
        <w:trPr>
          <w:trHeight w:val="270"/>
        </w:trPr>
        <w:tc>
          <w:tcPr>
            <w:tcW w:w="1140"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3E97BA0" w14:textId="77777777" w:rsidR="00D958B4" w:rsidRPr="003265D1" w:rsidRDefault="00D958B4">
            <w:pPr>
              <w:spacing w:after="0" w:line="240" w:lineRule="auto"/>
              <w:rPr>
                <w:rFonts w:ascii="Inter" w:eastAsia="Inter" w:hAnsi="Inter" w:cs="Inter"/>
              </w:rPr>
            </w:pPr>
            <w:r w:rsidRPr="003265D1">
              <w:rPr>
                <w:rFonts w:ascii="Inter" w:eastAsia="Inter" w:hAnsi="Inter" w:cs="Inter"/>
              </w:rPr>
              <w:t>9.206</w:t>
            </w:r>
          </w:p>
        </w:tc>
        <w:tc>
          <w:tcPr>
            <w:tcW w:w="523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F38837C" w14:textId="77777777" w:rsidR="00D958B4" w:rsidRPr="003265D1" w:rsidRDefault="00D958B4">
            <w:pPr>
              <w:spacing w:after="0" w:line="240" w:lineRule="auto"/>
              <w:rPr>
                <w:rFonts w:ascii="Inter" w:eastAsia="Inter" w:hAnsi="Inter" w:cs="Inter"/>
              </w:rPr>
            </w:pPr>
            <w:r w:rsidRPr="003265D1">
              <w:rPr>
                <w:rFonts w:ascii="Inter" w:eastAsia="Inter" w:hAnsi="Inter" w:cs="Inter"/>
              </w:rPr>
              <w:t>Non-individual investor name</w:t>
            </w:r>
          </w:p>
        </w:tc>
        <w:tc>
          <w:tcPr>
            <w:tcW w:w="2880"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6192E7F" w14:textId="77777777" w:rsidR="00D958B4" w:rsidRPr="00B16B7F" w:rsidRDefault="00174450">
            <w:pPr>
              <w:spacing w:after="0" w:line="240" w:lineRule="auto"/>
              <w:rPr>
                <w:rFonts w:ascii="Inter" w:eastAsia="Inter" w:hAnsi="Inter" w:cs="Inter"/>
              </w:rPr>
            </w:pPr>
            <w:r w:rsidRPr="00B078CC">
              <w:rPr>
                <w:rFonts w:ascii="Inter" w:eastAsia="Inter" w:hAnsi="Inter" w:cs="Inter"/>
              </w:rPr>
              <w:t>Pacific Trail</w:t>
            </w:r>
            <w:r w:rsidR="00D958B4" w:rsidRPr="003265D1">
              <w:rPr>
                <w:rFonts w:ascii="Inter" w:eastAsia="Inter" w:hAnsi="Inter" w:cs="Inter"/>
              </w:rPr>
              <w:t xml:space="preserve"> Trust</w:t>
            </w:r>
          </w:p>
        </w:tc>
      </w:tr>
    </w:tbl>
    <w:p w14:paraId="10011366" w14:textId="779C8359" w:rsidR="00F0568B" w:rsidRPr="005923B3" w:rsidRDefault="00F0568B" w:rsidP="00891524">
      <w:pPr>
        <w:pStyle w:val="Heading4"/>
        <w:rPr>
          <w:rFonts w:eastAsia="MS Gothic" w:cs="Arial"/>
          <w:color w:val="000000"/>
        </w:rPr>
      </w:pPr>
      <w:r w:rsidRPr="005923B3">
        <w:rPr>
          <w:rFonts w:eastAsia="MS Gothic" w:cs="Times New Roman"/>
          <w:color w:val="000000"/>
        </w:rPr>
        <w:t xml:space="preserve">Example </w:t>
      </w:r>
      <w:r w:rsidRPr="005923B3">
        <w:rPr>
          <w:rFonts w:eastAsia="MS Gothic" w:cs="Arial"/>
          <w:color w:val="000000"/>
        </w:rPr>
        <w:t>7.3 – Distributions from a BTR Entity (E) and BTR Payment Recipient (P) to a non-resident investor</w:t>
      </w:r>
    </w:p>
    <w:p w14:paraId="1451E495" w14:textId="77777777" w:rsidR="00F0568B" w:rsidRDefault="00F0568B" w:rsidP="00F0568B">
      <w:pPr>
        <w:spacing w:after="0" w:line="240" w:lineRule="auto"/>
        <w:rPr>
          <w:rFonts w:ascii="Inter" w:eastAsia="Times New Roman" w:hAnsi="Inter" w:cs="Arial"/>
          <w:bCs/>
          <w:lang w:eastAsia="en-AU"/>
        </w:rPr>
      </w:pPr>
      <w:r w:rsidRPr="005923B3">
        <w:rPr>
          <w:rFonts w:ascii="Inter" w:eastAsia="Times New Roman" w:hAnsi="Inter" w:cs="Arial"/>
          <w:bCs/>
          <w:lang w:eastAsia="en-AU"/>
        </w:rPr>
        <w:t>Pacific Trail Trust is both a BTR Entity and a BTR Payment Recipient. Multiple BTR Payment Recipient amounts can be aggregated into one record.</w:t>
      </w:r>
    </w:p>
    <w:p w14:paraId="74AFF705" w14:textId="77777777" w:rsidR="00777FBF" w:rsidRPr="005923B3" w:rsidRDefault="00777FBF" w:rsidP="00F0568B">
      <w:pPr>
        <w:spacing w:after="0" w:line="240" w:lineRule="auto"/>
        <w:rPr>
          <w:rFonts w:ascii="Inter" w:eastAsia="Times New Roman" w:hAnsi="Inter" w:cs="Arial"/>
          <w:bCs/>
          <w:lang w:eastAsia="en-AU"/>
        </w:rPr>
      </w:pPr>
    </w:p>
    <w:p w14:paraId="24BAE845" w14:textId="77777777" w:rsidR="00F0568B" w:rsidRPr="005923B3" w:rsidRDefault="00F0568B" w:rsidP="00F0568B">
      <w:pPr>
        <w:numPr>
          <w:ilvl w:val="0"/>
          <w:numId w:val="101"/>
        </w:numPr>
        <w:spacing w:after="0" w:line="240" w:lineRule="auto"/>
        <w:rPr>
          <w:rFonts w:ascii="Inter" w:eastAsia="Times New Roman" w:hAnsi="Inter" w:cs="Arial"/>
          <w:bCs/>
          <w:lang w:eastAsia="en-AU"/>
        </w:rPr>
      </w:pPr>
      <w:r w:rsidRPr="005923B3">
        <w:rPr>
          <w:rFonts w:ascii="Inter" w:eastAsia="Times New Roman" w:hAnsi="Inter" w:cs="Arial"/>
          <w:bCs/>
          <w:lang w:eastAsia="en-AU"/>
        </w:rPr>
        <w:t xml:space="preserve">Record 1 is reporting the income distribution for The Arbour BTR and Other Income amounts. </w:t>
      </w:r>
    </w:p>
    <w:p w14:paraId="316D6520" w14:textId="77777777" w:rsidR="00F0568B" w:rsidRPr="005923B3" w:rsidRDefault="00F0568B" w:rsidP="00F0568B">
      <w:pPr>
        <w:numPr>
          <w:ilvl w:val="0"/>
          <w:numId w:val="101"/>
        </w:numPr>
        <w:spacing w:after="0" w:line="240" w:lineRule="auto"/>
        <w:rPr>
          <w:rFonts w:ascii="Inter" w:eastAsia="Times New Roman" w:hAnsi="Inter" w:cs="Arial"/>
          <w:bCs/>
          <w:lang w:eastAsia="en-AU"/>
        </w:rPr>
      </w:pPr>
      <w:r w:rsidRPr="005923B3">
        <w:rPr>
          <w:rFonts w:ascii="Inter" w:eastAsia="Times New Roman" w:hAnsi="Inter" w:cs="Arial"/>
          <w:bCs/>
          <w:lang w:eastAsia="en-AU"/>
        </w:rPr>
        <w:t xml:space="preserve">Record 2 is reporting the income distribution for Waterside Living BTR. </w:t>
      </w:r>
    </w:p>
    <w:p w14:paraId="4CCD5018" w14:textId="77777777" w:rsidR="00F0568B" w:rsidRDefault="00F0568B" w:rsidP="00F0568B">
      <w:pPr>
        <w:numPr>
          <w:ilvl w:val="0"/>
          <w:numId w:val="101"/>
        </w:numPr>
        <w:spacing w:after="0" w:line="240" w:lineRule="auto"/>
        <w:rPr>
          <w:rFonts w:ascii="Inter" w:eastAsia="Times New Roman" w:hAnsi="Inter" w:cs="Arial"/>
          <w:bCs/>
          <w:lang w:eastAsia="en-AU"/>
        </w:rPr>
      </w:pPr>
      <w:r w:rsidRPr="005923B3">
        <w:rPr>
          <w:rFonts w:ascii="Inter" w:eastAsia="Times New Roman" w:hAnsi="Inter" w:cs="Arial"/>
          <w:bCs/>
          <w:lang w:eastAsia="en-AU"/>
        </w:rPr>
        <w:t>Record 3 is reporting the aggregated income distribution amounts for BTR Development 1 and BTR Development 2.</w:t>
      </w:r>
    </w:p>
    <w:p w14:paraId="72D173A0" w14:textId="202F5FFA" w:rsidR="005B608E" w:rsidRPr="001B712B" w:rsidRDefault="005B608E" w:rsidP="00F0568B">
      <w:pPr>
        <w:numPr>
          <w:ilvl w:val="0"/>
          <w:numId w:val="101"/>
        </w:numPr>
        <w:spacing w:after="0" w:line="240" w:lineRule="auto"/>
        <w:rPr>
          <w:rFonts w:ascii="Inter" w:eastAsia="Times New Roman" w:hAnsi="Inter" w:cs="Arial"/>
          <w:bCs/>
          <w:lang w:eastAsia="en-AU"/>
        </w:rPr>
      </w:pPr>
      <w:r w:rsidRPr="006218BD">
        <w:rPr>
          <w:rFonts w:ascii="Inter" w:eastAsia="MS Gothic" w:hAnsi="Inter"/>
          <w:bCs/>
          <w:color w:val="000000"/>
          <w:spacing w:val="4"/>
        </w:rPr>
        <w:t xml:space="preserve">The order of E and P amounts </w:t>
      </w:r>
      <w:r w:rsidR="001B712B" w:rsidRPr="006218BD">
        <w:rPr>
          <w:rFonts w:ascii="Inter" w:eastAsia="MS Gothic" w:hAnsi="Inter"/>
          <w:bCs/>
          <w:color w:val="000000"/>
          <w:spacing w:val="4"/>
        </w:rPr>
        <w:t xml:space="preserve">reported in the AIIR </w:t>
      </w:r>
      <w:r w:rsidRPr="006218BD">
        <w:rPr>
          <w:rFonts w:ascii="Inter" w:eastAsia="MS Gothic" w:hAnsi="Inter"/>
          <w:bCs/>
          <w:color w:val="000000"/>
          <w:spacing w:val="4"/>
        </w:rPr>
        <w:t>are at the discretion of the reporter.</w:t>
      </w:r>
    </w:p>
    <w:p w14:paraId="7B868FE4" w14:textId="77777777" w:rsidR="00F0568B" w:rsidRPr="005923B3" w:rsidRDefault="00F0568B" w:rsidP="00F0568B">
      <w:pPr>
        <w:spacing w:after="0" w:line="240" w:lineRule="auto"/>
        <w:rPr>
          <w:rFonts w:ascii="Inter" w:eastAsia="Times New Roman" w:hAnsi="Inter" w:cs="Arial"/>
          <w:bCs/>
          <w:lang w:eastAsia="en-AU"/>
        </w:rPr>
      </w:pPr>
    </w:p>
    <w:p w14:paraId="744B2299" w14:textId="77777777" w:rsidR="00F0568B" w:rsidRPr="005923B3" w:rsidRDefault="00F0568B" w:rsidP="00F0568B">
      <w:pPr>
        <w:spacing w:after="0" w:line="240" w:lineRule="auto"/>
        <w:rPr>
          <w:rFonts w:ascii="Inter" w:eastAsia="MS Gothic" w:hAnsi="Inter" w:cs="Arial"/>
          <w:lang w:eastAsia="en-AU"/>
        </w:rPr>
      </w:pPr>
      <w:r w:rsidRPr="005923B3">
        <w:rPr>
          <w:rFonts w:ascii="Inter" w:eastAsia="Times New Roman" w:hAnsi="Inter" w:cs="Arial"/>
          <w:bCs/>
          <w:lang w:eastAsia="en-AU"/>
        </w:rPr>
        <w:t>Pacific Trail Trust is distributing the following amounts from their BTR Entity Developments:</w:t>
      </w:r>
    </w:p>
    <w:p w14:paraId="017B42B2" w14:textId="77777777" w:rsidR="00F0568B" w:rsidRPr="005923B3" w:rsidRDefault="00F0568B" w:rsidP="00F0568B">
      <w:pPr>
        <w:spacing w:after="0" w:line="240" w:lineRule="auto"/>
        <w:rPr>
          <w:rFonts w:ascii="Inter" w:eastAsia="MS Gothic" w:hAnsi="Inter"/>
          <w:b/>
          <w:color w:val="000000"/>
          <w:spacing w:val="4"/>
        </w:rPr>
      </w:pPr>
    </w:p>
    <w:p w14:paraId="7DDC2239" w14:textId="4793F07F" w:rsidR="00F0568B" w:rsidRPr="005923B3" w:rsidRDefault="00F0568B" w:rsidP="00F0568B">
      <w:pPr>
        <w:spacing w:after="0" w:line="240" w:lineRule="auto"/>
        <w:rPr>
          <w:rFonts w:ascii="Inter" w:eastAsia="MS Gothic" w:hAnsi="Inter"/>
          <w:b/>
          <w:color w:val="000000"/>
          <w:spacing w:val="4"/>
        </w:rPr>
      </w:pPr>
      <w:r w:rsidRPr="005923B3">
        <w:rPr>
          <w:rFonts w:ascii="Inter" w:eastAsia="MS Gothic" w:hAnsi="Inter"/>
          <w:b/>
          <w:color w:val="000000"/>
          <w:spacing w:val="4"/>
        </w:rPr>
        <w:t xml:space="preserve">BTR Entity – The Arbour BTR (ATO BTR Development ID </w:t>
      </w:r>
      <w:r w:rsidRPr="005923B3">
        <w:rPr>
          <w:rFonts w:ascii="Inter" w:eastAsia="Times New Roman" w:hAnsi="Inter" w:cs="Arial"/>
          <w:b/>
          <w:bCs/>
          <w:lang w:eastAsia="en-AU"/>
        </w:rPr>
        <w:t>8653202247584)</w:t>
      </w:r>
    </w:p>
    <w:p w14:paraId="24B2B3C9" w14:textId="4AB0BBFF" w:rsidR="00F0568B" w:rsidRPr="005923B3" w:rsidRDefault="00F0568B" w:rsidP="00F0568B">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 non-primary production </w:t>
      </w:r>
      <w:r w:rsidRPr="005923B3">
        <w:rPr>
          <w:rFonts w:ascii="Inter" w:eastAsia="MS Gothic" w:hAnsi="Inter"/>
          <w:bCs/>
          <w:color w:val="000000"/>
          <w:spacing w:val="4"/>
        </w:rPr>
        <w:tab/>
        <w:t>$9,000.00</w:t>
      </w:r>
    </w:p>
    <w:p w14:paraId="76A7DC44" w14:textId="677AAB36" w:rsidR="00F0568B" w:rsidRPr="005923B3" w:rsidRDefault="00F0568B" w:rsidP="00F0568B">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capital gains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$8,000.00</w:t>
      </w:r>
    </w:p>
    <w:p w14:paraId="20BA0A07" w14:textId="78402448" w:rsidR="00F0568B" w:rsidRPr="005923B3" w:rsidRDefault="00F0568B" w:rsidP="00F0568B">
      <w:pPr>
        <w:numPr>
          <w:ilvl w:val="0"/>
          <w:numId w:val="96"/>
        </w:numPr>
        <w:spacing w:after="0" w:line="240" w:lineRule="auto"/>
        <w:rPr>
          <w:rFonts w:ascii="Inter" w:eastAsia="Times New Roman" w:hAnsi="Inter" w:cs="Arial"/>
          <w:b/>
          <w:bCs/>
          <w:lang w:eastAsia="en-AU"/>
        </w:rPr>
      </w:pPr>
      <w:r w:rsidRPr="005923B3">
        <w:rPr>
          <w:rFonts w:ascii="Inter" w:eastAsia="MS Gothic" w:hAnsi="Inter"/>
          <w:color w:val="000000"/>
          <w:spacing w:val="4"/>
        </w:rPr>
        <w:t xml:space="preserve">Active BTR withholding amount </w:t>
      </w:r>
      <w:r w:rsidRPr="005923B3">
        <w:rPr>
          <w:rFonts w:ascii="Inter" w:eastAsia="MS Gothic" w:hAnsi="Inter"/>
          <w:color w:val="000000"/>
          <w:spacing w:val="4"/>
        </w:rPr>
        <w:tab/>
      </w:r>
      <w:r w:rsidRPr="005923B3">
        <w:rPr>
          <w:rFonts w:ascii="Inter" w:eastAsia="MS Gothic" w:hAnsi="Inter"/>
          <w:color w:val="000000"/>
          <w:spacing w:val="4"/>
        </w:rPr>
        <w:tab/>
      </w:r>
      <w:r w:rsidRPr="005923B3">
        <w:rPr>
          <w:rFonts w:ascii="Inter" w:eastAsia="MS Gothic" w:hAnsi="Inter"/>
          <w:color w:val="000000"/>
          <w:spacing w:val="4"/>
        </w:rPr>
        <w:tab/>
      </w:r>
      <w:r w:rsidRPr="005923B3">
        <w:rPr>
          <w:rFonts w:ascii="Inter" w:eastAsia="MS Gothic" w:hAnsi="Inter"/>
          <w:color w:val="000000"/>
          <w:spacing w:val="4"/>
        </w:rPr>
        <w:tab/>
        <w:t>$</w:t>
      </w:r>
      <w:r w:rsidR="0081143C">
        <w:rPr>
          <w:rFonts w:ascii="Inter" w:eastAsia="MS Gothic" w:hAnsi="Inter"/>
          <w:bCs/>
          <w:color w:val="000000"/>
          <w:spacing w:val="4"/>
        </w:rPr>
        <w:t>2,5</w:t>
      </w:r>
      <w:r w:rsidR="0049167F">
        <w:rPr>
          <w:rFonts w:ascii="Inter" w:eastAsia="MS Gothic" w:hAnsi="Inter"/>
          <w:color w:val="000000"/>
          <w:spacing w:val="4"/>
        </w:rPr>
        <w:t>5</w:t>
      </w:r>
      <w:r w:rsidRPr="005923B3">
        <w:rPr>
          <w:rFonts w:ascii="Inter" w:eastAsia="MS Gothic" w:hAnsi="Inter"/>
          <w:color w:val="000000"/>
          <w:spacing w:val="4"/>
        </w:rPr>
        <w:t>0.00</w:t>
      </w:r>
    </w:p>
    <w:p w14:paraId="200D299B" w14:textId="228FAEDB" w:rsidR="00F0568B" w:rsidRPr="005923B3" w:rsidRDefault="00F0568B" w:rsidP="00F0568B">
      <w:pPr>
        <w:spacing w:after="0" w:line="240" w:lineRule="auto"/>
        <w:ind w:left="360"/>
        <w:rPr>
          <w:rFonts w:ascii="Inter" w:eastAsia="MS Gothic" w:hAnsi="Inter"/>
          <w:bCs/>
          <w:color w:val="000000"/>
          <w:spacing w:val="4"/>
        </w:rPr>
      </w:pPr>
    </w:p>
    <w:p w14:paraId="14927535" w14:textId="1E05F47B" w:rsidR="00F0568B" w:rsidRPr="005923B3" w:rsidRDefault="00F0568B" w:rsidP="00F0568B">
      <w:pPr>
        <w:spacing w:after="0" w:line="240" w:lineRule="auto"/>
        <w:rPr>
          <w:rFonts w:ascii="Inter" w:eastAsia="MS Gothic" w:hAnsi="Inter"/>
          <w:b/>
          <w:color w:val="000000"/>
          <w:spacing w:val="4"/>
        </w:rPr>
      </w:pPr>
      <w:r w:rsidRPr="005923B3">
        <w:rPr>
          <w:rFonts w:ascii="Inter" w:eastAsia="MS Gothic" w:hAnsi="Inter"/>
          <w:b/>
          <w:color w:val="000000"/>
          <w:spacing w:val="4"/>
        </w:rPr>
        <w:t xml:space="preserve">BTR Entity – Waterside Living BTR (ATO BTR Development ID </w:t>
      </w:r>
      <w:r w:rsidRPr="005923B3">
        <w:rPr>
          <w:rFonts w:ascii="Inter" w:eastAsia="Times New Roman" w:hAnsi="Inter" w:cs="Arial"/>
          <w:b/>
          <w:bCs/>
          <w:lang w:eastAsia="en-AU"/>
        </w:rPr>
        <w:t>1065742033845)</w:t>
      </w:r>
    </w:p>
    <w:p w14:paraId="3A6D42B8" w14:textId="1CF6AC23" w:rsidR="00F0568B" w:rsidRPr="005923B3" w:rsidRDefault="00F0568B" w:rsidP="00F0568B">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 non-primary production </w:t>
      </w:r>
      <w:r w:rsidRPr="005923B3">
        <w:rPr>
          <w:rFonts w:ascii="Inter" w:eastAsia="MS Gothic" w:hAnsi="Inter"/>
          <w:bCs/>
          <w:color w:val="000000"/>
          <w:spacing w:val="4"/>
        </w:rPr>
        <w:tab/>
        <w:t>$11,000.00</w:t>
      </w:r>
    </w:p>
    <w:p w14:paraId="0CA55095" w14:textId="26B9BBE1" w:rsidR="00F0568B" w:rsidRPr="005923B3" w:rsidRDefault="00F0568B" w:rsidP="00F0568B">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capital gains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$5,000.00</w:t>
      </w:r>
    </w:p>
    <w:p w14:paraId="3D111F66" w14:textId="4FBCD837" w:rsidR="00F0568B" w:rsidRPr="005923B3" w:rsidRDefault="00F0568B" w:rsidP="00F0568B">
      <w:pPr>
        <w:numPr>
          <w:ilvl w:val="0"/>
          <w:numId w:val="96"/>
        </w:numPr>
        <w:spacing w:after="0" w:line="240" w:lineRule="auto"/>
        <w:rPr>
          <w:rFonts w:ascii="Inter" w:eastAsia="Times New Roman" w:hAnsi="Inter" w:cs="Arial"/>
          <w:b/>
          <w:bCs/>
          <w:lang w:eastAsia="en-AU"/>
        </w:rPr>
      </w:pPr>
      <w:r w:rsidRPr="005923B3">
        <w:rPr>
          <w:rFonts w:ascii="Inter" w:eastAsia="MS Gothic" w:hAnsi="Inter"/>
          <w:bCs/>
          <w:color w:val="000000"/>
          <w:spacing w:val="4"/>
        </w:rPr>
        <w:t xml:space="preserve">Active BTR withholding amount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w:t>
      </w:r>
      <w:r w:rsidR="004B45F5">
        <w:rPr>
          <w:rFonts w:ascii="Inter" w:eastAsia="MS Gothic" w:hAnsi="Inter"/>
          <w:bCs/>
          <w:color w:val="000000"/>
          <w:spacing w:val="4"/>
        </w:rPr>
        <w:t>2,4</w:t>
      </w:r>
      <w:r w:rsidRPr="005923B3">
        <w:rPr>
          <w:rFonts w:ascii="Inter" w:eastAsia="MS Gothic" w:hAnsi="Inter"/>
          <w:color w:val="000000"/>
          <w:spacing w:val="4"/>
        </w:rPr>
        <w:t>00.00</w:t>
      </w:r>
    </w:p>
    <w:p w14:paraId="54EE5988" w14:textId="0BD1E3E3" w:rsidR="00F0568B" w:rsidRPr="005923B3" w:rsidRDefault="00F0568B" w:rsidP="00F0568B">
      <w:pPr>
        <w:spacing w:after="0" w:line="240" w:lineRule="auto"/>
        <w:rPr>
          <w:rFonts w:ascii="Inter" w:eastAsia="MS Gothic" w:hAnsi="Inter"/>
          <w:b/>
          <w:color w:val="000000"/>
          <w:spacing w:val="4"/>
        </w:rPr>
      </w:pPr>
    </w:p>
    <w:p w14:paraId="0E3A904F" w14:textId="77777777" w:rsidR="00777FBF" w:rsidRDefault="00777FBF" w:rsidP="00F0568B">
      <w:pPr>
        <w:spacing w:after="0" w:line="240" w:lineRule="auto"/>
        <w:rPr>
          <w:rFonts w:ascii="Inter" w:eastAsia="Times New Roman" w:hAnsi="Inter" w:cs="Arial"/>
          <w:bCs/>
          <w:lang w:eastAsia="en-AU"/>
        </w:rPr>
      </w:pPr>
    </w:p>
    <w:p w14:paraId="7B89B115" w14:textId="77777777" w:rsidR="00777FBF" w:rsidRDefault="00777FBF" w:rsidP="00F0568B">
      <w:pPr>
        <w:spacing w:after="0" w:line="240" w:lineRule="auto"/>
        <w:rPr>
          <w:rFonts w:ascii="Inter" w:eastAsia="Times New Roman" w:hAnsi="Inter" w:cs="Arial"/>
          <w:bCs/>
          <w:lang w:eastAsia="en-AU"/>
        </w:rPr>
      </w:pPr>
    </w:p>
    <w:p w14:paraId="1775CC66" w14:textId="76677F40" w:rsidR="00F0568B" w:rsidRPr="005923B3" w:rsidRDefault="00F0568B" w:rsidP="00F0568B">
      <w:pPr>
        <w:spacing w:after="0" w:line="240" w:lineRule="auto"/>
        <w:rPr>
          <w:rFonts w:ascii="Inter" w:eastAsia="Times New Roman" w:hAnsi="Inter" w:cs="Arial"/>
          <w:bCs/>
          <w:lang w:eastAsia="en-AU"/>
        </w:rPr>
      </w:pPr>
      <w:r w:rsidRPr="005923B3">
        <w:rPr>
          <w:rFonts w:ascii="Inter" w:eastAsia="Times New Roman" w:hAnsi="Inter" w:cs="Arial"/>
          <w:bCs/>
          <w:lang w:eastAsia="en-AU"/>
        </w:rPr>
        <w:t>Pacific Trail Trust is distributing the following BTR Payment Received amounts:</w:t>
      </w:r>
    </w:p>
    <w:p w14:paraId="1D2F1097" w14:textId="77777777" w:rsidR="00F0568B" w:rsidRPr="005923B3" w:rsidRDefault="00F0568B" w:rsidP="00F0568B">
      <w:pPr>
        <w:spacing w:after="0" w:line="240" w:lineRule="auto"/>
        <w:rPr>
          <w:rFonts w:ascii="Inter" w:eastAsia="Times New Roman" w:hAnsi="Inter" w:cs="Arial"/>
          <w:bCs/>
          <w:lang w:eastAsia="en-AU"/>
        </w:rPr>
      </w:pPr>
    </w:p>
    <w:p w14:paraId="319C38CA" w14:textId="77777777" w:rsidR="00F0568B" w:rsidRPr="005923B3" w:rsidRDefault="00F0568B" w:rsidP="00F0568B">
      <w:pPr>
        <w:spacing w:after="0" w:line="240" w:lineRule="auto"/>
        <w:rPr>
          <w:rFonts w:ascii="Inter" w:eastAsia="Times New Roman" w:hAnsi="Inter" w:cs="Arial"/>
          <w:b/>
          <w:lang w:eastAsia="en-AU"/>
        </w:rPr>
      </w:pPr>
      <w:r w:rsidRPr="005923B3">
        <w:rPr>
          <w:rFonts w:ascii="Inter" w:eastAsia="Times New Roman" w:hAnsi="Inter" w:cs="Arial"/>
          <w:b/>
          <w:lang w:eastAsia="en-AU"/>
        </w:rPr>
        <w:t>BTR Payment Recipient – BTR Development 1 (flow through payment from Greenway Commercial Trust in Example 7.2)</w:t>
      </w:r>
    </w:p>
    <w:p w14:paraId="237C9745" w14:textId="1B92D7E4" w:rsidR="00F0568B" w:rsidRPr="005923B3" w:rsidRDefault="00F0568B" w:rsidP="00F0568B">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 non-primary production </w:t>
      </w:r>
      <w:r w:rsidRPr="005923B3">
        <w:rPr>
          <w:rFonts w:ascii="Inter" w:eastAsia="MS Gothic" w:hAnsi="Inter"/>
          <w:bCs/>
          <w:color w:val="000000"/>
          <w:spacing w:val="4"/>
        </w:rPr>
        <w:tab/>
        <w:t>$10,000.00</w:t>
      </w:r>
    </w:p>
    <w:p w14:paraId="7DC409BB" w14:textId="14634598" w:rsidR="00F0568B" w:rsidRPr="005923B3" w:rsidRDefault="00F0568B" w:rsidP="00F0568B">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capital gains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$7,000.00</w:t>
      </w:r>
    </w:p>
    <w:p w14:paraId="64B638B4" w14:textId="0CBAD374" w:rsidR="00F0568B" w:rsidRPr="005923B3" w:rsidRDefault="00F0568B" w:rsidP="00F0568B">
      <w:pPr>
        <w:numPr>
          <w:ilvl w:val="0"/>
          <w:numId w:val="96"/>
        </w:numPr>
        <w:spacing w:after="0" w:line="240" w:lineRule="auto"/>
        <w:rPr>
          <w:rFonts w:ascii="Inter" w:eastAsia="Times New Roman" w:hAnsi="Inter" w:cs="Arial"/>
          <w:b/>
          <w:bCs/>
          <w:lang w:eastAsia="en-AU"/>
        </w:rPr>
      </w:pPr>
      <w:r w:rsidRPr="005923B3">
        <w:rPr>
          <w:rFonts w:ascii="Inter" w:eastAsia="MS Gothic" w:hAnsi="Inter"/>
          <w:bCs/>
          <w:color w:val="000000"/>
          <w:spacing w:val="4"/>
        </w:rPr>
        <w:t xml:space="preserve">Active BTR withholding amount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w:t>
      </w:r>
      <w:r w:rsidR="00BD1AF5">
        <w:rPr>
          <w:rFonts w:ascii="Inter" w:eastAsia="MS Gothic" w:hAnsi="Inter"/>
          <w:bCs/>
          <w:color w:val="000000"/>
          <w:spacing w:val="4"/>
        </w:rPr>
        <w:t>2</w:t>
      </w:r>
      <w:r w:rsidRPr="005923B3">
        <w:rPr>
          <w:rFonts w:ascii="Inter" w:eastAsia="MS Gothic" w:hAnsi="Inter"/>
          <w:bCs/>
          <w:color w:val="000000"/>
          <w:spacing w:val="4"/>
        </w:rPr>
        <w:t>,</w:t>
      </w:r>
      <w:r w:rsidR="00BD1AF5">
        <w:rPr>
          <w:rFonts w:ascii="Inter" w:eastAsia="MS Gothic" w:hAnsi="Inter"/>
          <w:bCs/>
          <w:color w:val="000000"/>
          <w:spacing w:val="4"/>
        </w:rPr>
        <w:t>55</w:t>
      </w:r>
      <w:r w:rsidRPr="005923B3">
        <w:rPr>
          <w:rFonts w:ascii="Inter" w:eastAsia="MS Gothic" w:hAnsi="Inter"/>
          <w:bCs/>
          <w:color w:val="000000"/>
          <w:spacing w:val="4"/>
        </w:rPr>
        <w:t>0</w:t>
      </w:r>
      <w:r w:rsidRPr="005923B3">
        <w:rPr>
          <w:rFonts w:ascii="Inter" w:eastAsia="MS Gothic" w:hAnsi="Inter"/>
          <w:color w:val="000000"/>
          <w:spacing w:val="4"/>
        </w:rPr>
        <w:t>.00</w:t>
      </w:r>
    </w:p>
    <w:p w14:paraId="3DAA2F47" w14:textId="02BCC145" w:rsidR="00F0568B" w:rsidRPr="005923B3" w:rsidRDefault="00F0568B" w:rsidP="00F0568B">
      <w:pPr>
        <w:spacing w:after="0" w:line="240" w:lineRule="auto"/>
        <w:rPr>
          <w:rFonts w:ascii="Inter" w:eastAsia="MS Gothic" w:hAnsi="Inter"/>
          <w:bCs/>
          <w:color w:val="000000"/>
          <w:spacing w:val="4"/>
        </w:rPr>
      </w:pPr>
    </w:p>
    <w:p w14:paraId="44E4811F" w14:textId="616EAE6B" w:rsidR="00F0568B" w:rsidRPr="005923B3" w:rsidRDefault="00F0568B" w:rsidP="00F0568B">
      <w:pPr>
        <w:spacing w:after="0" w:line="240" w:lineRule="auto"/>
        <w:rPr>
          <w:rFonts w:ascii="Inter" w:eastAsia="MS Gothic" w:hAnsi="Inter"/>
          <w:b/>
          <w:color w:val="000000"/>
          <w:spacing w:val="4"/>
        </w:rPr>
      </w:pPr>
      <w:r w:rsidRPr="005923B3">
        <w:rPr>
          <w:rFonts w:ascii="Inter" w:eastAsia="Times New Roman" w:hAnsi="Inter" w:cs="Arial"/>
          <w:b/>
          <w:lang w:eastAsia="en-AU"/>
        </w:rPr>
        <w:t xml:space="preserve">BTR payment recipient – BTR Development 2 </w:t>
      </w:r>
    </w:p>
    <w:p w14:paraId="0D3A634C" w14:textId="6F56EBDA" w:rsidR="00F0568B" w:rsidRPr="005923B3" w:rsidRDefault="00F0568B" w:rsidP="00F0568B">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 non-primary production </w:t>
      </w:r>
      <w:r w:rsidRPr="005923B3">
        <w:rPr>
          <w:rFonts w:ascii="Inter" w:eastAsia="MS Gothic" w:hAnsi="Inter"/>
          <w:bCs/>
          <w:color w:val="000000"/>
          <w:spacing w:val="4"/>
        </w:rPr>
        <w:tab/>
        <w:t>$7,000.00</w:t>
      </w:r>
    </w:p>
    <w:p w14:paraId="140016B4" w14:textId="1AEB1B9F" w:rsidR="00F0568B" w:rsidRPr="005923B3" w:rsidRDefault="00F0568B" w:rsidP="00F0568B">
      <w:pPr>
        <w:numPr>
          <w:ilvl w:val="0"/>
          <w:numId w:val="96"/>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BTR excluded from NCMI capital gains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$6,000.00</w:t>
      </w:r>
    </w:p>
    <w:p w14:paraId="6273C4CA" w14:textId="460886AC" w:rsidR="00F0568B" w:rsidRPr="005923B3" w:rsidRDefault="00F0568B" w:rsidP="00F0568B">
      <w:pPr>
        <w:numPr>
          <w:ilvl w:val="0"/>
          <w:numId w:val="96"/>
        </w:numPr>
        <w:spacing w:after="0" w:line="240" w:lineRule="auto"/>
        <w:rPr>
          <w:rFonts w:ascii="Inter" w:eastAsia="MS Gothic" w:hAnsi="Inter" w:cs="Arial"/>
          <w:b/>
          <w:lang w:eastAsia="en-AU"/>
        </w:rPr>
      </w:pPr>
      <w:r w:rsidRPr="005923B3">
        <w:rPr>
          <w:rFonts w:ascii="Inter" w:eastAsia="MS Gothic" w:hAnsi="Inter"/>
          <w:bCs/>
          <w:color w:val="000000"/>
          <w:spacing w:val="4"/>
        </w:rPr>
        <w:t xml:space="preserve">Active BTR withholding amount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$1,</w:t>
      </w:r>
      <w:r w:rsidR="004B45F5">
        <w:rPr>
          <w:rFonts w:ascii="Inter" w:eastAsia="MS Gothic" w:hAnsi="Inter"/>
          <w:bCs/>
          <w:color w:val="000000"/>
          <w:spacing w:val="4"/>
        </w:rPr>
        <w:t>95</w:t>
      </w:r>
      <w:r w:rsidRPr="005923B3">
        <w:rPr>
          <w:rFonts w:ascii="Inter" w:eastAsia="MS Gothic" w:hAnsi="Inter"/>
          <w:color w:val="000000"/>
          <w:spacing w:val="4"/>
        </w:rPr>
        <w:t>0.00</w:t>
      </w:r>
    </w:p>
    <w:p w14:paraId="4D6744EA" w14:textId="77777777" w:rsidR="00F0568B" w:rsidRPr="005923B3" w:rsidRDefault="00F0568B" w:rsidP="00F0568B">
      <w:pPr>
        <w:spacing w:after="0" w:line="240" w:lineRule="auto"/>
        <w:rPr>
          <w:rFonts w:ascii="Inter" w:eastAsia="MS Gothic" w:hAnsi="Inter"/>
          <w:bCs/>
          <w:color w:val="000000"/>
          <w:spacing w:val="4"/>
        </w:rPr>
      </w:pPr>
    </w:p>
    <w:p w14:paraId="0DCB9B7A" w14:textId="77777777" w:rsidR="00F0568B" w:rsidRPr="005923B3" w:rsidRDefault="00F0568B" w:rsidP="00F0568B">
      <w:pPr>
        <w:spacing w:after="0" w:line="240" w:lineRule="auto"/>
        <w:rPr>
          <w:rFonts w:ascii="Inter" w:eastAsia="Times New Roman" w:hAnsi="Inter" w:cs="Arial"/>
          <w:bCs/>
          <w:lang w:eastAsia="en-AU"/>
        </w:rPr>
      </w:pPr>
      <w:r w:rsidRPr="005923B3">
        <w:rPr>
          <w:rFonts w:ascii="Inter" w:eastAsia="Times New Roman" w:hAnsi="Inter" w:cs="Arial"/>
          <w:bCs/>
          <w:lang w:eastAsia="en-AU"/>
        </w:rPr>
        <w:t>Pacific Trail Trust is distributing the following Other Income amounts:</w:t>
      </w:r>
    </w:p>
    <w:p w14:paraId="117F3075" w14:textId="57A801D3" w:rsidR="00F0568B" w:rsidRPr="005923B3" w:rsidRDefault="00F0568B" w:rsidP="00F0568B">
      <w:pPr>
        <w:spacing w:after="0" w:line="240" w:lineRule="auto"/>
        <w:rPr>
          <w:rFonts w:ascii="Inter" w:eastAsia="MS Gothic" w:hAnsi="Inter"/>
          <w:b/>
          <w:color w:val="000000"/>
          <w:spacing w:val="4"/>
        </w:rPr>
      </w:pPr>
    </w:p>
    <w:p w14:paraId="1BB7BE0B" w14:textId="586A79F4" w:rsidR="00F0568B" w:rsidRPr="005923B3" w:rsidRDefault="00F0568B" w:rsidP="00F0568B">
      <w:pPr>
        <w:spacing w:after="0" w:line="240" w:lineRule="auto"/>
        <w:rPr>
          <w:rFonts w:ascii="Inter" w:eastAsia="MS Gothic" w:hAnsi="Inter"/>
          <w:b/>
          <w:color w:val="000000"/>
          <w:spacing w:val="4"/>
        </w:rPr>
      </w:pPr>
      <w:r w:rsidRPr="005923B3">
        <w:rPr>
          <w:rFonts w:ascii="Inter" w:eastAsia="MS Gothic" w:hAnsi="Inter"/>
          <w:b/>
          <w:color w:val="000000"/>
          <w:spacing w:val="4"/>
        </w:rPr>
        <w:t xml:space="preserve">Other Income* </w:t>
      </w:r>
    </w:p>
    <w:p w14:paraId="421B70F6" w14:textId="19B3BA23" w:rsidR="00F0568B" w:rsidRPr="005923B3" w:rsidRDefault="00F0568B" w:rsidP="00F0568B">
      <w:pPr>
        <w:numPr>
          <w:ilvl w:val="0"/>
          <w:numId w:val="97"/>
        </w:numPr>
        <w:spacing w:after="0" w:line="240" w:lineRule="auto"/>
        <w:rPr>
          <w:rFonts w:ascii="Inter" w:eastAsia="MS Gothic" w:hAnsi="Inter"/>
          <w:bCs/>
          <w:color w:val="000000"/>
          <w:spacing w:val="4"/>
        </w:rPr>
      </w:pPr>
      <w:r w:rsidRPr="005923B3">
        <w:rPr>
          <w:rFonts w:ascii="Inter" w:eastAsia="MS Gothic" w:hAnsi="Inter"/>
          <w:bCs/>
          <w:color w:val="000000"/>
          <w:spacing w:val="4"/>
        </w:rPr>
        <w:t>Gross Capital Gains – TAP (Discount Method)</w:t>
      </w:r>
      <w:r w:rsidRPr="005923B3">
        <w:rPr>
          <w:rFonts w:ascii="Inter" w:eastAsia="MS Gothic" w:hAnsi="Inter"/>
          <w:bCs/>
          <w:color w:val="000000"/>
          <w:spacing w:val="4"/>
        </w:rPr>
        <w:tab/>
      </w:r>
      <w:r w:rsidRPr="005923B3">
        <w:rPr>
          <w:rFonts w:ascii="Inter" w:eastAsia="MS Gothic" w:hAnsi="Inter"/>
          <w:bCs/>
          <w:color w:val="000000"/>
          <w:spacing w:val="4"/>
        </w:rPr>
        <w:tab/>
        <w:t>$22,000.00</w:t>
      </w:r>
    </w:p>
    <w:p w14:paraId="09BC9591" w14:textId="3FFB4FFD" w:rsidR="00F0568B" w:rsidRPr="005923B3" w:rsidRDefault="00F0568B" w:rsidP="00F0568B">
      <w:pPr>
        <w:numPr>
          <w:ilvl w:val="0"/>
          <w:numId w:val="97"/>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MIT Fund payment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$8,600.00</w:t>
      </w:r>
    </w:p>
    <w:p w14:paraId="58031874" w14:textId="0E76C847" w:rsidR="00F0568B" w:rsidRPr="005923B3" w:rsidRDefault="00F0568B" w:rsidP="00F0568B">
      <w:pPr>
        <w:numPr>
          <w:ilvl w:val="0"/>
          <w:numId w:val="97"/>
        </w:numPr>
        <w:spacing w:after="0" w:line="240" w:lineRule="auto"/>
        <w:rPr>
          <w:rFonts w:ascii="Inter" w:eastAsia="MS Gothic" w:hAnsi="Inter"/>
          <w:bCs/>
          <w:color w:val="000000"/>
          <w:spacing w:val="4"/>
        </w:rPr>
      </w:pPr>
      <w:r w:rsidRPr="005923B3">
        <w:rPr>
          <w:rFonts w:ascii="Inter" w:eastAsia="MS Gothic" w:hAnsi="Inter"/>
          <w:bCs/>
          <w:color w:val="000000"/>
          <w:spacing w:val="4"/>
        </w:rPr>
        <w:t xml:space="preserve">MIT withholding </w:t>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r>
      <w:r w:rsidRPr="005923B3">
        <w:rPr>
          <w:rFonts w:ascii="Inter" w:eastAsia="MS Gothic" w:hAnsi="Inter"/>
          <w:bCs/>
          <w:color w:val="000000"/>
          <w:spacing w:val="4"/>
        </w:rPr>
        <w:tab/>
        <w:t>$1,29</w:t>
      </w:r>
      <w:r w:rsidRPr="005923B3">
        <w:rPr>
          <w:rFonts w:ascii="Inter" w:eastAsia="MS Gothic" w:hAnsi="Inter"/>
          <w:color w:val="000000"/>
          <w:spacing w:val="4"/>
        </w:rPr>
        <w:t>0.00</w:t>
      </w:r>
    </w:p>
    <w:p w14:paraId="0E2E0F0F" w14:textId="0799FCCD" w:rsidR="00F0568B" w:rsidRPr="005923B3" w:rsidRDefault="00F0568B" w:rsidP="00F0568B">
      <w:pPr>
        <w:spacing w:after="0" w:line="240" w:lineRule="auto"/>
        <w:rPr>
          <w:rFonts w:ascii="Inter" w:eastAsia="MS Gothic" w:hAnsi="Inter"/>
          <w:i/>
          <w:color w:val="000000"/>
          <w:spacing w:val="4"/>
        </w:rPr>
      </w:pPr>
      <w:r w:rsidRPr="005923B3">
        <w:rPr>
          <w:rFonts w:ascii="Inter" w:eastAsia="MS Gothic" w:hAnsi="Inter"/>
          <w:bCs/>
          <w:i/>
          <w:iCs/>
          <w:color w:val="000000"/>
          <w:spacing w:val="4"/>
        </w:rPr>
        <w:t xml:space="preserve">*Income other than BTR income to be included in Record 1 </w:t>
      </w:r>
      <w:r w:rsidR="00C84133">
        <w:rPr>
          <w:rFonts w:ascii="Inter" w:eastAsia="MS Gothic" w:hAnsi="Inter"/>
          <w:bCs/>
          <w:i/>
          <w:iCs/>
          <w:color w:val="000000"/>
          <w:spacing w:val="4"/>
        </w:rPr>
        <w:t xml:space="preserve">only, </w:t>
      </w:r>
      <w:r w:rsidRPr="005923B3">
        <w:rPr>
          <w:rFonts w:ascii="Inter" w:eastAsia="MS Gothic" w:hAnsi="Inter"/>
          <w:bCs/>
          <w:i/>
          <w:iCs/>
          <w:color w:val="000000"/>
          <w:spacing w:val="4"/>
        </w:rPr>
        <w:t>for each investor</w:t>
      </w:r>
    </w:p>
    <w:p w14:paraId="4D8D1B15" w14:textId="77777777" w:rsidR="00776543" w:rsidRDefault="00776543" w:rsidP="00200FBB">
      <w:pPr>
        <w:pStyle w:val="Maintext"/>
        <w:rPr>
          <w:rFonts w:asciiTheme="minorHAnsi" w:eastAsiaTheme="majorEastAsia" w:hAnsiTheme="minorHAnsi" w:cstheme="majorBidi"/>
          <w:b/>
          <w:color w:val="000000" w:themeColor="text1"/>
          <w:spacing w:val="4"/>
          <w:sz w:val="20"/>
          <w:szCs w:val="20"/>
          <w:lang w:eastAsia="en-US"/>
        </w:rPr>
      </w:pPr>
    </w:p>
    <w:p w14:paraId="7C90DFDE" w14:textId="77777777" w:rsidR="00562842" w:rsidRDefault="00562842" w:rsidP="005258AD">
      <w:pPr>
        <w:pStyle w:val="Maintext"/>
        <w:rPr>
          <w:rFonts w:asciiTheme="minorHAnsi" w:hAnsiTheme="minorHAnsi" w:cs="Arial"/>
          <w:b/>
          <w:sz w:val="20"/>
          <w:szCs w:val="20"/>
        </w:rPr>
      </w:pPr>
    </w:p>
    <w:p w14:paraId="1BF4F0C6" w14:textId="77777777" w:rsidR="004E184B" w:rsidRPr="001F4A1E" w:rsidRDefault="004E184B" w:rsidP="004E184B">
      <w:pPr>
        <w:spacing w:after="0" w:line="240" w:lineRule="auto"/>
        <w:textAlignment w:val="baseline"/>
        <w:rPr>
          <w:rFonts w:ascii="Segoe UI" w:eastAsia="Times New Roman" w:hAnsi="Segoe UI" w:cs="Segoe UI"/>
          <w:color w:val="auto"/>
          <w:sz w:val="18"/>
          <w:szCs w:val="18"/>
          <w:lang w:eastAsia="en-AU"/>
        </w:rPr>
      </w:pPr>
      <w:r>
        <w:rPr>
          <w:rFonts w:ascii="Inter" w:eastAsia="Times New Roman" w:hAnsi="Inter" w:cs="Segoe UI"/>
          <w:b/>
          <w:bCs/>
          <w:smallCaps/>
          <w:color w:val="auto"/>
          <w:lang w:eastAsia="en-AU"/>
        </w:rPr>
        <w:t>I</w:t>
      </w:r>
      <w:r w:rsidRPr="001F4A1E">
        <w:rPr>
          <w:rFonts w:ascii="Inter" w:eastAsia="Times New Roman" w:hAnsi="Inter" w:cs="Segoe UI"/>
          <w:b/>
          <w:bCs/>
          <w:smallCaps/>
          <w:color w:val="auto"/>
          <w:lang w:eastAsia="en-AU"/>
        </w:rPr>
        <w:t>nvestment body identity data record </w:t>
      </w:r>
      <w:r w:rsidRPr="001F4A1E">
        <w:rPr>
          <w:rFonts w:ascii="Inter" w:eastAsia="Times New Roman" w:hAnsi="Inter" w:cs="Segoe UI"/>
          <w:smallCaps/>
          <w:color w:val="auto"/>
          <w:lang w:eastAsia="en-AU"/>
        </w:rPr>
        <w:t>(extract) </w:t>
      </w:r>
      <w:r w:rsidRPr="001F4A1E">
        <w:rPr>
          <w:rFonts w:ascii="Inter" w:eastAsia="Times New Roman" w:hAnsi="Inter" w:cs="Segoe UI"/>
          <w:color w:val="auto"/>
          <w:lang w:eastAsia="en-AU"/>
        </w:rPr>
        <w:t> </w:t>
      </w:r>
    </w:p>
    <w:p w14:paraId="1EC5AC41" w14:textId="77777777" w:rsidR="004E184B" w:rsidRPr="001F4A1E" w:rsidRDefault="004E184B" w:rsidP="004E184B">
      <w:pPr>
        <w:spacing w:after="0" w:line="240" w:lineRule="auto"/>
        <w:textAlignment w:val="baseline"/>
        <w:rPr>
          <w:rFonts w:ascii="Segoe UI" w:eastAsia="Times New Roman" w:hAnsi="Segoe UI" w:cs="Segoe UI"/>
          <w:color w:val="auto"/>
          <w:sz w:val="18"/>
          <w:szCs w:val="18"/>
          <w:lang w:eastAsia="en-AU"/>
        </w:rPr>
      </w:pPr>
      <w:r w:rsidRPr="001F4A1E">
        <w:rPr>
          <w:rFonts w:ascii="Arial" w:eastAsia="Times New Roman" w:hAnsi="Arial" w:cs="Arial"/>
          <w:color w:val="auto"/>
          <w:lang w:eastAsia="en-AU"/>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5185"/>
        <w:gridCol w:w="2863"/>
      </w:tblGrid>
      <w:tr w:rsidR="004E184B" w:rsidRPr="001F4A1E" w14:paraId="15351FAC" w14:textId="77777777" w:rsidTr="00B43964">
        <w:trPr>
          <w:trHeight w:val="495"/>
        </w:trPr>
        <w:tc>
          <w:tcPr>
            <w:tcW w:w="1140"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206E08AA"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Reference number</w:t>
            </w:r>
            <w:r w:rsidRPr="001F4A1E">
              <w:rPr>
                <w:rFonts w:ascii="Inter" w:eastAsia="Times New Roman" w:hAnsi="Inter"/>
                <w:color w:val="000000"/>
                <w:lang w:eastAsia="en-AU"/>
              </w:rPr>
              <w:t> </w:t>
            </w:r>
          </w:p>
        </w:tc>
        <w:tc>
          <w:tcPr>
            <w:tcW w:w="5190" w:type="dxa"/>
            <w:tcBorders>
              <w:top w:val="single" w:sz="8" w:space="0" w:color="auto"/>
              <w:left w:val="nil"/>
              <w:bottom w:val="single" w:sz="8" w:space="0" w:color="auto"/>
              <w:right w:val="single" w:sz="8" w:space="0" w:color="auto"/>
            </w:tcBorders>
            <w:shd w:val="clear" w:color="auto" w:fill="B3B3B3"/>
            <w:vAlign w:val="center"/>
            <w:hideMark/>
          </w:tcPr>
          <w:p w14:paraId="384F2D70"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Field name</w:t>
            </w:r>
            <w:r w:rsidRPr="001F4A1E">
              <w:rPr>
                <w:rFonts w:ascii="Inter" w:eastAsia="Times New Roman" w:hAnsi="Inter"/>
                <w:color w:val="000000"/>
                <w:lang w:eastAsia="en-AU"/>
              </w:rPr>
              <w:t> </w:t>
            </w:r>
          </w:p>
        </w:tc>
        <w:tc>
          <w:tcPr>
            <w:tcW w:w="2865" w:type="dxa"/>
            <w:tcBorders>
              <w:top w:val="single" w:sz="8" w:space="0" w:color="auto"/>
              <w:left w:val="nil"/>
              <w:bottom w:val="single" w:sz="8" w:space="0" w:color="auto"/>
              <w:right w:val="single" w:sz="8" w:space="0" w:color="auto"/>
            </w:tcBorders>
            <w:shd w:val="clear" w:color="auto" w:fill="B3B3B3"/>
            <w:vAlign w:val="center"/>
            <w:hideMark/>
          </w:tcPr>
          <w:p w14:paraId="508EE6B2"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b/>
                <w:bCs/>
                <w:color w:val="000000"/>
                <w:lang w:eastAsia="en-AU"/>
              </w:rPr>
              <w:t>Content</w:t>
            </w:r>
            <w:r w:rsidRPr="001F4A1E">
              <w:rPr>
                <w:rFonts w:ascii="Inter" w:eastAsia="Times New Roman" w:hAnsi="Inter"/>
                <w:color w:val="000000"/>
                <w:lang w:eastAsia="en-AU"/>
              </w:rPr>
              <w:t> </w:t>
            </w:r>
          </w:p>
        </w:tc>
      </w:tr>
      <w:tr w:rsidR="004E184B" w:rsidRPr="001F4A1E" w14:paraId="10274CFF" w14:textId="77777777" w:rsidTr="00B43964">
        <w:trPr>
          <w:trHeight w:val="270"/>
        </w:trPr>
        <w:tc>
          <w:tcPr>
            <w:tcW w:w="1140" w:type="dxa"/>
            <w:tcBorders>
              <w:top w:val="nil"/>
              <w:left w:val="single" w:sz="8" w:space="0" w:color="auto"/>
              <w:bottom w:val="single" w:sz="4" w:space="0" w:color="auto"/>
              <w:right w:val="single" w:sz="8" w:space="0" w:color="auto"/>
            </w:tcBorders>
            <w:vAlign w:val="center"/>
            <w:hideMark/>
          </w:tcPr>
          <w:p w14:paraId="320CB744"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9.30 </w:t>
            </w:r>
          </w:p>
        </w:tc>
        <w:tc>
          <w:tcPr>
            <w:tcW w:w="5190" w:type="dxa"/>
            <w:tcBorders>
              <w:top w:val="nil"/>
              <w:left w:val="nil"/>
              <w:bottom w:val="single" w:sz="4" w:space="0" w:color="auto"/>
              <w:right w:val="single" w:sz="8" w:space="0" w:color="auto"/>
            </w:tcBorders>
            <w:vAlign w:val="center"/>
            <w:hideMark/>
          </w:tcPr>
          <w:p w14:paraId="2CDF84DF"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Financial year </w:t>
            </w:r>
          </w:p>
        </w:tc>
        <w:tc>
          <w:tcPr>
            <w:tcW w:w="2865" w:type="dxa"/>
            <w:tcBorders>
              <w:top w:val="nil"/>
              <w:left w:val="nil"/>
              <w:bottom w:val="single" w:sz="4" w:space="0" w:color="auto"/>
              <w:right w:val="single" w:sz="8" w:space="0" w:color="auto"/>
            </w:tcBorders>
            <w:vAlign w:val="center"/>
            <w:hideMark/>
          </w:tcPr>
          <w:p w14:paraId="15F91856"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2</w:t>
            </w:r>
            <w:r>
              <w:rPr>
                <w:rFonts w:eastAsia="Times New Roman"/>
                <w:lang w:eastAsia="en-AU"/>
              </w:rPr>
              <w:t>026</w:t>
            </w:r>
          </w:p>
        </w:tc>
      </w:tr>
      <w:tr w:rsidR="004E184B" w:rsidRPr="001F4A1E" w14:paraId="7BA44180" w14:textId="77777777" w:rsidTr="00B43964">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4EC19D7D"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9.31 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74C3AFDB"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Australian business number (ABN) or withholding payer number (WPN)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23E5089" w14:textId="3FCBD5F2"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 xml:space="preserve">ABN of </w:t>
            </w:r>
            <w:r>
              <w:rPr>
                <w:rFonts w:ascii="Inter" w:eastAsia="Times New Roman" w:hAnsi="Inter"/>
                <w:color w:val="000000"/>
                <w:lang w:eastAsia="en-AU"/>
              </w:rPr>
              <w:t>Pacific Trail Trust</w:t>
            </w:r>
            <w:r w:rsidRPr="001F4A1E">
              <w:rPr>
                <w:rFonts w:ascii="Inter" w:eastAsia="Times New Roman" w:hAnsi="Inter"/>
                <w:color w:val="000000"/>
                <w:lang w:eastAsia="en-AU"/>
              </w:rPr>
              <w:t> </w:t>
            </w:r>
          </w:p>
        </w:tc>
      </w:tr>
      <w:tr w:rsidR="004E184B" w:rsidRPr="001F4A1E" w14:paraId="3D6EB82A" w14:textId="77777777" w:rsidTr="00B43964">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6771D25E"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9.33 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14A05E8E"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registered name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7583178" w14:textId="5AEB2111"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Pacific Trail Trust</w:t>
            </w:r>
            <w:r w:rsidRPr="001F4A1E">
              <w:rPr>
                <w:rFonts w:ascii="Inter" w:eastAsia="Times New Roman" w:hAnsi="Inter"/>
                <w:color w:val="000000"/>
                <w:lang w:eastAsia="en-AU"/>
              </w:rPr>
              <w:t> </w:t>
            </w:r>
          </w:p>
        </w:tc>
      </w:tr>
      <w:tr w:rsidR="004E184B" w:rsidRPr="001F4A1E" w14:paraId="3A958D54" w14:textId="77777777" w:rsidTr="00B43964">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5B9BE87D"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9.48 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0732FD53"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entity type code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A2CFA92"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T </w:t>
            </w:r>
          </w:p>
        </w:tc>
      </w:tr>
      <w:tr w:rsidR="004E184B" w:rsidRPr="001F4A1E" w14:paraId="6C7FE59A" w14:textId="77777777" w:rsidTr="00B43964">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165BA4A3"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9.49 </w:t>
            </w:r>
          </w:p>
        </w:tc>
        <w:tc>
          <w:tcPr>
            <w:tcW w:w="5190" w:type="dxa"/>
            <w:tcBorders>
              <w:top w:val="single" w:sz="4" w:space="0" w:color="auto"/>
              <w:left w:val="single" w:sz="4" w:space="0" w:color="auto"/>
              <w:bottom w:val="single" w:sz="4" w:space="0" w:color="auto"/>
              <w:right w:val="single" w:sz="4" w:space="0" w:color="auto"/>
            </w:tcBorders>
            <w:vAlign w:val="center"/>
            <w:hideMark/>
          </w:tcPr>
          <w:p w14:paraId="54C7C1E1"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sidRPr="001F4A1E">
              <w:rPr>
                <w:rFonts w:ascii="Inter" w:eastAsia="Times New Roman" w:hAnsi="Inter"/>
                <w:color w:val="000000"/>
                <w:lang w:eastAsia="en-AU"/>
              </w:rPr>
              <w:t>Investment body entity sub-type code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E65A537" w14:textId="77777777" w:rsidR="004E184B" w:rsidRPr="001F4A1E" w:rsidRDefault="004E184B" w:rsidP="00B43964">
            <w:pPr>
              <w:spacing w:after="0" w:line="240" w:lineRule="auto"/>
              <w:textAlignment w:val="baseline"/>
              <w:rPr>
                <w:rFonts w:ascii="Times New Roman" w:eastAsia="Times New Roman" w:hAnsi="Times New Roman"/>
                <w:color w:val="000000"/>
                <w:sz w:val="24"/>
                <w:szCs w:val="24"/>
                <w:lang w:eastAsia="en-AU"/>
              </w:rPr>
            </w:pPr>
            <w:r>
              <w:rPr>
                <w:rFonts w:ascii="Inter" w:eastAsia="Times New Roman" w:hAnsi="Inter"/>
                <w:color w:val="000000"/>
                <w:lang w:eastAsia="en-AU"/>
              </w:rPr>
              <w:t>NMT</w:t>
            </w:r>
          </w:p>
        </w:tc>
      </w:tr>
    </w:tbl>
    <w:p w14:paraId="01982EC0" w14:textId="77777777" w:rsidR="004E184B" w:rsidRDefault="004E184B" w:rsidP="004E184B">
      <w:pPr>
        <w:pStyle w:val="Maintext"/>
        <w:rPr>
          <w:rFonts w:asciiTheme="minorHAnsi" w:eastAsiaTheme="majorEastAsia" w:hAnsiTheme="minorHAnsi" w:cstheme="majorBidi"/>
          <w:bCs/>
          <w:color w:val="000000" w:themeColor="text1"/>
          <w:spacing w:val="4"/>
          <w:sz w:val="20"/>
          <w:szCs w:val="20"/>
          <w:lang w:eastAsia="en-US"/>
        </w:rPr>
      </w:pPr>
    </w:p>
    <w:p w14:paraId="46461B25" w14:textId="407A4E23" w:rsidR="004E184B" w:rsidRDefault="004E184B" w:rsidP="004E184B">
      <w:pPr>
        <w:spacing w:after="0" w:line="240" w:lineRule="auto"/>
        <w:textAlignment w:val="baseline"/>
        <w:rPr>
          <w:rFonts w:ascii="Inter" w:eastAsia="Times New Roman" w:hAnsi="Inter" w:cs="Segoe UI"/>
          <w:color w:val="000000"/>
          <w:lang w:eastAsia="en-AU"/>
        </w:rPr>
      </w:pPr>
      <w:r w:rsidRPr="004722FB">
        <w:rPr>
          <w:rFonts w:ascii="Inter" w:eastAsia="Times New Roman" w:hAnsi="Inter" w:cs="Segoe UI"/>
          <w:b/>
          <w:bCs/>
          <w:smallCaps/>
          <w:color w:val="000000"/>
          <w:lang w:eastAsia="en-AU"/>
        </w:rPr>
        <w:t>investment account data record 1</w:t>
      </w:r>
      <w:r w:rsidR="00415813">
        <w:rPr>
          <w:rFonts w:ascii="Inter" w:eastAsia="Times New Roman" w:hAnsi="Inter" w:cs="Segoe UI"/>
          <w:b/>
          <w:bCs/>
          <w:smallCaps/>
          <w:color w:val="000000"/>
          <w:lang w:eastAsia="en-AU"/>
        </w:rPr>
        <w:t xml:space="preserve"> for 1 investor</w:t>
      </w:r>
      <w:r w:rsidRPr="004722FB">
        <w:rPr>
          <w:rFonts w:ascii="Inter" w:eastAsia="Times New Roman" w:hAnsi="Inter" w:cs="Segoe UI"/>
          <w:b/>
          <w:bCs/>
          <w:smallCaps/>
          <w:color w:val="000000"/>
          <w:lang w:eastAsia="en-AU"/>
        </w:rPr>
        <w:t> </w:t>
      </w:r>
      <w:r w:rsidRPr="004722FB">
        <w:rPr>
          <w:rFonts w:ascii="Inter" w:eastAsia="Times New Roman" w:hAnsi="Inter" w:cs="Segoe UI"/>
          <w:smallCaps/>
          <w:color w:val="000000"/>
          <w:lang w:eastAsia="en-AU"/>
        </w:rPr>
        <w:t>(</w:t>
      </w:r>
      <w:r w:rsidRPr="000E614D">
        <w:rPr>
          <w:rFonts w:ascii="Inter" w:eastAsia="Times New Roman" w:hAnsi="Inter" w:cs="Segoe UI"/>
          <w:smallCaps/>
          <w:color w:val="000000"/>
          <w:lang w:eastAsia="en-AU"/>
        </w:rPr>
        <w:t>extract</w:t>
      </w:r>
      <w:r w:rsidR="0013785C" w:rsidRPr="000E614D">
        <w:rPr>
          <w:rFonts w:ascii="Inter" w:eastAsia="Times New Roman" w:hAnsi="Inter" w:cs="Segoe UI"/>
          <w:smallCaps/>
          <w:color w:val="000000"/>
          <w:lang w:eastAsia="en-AU"/>
        </w:rPr>
        <w:t xml:space="preserve"> – </w:t>
      </w:r>
      <w:r w:rsidR="0013785C" w:rsidRPr="00942411">
        <w:rPr>
          <w:rFonts w:ascii="Inter" w:eastAsia="Times New Roman" w:hAnsi="Inter" w:cs="Segoe UI"/>
          <w:smallCaps/>
          <w:color w:val="000000"/>
          <w:sz w:val="16"/>
          <w:szCs w:val="16"/>
          <w:lang w:eastAsia="en-AU"/>
        </w:rPr>
        <w:t>NON-RESIDENT</w:t>
      </w:r>
      <w:r w:rsidRPr="0013785C">
        <w:rPr>
          <w:rFonts w:ascii="Inter" w:eastAsia="Times New Roman" w:hAnsi="Inter" w:cs="Segoe UI"/>
          <w:smallCaps/>
          <w:color w:val="000000"/>
          <w:lang w:eastAsia="en-AU"/>
        </w:rPr>
        <w:t>)</w:t>
      </w:r>
      <w:r w:rsidRPr="004722FB">
        <w:rPr>
          <w:rFonts w:ascii="Inter" w:eastAsia="Times New Roman" w:hAnsi="Inter" w:cs="Segoe UI"/>
          <w:color w:val="000000"/>
          <w:lang w:eastAsia="en-AU"/>
        </w:rPr>
        <w:t> </w:t>
      </w:r>
      <w:r w:rsidR="0079514C">
        <w:rPr>
          <w:rFonts w:ascii="Inter" w:eastAsia="Times New Roman" w:hAnsi="Inter" w:cs="Segoe UI"/>
          <w:color w:val="000000"/>
          <w:lang w:eastAsia="en-AU"/>
        </w:rPr>
        <w:t xml:space="preserve"> </w:t>
      </w:r>
    </w:p>
    <w:p w14:paraId="40C2AB10" w14:textId="77777777" w:rsidR="0014531E" w:rsidRDefault="0014531E" w:rsidP="004E184B">
      <w:pPr>
        <w:spacing w:after="0" w:line="240" w:lineRule="auto"/>
        <w:textAlignment w:val="baseline"/>
        <w:rPr>
          <w:rFonts w:ascii="Segoe UI" w:eastAsia="Times New Roman" w:hAnsi="Segoe UI" w:cs="Segoe UI"/>
          <w:color w:val="000000"/>
          <w:sz w:val="18"/>
          <w:szCs w:val="18"/>
          <w:lang w:eastAsia="en-AU"/>
        </w:rPr>
      </w:pPr>
    </w:p>
    <w:tbl>
      <w:tblPr>
        <w:tblW w:w="9188"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5185"/>
        <w:gridCol w:w="2863"/>
      </w:tblGrid>
      <w:tr w:rsidR="009C1122" w:rsidRPr="001F6FCD" w14:paraId="270B3956" w14:textId="77777777" w:rsidTr="00FD40F7">
        <w:trPr>
          <w:trHeight w:val="495"/>
          <w:tblHeader/>
        </w:trPr>
        <w:tc>
          <w:tcPr>
            <w:tcW w:w="1140"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052913E4" w14:textId="77777777" w:rsidR="009C1122" w:rsidRPr="00F52541" w:rsidRDefault="009C1122">
            <w:pPr>
              <w:spacing w:after="0" w:line="240" w:lineRule="auto"/>
              <w:textAlignment w:val="baseline"/>
              <w:rPr>
                <w:rFonts w:ascii="Times New Roman" w:eastAsia="Times New Roman" w:hAnsi="Times New Roman"/>
                <w:color w:val="000000"/>
                <w:sz w:val="24"/>
                <w:szCs w:val="24"/>
                <w:lang w:eastAsia="en-AU"/>
              </w:rPr>
            </w:pPr>
            <w:r w:rsidRPr="00F52541">
              <w:rPr>
                <w:rFonts w:ascii="Inter" w:eastAsia="Times New Roman" w:hAnsi="Inter"/>
                <w:b/>
                <w:bCs/>
                <w:color w:val="000000"/>
                <w:lang w:eastAsia="en-AU"/>
              </w:rPr>
              <w:t>Reference number</w:t>
            </w:r>
            <w:r w:rsidRPr="00F52541">
              <w:rPr>
                <w:rFonts w:ascii="Inter" w:eastAsia="Times New Roman" w:hAnsi="Inter"/>
                <w:color w:val="000000"/>
                <w:lang w:eastAsia="en-AU"/>
              </w:rPr>
              <w:t> </w:t>
            </w:r>
          </w:p>
        </w:tc>
        <w:tc>
          <w:tcPr>
            <w:tcW w:w="5185" w:type="dxa"/>
            <w:tcBorders>
              <w:top w:val="single" w:sz="8" w:space="0" w:color="auto"/>
              <w:left w:val="nil"/>
              <w:bottom w:val="single" w:sz="8" w:space="0" w:color="auto"/>
              <w:right w:val="single" w:sz="8" w:space="0" w:color="auto"/>
            </w:tcBorders>
            <w:shd w:val="clear" w:color="auto" w:fill="B3B3B3"/>
            <w:vAlign w:val="center"/>
            <w:hideMark/>
          </w:tcPr>
          <w:p w14:paraId="13ECC528" w14:textId="77777777" w:rsidR="009C1122" w:rsidRPr="00F52541" w:rsidRDefault="009C1122">
            <w:pPr>
              <w:spacing w:after="0" w:line="240" w:lineRule="auto"/>
              <w:textAlignment w:val="baseline"/>
              <w:rPr>
                <w:rFonts w:ascii="Times New Roman" w:eastAsia="Times New Roman" w:hAnsi="Times New Roman"/>
                <w:color w:val="000000"/>
                <w:sz w:val="24"/>
                <w:szCs w:val="24"/>
                <w:lang w:eastAsia="en-AU"/>
              </w:rPr>
            </w:pPr>
            <w:r w:rsidRPr="00F52541">
              <w:rPr>
                <w:rFonts w:ascii="Inter" w:eastAsia="Times New Roman" w:hAnsi="Inter"/>
                <w:b/>
                <w:bCs/>
                <w:color w:val="000000"/>
                <w:lang w:eastAsia="en-AU"/>
              </w:rPr>
              <w:t>Field name</w:t>
            </w:r>
            <w:r w:rsidRPr="00F52541">
              <w:rPr>
                <w:rFonts w:ascii="Inter" w:eastAsia="Times New Roman" w:hAnsi="Inter"/>
                <w:color w:val="000000"/>
                <w:lang w:eastAsia="en-AU"/>
              </w:rPr>
              <w:t> </w:t>
            </w:r>
          </w:p>
        </w:tc>
        <w:tc>
          <w:tcPr>
            <w:tcW w:w="2863" w:type="dxa"/>
            <w:tcBorders>
              <w:top w:val="single" w:sz="8" w:space="0" w:color="auto"/>
              <w:left w:val="nil"/>
              <w:bottom w:val="single" w:sz="8" w:space="0" w:color="auto"/>
              <w:right w:val="single" w:sz="8" w:space="0" w:color="auto"/>
            </w:tcBorders>
            <w:shd w:val="clear" w:color="auto" w:fill="B3B3B3"/>
            <w:vAlign w:val="center"/>
            <w:hideMark/>
          </w:tcPr>
          <w:p w14:paraId="7D545343" w14:textId="77777777" w:rsidR="009C1122" w:rsidRPr="00F52541" w:rsidRDefault="009C1122">
            <w:pPr>
              <w:spacing w:after="0" w:line="240" w:lineRule="auto"/>
              <w:textAlignment w:val="baseline"/>
              <w:rPr>
                <w:rFonts w:ascii="Times New Roman" w:eastAsia="Times New Roman" w:hAnsi="Times New Roman"/>
                <w:color w:val="000000"/>
                <w:sz w:val="24"/>
                <w:szCs w:val="24"/>
                <w:lang w:eastAsia="en-AU"/>
              </w:rPr>
            </w:pPr>
            <w:r w:rsidRPr="00F52541">
              <w:rPr>
                <w:rFonts w:ascii="Inter" w:eastAsia="Times New Roman" w:hAnsi="Inter"/>
                <w:b/>
                <w:bCs/>
                <w:color w:val="000000"/>
                <w:lang w:eastAsia="en-AU"/>
              </w:rPr>
              <w:t>Content</w:t>
            </w:r>
            <w:r w:rsidRPr="00F52541">
              <w:rPr>
                <w:rFonts w:ascii="Inter" w:eastAsia="Times New Roman" w:hAnsi="Inter"/>
                <w:color w:val="000000"/>
                <w:lang w:eastAsia="en-AU"/>
              </w:rPr>
              <w:t> </w:t>
            </w:r>
          </w:p>
        </w:tc>
      </w:tr>
      <w:tr w:rsidR="009C1122" w:rsidRPr="001F6FCD" w14:paraId="34F03C80"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74A365CA"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9.62 </w:t>
            </w:r>
          </w:p>
        </w:tc>
        <w:tc>
          <w:tcPr>
            <w:tcW w:w="5185" w:type="dxa"/>
            <w:tcBorders>
              <w:top w:val="nil"/>
              <w:left w:val="nil"/>
              <w:bottom w:val="single" w:sz="8" w:space="0" w:color="auto"/>
              <w:right w:val="single" w:sz="8" w:space="0" w:color="auto"/>
            </w:tcBorders>
            <w:vAlign w:val="center"/>
            <w:hideMark/>
          </w:tcPr>
          <w:p w14:paraId="3B84F683"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Sequence number of DACCOUNT record </w:t>
            </w:r>
          </w:p>
        </w:tc>
        <w:tc>
          <w:tcPr>
            <w:tcW w:w="2863" w:type="dxa"/>
            <w:tcBorders>
              <w:top w:val="nil"/>
              <w:left w:val="nil"/>
              <w:bottom w:val="single" w:sz="8" w:space="0" w:color="auto"/>
              <w:right w:val="single" w:sz="8" w:space="0" w:color="auto"/>
            </w:tcBorders>
            <w:vAlign w:val="center"/>
            <w:hideMark/>
          </w:tcPr>
          <w:p w14:paraId="76F1CA71"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01 </w:t>
            </w:r>
          </w:p>
        </w:tc>
      </w:tr>
      <w:tr w:rsidR="009C1122" w:rsidRPr="001F6FCD" w14:paraId="446D22B3"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7F4DC041"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9.63 </w:t>
            </w:r>
          </w:p>
        </w:tc>
        <w:tc>
          <w:tcPr>
            <w:tcW w:w="5185" w:type="dxa"/>
            <w:tcBorders>
              <w:top w:val="nil"/>
              <w:left w:val="nil"/>
              <w:bottom w:val="single" w:sz="8" w:space="0" w:color="auto"/>
              <w:right w:val="single" w:sz="8" w:space="0" w:color="auto"/>
            </w:tcBorders>
            <w:vAlign w:val="center"/>
            <w:hideMark/>
          </w:tcPr>
          <w:p w14:paraId="64D581EF" w14:textId="77777777" w:rsidR="009C1122" w:rsidRPr="00367AAE" w:rsidRDefault="009C1122">
            <w:pPr>
              <w:spacing w:after="0" w:line="240" w:lineRule="auto"/>
              <w:textAlignment w:val="baseline"/>
              <w:rPr>
                <w:rFonts w:ascii="Inter" w:eastAsia="Times New Roman" w:hAnsi="Inter"/>
                <w:color w:val="000000"/>
                <w:lang w:eastAsia="en-AU"/>
              </w:rPr>
            </w:pPr>
            <w:r w:rsidRPr="00367AAE">
              <w:rPr>
                <w:rFonts w:ascii="Inter" w:eastAsia="Times New Roman" w:hAnsi="Inter"/>
                <w:color w:val="000000"/>
                <w:lang w:eastAsia="en-AU"/>
              </w:rPr>
              <w:t>Investment reference number </w:t>
            </w:r>
          </w:p>
        </w:tc>
        <w:tc>
          <w:tcPr>
            <w:tcW w:w="2863" w:type="dxa"/>
            <w:tcBorders>
              <w:top w:val="nil"/>
              <w:left w:val="nil"/>
              <w:bottom w:val="single" w:sz="8" w:space="0" w:color="auto"/>
              <w:right w:val="single" w:sz="8" w:space="0" w:color="auto"/>
            </w:tcBorders>
            <w:vAlign w:val="center"/>
            <w:hideMark/>
          </w:tcPr>
          <w:p w14:paraId="6DE6A5A2" w14:textId="4AB2BBAF" w:rsidR="006D25F2" w:rsidRPr="00367AAE" w:rsidRDefault="00DC390B">
            <w:pPr>
              <w:spacing w:after="0" w:line="240" w:lineRule="auto"/>
              <w:textAlignment w:val="baseline"/>
              <w:rPr>
                <w:rFonts w:ascii="Inter" w:eastAsia="Times New Roman" w:hAnsi="Inter"/>
                <w:color w:val="000000"/>
                <w:lang w:eastAsia="en-AU"/>
              </w:rPr>
            </w:pPr>
            <w:r w:rsidRPr="00942411">
              <w:rPr>
                <w:rFonts w:ascii="Inter" w:eastAsia="Times New Roman" w:hAnsi="Inter"/>
                <w:color w:val="000000"/>
                <w:lang w:eastAsia="en-AU"/>
              </w:rPr>
              <w:t>85236499</w:t>
            </w:r>
          </w:p>
        </w:tc>
      </w:tr>
      <w:tr w:rsidR="009C1122" w:rsidRPr="001F6FCD" w14:paraId="6D55905E"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29D907C4"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9.64 </w:t>
            </w:r>
          </w:p>
        </w:tc>
        <w:tc>
          <w:tcPr>
            <w:tcW w:w="5185" w:type="dxa"/>
            <w:tcBorders>
              <w:top w:val="nil"/>
              <w:left w:val="nil"/>
              <w:bottom w:val="single" w:sz="8" w:space="0" w:color="auto"/>
              <w:right w:val="single" w:sz="8" w:space="0" w:color="auto"/>
            </w:tcBorders>
            <w:vAlign w:val="center"/>
            <w:hideMark/>
          </w:tcPr>
          <w:p w14:paraId="060BC2C6" w14:textId="77777777" w:rsidR="009C1122" w:rsidRPr="00942411" w:rsidRDefault="009C1122">
            <w:pPr>
              <w:spacing w:after="0" w:line="240" w:lineRule="auto"/>
              <w:textAlignment w:val="baseline"/>
              <w:rPr>
                <w:rFonts w:ascii="Inter" w:eastAsia="Times New Roman" w:hAnsi="Inter"/>
                <w:color w:val="000000"/>
                <w:lang w:eastAsia="en-AU"/>
              </w:rPr>
            </w:pPr>
            <w:r w:rsidRPr="00367AAE">
              <w:rPr>
                <w:rFonts w:ascii="Inter" w:eastAsia="Times New Roman" w:hAnsi="Inter"/>
                <w:color w:val="000000"/>
                <w:lang w:eastAsia="en-AU"/>
              </w:rPr>
              <w:t>Account reference number </w:t>
            </w:r>
          </w:p>
        </w:tc>
        <w:tc>
          <w:tcPr>
            <w:tcW w:w="2863" w:type="dxa"/>
            <w:tcBorders>
              <w:top w:val="nil"/>
              <w:left w:val="nil"/>
              <w:bottom w:val="single" w:sz="8" w:space="0" w:color="auto"/>
              <w:right w:val="single" w:sz="8" w:space="0" w:color="auto"/>
            </w:tcBorders>
            <w:vAlign w:val="center"/>
            <w:hideMark/>
          </w:tcPr>
          <w:p w14:paraId="0C3BCDDF" w14:textId="6951DA50" w:rsidR="006D25F2" w:rsidRPr="00942411" w:rsidRDefault="00E93DD0">
            <w:pPr>
              <w:spacing w:after="0" w:line="240" w:lineRule="auto"/>
              <w:textAlignment w:val="baseline"/>
              <w:rPr>
                <w:rFonts w:ascii="Inter" w:eastAsia="Times New Roman" w:hAnsi="Inter"/>
                <w:color w:val="000000"/>
                <w:lang w:eastAsia="en-AU"/>
              </w:rPr>
            </w:pPr>
            <w:r w:rsidRPr="00942411">
              <w:rPr>
                <w:rFonts w:ascii="Inter" w:eastAsia="Times New Roman" w:hAnsi="Inter"/>
                <w:color w:val="000000"/>
                <w:lang w:eastAsia="en-AU"/>
              </w:rPr>
              <w:t>1046821</w:t>
            </w:r>
          </w:p>
        </w:tc>
      </w:tr>
      <w:tr w:rsidR="009C1122" w:rsidRPr="001F6FCD" w14:paraId="31DEC496" w14:textId="77777777">
        <w:trPr>
          <w:trHeight w:val="270"/>
        </w:trPr>
        <w:tc>
          <w:tcPr>
            <w:tcW w:w="1140" w:type="dxa"/>
            <w:tcBorders>
              <w:top w:val="nil"/>
              <w:left w:val="single" w:sz="8" w:space="0" w:color="auto"/>
              <w:bottom w:val="single" w:sz="8" w:space="0" w:color="auto"/>
              <w:right w:val="single" w:sz="8" w:space="0" w:color="auto"/>
            </w:tcBorders>
            <w:vAlign w:val="center"/>
          </w:tcPr>
          <w:p w14:paraId="0690545F" w14:textId="77777777" w:rsidR="009C1122" w:rsidRPr="00F52541" w:rsidRDefault="009C1122">
            <w:pPr>
              <w:spacing w:after="0" w:line="240" w:lineRule="auto"/>
              <w:textAlignment w:val="baseline"/>
              <w:rPr>
                <w:rFonts w:ascii="Inter" w:eastAsia="Times New Roman" w:hAnsi="Inter"/>
                <w:color w:val="000000"/>
                <w:lang w:eastAsia="en-AU"/>
              </w:rPr>
            </w:pPr>
            <w:r w:rsidRPr="00F52541">
              <w:rPr>
                <w:rFonts w:ascii="Inter" w:eastAsia="Times New Roman" w:hAnsi="Inter"/>
                <w:color w:val="000000"/>
                <w:lang w:eastAsia="en-AU"/>
              </w:rPr>
              <w:t>9.67</w:t>
            </w:r>
          </w:p>
        </w:tc>
        <w:tc>
          <w:tcPr>
            <w:tcW w:w="5185" w:type="dxa"/>
            <w:tcBorders>
              <w:top w:val="nil"/>
              <w:left w:val="nil"/>
              <w:bottom w:val="single" w:sz="8" w:space="0" w:color="auto"/>
              <w:right w:val="single" w:sz="8" w:space="0" w:color="auto"/>
            </w:tcBorders>
            <w:vAlign w:val="center"/>
          </w:tcPr>
          <w:p w14:paraId="6A017B7A" w14:textId="77777777" w:rsidR="009C1122" w:rsidRPr="00367AAE" w:rsidRDefault="009C1122">
            <w:pPr>
              <w:spacing w:after="0" w:line="240" w:lineRule="auto"/>
              <w:textAlignment w:val="baseline"/>
              <w:rPr>
                <w:rFonts w:ascii="Inter" w:eastAsia="Times New Roman" w:hAnsi="Inter"/>
                <w:color w:val="000000"/>
                <w:lang w:eastAsia="en-AU"/>
              </w:rPr>
            </w:pPr>
            <w:r w:rsidRPr="00367AAE">
              <w:rPr>
                <w:rFonts w:ascii="Inter" w:eastAsia="Times New Roman" w:hAnsi="Inter"/>
                <w:color w:val="000000"/>
                <w:lang w:eastAsia="en-AU"/>
              </w:rPr>
              <w:t>Account name</w:t>
            </w:r>
          </w:p>
        </w:tc>
        <w:tc>
          <w:tcPr>
            <w:tcW w:w="2863" w:type="dxa"/>
            <w:tcBorders>
              <w:top w:val="nil"/>
              <w:left w:val="nil"/>
              <w:bottom w:val="single" w:sz="8" w:space="0" w:color="auto"/>
              <w:right w:val="single" w:sz="8" w:space="0" w:color="auto"/>
            </w:tcBorders>
            <w:vAlign w:val="center"/>
          </w:tcPr>
          <w:p w14:paraId="55EAF5A6" w14:textId="1DC67CDD" w:rsidR="009C1122" w:rsidRPr="00367AAE" w:rsidRDefault="004D4631">
            <w:pPr>
              <w:spacing w:after="0" w:line="240" w:lineRule="auto"/>
              <w:textAlignment w:val="baseline"/>
              <w:rPr>
                <w:rFonts w:ascii="Inter" w:eastAsia="Times New Roman" w:hAnsi="Inter"/>
                <w:color w:val="000000"/>
                <w:lang w:eastAsia="en-AU"/>
              </w:rPr>
            </w:pPr>
            <w:r>
              <w:rPr>
                <w:rFonts w:ascii="Inter" w:eastAsia="Times New Roman" w:hAnsi="Inter"/>
                <w:color w:val="000000"/>
                <w:lang w:eastAsia="en-AU"/>
              </w:rPr>
              <w:t>Lukas Volkov</w:t>
            </w:r>
            <w:r w:rsidR="00EC6EC8" w:rsidRPr="00942411">
              <w:rPr>
                <w:rFonts w:ascii="Inter" w:eastAsia="Times New Roman" w:hAnsi="Inter"/>
                <w:color w:val="000000"/>
                <w:lang w:eastAsia="en-AU"/>
              </w:rPr>
              <w:t xml:space="preserve"> </w:t>
            </w:r>
          </w:p>
        </w:tc>
      </w:tr>
      <w:tr w:rsidR="009C1122" w:rsidRPr="001F6FCD" w14:paraId="26C0FB66"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4A287BD1"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9.70 </w:t>
            </w:r>
          </w:p>
        </w:tc>
        <w:tc>
          <w:tcPr>
            <w:tcW w:w="5185" w:type="dxa"/>
            <w:tcBorders>
              <w:top w:val="nil"/>
              <w:left w:val="nil"/>
              <w:bottom w:val="single" w:sz="8" w:space="0" w:color="auto"/>
              <w:right w:val="single" w:sz="8" w:space="0" w:color="auto"/>
            </w:tcBorders>
            <w:vAlign w:val="center"/>
            <w:hideMark/>
          </w:tcPr>
          <w:p w14:paraId="0E22EC27"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Date of payment (DDMMCCYY) </w:t>
            </w:r>
          </w:p>
        </w:tc>
        <w:tc>
          <w:tcPr>
            <w:tcW w:w="2863" w:type="dxa"/>
            <w:tcBorders>
              <w:top w:val="nil"/>
              <w:left w:val="nil"/>
              <w:bottom w:val="single" w:sz="8" w:space="0" w:color="auto"/>
              <w:right w:val="single" w:sz="8" w:space="0" w:color="auto"/>
            </w:tcBorders>
            <w:vAlign w:val="center"/>
            <w:hideMark/>
          </w:tcPr>
          <w:p w14:paraId="6CCA44DE"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30062026</w:t>
            </w:r>
          </w:p>
        </w:tc>
      </w:tr>
      <w:tr w:rsidR="009C1122" w:rsidRPr="001F6FCD" w14:paraId="44E8196C"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5479508B"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9.71 </w:t>
            </w:r>
          </w:p>
        </w:tc>
        <w:tc>
          <w:tcPr>
            <w:tcW w:w="5185" w:type="dxa"/>
            <w:tcBorders>
              <w:top w:val="nil"/>
              <w:left w:val="nil"/>
              <w:bottom w:val="single" w:sz="8" w:space="0" w:color="auto"/>
              <w:right w:val="single" w:sz="8" w:space="0" w:color="auto"/>
            </w:tcBorders>
            <w:vAlign w:val="center"/>
            <w:hideMark/>
          </w:tcPr>
          <w:p w14:paraId="4D13D231" w14:textId="77777777" w:rsidR="009C1122" w:rsidRPr="00F52541" w:rsidRDefault="009C1122">
            <w:pPr>
              <w:spacing w:after="0" w:line="240" w:lineRule="auto"/>
              <w:textAlignment w:val="baseline"/>
              <w:rPr>
                <w:rFonts w:ascii="Inter" w:eastAsia="Times New Roman" w:hAnsi="Inter"/>
                <w:color w:val="000000"/>
                <w:lang w:eastAsia="en-AU"/>
              </w:rPr>
            </w:pPr>
            <w:r w:rsidRPr="001F6FCD">
              <w:rPr>
                <w:rFonts w:ascii="Inter" w:eastAsia="Times New Roman" w:hAnsi="Inter"/>
                <w:color w:val="000000"/>
                <w:lang w:eastAsia="en-AU"/>
              </w:rPr>
              <w:t>Type of investment </w:t>
            </w:r>
          </w:p>
        </w:tc>
        <w:tc>
          <w:tcPr>
            <w:tcW w:w="2863" w:type="dxa"/>
            <w:tcBorders>
              <w:top w:val="nil"/>
              <w:left w:val="nil"/>
              <w:bottom w:val="single" w:sz="8" w:space="0" w:color="auto"/>
              <w:right w:val="single" w:sz="8" w:space="0" w:color="auto"/>
            </w:tcBorders>
            <w:vAlign w:val="center"/>
            <w:hideMark/>
          </w:tcPr>
          <w:p w14:paraId="0C7378A5" w14:textId="77777777" w:rsidR="009C1122" w:rsidRPr="00F52541" w:rsidRDefault="009C1122">
            <w:pPr>
              <w:spacing w:after="0" w:line="240" w:lineRule="auto"/>
              <w:textAlignment w:val="baseline"/>
              <w:rPr>
                <w:rFonts w:ascii="Inter" w:eastAsia="Times New Roman" w:hAnsi="Inter"/>
                <w:color w:val="000000"/>
                <w:lang w:eastAsia="en-AU"/>
              </w:rPr>
            </w:pPr>
            <w:r w:rsidRPr="00F52541">
              <w:rPr>
                <w:rFonts w:ascii="Inter" w:eastAsia="Times New Roman" w:hAnsi="Inter"/>
                <w:color w:val="000000"/>
                <w:lang w:eastAsia="en-AU"/>
              </w:rPr>
              <w:t>5</w:t>
            </w:r>
          </w:p>
        </w:tc>
      </w:tr>
      <w:tr w:rsidR="009C1122" w:rsidRPr="001F6FCD" w14:paraId="108F6794"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17242904" w14:textId="77777777" w:rsidR="009C1122" w:rsidRPr="001F6FCD" w:rsidRDefault="009C112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9.72 </w:t>
            </w:r>
          </w:p>
        </w:tc>
        <w:tc>
          <w:tcPr>
            <w:tcW w:w="5185" w:type="dxa"/>
            <w:tcBorders>
              <w:top w:val="nil"/>
              <w:left w:val="nil"/>
              <w:bottom w:val="single" w:sz="8" w:space="0" w:color="auto"/>
              <w:right w:val="single" w:sz="8" w:space="0" w:color="auto"/>
            </w:tcBorders>
            <w:vAlign w:val="center"/>
            <w:hideMark/>
          </w:tcPr>
          <w:p w14:paraId="61463DB1" w14:textId="77777777" w:rsidR="009C1122" w:rsidRPr="00F52541" w:rsidRDefault="009C1122">
            <w:pPr>
              <w:spacing w:after="0" w:line="240" w:lineRule="auto"/>
              <w:textAlignment w:val="baseline"/>
              <w:rPr>
                <w:rFonts w:ascii="Inter" w:eastAsia="Times New Roman" w:hAnsi="Inter"/>
                <w:color w:val="000000"/>
                <w:lang w:eastAsia="en-AU"/>
              </w:rPr>
            </w:pPr>
            <w:r w:rsidRPr="001F6FCD">
              <w:rPr>
                <w:rFonts w:ascii="Inter" w:eastAsia="Times New Roman" w:hAnsi="Inter"/>
                <w:color w:val="000000"/>
                <w:lang w:eastAsia="en-AU"/>
              </w:rPr>
              <w:t>Type of payment </w:t>
            </w:r>
          </w:p>
        </w:tc>
        <w:tc>
          <w:tcPr>
            <w:tcW w:w="2863" w:type="dxa"/>
            <w:tcBorders>
              <w:top w:val="nil"/>
              <w:left w:val="nil"/>
              <w:bottom w:val="single" w:sz="8" w:space="0" w:color="auto"/>
              <w:right w:val="single" w:sz="8" w:space="0" w:color="auto"/>
            </w:tcBorders>
            <w:vAlign w:val="center"/>
            <w:hideMark/>
          </w:tcPr>
          <w:p w14:paraId="5EB994D4" w14:textId="77777777" w:rsidR="009C1122" w:rsidRPr="00F52541" w:rsidRDefault="009C1122">
            <w:pPr>
              <w:spacing w:after="0" w:line="240" w:lineRule="auto"/>
              <w:textAlignment w:val="baseline"/>
              <w:rPr>
                <w:rFonts w:ascii="Inter" w:eastAsia="Times New Roman" w:hAnsi="Inter"/>
                <w:color w:val="000000"/>
                <w:lang w:eastAsia="en-AU"/>
              </w:rPr>
            </w:pPr>
            <w:r w:rsidRPr="00F52541">
              <w:rPr>
                <w:rFonts w:ascii="Inter" w:eastAsia="Times New Roman" w:hAnsi="Inter"/>
                <w:color w:val="000000"/>
                <w:lang w:eastAsia="en-AU"/>
              </w:rPr>
              <w:t>UTD</w:t>
            </w:r>
          </w:p>
        </w:tc>
      </w:tr>
      <w:tr w:rsidR="009C1122" w:rsidRPr="001F6FCD" w14:paraId="489F20BD" w14:textId="77777777">
        <w:trPr>
          <w:trHeight w:val="270"/>
        </w:trPr>
        <w:tc>
          <w:tcPr>
            <w:tcW w:w="1140" w:type="dxa"/>
            <w:tcBorders>
              <w:top w:val="nil"/>
              <w:left w:val="single" w:sz="8" w:space="0" w:color="auto"/>
              <w:bottom w:val="single" w:sz="8" w:space="0" w:color="auto"/>
              <w:right w:val="single" w:sz="8" w:space="0" w:color="auto"/>
            </w:tcBorders>
            <w:vAlign w:val="center"/>
          </w:tcPr>
          <w:p w14:paraId="68855515" w14:textId="77777777" w:rsidR="009C1122" w:rsidRPr="00942411" w:rsidRDefault="009C1122">
            <w:pPr>
              <w:spacing w:after="0" w:line="240" w:lineRule="auto"/>
              <w:textAlignment w:val="baseline"/>
              <w:rPr>
                <w:rFonts w:ascii="Inter" w:eastAsia="Times New Roman" w:hAnsi="Inter"/>
                <w:color w:val="000000"/>
                <w:lang w:eastAsia="en-AU"/>
              </w:rPr>
            </w:pPr>
            <w:r w:rsidRPr="00942411">
              <w:rPr>
                <w:rFonts w:ascii="Inter" w:eastAsia="Times New Roman" w:hAnsi="Inter"/>
                <w:color w:val="000000"/>
                <w:lang w:eastAsia="en-AU"/>
              </w:rPr>
              <w:t>9</w:t>
            </w:r>
            <w:r w:rsidRPr="00942411">
              <w:rPr>
                <w:rFonts w:eastAsia="Times New Roman"/>
                <w:lang w:eastAsia="en-AU"/>
              </w:rPr>
              <w:t>.76</w:t>
            </w:r>
          </w:p>
        </w:tc>
        <w:tc>
          <w:tcPr>
            <w:tcW w:w="5185" w:type="dxa"/>
            <w:tcBorders>
              <w:top w:val="nil"/>
              <w:left w:val="nil"/>
              <w:bottom w:val="single" w:sz="8" w:space="0" w:color="auto"/>
              <w:right w:val="single" w:sz="8" w:space="0" w:color="auto"/>
            </w:tcBorders>
            <w:vAlign w:val="center"/>
          </w:tcPr>
          <w:p w14:paraId="5E1DE8EF" w14:textId="77777777" w:rsidR="009C1122" w:rsidRPr="00942411" w:rsidRDefault="009C1122">
            <w:pPr>
              <w:spacing w:after="0" w:line="240" w:lineRule="auto"/>
              <w:textAlignment w:val="baseline"/>
              <w:rPr>
                <w:rFonts w:ascii="Inter" w:eastAsia="Times New Roman" w:hAnsi="Inter"/>
                <w:color w:val="000000"/>
                <w:lang w:eastAsia="en-AU"/>
              </w:rPr>
            </w:pPr>
            <w:r w:rsidRPr="007B6939">
              <w:rPr>
                <w:rFonts w:ascii="Inter" w:eastAsia="Times New Roman" w:hAnsi="Inter"/>
                <w:color w:val="000000"/>
                <w:lang w:eastAsia="en-AU"/>
              </w:rPr>
              <w:t>Non-resident withholding amount deducted</w:t>
            </w:r>
          </w:p>
        </w:tc>
        <w:tc>
          <w:tcPr>
            <w:tcW w:w="2863" w:type="dxa"/>
            <w:tcBorders>
              <w:top w:val="nil"/>
              <w:left w:val="nil"/>
              <w:bottom w:val="single" w:sz="8" w:space="0" w:color="auto"/>
              <w:right w:val="single" w:sz="8" w:space="0" w:color="auto"/>
            </w:tcBorders>
            <w:vAlign w:val="center"/>
          </w:tcPr>
          <w:p w14:paraId="3C7DFEA7" w14:textId="44F25208" w:rsidR="009C1122" w:rsidRPr="00B078CC" w:rsidRDefault="00081145">
            <w:pPr>
              <w:spacing w:after="0" w:line="240" w:lineRule="auto"/>
              <w:textAlignment w:val="baseline"/>
              <w:rPr>
                <w:rStyle w:val="normaltextrun"/>
                <w:rFonts w:ascii="Inter" w:hAnsi="Inter"/>
                <w:color w:val="000000"/>
                <w:shd w:val="clear" w:color="auto" w:fill="FFFFFF"/>
              </w:rPr>
            </w:pPr>
            <w:r w:rsidRPr="00E97F33">
              <w:rPr>
                <w:rStyle w:val="normaltextrun"/>
                <w:rFonts w:ascii="Inter" w:hAnsi="Inter"/>
                <w:color w:val="000000"/>
                <w:shd w:val="clear" w:color="auto" w:fill="FFFFFF"/>
              </w:rPr>
              <w:t>000000</w:t>
            </w:r>
            <w:r w:rsidR="00224DA3">
              <w:rPr>
                <w:rStyle w:val="normaltextrun"/>
                <w:rFonts w:ascii="Inter" w:hAnsi="Inter"/>
                <w:color w:val="000000"/>
                <w:shd w:val="clear" w:color="auto" w:fill="FFFFFF"/>
              </w:rPr>
              <w:t>2</w:t>
            </w:r>
            <w:r w:rsidR="00224DA3">
              <w:rPr>
                <w:rStyle w:val="normaltextrun"/>
                <w:shd w:val="clear" w:color="auto" w:fill="FFFFFF"/>
              </w:rPr>
              <w:t>5</w:t>
            </w:r>
            <w:r w:rsidR="00E97500">
              <w:rPr>
                <w:rStyle w:val="normaltextrun"/>
                <w:rFonts w:ascii="Inter" w:hAnsi="Inter"/>
                <w:color w:val="000000"/>
                <w:shd w:val="clear" w:color="auto" w:fill="FFFFFF"/>
              </w:rPr>
              <w:t>5</w:t>
            </w:r>
            <w:r w:rsidRPr="00E97F33">
              <w:rPr>
                <w:rStyle w:val="normaltextrun"/>
                <w:rFonts w:ascii="Inter" w:hAnsi="Inter"/>
                <w:color w:val="000000"/>
                <w:shd w:val="clear" w:color="auto" w:fill="FFFFFF"/>
              </w:rPr>
              <w:t>000</w:t>
            </w:r>
          </w:p>
        </w:tc>
      </w:tr>
      <w:tr w:rsidR="009C1122" w:rsidRPr="001F6FCD" w14:paraId="35A0457E" w14:textId="77777777">
        <w:trPr>
          <w:trHeight w:val="270"/>
        </w:trPr>
        <w:tc>
          <w:tcPr>
            <w:tcW w:w="1140" w:type="dxa"/>
            <w:tcBorders>
              <w:top w:val="nil"/>
              <w:left w:val="single" w:sz="8" w:space="0" w:color="auto"/>
              <w:bottom w:val="single" w:sz="8" w:space="0" w:color="auto"/>
              <w:right w:val="single" w:sz="8" w:space="0" w:color="auto"/>
            </w:tcBorders>
            <w:vAlign w:val="center"/>
          </w:tcPr>
          <w:p w14:paraId="1BB7C4DC" w14:textId="77777777" w:rsidR="009C1122" w:rsidRPr="00B078CC" w:rsidRDefault="009C1122">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9.85</w:t>
            </w:r>
          </w:p>
        </w:tc>
        <w:tc>
          <w:tcPr>
            <w:tcW w:w="5185" w:type="dxa"/>
            <w:tcBorders>
              <w:top w:val="nil"/>
              <w:left w:val="nil"/>
              <w:bottom w:val="single" w:sz="8" w:space="0" w:color="auto"/>
              <w:right w:val="single" w:sz="8" w:space="0" w:color="auto"/>
            </w:tcBorders>
            <w:vAlign w:val="center"/>
          </w:tcPr>
          <w:p w14:paraId="7407E95C" w14:textId="2B079B9C" w:rsidR="009C1122" w:rsidRPr="00B078CC" w:rsidRDefault="009C1122">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Non-primary production income</w:t>
            </w:r>
            <w:r w:rsidR="00B80CC6" w:rsidRPr="00B078CC">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6E906C86" w14:textId="52BDCF27" w:rsidR="009C1122" w:rsidRPr="00B078CC" w:rsidRDefault="00081145">
            <w:pPr>
              <w:spacing w:after="0" w:line="240" w:lineRule="auto"/>
              <w:textAlignment w:val="baseline"/>
              <w:rPr>
                <w:rFonts w:ascii="Inter" w:eastAsia="Times New Roman" w:hAnsi="Inter"/>
                <w:color w:val="000000"/>
                <w:lang w:eastAsia="en-AU"/>
              </w:rPr>
            </w:pPr>
            <w:r w:rsidRPr="00B078CC">
              <w:rPr>
                <w:rStyle w:val="normaltextrun"/>
                <w:rFonts w:ascii="Inter" w:hAnsi="Inter"/>
                <w:color w:val="000000"/>
                <w:shd w:val="clear" w:color="auto" w:fill="FFFFFF"/>
              </w:rPr>
              <w:t>00000</w:t>
            </w:r>
            <w:r w:rsidRPr="00E97F33">
              <w:rPr>
                <w:rStyle w:val="normaltextrun"/>
                <w:rFonts w:ascii="Inter" w:hAnsi="Inter"/>
                <w:color w:val="000000"/>
                <w:shd w:val="clear" w:color="auto" w:fill="FFFFFF"/>
              </w:rPr>
              <w:t>09</w:t>
            </w:r>
            <w:r w:rsidRPr="00B078CC">
              <w:rPr>
                <w:rStyle w:val="normaltextrun"/>
                <w:rFonts w:ascii="Inter" w:hAnsi="Inter"/>
                <w:color w:val="000000"/>
                <w:shd w:val="clear" w:color="auto" w:fill="FFFFFF"/>
              </w:rPr>
              <w:t>00000</w:t>
            </w:r>
            <w:r w:rsidRPr="00B078CC">
              <w:rPr>
                <w:rStyle w:val="eop"/>
                <w:rFonts w:ascii="Inter" w:hAnsi="Inter"/>
                <w:color w:val="000000"/>
                <w:shd w:val="clear" w:color="auto" w:fill="FFFFFF"/>
              </w:rPr>
              <w:t> </w:t>
            </w:r>
          </w:p>
        </w:tc>
      </w:tr>
      <w:tr w:rsidR="009C1122" w:rsidRPr="001F6FCD" w14:paraId="39CDB552" w14:textId="77777777">
        <w:trPr>
          <w:trHeight w:val="270"/>
        </w:trPr>
        <w:tc>
          <w:tcPr>
            <w:tcW w:w="1140" w:type="dxa"/>
            <w:tcBorders>
              <w:top w:val="nil"/>
              <w:left w:val="single" w:sz="8" w:space="0" w:color="auto"/>
              <w:bottom w:val="single" w:sz="8" w:space="0" w:color="auto"/>
              <w:right w:val="single" w:sz="8" w:space="0" w:color="auto"/>
            </w:tcBorders>
            <w:vAlign w:val="center"/>
          </w:tcPr>
          <w:p w14:paraId="6096D381" w14:textId="77777777" w:rsidR="009C1122" w:rsidRPr="00B078CC" w:rsidRDefault="009C1122">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9.88</w:t>
            </w:r>
          </w:p>
        </w:tc>
        <w:tc>
          <w:tcPr>
            <w:tcW w:w="5185" w:type="dxa"/>
            <w:tcBorders>
              <w:top w:val="nil"/>
              <w:left w:val="nil"/>
              <w:bottom w:val="single" w:sz="8" w:space="0" w:color="auto"/>
              <w:right w:val="single" w:sz="8" w:space="0" w:color="auto"/>
            </w:tcBorders>
            <w:vAlign w:val="center"/>
          </w:tcPr>
          <w:p w14:paraId="153CE8D0" w14:textId="308B6F61" w:rsidR="009C1122" w:rsidRPr="00B078CC" w:rsidRDefault="009C1122">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Net capital gain</w:t>
            </w:r>
          </w:p>
        </w:tc>
        <w:tc>
          <w:tcPr>
            <w:tcW w:w="2863" w:type="dxa"/>
            <w:tcBorders>
              <w:top w:val="nil"/>
              <w:left w:val="nil"/>
              <w:bottom w:val="single" w:sz="8" w:space="0" w:color="auto"/>
              <w:right w:val="single" w:sz="8" w:space="0" w:color="auto"/>
            </w:tcBorders>
            <w:vAlign w:val="center"/>
          </w:tcPr>
          <w:p w14:paraId="5CBC2B15" w14:textId="31292504" w:rsidR="009C1122" w:rsidRPr="00B078CC" w:rsidRDefault="00081145">
            <w:pPr>
              <w:spacing w:after="0" w:line="240" w:lineRule="auto"/>
              <w:textAlignment w:val="baseline"/>
              <w:rPr>
                <w:rFonts w:ascii="Inter" w:eastAsia="Times New Roman" w:hAnsi="Inter"/>
                <w:color w:val="000000"/>
                <w:lang w:eastAsia="en-AU"/>
              </w:rPr>
            </w:pPr>
            <w:r w:rsidRPr="00B078CC">
              <w:rPr>
                <w:rStyle w:val="normaltextrun"/>
                <w:rFonts w:ascii="Inter" w:hAnsi="Inter"/>
                <w:color w:val="000000"/>
                <w:shd w:val="clear" w:color="auto" w:fill="FFFFFF"/>
              </w:rPr>
              <w:t>00000</w:t>
            </w:r>
            <w:r w:rsidRPr="00045550">
              <w:rPr>
                <w:rStyle w:val="normaltextrun"/>
                <w:shd w:val="clear" w:color="auto" w:fill="FFFFFF"/>
              </w:rPr>
              <w:t>15</w:t>
            </w:r>
            <w:r w:rsidRPr="00B078CC">
              <w:rPr>
                <w:rStyle w:val="normaltextrun"/>
                <w:rFonts w:ascii="Inter" w:hAnsi="Inter"/>
                <w:color w:val="000000"/>
                <w:shd w:val="clear" w:color="auto" w:fill="FFFFFF"/>
              </w:rPr>
              <w:t>0</w:t>
            </w:r>
            <w:r w:rsidRPr="00E97F33">
              <w:rPr>
                <w:rStyle w:val="normaltextrun"/>
                <w:rFonts w:ascii="Inter" w:hAnsi="Inter"/>
                <w:color w:val="000000"/>
                <w:shd w:val="clear" w:color="auto" w:fill="FFFFFF"/>
              </w:rPr>
              <w:t>0</w:t>
            </w:r>
            <w:r w:rsidRPr="00B078CC">
              <w:rPr>
                <w:rStyle w:val="normaltextrun"/>
                <w:rFonts w:ascii="Inter" w:hAnsi="Inter"/>
                <w:color w:val="000000"/>
                <w:shd w:val="clear" w:color="auto" w:fill="FFFFFF"/>
              </w:rPr>
              <w:t>000</w:t>
            </w:r>
          </w:p>
        </w:tc>
      </w:tr>
      <w:tr w:rsidR="00533036" w:rsidRPr="001F6FCD" w14:paraId="04DED2C3" w14:textId="77777777">
        <w:trPr>
          <w:trHeight w:val="270"/>
        </w:trPr>
        <w:tc>
          <w:tcPr>
            <w:tcW w:w="1140" w:type="dxa"/>
            <w:tcBorders>
              <w:top w:val="nil"/>
              <w:left w:val="single" w:sz="8" w:space="0" w:color="auto"/>
              <w:bottom w:val="single" w:sz="8" w:space="0" w:color="auto"/>
              <w:right w:val="single" w:sz="8" w:space="0" w:color="auto"/>
            </w:tcBorders>
            <w:vAlign w:val="center"/>
          </w:tcPr>
          <w:p w14:paraId="168F0485" w14:textId="36B825F2" w:rsidR="00533036" w:rsidRPr="00B078CC" w:rsidRDefault="00533036">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9.89</w:t>
            </w:r>
          </w:p>
        </w:tc>
        <w:tc>
          <w:tcPr>
            <w:tcW w:w="5185" w:type="dxa"/>
            <w:tcBorders>
              <w:top w:val="nil"/>
              <w:left w:val="nil"/>
              <w:bottom w:val="single" w:sz="8" w:space="0" w:color="auto"/>
              <w:right w:val="single" w:sz="8" w:space="0" w:color="auto"/>
            </w:tcBorders>
            <w:vAlign w:val="center"/>
          </w:tcPr>
          <w:p w14:paraId="07AD0E9A" w14:textId="498A385C" w:rsidR="00533036" w:rsidRPr="00B078CC" w:rsidRDefault="00533036">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Total year capital gains</w:t>
            </w:r>
            <w:r w:rsidR="00B80CC6" w:rsidRPr="00B078CC">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1515EAD6" w14:textId="0B7124D6" w:rsidR="00533036" w:rsidRPr="00B078CC" w:rsidRDefault="00081145">
            <w:pPr>
              <w:spacing w:after="0" w:line="240" w:lineRule="auto"/>
              <w:textAlignment w:val="baseline"/>
              <w:rPr>
                <w:rStyle w:val="normaltextrun"/>
                <w:rFonts w:ascii="Inter" w:hAnsi="Inter"/>
                <w:color w:val="000000"/>
                <w:shd w:val="clear" w:color="auto" w:fill="FFFFFF"/>
              </w:rPr>
            </w:pPr>
            <w:r w:rsidRPr="00B078CC">
              <w:rPr>
                <w:rStyle w:val="normaltextrun"/>
                <w:rFonts w:ascii="Inter" w:hAnsi="Inter"/>
                <w:color w:val="000000"/>
                <w:shd w:val="clear" w:color="auto" w:fill="FFFFFF"/>
              </w:rPr>
              <w:t>0</w:t>
            </w:r>
            <w:r w:rsidRPr="00B078CC">
              <w:rPr>
                <w:rStyle w:val="normaltextrun"/>
                <w:shd w:val="clear" w:color="auto" w:fill="FFFFFF"/>
              </w:rPr>
              <w:t>0000</w:t>
            </w:r>
            <w:r w:rsidRPr="00E97F33">
              <w:rPr>
                <w:rStyle w:val="normaltextrun"/>
                <w:rFonts w:ascii="Inter" w:hAnsi="Inter"/>
                <w:color w:val="000000"/>
                <w:shd w:val="clear" w:color="auto" w:fill="FFFFFF"/>
              </w:rPr>
              <w:t>30</w:t>
            </w:r>
            <w:r w:rsidRPr="00B078CC">
              <w:rPr>
                <w:rStyle w:val="normaltextrun"/>
                <w:rFonts w:ascii="Inter" w:hAnsi="Inter"/>
                <w:color w:val="000000"/>
                <w:shd w:val="clear" w:color="auto" w:fill="FFFFFF"/>
              </w:rPr>
              <w:t>0</w:t>
            </w:r>
            <w:r w:rsidRPr="00B078CC">
              <w:rPr>
                <w:rStyle w:val="normaltextrun"/>
                <w:shd w:val="clear" w:color="auto" w:fill="FFFFFF"/>
              </w:rPr>
              <w:t>0000</w:t>
            </w:r>
          </w:p>
        </w:tc>
      </w:tr>
      <w:tr w:rsidR="00533036" w:rsidRPr="001F6FCD" w14:paraId="0E8FE080" w14:textId="77777777">
        <w:trPr>
          <w:trHeight w:val="270"/>
        </w:trPr>
        <w:tc>
          <w:tcPr>
            <w:tcW w:w="1140" w:type="dxa"/>
            <w:tcBorders>
              <w:top w:val="nil"/>
              <w:left w:val="single" w:sz="8" w:space="0" w:color="auto"/>
              <w:bottom w:val="single" w:sz="8" w:space="0" w:color="auto"/>
              <w:right w:val="single" w:sz="8" w:space="0" w:color="auto"/>
            </w:tcBorders>
            <w:vAlign w:val="center"/>
          </w:tcPr>
          <w:p w14:paraId="1F457632" w14:textId="4E5A465F" w:rsidR="00533036" w:rsidRPr="00B078CC" w:rsidRDefault="00533036" w:rsidP="00533036">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9.105</w:t>
            </w:r>
          </w:p>
        </w:tc>
        <w:tc>
          <w:tcPr>
            <w:tcW w:w="5185" w:type="dxa"/>
            <w:tcBorders>
              <w:top w:val="nil"/>
              <w:left w:val="nil"/>
              <w:bottom w:val="single" w:sz="8" w:space="0" w:color="auto"/>
              <w:right w:val="single" w:sz="8" w:space="0" w:color="auto"/>
            </w:tcBorders>
            <w:vAlign w:val="center"/>
          </w:tcPr>
          <w:p w14:paraId="46D40E5E" w14:textId="6B7747C7" w:rsidR="00533036" w:rsidRPr="00B078CC" w:rsidRDefault="00533036" w:rsidP="00533036">
            <w:pPr>
              <w:spacing w:after="0" w:line="240" w:lineRule="auto"/>
              <w:textAlignment w:val="baseline"/>
              <w:rPr>
                <w:rFonts w:ascii="Inter" w:eastAsia="Times New Roman" w:hAnsi="Inter"/>
                <w:color w:val="000000"/>
                <w:lang w:eastAsia="en-AU"/>
              </w:rPr>
            </w:pPr>
            <w:r w:rsidRPr="00F925FA">
              <w:rPr>
                <w:rFonts w:ascii="Inter" w:eastAsia="Times New Roman" w:hAnsi="Inter"/>
                <w:color w:val="000000"/>
                <w:lang w:eastAsia="en-AU"/>
              </w:rPr>
              <w:t>Managed investment trust fund payments</w:t>
            </w:r>
          </w:p>
        </w:tc>
        <w:tc>
          <w:tcPr>
            <w:tcW w:w="2863" w:type="dxa"/>
            <w:tcBorders>
              <w:top w:val="nil"/>
              <w:left w:val="nil"/>
              <w:bottom w:val="single" w:sz="8" w:space="0" w:color="auto"/>
              <w:right w:val="single" w:sz="8" w:space="0" w:color="auto"/>
            </w:tcBorders>
            <w:vAlign w:val="center"/>
          </w:tcPr>
          <w:p w14:paraId="5037FA73" w14:textId="1B235BEF" w:rsidR="00533036" w:rsidRPr="00B078CC" w:rsidRDefault="00FE03B0" w:rsidP="00533036">
            <w:pPr>
              <w:spacing w:after="0" w:line="240" w:lineRule="auto"/>
              <w:textAlignment w:val="baseline"/>
              <w:rPr>
                <w:rStyle w:val="normaltextrun"/>
                <w:rFonts w:ascii="Inter" w:hAnsi="Inter"/>
                <w:color w:val="000000"/>
                <w:shd w:val="clear" w:color="auto" w:fill="FFFFFF"/>
              </w:rPr>
            </w:pPr>
            <w:r w:rsidRPr="00B078CC">
              <w:rPr>
                <w:rStyle w:val="normaltextrun"/>
                <w:rFonts w:ascii="Inter" w:hAnsi="Inter"/>
                <w:color w:val="000000"/>
                <w:shd w:val="clear" w:color="auto" w:fill="FFFFFF"/>
              </w:rPr>
              <w:t>0</w:t>
            </w:r>
            <w:r w:rsidRPr="00B078CC">
              <w:rPr>
                <w:rStyle w:val="normaltextrun"/>
                <w:shd w:val="clear" w:color="auto" w:fill="FFFFFF"/>
              </w:rPr>
              <w:t>0000</w:t>
            </w:r>
            <w:r w:rsidR="00F5293E" w:rsidRPr="00B078CC">
              <w:rPr>
                <w:rStyle w:val="normaltextrun"/>
                <w:shd w:val="clear" w:color="auto" w:fill="FFFFFF"/>
              </w:rPr>
              <w:t>086</w:t>
            </w:r>
            <w:r w:rsidRPr="00B078CC">
              <w:rPr>
                <w:rStyle w:val="normaltextrun"/>
                <w:shd w:val="clear" w:color="auto" w:fill="FFFFFF"/>
              </w:rPr>
              <w:t>0000</w:t>
            </w:r>
          </w:p>
        </w:tc>
      </w:tr>
      <w:tr w:rsidR="00533036" w:rsidRPr="001F6FCD" w14:paraId="525BD602" w14:textId="77777777">
        <w:trPr>
          <w:trHeight w:val="270"/>
        </w:trPr>
        <w:tc>
          <w:tcPr>
            <w:tcW w:w="1140" w:type="dxa"/>
            <w:tcBorders>
              <w:top w:val="nil"/>
              <w:left w:val="single" w:sz="8" w:space="0" w:color="auto"/>
              <w:bottom w:val="single" w:sz="8" w:space="0" w:color="auto"/>
              <w:right w:val="single" w:sz="8" w:space="0" w:color="auto"/>
            </w:tcBorders>
            <w:vAlign w:val="center"/>
          </w:tcPr>
          <w:p w14:paraId="6CA147E8" w14:textId="29578D6B" w:rsidR="00533036" w:rsidRPr="00B078CC" w:rsidRDefault="00533036" w:rsidP="00533036">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9.106</w:t>
            </w:r>
          </w:p>
        </w:tc>
        <w:tc>
          <w:tcPr>
            <w:tcW w:w="5185" w:type="dxa"/>
            <w:tcBorders>
              <w:top w:val="nil"/>
              <w:left w:val="nil"/>
              <w:bottom w:val="single" w:sz="8" w:space="0" w:color="auto"/>
              <w:right w:val="single" w:sz="8" w:space="0" w:color="auto"/>
            </w:tcBorders>
            <w:vAlign w:val="center"/>
          </w:tcPr>
          <w:p w14:paraId="025074BD" w14:textId="3B825587" w:rsidR="00533036" w:rsidRPr="00B078CC" w:rsidRDefault="00533036" w:rsidP="00533036">
            <w:pPr>
              <w:spacing w:after="0" w:line="240" w:lineRule="auto"/>
              <w:textAlignment w:val="baseline"/>
              <w:rPr>
                <w:rFonts w:ascii="Inter" w:eastAsia="Times New Roman" w:hAnsi="Inter"/>
                <w:color w:val="000000"/>
                <w:lang w:eastAsia="en-AU"/>
              </w:rPr>
            </w:pPr>
            <w:r w:rsidRPr="00F925FA">
              <w:rPr>
                <w:rFonts w:ascii="Inter" w:eastAsia="Times New Roman" w:hAnsi="Inter"/>
                <w:color w:val="000000"/>
                <w:lang w:eastAsia="en-AU"/>
              </w:rPr>
              <w:t>Amounts withheld from managed investment trust fund payments</w:t>
            </w:r>
          </w:p>
        </w:tc>
        <w:tc>
          <w:tcPr>
            <w:tcW w:w="2863" w:type="dxa"/>
            <w:tcBorders>
              <w:top w:val="nil"/>
              <w:left w:val="nil"/>
              <w:bottom w:val="single" w:sz="8" w:space="0" w:color="auto"/>
              <w:right w:val="single" w:sz="8" w:space="0" w:color="auto"/>
            </w:tcBorders>
            <w:vAlign w:val="center"/>
          </w:tcPr>
          <w:p w14:paraId="639B2809" w14:textId="7EEED646" w:rsidR="00533036" w:rsidRPr="00B078CC" w:rsidRDefault="00081145" w:rsidP="00533036">
            <w:pPr>
              <w:spacing w:after="0" w:line="240" w:lineRule="auto"/>
              <w:textAlignment w:val="baseline"/>
              <w:rPr>
                <w:rStyle w:val="normaltextrun"/>
                <w:rFonts w:ascii="Inter" w:hAnsi="Inter"/>
                <w:color w:val="000000"/>
                <w:shd w:val="clear" w:color="auto" w:fill="FFFFFF"/>
              </w:rPr>
            </w:pPr>
            <w:r w:rsidRPr="00B078CC">
              <w:rPr>
                <w:rStyle w:val="normaltextrun"/>
                <w:rFonts w:ascii="Inter" w:hAnsi="Inter"/>
                <w:color w:val="000000"/>
                <w:shd w:val="clear" w:color="auto" w:fill="FFFFFF"/>
              </w:rPr>
              <w:t>0</w:t>
            </w:r>
            <w:r w:rsidRPr="00B078CC">
              <w:rPr>
                <w:rStyle w:val="normaltextrun"/>
                <w:shd w:val="clear" w:color="auto" w:fill="FFFFFF"/>
              </w:rPr>
              <w:t>00000</w:t>
            </w:r>
            <w:r w:rsidRPr="00E97F33">
              <w:rPr>
                <w:rStyle w:val="normaltextrun"/>
                <w:shd w:val="clear" w:color="auto" w:fill="FFFFFF"/>
              </w:rPr>
              <w:t>129</w:t>
            </w:r>
            <w:r w:rsidRPr="00B078CC">
              <w:rPr>
                <w:rStyle w:val="normaltextrun"/>
                <w:shd w:val="clear" w:color="auto" w:fill="FFFFFF"/>
              </w:rPr>
              <w:t>000</w:t>
            </w:r>
          </w:p>
        </w:tc>
      </w:tr>
    </w:tbl>
    <w:p w14:paraId="5170DA38" w14:textId="77777777" w:rsidR="009923E4" w:rsidRDefault="009923E4" w:rsidP="004E184B">
      <w:pPr>
        <w:spacing w:after="0" w:line="240" w:lineRule="auto"/>
        <w:textAlignment w:val="baseline"/>
        <w:rPr>
          <w:rFonts w:ascii="Segoe UI" w:eastAsia="Times New Roman" w:hAnsi="Segoe UI" w:cs="Segoe UI"/>
          <w:color w:val="000000"/>
          <w:sz w:val="18"/>
          <w:szCs w:val="18"/>
          <w:lang w:eastAsia="en-AU"/>
        </w:rPr>
      </w:pPr>
    </w:p>
    <w:p w14:paraId="4FC906BD" w14:textId="77777777" w:rsidR="00EE34B4" w:rsidRDefault="00EE34B4" w:rsidP="004E184B">
      <w:pPr>
        <w:spacing w:after="0" w:line="240" w:lineRule="auto"/>
        <w:textAlignment w:val="baseline"/>
        <w:rPr>
          <w:rFonts w:ascii="Inter" w:eastAsia="Times New Roman" w:hAnsi="Inter" w:cs="Segoe UI"/>
          <w:b/>
          <w:bCs/>
          <w:smallCaps/>
          <w:color w:val="000000"/>
          <w:lang w:eastAsia="en-AU"/>
        </w:rPr>
      </w:pPr>
    </w:p>
    <w:p w14:paraId="713BD28B" w14:textId="1F8DAFDE" w:rsidR="00AB3A0B" w:rsidRDefault="00AB3A0B" w:rsidP="00AB3A0B">
      <w:pPr>
        <w:pStyle w:val="Maintext"/>
        <w:rPr>
          <w:rFonts w:ascii="Inter" w:hAnsi="Inter" w:cs="Segoe UI"/>
          <w:color w:val="000000"/>
        </w:rPr>
      </w:pPr>
      <w:r w:rsidRPr="00301F1F">
        <w:rPr>
          <w:rFonts w:asciiTheme="minorHAnsi" w:hAnsiTheme="minorHAnsi" w:cs="Arial"/>
          <w:b/>
          <w:smallCaps/>
          <w:sz w:val="20"/>
          <w:szCs w:val="20"/>
        </w:rPr>
        <w:t xml:space="preserve">supplementary income account data record 1 for 1 investor </w:t>
      </w:r>
      <w:r w:rsidR="0059276F" w:rsidRPr="004722FB">
        <w:rPr>
          <w:rFonts w:ascii="Inter" w:hAnsi="Inter" w:cs="Segoe UI"/>
          <w:smallCaps/>
          <w:color w:val="000000"/>
        </w:rPr>
        <w:t>(</w:t>
      </w:r>
      <w:r w:rsidR="0059276F" w:rsidRPr="00130C1F">
        <w:rPr>
          <w:rFonts w:ascii="Inter" w:hAnsi="Inter" w:cs="Segoe UI"/>
          <w:smallCaps/>
          <w:color w:val="000000"/>
          <w:sz w:val="20"/>
          <w:szCs w:val="20"/>
        </w:rPr>
        <w:t xml:space="preserve">extract – </w:t>
      </w:r>
      <w:r w:rsidR="0059276F" w:rsidRPr="00130C1F">
        <w:rPr>
          <w:rFonts w:ascii="Inter" w:hAnsi="Inter" w:cs="Segoe UI"/>
          <w:smallCaps/>
          <w:color w:val="000000"/>
          <w:sz w:val="16"/>
          <w:szCs w:val="16"/>
        </w:rPr>
        <w:t>NON-RESIDENT</w:t>
      </w:r>
      <w:r w:rsidR="0059276F" w:rsidRPr="00130C1F">
        <w:rPr>
          <w:rFonts w:ascii="Inter" w:hAnsi="Inter" w:cs="Segoe UI"/>
          <w:smallCaps/>
          <w:color w:val="000000"/>
          <w:sz w:val="20"/>
          <w:szCs w:val="20"/>
        </w:rPr>
        <w:t>)</w:t>
      </w:r>
      <w:r w:rsidR="0059276F" w:rsidRPr="004722FB">
        <w:rPr>
          <w:rFonts w:ascii="Inter" w:hAnsi="Inter" w:cs="Segoe UI"/>
          <w:color w:val="000000"/>
        </w:rPr>
        <w:t> </w:t>
      </w:r>
      <w:r w:rsidR="0059276F">
        <w:rPr>
          <w:rFonts w:ascii="Inter" w:hAnsi="Inter" w:cs="Segoe UI"/>
          <w:color w:val="000000"/>
        </w:rPr>
        <w:t xml:space="preserve"> </w:t>
      </w:r>
    </w:p>
    <w:p w14:paraId="104459AF" w14:textId="77777777" w:rsidR="0079514C" w:rsidRDefault="0079514C" w:rsidP="00AB3A0B">
      <w:pPr>
        <w:pStyle w:val="Maintext"/>
        <w:rPr>
          <w:rFonts w:asciiTheme="minorHAnsi" w:hAnsiTheme="minorHAnsi" w:cs="Arial"/>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499"/>
        <w:gridCol w:w="2361"/>
      </w:tblGrid>
      <w:tr w:rsidR="00AB3A0B" w:rsidRPr="00B11B96" w14:paraId="4243DFE9" w14:textId="77777777" w:rsidTr="41A1386C">
        <w:trPr>
          <w:trHeight w:val="495"/>
          <w:tblHeader/>
        </w:trPr>
        <w:tc>
          <w:tcPr>
            <w:tcW w:w="675"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1F0921FF" w14:textId="77777777" w:rsidR="00AB3A0B" w:rsidRPr="00B11B96" w:rsidRDefault="00AB3A0B">
            <w:pPr>
              <w:spacing w:after="0" w:line="240" w:lineRule="auto"/>
              <w:rPr>
                <w:rFonts w:cs="Arial"/>
              </w:rPr>
            </w:pPr>
            <w:r w:rsidRPr="00F4606C">
              <w:rPr>
                <w:rFonts w:cs="Arial"/>
                <w:b/>
                <w:bCs/>
              </w:rPr>
              <w:t>Reference number</w:t>
            </w:r>
          </w:p>
        </w:tc>
        <w:tc>
          <w:tcPr>
            <w:tcW w:w="302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C6A0516" w14:textId="77777777" w:rsidR="00AB3A0B" w:rsidRPr="00B11B96" w:rsidRDefault="00AB3A0B">
            <w:pPr>
              <w:spacing w:after="0" w:line="240" w:lineRule="auto"/>
              <w:rPr>
                <w:rFonts w:cs="Arial"/>
              </w:rPr>
            </w:pPr>
            <w:r w:rsidRPr="00F4606C">
              <w:rPr>
                <w:rFonts w:cs="Arial"/>
                <w:b/>
                <w:bCs/>
              </w:rPr>
              <w:t>Field name</w:t>
            </w:r>
          </w:p>
        </w:tc>
        <w:tc>
          <w:tcPr>
            <w:tcW w:w="1299"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A51E17A" w14:textId="77777777" w:rsidR="00AB3A0B" w:rsidRPr="00B11B96" w:rsidRDefault="00AB3A0B">
            <w:pPr>
              <w:spacing w:after="0" w:line="240" w:lineRule="auto"/>
              <w:rPr>
                <w:rFonts w:cs="Arial"/>
              </w:rPr>
            </w:pPr>
            <w:r w:rsidRPr="00F4606C">
              <w:rPr>
                <w:rFonts w:cs="Arial"/>
                <w:b/>
                <w:bCs/>
              </w:rPr>
              <w:t>Content</w:t>
            </w:r>
          </w:p>
        </w:tc>
      </w:tr>
      <w:tr w:rsidR="00AB3A0B" w:rsidRPr="00B11B96" w14:paraId="1C6F67DD" w14:textId="77777777" w:rsidTr="41A1386C">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1B846" w14:textId="77777777" w:rsidR="00AB3A0B" w:rsidRPr="00897498" w:rsidRDefault="00AB3A0B">
            <w:pPr>
              <w:spacing w:after="0" w:line="240" w:lineRule="auto"/>
              <w:rPr>
                <w:rFonts w:cs="Arial"/>
              </w:rPr>
            </w:pPr>
            <w:r>
              <w:rPr>
                <w:rFonts w:cs="Arial"/>
              </w:rPr>
              <w:t>9.121</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14372BFA" w14:textId="77777777" w:rsidR="00AB3A0B" w:rsidRPr="00BB48D4" w:rsidRDefault="00AB3A0B">
            <w:pPr>
              <w:spacing w:after="0" w:line="240" w:lineRule="auto"/>
              <w:rPr>
                <w:rFonts w:cs="Arial"/>
                <w:highlight w:val="yellow"/>
              </w:rPr>
            </w:pPr>
            <w:r>
              <w:rPr>
                <w:rFonts w:cs="Arial"/>
              </w:rPr>
              <w:t xml:space="preserve">Gross cash distribution </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239EC16E" w14:textId="23960BFE" w:rsidR="00AB3A0B" w:rsidRPr="00B078CC" w:rsidRDefault="00081145">
            <w:pPr>
              <w:spacing w:after="0" w:line="240" w:lineRule="auto"/>
              <w:rPr>
                <w:rFonts w:cs="Arial"/>
              </w:rPr>
            </w:pPr>
            <w:r w:rsidRPr="00E97F33">
              <w:rPr>
                <w:rFonts w:cs="Arial"/>
              </w:rPr>
              <w:t>00000</w:t>
            </w:r>
            <w:r w:rsidRPr="00B078CC">
              <w:rPr>
                <w:rFonts w:cs="Arial"/>
              </w:rPr>
              <w:t>4760</w:t>
            </w:r>
            <w:r w:rsidRPr="00E97F33">
              <w:rPr>
                <w:rFonts w:cs="Arial"/>
              </w:rPr>
              <w:t>000</w:t>
            </w:r>
          </w:p>
        </w:tc>
      </w:tr>
      <w:tr w:rsidR="00AB3A0B" w:rsidRPr="00B11B96" w14:paraId="5EE98F0F" w14:textId="77777777" w:rsidTr="41A1386C">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F04706" w14:textId="77777777" w:rsidR="00AB3A0B" w:rsidRPr="00897498" w:rsidRDefault="00AB3A0B">
            <w:pPr>
              <w:spacing w:after="0" w:line="240" w:lineRule="auto"/>
              <w:rPr>
                <w:rFonts w:cs="Arial"/>
              </w:rPr>
            </w:pPr>
            <w:r w:rsidRPr="00897498">
              <w:rPr>
                <w:rFonts w:cs="Arial"/>
              </w:rPr>
              <w:t>9.123</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34E1A4CC" w14:textId="77777777" w:rsidR="00AB3A0B" w:rsidRPr="006D4EEE" w:rsidRDefault="00AB3A0B">
            <w:pPr>
              <w:spacing w:after="0" w:line="240" w:lineRule="auto"/>
              <w:rPr>
                <w:rFonts w:cs="Arial"/>
              </w:rPr>
            </w:pPr>
            <w:r w:rsidRPr="006D4EEE">
              <w:rPr>
                <w:rFonts w:cs="Arial"/>
              </w:rPr>
              <w:t>Capital Gains discount method – Taxable Australian property</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7BE413" w14:textId="335E9BBA" w:rsidR="00AB3A0B" w:rsidRPr="006D4EEE" w:rsidRDefault="00081145">
            <w:pPr>
              <w:spacing w:after="0" w:line="240" w:lineRule="auto"/>
              <w:rPr>
                <w:rFonts w:cs="Arial"/>
              </w:rPr>
            </w:pPr>
            <w:r w:rsidRPr="41A1386C">
              <w:rPr>
                <w:rFonts w:cs="Arial"/>
              </w:rPr>
              <w:t>00000150000</w:t>
            </w:r>
            <w:r w:rsidR="29805538" w:rsidRPr="41A1386C">
              <w:rPr>
                <w:rFonts w:cs="Arial"/>
              </w:rPr>
              <w:t>0</w:t>
            </w:r>
          </w:p>
        </w:tc>
      </w:tr>
      <w:tr w:rsidR="006D4E53" w:rsidRPr="00B11B96" w14:paraId="0137BF51" w14:textId="77777777" w:rsidTr="41A1386C">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C3D84" w14:textId="77777777" w:rsidR="006D4E53" w:rsidRDefault="006D4E53" w:rsidP="006D4E53">
            <w:pPr>
              <w:spacing w:after="0" w:line="240" w:lineRule="auto"/>
              <w:rPr>
                <w:rFonts w:cs="Arial"/>
              </w:rPr>
            </w:pPr>
            <w:r>
              <w:rPr>
                <w:rFonts w:cs="Arial"/>
              </w:rPr>
              <w:t>9.138</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D0E204" w14:textId="77777777" w:rsidR="006D4E53" w:rsidRPr="00302E32" w:rsidRDefault="006D4E53" w:rsidP="006D4E53">
            <w:pPr>
              <w:spacing w:after="0" w:line="240" w:lineRule="auto"/>
              <w:rPr>
                <w:rFonts w:cs="Arial"/>
              </w:rPr>
            </w:pPr>
            <w:r>
              <w:rPr>
                <w:rFonts w:cs="Arial"/>
              </w:rPr>
              <w:t>Excluded from NCMI – Non-primary production</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BB768" w14:textId="7DF51EDC" w:rsidR="006D4E53" w:rsidRPr="00E97F33" w:rsidRDefault="00081145" w:rsidP="006D4E53">
            <w:pPr>
              <w:spacing w:after="0" w:line="240" w:lineRule="auto"/>
              <w:rPr>
                <w:rFonts w:cs="Arial"/>
              </w:rPr>
            </w:pPr>
            <w:r w:rsidRPr="00F4606C">
              <w:rPr>
                <w:rFonts w:cs="Arial"/>
              </w:rPr>
              <w:t>000000</w:t>
            </w:r>
            <w:r>
              <w:rPr>
                <w:rFonts w:cs="Arial"/>
              </w:rPr>
              <w:t>9000</w:t>
            </w:r>
            <w:r w:rsidRPr="00F4606C">
              <w:rPr>
                <w:rFonts w:cs="Arial"/>
              </w:rPr>
              <w:t>00</w:t>
            </w:r>
          </w:p>
        </w:tc>
      </w:tr>
      <w:tr w:rsidR="006D4E53" w:rsidRPr="00B11B96" w14:paraId="34525C71" w14:textId="77777777" w:rsidTr="41A1386C">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B3322F" w14:textId="77777777" w:rsidR="006D4E53" w:rsidRDefault="006D4E53" w:rsidP="006D4E53">
            <w:pPr>
              <w:spacing w:after="0" w:line="240" w:lineRule="auto"/>
              <w:rPr>
                <w:rFonts w:cs="Arial"/>
              </w:rPr>
            </w:pPr>
            <w:r>
              <w:rPr>
                <w:rFonts w:cs="Arial"/>
              </w:rPr>
              <w:t>9.141</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911E9" w14:textId="77777777" w:rsidR="006D4E53" w:rsidRDefault="006D4E53" w:rsidP="006D4E53">
            <w:pPr>
              <w:pStyle w:val="Maintext"/>
              <w:rPr>
                <w:rFonts w:asciiTheme="minorHAnsi" w:eastAsiaTheme="majorEastAsia" w:hAnsiTheme="minorHAnsi" w:cstheme="majorBidi"/>
                <w:bCs/>
                <w:color w:val="000000" w:themeColor="text1"/>
                <w:spacing w:val="4"/>
                <w:sz w:val="20"/>
                <w:szCs w:val="20"/>
                <w:lang w:eastAsia="en-US"/>
              </w:rPr>
            </w:pPr>
            <w:r>
              <w:rPr>
                <w:rFonts w:asciiTheme="minorHAnsi" w:eastAsiaTheme="majorEastAsia" w:hAnsiTheme="minorHAnsi" w:cstheme="majorBidi"/>
                <w:bCs/>
                <w:color w:val="000000" w:themeColor="text1"/>
                <w:spacing w:val="4"/>
                <w:sz w:val="20"/>
                <w:szCs w:val="20"/>
                <w:lang w:eastAsia="en-US"/>
              </w:rPr>
              <w:t>Excluded from NCMI Capital Gains</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50FEF8" w14:textId="3F5D3979" w:rsidR="006D4E53" w:rsidRPr="00E97F33" w:rsidRDefault="006D4E53" w:rsidP="006D4E53">
            <w:pPr>
              <w:spacing w:after="0" w:line="240" w:lineRule="auto"/>
              <w:rPr>
                <w:rFonts w:cs="Arial"/>
              </w:rPr>
            </w:pPr>
            <w:r w:rsidRPr="00E97F33">
              <w:rPr>
                <w:rFonts w:cs="Arial"/>
              </w:rPr>
              <w:t>000000</w:t>
            </w:r>
            <w:r w:rsidR="00AE2836" w:rsidRPr="00045550">
              <w:rPr>
                <w:rFonts w:cs="Arial"/>
              </w:rPr>
              <w:t>8</w:t>
            </w:r>
            <w:r w:rsidRPr="00E97F33">
              <w:rPr>
                <w:rFonts w:cs="Arial"/>
              </w:rPr>
              <w:t>00000</w:t>
            </w:r>
          </w:p>
        </w:tc>
      </w:tr>
      <w:tr w:rsidR="00C779FB" w:rsidRPr="00B11B96" w14:paraId="3C056B85" w14:textId="77777777" w:rsidTr="41A1386C">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F9BE5" w14:textId="4EA460B1" w:rsidR="00C779FB" w:rsidRDefault="00C779FB" w:rsidP="00C779FB">
            <w:pPr>
              <w:spacing w:after="0" w:line="240" w:lineRule="auto"/>
              <w:rPr>
                <w:rFonts w:cs="Arial"/>
              </w:rPr>
            </w:pPr>
            <w:r>
              <w:rPr>
                <w:rFonts w:cs="Arial"/>
              </w:rPr>
              <w:t>9.142</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C84C0" w14:textId="131E453D" w:rsidR="00C779FB" w:rsidRPr="00302E32" w:rsidRDefault="00C779FB" w:rsidP="00C779FB">
            <w:pPr>
              <w:spacing w:after="0" w:line="240" w:lineRule="auto"/>
              <w:rPr>
                <w:rFonts w:cs="Arial"/>
              </w:rPr>
            </w:pPr>
            <w:r>
              <w:rPr>
                <w:rFonts w:cs="Arial"/>
              </w:rPr>
              <w:t>BTR entity of payment recipient</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D6416" w14:textId="0B52EDF6" w:rsidR="00C779FB" w:rsidRPr="006D4EEE" w:rsidRDefault="00C779FB" w:rsidP="00C779FB">
            <w:pPr>
              <w:spacing w:after="0" w:line="240" w:lineRule="auto"/>
              <w:rPr>
                <w:rFonts w:cs="Arial"/>
              </w:rPr>
            </w:pPr>
            <w:r w:rsidRPr="00E97F33">
              <w:rPr>
                <w:rFonts w:cs="Arial"/>
              </w:rPr>
              <w:t>E</w:t>
            </w:r>
          </w:p>
        </w:tc>
      </w:tr>
      <w:tr w:rsidR="00C779FB" w:rsidRPr="00B11B96" w14:paraId="7333151D" w14:textId="77777777" w:rsidTr="41A1386C">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991E8" w14:textId="077F9DB5" w:rsidR="00C779FB" w:rsidRDefault="00C779FB" w:rsidP="00C779FB">
            <w:pPr>
              <w:spacing w:after="0" w:line="240" w:lineRule="auto"/>
              <w:rPr>
                <w:rFonts w:cs="Arial"/>
              </w:rPr>
            </w:pPr>
            <w:r>
              <w:rPr>
                <w:rFonts w:cs="Arial"/>
              </w:rPr>
              <w:t>9.143</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F4714" w14:textId="45D1EA17" w:rsidR="00C779FB" w:rsidRPr="00302E32" w:rsidRDefault="00C779FB" w:rsidP="00C779FB">
            <w:pPr>
              <w:spacing w:after="0" w:line="240" w:lineRule="auto"/>
              <w:rPr>
                <w:rFonts w:cs="Arial"/>
              </w:rPr>
            </w:pPr>
            <w:r>
              <w:rPr>
                <w:rFonts w:cs="Arial"/>
              </w:rPr>
              <w:t>ATO BTR Development ID</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67CEA" w14:textId="210E5D2F" w:rsidR="00C779FB" w:rsidRPr="006D4EEE" w:rsidRDefault="00C779FB" w:rsidP="00C779FB">
            <w:pPr>
              <w:spacing w:after="0" w:line="240" w:lineRule="auto"/>
              <w:rPr>
                <w:rFonts w:cs="Arial"/>
              </w:rPr>
            </w:pPr>
            <w:r w:rsidRPr="00E97F33">
              <w:rPr>
                <w:rFonts w:cs="Arial"/>
              </w:rPr>
              <w:t>8653202247584</w:t>
            </w:r>
          </w:p>
        </w:tc>
      </w:tr>
      <w:tr w:rsidR="00C779FB" w:rsidRPr="00B11B96" w14:paraId="7C6A405D" w14:textId="77777777" w:rsidTr="41A1386C">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127B4" w14:textId="77777777" w:rsidR="00C779FB" w:rsidRDefault="00C779FB" w:rsidP="00C779FB">
            <w:pPr>
              <w:spacing w:after="0" w:line="240" w:lineRule="auto"/>
              <w:rPr>
                <w:rFonts w:cs="Arial"/>
              </w:rPr>
            </w:pPr>
            <w:r>
              <w:rPr>
                <w:rFonts w:cs="Arial"/>
              </w:rPr>
              <w:t>9.144</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CF742" w14:textId="23CE9B04" w:rsidR="00C779FB" w:rsidRDefault="00C779FB" w:rsidP="00C779FB">
            <w:pPr>
              <w:spacing w:after="0" w:line="240" w:lineRule="auto"/>
              <w:rPr>
                <w:rFonts w:cs="Arial"/>
              </w:rPr>
            </w:pPr>
            <w:r w:rsidRPr="00302E32">
              <w:rPr>
                <w:rFonts w:cs="Arial"/>
              </w:rPr>
              <w:t>BTR excluded from NCMI – non-primary productio</w:t>
            </w:r>
            <w:r>
              <w:rPr>
                <w:rFonts w:cs="Arial"/>
              </w:rPr>
              <w:t xml:space="preserve">n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69B22" w14:textId="2C4C409E" w:rsidR="00C779FB" w:rsidRPr="00E97F33" w:rsidRDefault="00081145" w:rsidP="00C779FB">
            <w:pPr>
              <w:spacing w:after="0" w:line="240" w:lineRule="auto"/>
              <w:rPr>
                <w:rFonts w:cs="Arial"/>
              </w:rPr>
            </w:pPr>
            <w:r w:rsidRPr="00E97F33">
              <w:rPr>
                <w:rFonts w:cs="Arial"/>
              </w:rPr>
              <w:t>0000009</w:t>
            </w:r>
            <w:r w:rsidRPr="00045550">
              <w:rPr>
                <w:rFonts w:cs="Arial"/>
              </w:rPr>
              <w:t>0</w:t>
            </w:r>
            <w:r w:rsidRPr="00E97F33">
              <w:rPr>
                <w:rFonts w:cs="Arial"/>
              </w:rPr>
              <w:t>0000</w:t>
            </w:r>
          </w:p>
        </w:tc>
      </w:tr>
      <w:tr w:rsidR="00C779FB" w:rsidRPr="00B11B96" w14:paraId="6F4B6788" w14:textId="77777777" w:rsidTr="41A1386C">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427E6" w14:textId="77777777" w:rsidR="00C779FB" w:rsidRDefault="00C779FB" w:rsidP="00C779FB">
            <w:pPr>
              <w:spacing w:after="0" w:line="240" w:lineRule="auto"/>
              <w:rPr>
                <w:rFonts w:cs="Arial"/>
              </w:rPr>
            </w:pPr>
            <w:r>
              <w:rPr>
                <w:rFonts w:cs="Arial"/>
              </w:rPr>
              <w:t>9.145</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B5CA0" w14:textId="025A3AF8" w:rsidR="00C779FB" w:rsidRPr="00793CF4" w:rsidRDefault="00C779FB" w:rsidP="00C779FB">
            <w:pPr>
              <w:pStyle w:val="Maintext"/>
              <w:rPr>
                <w:rFonts w:eastAsiaTheme="majorEastAsia" w:cstheme="majorBidi"/>
                <w:spacing w:val="4"/>
              </w:rPr>
            </w:pPr>
            <w:r>
              <w:rPr>
                <w:rFonts w:asciiTheme="minorHAnsi" w:eastAsiaTheme="majorEastAsia" w:hAnsiTheme="minorHAnsi" w:cstheme="majorBidi"/>
                <w:bCs/>
                <w:color w:val="000000" w:themeColor="text1"/>
                <w:spacing w:val="4"/>
                <w:sz w:val="20"/>
                <w:szCs w:val="20"/>
                <w:lang w:eastAsia="en-US"/>
              </w:rPr>
              <w:t xml:space="preserve">BTR excluded from NCMI capital gains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D3733" w14:textId="69B5E7CB" w:rsidR="00C779FB" w:rsidRPr="00E97F33" w:rsidRDefault="00C779FB" w:rsidP="00C779FB">
            <w:pPr>
              <w:spacing w:after="0" w:line="240" w:lineRule="auto"/>
              <w:rPr>
                <w:rFonts w:cs="Arial"/>
              </w:rPr>
            </w:pPr>
            <w:r w:rsidRPr="00E97F33">
              <w:rPr>
                <w:rFonts w:cs="Arial"/>
              </w:rPr>
              <w:t>000000800000</w:t>
            </w:r>
          </w:p>
        </w:tc>
      </w:tr>
      <w:tr w:rsidR="00C779FB" w:rsidRPr="00B11B96" w14:paraId="5BFEFC9E" w14:textId="77777777" w:rsidTr="41A1386C">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CFBB9A" w14:textId="77777777" w:rsidR="00C779FB" w:rsidRDefault="00C779FB" w:rsidP="00C779FB">
            <w:pPr>
              <w:spacing w:after="0" w:line="240" w:lineRule="auto"/>
              <w:rPr>
                <w:rFonts w:cs="Arial"/>
              </w:rPr>
            </w:pPr>
            <w:r>
              <w:rPr>
                <w:rFonts w:cs="Arial"/>
              </w:rPr>
              <w:t>9.146</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5CCBB3" w14:textId="68907474" w:rsidR="00C779FB" w:rsidRDefault="00C779FB" w:rsidP="00C779FB">
            <w:pPr>
              <w:pStyle w:val="Maintext"/>
              <w:rPr>
                <w:rFonts w:asciiTheme="minorHAnsi" w:eastAsiaTheme="majorEastAsia" w:hAnsiTheme="minorHAnsi" w:cstheme="majorBidi"/>
                <w:bCs/>
                <w:color w:val="000000" w:themeColor="text1"/>
                <w:spacing w:val="4"/>
                <w:sz w:val="20"/>
                <w:szCs w:val="20"/>
                <w:lang w:eastAsia="en-US"/>
              </w:rPr>
            </w:pPr>
            <w:r>
              <w:rPr>
                <w:rFonts w:asciiTheme="minorHAnsi" w:eastAsiaTheme="majorEastAsia" w:hAnsiTheme="minorHAnsi" w:cstheme="majorBidi"/>
                <w:bCs/>
                <w:color w:val="000000" w:themeColor="text1"/>
                <w:spacing w:val="4"/>
                <w:sz w:val="20"/>
                <w:szCs w:val="20"/>
                <w:lang w:eastAsia="en-US"/>
              </w:rPr>
              <w:t xml:space="preserve">Active BTR withholding amount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F7A2D" w14:textId="3FE0BBB3" w:rsidR="00C779FB" w:rsidRDefault="00081145" w:rsidP="00C779FB">
            <w:pPr>
              <w:spacing w:after="0" w:line="240" w:lineRule="auto"/>
              <w:rPr>
                <w:rFonts w:cs="Arial"/>
              </w:rPr>
            </w:pPr>
            <w:r w:rsidRPr="00E97F33">
              <w:rPr>
                <w:rFonts w:cs="Arial"/>
              </w:rPr>
              <w:t>000000</w:t>
            </w:r>
            <w:r w:rsidR="009B7AD5">
              <w:rPr>
                <w:rFonts w:cs="Arial"/>
              </w:rPr>
              <w:t>25</w:t>
            </w:r>
            <w:r w:rsidR="00E97500">
              <w:rPr>
                <w:rFonts w:cs="Arial"/>
              </w:rPr>
              <w:t>5</w:t>
            </w:r>
            <w:r w:rsidRPr="00E97F33">
              <w:rPr>
                <w:rFonts w:cs="Arial"/>
              </w:rPr>
              <w:t>000</w:t>
            </w:r>
          </w:p>
        </w:tc>
      </w:tr>
    </w:tbl>
    <w:p w14:paraId="6EC00A4A" w14:textId="77777777" w:rsidR="00EE34B4" w:rsidRDefault="00EE34B4" w:rsidP="004E184B">
      <w:pPr>
        <w:spacing w:after="0" w:line="240" w:lineRule="auto"/>
        <w:textAlignment w:val="baseline"/>
        <w:rPr>
          <w:rFonts w:ascii="Inter" w:eastAsia="Times New Roman" w:hAnsi="Inter" w:cs="Segoe UI"/>
          <w:b/>
          <w:bCs/>
          <w:smallCaps/>
          <w:color w:val="000000"/>
          <w:lang w:eastAsia="en-AU"/>
        </w:rPr>
      </w:pPr>
    </w:p>
    <w:p w14:paraId="0D9098B6" w14:textId="3C7655D5" w:rsidR="00BD7649" w:rsidRPr="006D4EEE" w:rsidRDefault="00BD7649" w:rsidP="00BD7649">
      <w:pPr>
        <w:rPr>
          <w:rFonts w:cs="Arial"/>
        </w:rPr>
      </w:pPr>
      <w:r w:rsidRPr="006D4EEE">
        <w:rPr>
          <w:rFonts w:ascii="Inter" w:eastAsia="Inter" w:hAnsi="Inter" w:cs="Inter"/>
          <w:b/>
          <w:smallCaps/>
        </w:rPr>
        <w:t>investor data record</w:t>
      </w:r>
      <w:r w:rsidRPr="006D4EEE">
        <w:rPr>
          <w:rFonts w:ascii="Inter" w:eastAsia="Inter" w:hAnsi="Inter" w:cs="Inter"/>
        </w:rPr>
        <w:t xml:space="preserve"> </w:t>
      </w:r>
      <w:r w:rsidRPr="006D4EEE">
        <w:rPr>
          <w:rFonts w:cs="Arial"/>
          <w:b/>
          <w:smallCaps/>
        </w:rPr>
        <w:t xml:space="preserve">1 for 1 investor </w:t>
      </w:r>
      <w:r w:rsidR="0059276F" w:rsidRPr="004722FB">
        <w:rPr>
          <w:rFonts w:ascii="Inter" w:eastAsia="Times New Roman" w:hAnsi="Inter" w:cs="Segoe UI"/>
          <w:smallCaps/>
          <w:color w:val="000000"/>
          <w:lang w:eastAsia="en-AU"/>
        </w:rPr>
        <w:t>(</w:t>
      </w:r>
      <w:r w:rsidR="0059276F" w:rsidRPr="00130C1F">
        <w:rPr>
          <w:rFonts w:ascii="Inter" w:eastAsia="Times New Roman" w:hAnsi="Inter" w:cs="Segoe UI"/>
          <w:smallCaps/>
          <w:color w:val="000000"/>
          <w:lang w:eastAsia="en-AU"/>
        </w:rPr>
        <w:t xml:space="preserve">extract – </w:t>
      </w:r>
      <w:r w:rsidR="0059276F" w:rsidRPr="00130C1F">
        <w:rPr>
          <w:rFonts w:ascii="Inter" w:eastAsia="Times New Roman" w:hAnsi="Inter" w:cs="Segoe UI"/>
          <w:smallCaps/>
          <w:color w:val="000000"/>
          <w:sz w:val="16"/>
          <w:szCs w:val="16"/>
          <w:lang w:eastAsia="en-AU"/>
        </w:rPr>
        <w:t>NON-RESIDENT</w:t>
      </w:r>
      <w:r w:rsidR="0059276F" w:rsidRPr="00130C1F">
        <w:rPr>
          <w:rFonts w:ascii="Inter" w:eastAsia="Times New Roman" w:hAnsi="Inter" w:cs="Segoe UI"/>
          <w:smallCaps/>
          <w:color w:val="000000"/>
          <w:lang w:eastAsia="en-AU"/>
        </w:rPr>
        <w:t>)</w:t>
      </w:r>
      <w:r w:rsidR="0059276F" w:rsidRPr="004722FB">
        <w:rPr>
          <w:rFonts w:ascii="Inter" w:eastAsia="Times New Roman" w:hAnsi="Inter" w:cs="Segoe UI"/>
          <w:color w:val="000000"/>
          <w:lang w:eastAsia="en-AU"/>
        </w:rPr>
        <w:t> </w:t>
      </w:r>
      <w:r w:rsidR="0059276F">
        <w:rPr>
          <w:rFonts w:ascii="Inter" w:eastAsia="Times New Roman" w:hAnsi="Inter" w:cs="Segoe UI"/>
          <w:color w:val="000000"/>
          <w:lang w:eastAsia="en-AU"/>
        </w:rPr>
        <w:t xml:space="preserve">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21"/>
        <w:gridCol w:w="5198"/>
        <w:gridCol w:w="2863"/>
      </w:tblGrid>
      <w:tr w:rsidR="00BD7649" w:rsidRPr="00F77402" w14:paraId="26C55222" w14:textId="77777777">
        <w:trPr>
          <w:trHeight w:val="495"/>
        </w:trPr>
        <w:tc>
          <w:tcPr>
            <w:tcW w:w="1221"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7F3F3CFA" w14:textId="77777777" w:rsidR="00BD7649" w:rsidRPr="006D4EEE" w:rsidRDefault="00BD7649">
            <w:pPr>
              <w:spacing w:after="0" w:line="240" w:lineRule="auto"/>
              <w:rPr>
                <w:rFonts w:ascii="Inter" w:eastAsia="Inter" w:hAnsi="Inter" w:cs="Inter"/>
              </w:rPr>
            </w:pPr>
            <w:r w:rsidRPr="006D4EEE">
              <w:rPr>
                <w:rFonts w:ascii="Inter" w:eastAsia="Inter" w:hAnsi="Inter" w:cs="Inter"/>
                <w:b/>
              </w:rPr>
              <w:t>Reference number</w:t>
            </w:r>
          </w:p>
        </w:tc>
        <w:tc>
          <w:tcPr>
            <w:tcW w:w="5198"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3813523C" w14:textId="77777777" w:rsidR="00BD7649" w:rsidRPr="006D4EEE" w:rsidRDefault="00BD7649">
            <w:pPr>
              <w:spacing w:after="0" w:line="240" w:lineRule="auto"/>
              <w:rPr>
                <w:rFonts w:ascii="Inter" w:eastAsia="Inter" w:hAnsi="Inter" w:cs="Inter"/>
              </w:rPr>
            </w:pPr>
            <w:r w:rsidRPr="006D4EEE">
              <w:rPr>
                <w:rFonts w:ascii="Inter" w:eastAsia="Inter" w:hAnsi="Inter" w:cs="Inter"/>
                <w:b/>
              </w:rPr>
              <w:t>Field name</w:t>
            </w:r>
          </w:p>
        </w:tc>
        <w:tc>
          <w:tcPr>
            <w:tcW w:w="2863" w:type="dxa"/>
            <w:tcBorders>
              <w:top w:val="single" w:sz="6" w:space="0" w:color="auto"/>
              <w:left w:val="single" w:sz="6" w:space="0" w:color="auto"/>
              <w:bottom w:val="single" w:sz="6" w:space="0" w:color="auto"/>
              <w:right w:val="single" w:sz="6" w:space="0" w:color="auto"/>
            </w:tcBorders>
            <w:shd w:val="clear" w:color="auto" w:fill="B3B3B3"/>
            <w:tcMar>
              <w:left w:w="105" w:type="dxa"/>
              <w:right w:w="105" w:type="dxa"/>
            </w:tcMar>
            <w:vAlign w:val="center"/>
          </w:tcPr>
          <w:p w14:paraId="584694BF" w14:textId="77777777" w:rsidR="00BD7649" w:rsidRPr="006D4EEE" w:rsidRDefault="00BD7649">
            <w:pPr>
              <w:spacing w:after="0" w:line="240" w:lineRule="auto"/>
              <w:rPr>
                <w:rFonts w:ascii="Inter" w:eastAsia="Inter" w:hAnsi="Inter" w:cs="Inter"/>
              </w:rPr>
            </w:pPr>
            <w:r w:rsidRPr="006D4EEE">
              <w:rPr>
                <w:rFonts w:ascii="Inter" w:eastAsia="Inter" w:hAnsi="Inter" w:cs="Inter"/>
                <w:b/>
              </w:rPr>
              <w:t>Content</w:t>
            </w:r>
          </w:p>
        </w:tc>
      </w:tr>
      <w:tr w:rsidR="00BD7649" w:rsidRPr="00F77402" w14:paraId="10885901" w14:textId="77777777">
        <w:trPr>
          <w:trHeight w:val="270"/>
        </w:trPr>
        <w:tc>
          <w:tcPr>
            <w:tcW w:w="1221"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7AECA7A8" w14:textId="77777777" w:rsidR="00BD7649" w:rsidRPr="006D4EEE" w:rsidRDefault="00BD7649">
            <w:pPr>
              <w:spacing w:after="0" w:line="240" w:lineRule="auto"/>
              <w:rPr>
                <w:rFonts w:ascii="Inter" w:eastAsia="Inter" w:hAnsi="Inter" w:cs="Inter"/>
              </w:rPr>
            </w:pPr>
            <w:r w:rsidRPr="006D4EEE">
              <w:rPr>
                <w:rFonts w:ascii="Inter" w:eastAsia="Inter" w:hAnsi="Inter" w:cs="Inter"/>
              </w:rPr>
              <w:t>9.197</w:t>
            </w:r>
          </w:p>
        </w:tc>
        <w:tc>
          <w:tcPr>
            <w:tcW w:w="5198"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63E8D8E8" w14:textId="77777777" w:rsidR="00BD7649" w:rsidRPr="006D4EEE" w:rsidRDefault="00BD7649">
            <w:pPr>
              <w:spacing w:after="0" w:line="240" w:lineRule="auto"/>
              <w:rPr>
                <w:rFonts w:ascii="Inter" w:eastAsia="Inter" w:hAnsi="Inter" w:cs="Inter"/>
              </w:rPr>
            </w:pPr>
            <w:r w:rsidRPr="006D4EEE">
              <w:rPr>
                <w:rFonts w:ascii="Inter" w:eastAsia="Inter" w:hAnsi="Inter" w:cs="Inter"/>
              </w:rPr>
              <w:t>Investor entity type</w:t>
            </w:r>
          </w:p>
        </w:tc>
        <w:tc>
          <w:tcPr>
            <w:tcW w:w="2863" w:type="dxa"/>
            <w:tcBorders>
              <w:top w:val="single" w:sz="6" w:space="0" w:color="auto"/>
              <w:left w:val="single" w:sz="8" w:space="0" w:color="auto"/>
              <w:bottom w:val="single" w:sz="8" w:space="0" w:color="auto"/>
              <w:right w:val="single" w:sz="8" w:space="0" w:color="auto"/>
            </w:tcBorders>
            <w:tcMar>
              <w:left w:w="105" w:type="dxa"/>
              <w:right w:w="105" w:type="dxa"/>
            </w:tcMar>
            <w:vAlign w:val="center"/>
          </w:tcPr>
          <w:p w14:paraId="76D6264D" w14:textId="7E5BF8C5" w:rsidR="00BD7649" w:rsidRPr="006D4EEE" w:rsidRDefault="00F170A5">
            <w:pPr>
              <w:spacing w:after="0" w:line="240" w:lineRule="auto"/>
              <w:rPr>
                <w:rFonts w:ascii="Inter" w:eastAsia="Inter" w:hAnsi="Inter" w:cs="Inter"/>
              </w:rPr>
            </w:pPr>
            <w:r w:rsidRPr="006D4EEE">
              <w:rPr>
                <w:rFonts w:ascii="Inter" w:eastAsia="Inter" w:hAnsi="Inter" w:cs="Inter"/>
              </w:rPr>
              <w:t>I</w:t>
            </w:r>
          </w:p>
        </w:tc>
      </w:tr>
      <w:tr w:rsidR="00BD7649" w:rsidRPr="00F77402" w14:paraId="1EC047E7" w14:textId="77777777">
        <w:trPr>
          <w:trHeight w:val="270"/>
        </w:trPr>
        <w:tc>
          <w:tcPr>
            <w:tcW w:w="1221"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9CB26BF" w14:textId="77777777" w:rsidR="00BD7649" w:rsidRPr="006D4EEE" w:rsidRDefault="00BD7649">
            <w:pPr>
              <w:spacing w:after="0" w:line="240" w:lineRule="auto"/>
              <w:rPr>
                <w:rFonts w:ascii="Inter" w:eastAsia="Inter" w:hAnsi="Inter" w:cs="Inter"/>
              </w:rPr>
            </w:pPr>
            <w:r w:rsidRPr="006D4EEE">
              <w:rPr>
                <w:rFonts w:ascii="Inter" w:eastAsia="Inter" w:hAnsi="Inter" w:cs="Inter"/>
              </w:rPr>
              <w:t>9.198</w:t>
            </w:r>
          </w:p>
        </w:tc>
        <w:tc>
          <w:tcPr>
            <w:tcW w:w="519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19A4DBE" w14:textId="77777777" w:rsidR="00BD7649" w:rsidRPr="006D4EEE" w:rsidRDefault="00BD7649">
            <w:pPr>
              <w:spacing w:after="0" w:line="240" w:lineRule="auto"/>
              <w:rPr>
                <w:rFonts w:ascii="Inter" w:eastAsia="Inter" w:hAnsi="Inter" w:cs="Inter"/>
              </w:rPr>
            </w:pPr>
            <w:r w:rsidRPr="006D4EEE">
              <w:rPr>
                <w:rFonts w:ascii="Inter" w:eastAsia="Inter" w:hAnsi="Inter" w:cs="Inter"/>
              </w:rPr>
              <w:t>Investor tax file number</w:t>
            </w:r>
          </w:p>
        </w:tc>
        <w:tc>
          <w:tcPr>
            <w:tcW w:w="286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7A5627D" w14:textId="797B9545" w:rsidR="00BD7649" w:rsidRPr="006D4EEE" w:rsidRDefault="00F77402">
            <w:pPr>
              <w:spacing w:after="0" w:line="240" w:lineRule="auto"/>
              <w:rPr>
                <w:rFonts w:ascii="Inter" w:eastAsia="Inter" w:hAnsi="Inter" w:cs="Inter"/>
              </w:rPr>
            </w:pPr>
            <w:r w:rsidRPr="00F77402">
              <w:rPr>
                <w:rFonts w:ascii="Inter" w:eastAsia="Inter" w:hAnsi="Inter" w:cs="Inter"/>
              </w:rPr>
              <w:t>888888888</w:t>
            </w:r>
          </w:p>
        </w:tc>
      </w:tr>
      <w:tr w:rsidR="00F170A5" w:rsidRPr="00F77402" w14:paraId="0C389A2D" w14:textId="77777777">
        <w:trPr>
          <w:trHeight w:val="270"/>
        </w:trPr>
        <w:tc>
          <w:tcPr>
            <w:tcW w:w="1221"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F51DEE4" w14:textId="47D5D6E3" w:rsidR="00F170A5" w:rsidRPr="006D4EEE" w:rsidRDefault="00F170A5">
            <w:pPr>
              <w:spacing w:after="0" w:line="240" w:lineRule="auto"/>
              <w:rPr>
                <w:rFonts w:ascii="Inter" w:eastAsia="Inter" w:hAnsi="Inter" w:cs="Inter"/>
              </w:rPr>
            </w:pPr>
            <w:r w:rsidRPr="006D4EEE">
              <w:rPr>
                <w:rFonts w:ascii="Inter" w:eastAsia="Inter" w:hAnsi="Inter" w:cs="Inter"/>
              </w:rPr>
              <w:t>9.201</w:t>
            </w:r>
          </w:p>
        </w:tc>
        <w:tc>
          <w:tcPr>
            <w:tcW w:w="519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2E094B7" w14:textId="056C1EDF" w:rsidR="00F170A5" w:rsidRPr="006D4EEE" w:rsidRDefault="00F170A5">
            <w:pPr>
              <w:spacing w:after="0" w:line="240" w:lineRule="auto"/>
              <w:rPr>
                <w:rFonts w:ascii="Inter" w:eastAsia="Inter" w:hAnsi="Inter" w:cs="Inter"/>
              </w:rPr>
            </w:pPr>
            <w:r w:rsidRPr="006D4EEE">
              <w:rPr>
                <w:rFonts w:ascii="Inter" w:eastAsia="Inter" w:hAnsi="Inter" w:cs="Inter"/>
              </w:rPr>
              <w:t xml:space="preserve">Individual </w:t>
            </w:r>
            <w:r w:rsidR="00C6195B" w:rsidRPr="006D4EEE">
              <w:rPr>
                <w:rFonts w:ascii="Inter" w:eastAsia="Inter" w:hAnsi="Inter" w:cs="Inter"/>
              </w:rPr>
              <w:t>investor surname</w:t>
            </w:r>
          </w:p>
        </w:tc>
        <w:tc>
          <w:tcPr>
            <w:tcW w:w="286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CB5F9B0" w14:textId="338DE3EB" w:rsidR="00F170A5" w:rsidRPr="00F77402" w:rsidRDefault="00C6195B">
            <w:pPr>
              <w:spacing w:after="0" w:line="240" w:lineRule="auto"/>
              <w:rPr>
                <w:rFonts w:ascii="Inter" w:eastAsia="Inter" w:hAnsi="Inter" w:cs="Inter"/>
              </w:rPr>
            </w:pPr>
            <w:r w:rsidRPr="00F77402">
              <w:rPr>
                <w:rFonts w:ascii="Inter" w:eastAsia="Times New Roman" w:hAnsi="Inter"/>
                <w:color w:val="000000"/>
                <w:lang w:eastAsia="en-AU"/>
              </w:rPr>
              <w:t>Volkov</w:t>
            </w:r>
          </w:p>
        </w:tc>
      </w:tr>
      <w:tr w:rsidR="00C6195B" w:rsidRPr="00F77402" w14:paraId="59DBA798" w14:textId="77777777">
        <w:trPr>
          <w:trHeight w:val="270"/>
        </w:trPr>
        <w:tc>
          <w:tcPr>
            <w:tcW w:w="1221"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2E2A347" w14:textId="0111F474" w:rsidR="00C6195B" w:rsidRPr="006D4EEE" w:rsidRDefault="00C6195B">
            <w:pPr>
              <w:spacing w:after="0" w:line="240" w:lineRule="auto"/>
              <w:rPr>
                <w:rFonts w:ascii="Inter" w:eastAsia="Inter" w:hAnsi="Inter" w:cs="Inter"/>
              </w:rPr>
            </w:pPr>
            <w:r w:rsidRPr="006D4EEE">
              <w:rPr>
                <w:rFonts w:ascii="Inter" w:eastAsia="Inter" w:hAnsi="Inter" w:cs="Inter"/>
              </w:rPr>
              <w:t>9.202</w:t>
            </w:r>
          </w:p>
        </w:tc>
        <w:tc>
          <w:tcPr>
            <w:tcW w:w="519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B9E891A" w14:textId="01509647" w:rsidR="00C6195B" w:rsidRPr="006D4EEE" w:rsidRDefault="00C6195B">
            <w:pPr>
              <w:spacing w:after="0" w:line="240" w:lineRule="auto"/>
              <w:rPr>
                <w:rFonts w:ascii="Inter" w:eastAsia="Inter" w:hAnsi="Inter" w:cs="Inter"/>
              </w:rPr>
            </w:pPr>
            <w:r w:rsidRPr="006D4EEE">
              <w:rPr>
                <w:rFonts w:ascii="Inter" w:eastAsia="Inter" w:hAnsi="Inter" w:cs="Inter"/>
              </w:rPr>
              <w:t>Individual investor first given name</w:t>
            </w:r>
          </w:p>
        </w:tc>
        <w:tc>
          <w:tcPr>
            <w:tcW w:w="286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BFE67AA" w14:textId="7BC10F99" w:rsidR="00C6195B" w:rsidRPr="00F77402" w:rsidRDefault="00C6195B">
            <w:pPr>
              <w:spacing w:after="0" w:line="240" w:lineRule="auto"/>
              <w:rPr>
                <w:rFonts w:ascii="Inter" w:eastAsia="Inter" w:hAnsi="Inter" w:cs="Inter"/>
              </w:rPr>
            </w:pPr>
            <w:r w:rsidRPr="00F77402">
              <w:rPr>
                <w:rFonts w:ascii="Inter" w:eastAsia="Inter" w:hAnsi="Inter" w:cs="Inter"/>
              </w:rPr>
              <w:t>Lukas</w:t>
            </w:r>
          </w:p>
        </w:tc>
      </w:tr>
      <w:tr w:rsidR="00C6195B" w:rsidRPr="00F77402" w14:paraId="640B4631" w14:textId="77777777">
        <w:trPr>
          <w:trHeight w:val="270"/>
        </w:trPr>
        <w:tc>
          <w:tcPr>
            <w:tcW w:w="1221"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1C8D58C" w14:textId="233DD405" w:rsidR="00C6195B" w:rsidRPr="006D4EEE" w:rsidRDefault="00C6195B">
            <w:pPr>
              <w:spacing w:after="0" w:line="240" w:lineRule="auto"/>
              <w:rPr>
                <w:rFonts w:ascii="Inter" w:eastAsia="Inter" w:hAnsi="Inter" w:cs="Inter"/>
              </w:rPr>
            </w:pPr>
            <w:r w:rsidRPr="006D4EEE">
              <w:rPr>
                <w:rFonts w:ascii="Inter" w:eastAsia="Inter" w:hAnsi="Inter" w:cs="Inter"/>
              </w:rPr>
              <w:t>9.203</w:t>
            </w:r>
          </w:p>
        </w:tc>
        <w:tc>
          <w:tcPr>
            <w:tcW w:w="519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0B52777" w14:textId="5AF23203" w:rsidR="00C6195B" w:rsidRPr="006D4EEE" w:rsidRDefault="00C6195B">
            <w:pPr>
              <w:spacing w:after="0" w:line="240" w:lineRule="auto"/>
              <w:rPr>
                <w:rFonts w:ascii="Inter" w:eastAsia="Inter" w:hAnsi="Inter" w:cs="Inter"/>
              </w:rPr>
            </w:pPr>
            <w:r w:rsidRPr="006D4EEE">
              <w:rPr>
                <w:rFonts w:ascii="Inter" w:eastAsia="Inter" w:hAnsi="Inter" w:cs="Inter"/>
              </w:rPr>
              <w:t>Individual investor second given name</w:t>
            </w:r>
          </w:p>
        </w:tc>
        <w:tc>
          <w:tcPr>
            <w:tcW w:w="286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0B7BE45" w14:textId="52702CF6" w:rsidR="00C6195B" w:rsidRPr="00F77402" w:rsidRDefault="00C6195B">
            <w:pPr>
              <w:spacing w:after="0" w:line="240" w:lineRule="auto"/>
              <w:rPr>
                <w:rFonts w:ascii="Inter" w:eastAsia="Inter" w:hAnsi="Inter" w:cs="Inter"/>
              </w:rPr>
            </w:pPr>
          </w:p>
        </w:tc>
      </w:tr>
      <w:tr w:rsidR="00C6195B" w:rsidRPr="00B16B7F" w14:paraId="43697410" w14:textId="77777777" w:rsidTr="00C6195B">
        <w:trPr>
          <w:trHeight w:val="270"/>
        </w:trPr>
        <w:tc>
          <w:tcPr>
            <w:tcW w:w="1221"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982BC9F" w14:textId="47220B6E" w:rsidR="00C6195B" w:rsidRPr="006D4EEE" w:rsidRDefault="00C6195B">
            <w:pPr>
              <w:spacing w:after="0" w:line="240" w:lineRule="auto"/>
              <w:rPr>
                <w:rFonts w:ascii="Inter" w:eastAsia="Inter" w:hAnsi="Inter" w:cs="Inter"/>
              </w:rPr>
            </w:pPr>
            <w:r w:rsidRPr="006D4EEE">
              <w:rPr>
                <w:rFonts w:ascii="Inter" w:eastAsia="Inter" w:hAnsi="Inter" w:cs="Inter"/>
              </w:rPr>
              <w:t>9.216</w:t>
            </w:r>
          </w:p>
        </w:tc>
        <w:tc>
          <w:tcPr>
            <w:tcW w:w="519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78B0EA8" w14:textId="3C25ECEE" w:rsidR="00C6195B" w:rsidRPr="006D4EEE" w:rsidRDefault="00631E2F">
            <w:pPr>
              <w:spacing w:after="0" w:line="240" w:lineRule="auto"/>
              <w:rPr>
                <w:rFonts w:ascii="Inter" w:eastAsia="Inter" w:hAnsi="Inter" w:cs="Inter"/>
              </w:rPr>
            </w:pPr>
            <w:r w:rsidRPr="006D4EEE">
              <w:rPr>
                <w:rFonts w:ascii="Inter" w:eastAsia="Inter" w:hAnsi="Inter" w:cs="Inter"/>
              </w:rPr>
              <w:t>Overseas country</w:t>
            </w:r>
          </w:p>
        </w:tc>
        <w:tc>
          <w:tcPr>
            <w:tcW w:w="286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CBE1647" w14:textId="3F682A82" w:rsidR="00C6195B" w:rsidRDefault="00631E2F">
            <w:pPr>
              <w:spacing w:after="0" w:line="240" w:lineRule="auto"/>
              <w:rPr>
                <w:rFonts w:ascii="Inter" w:eastAsia="Inter" w:hAnsi="Inter" w:cs="Inter"/>
              </w:rPr>
            </w:pPr>
            <w:r w:rsidRPr="00F77402">
              <w:rPr>
                <w:rFonts w:ascii="Inter" w:eastAsia="Inter" w:hAnsi="Inter" w:cs="Inter"/>
              </w:rPr>
              <w:t>Russia</w:t>
            </w:r>
          </w:p>
        </w:tc>
      </w:tr>
    </w:tbl>
    <w:p w14:paraId="36BAE5E1" w14:textId="77777777" w:rsidR="00EE34B4" w:rsidRDefault="00EE34B4" w:rsidP="004E184B">
      <w:pPr>
        <w:spacing w:after="0" w:line="240" w:lineRule="auto"/>
        <w:textAlignment w:val="baseline"/>
        <w:rPr>
          <w:rFonts w:ascii="Inter" w:eastAsia="Times New Roman" w:hAnsi="Inter" w:cs="Segoe UI"/>
          <w:b/>
          <w:bCs/>
          <w:smallCaps/>
          <w:color w:val="000000"/>
          <w:lang w:eastAsia="en-AU"/>
        </w:rPr>
      </w:pPr>
    </w:p>
    <w:p w14:paraId="32515346" w14:textId="4AAD0876" w:rsidR="007C4CF4" w:rsidRDefault="00851B4D" w:rsidP="007C4CF4">
      <w:pPr>
        <w:spacing w:after="0" w:line="240" w:lineRule="auto"/>
        <w:textAlignment w:val="baseline"/>
        <w:rPr>
          <w:iCs/>
          <w:color w:val="000000"/>
        </w:rPr>
      </w:pPr>
      <w:r>
        <w:rPr>
          <w:iCs/>
          <w:color w:val="000000"/>
        </w:rPr>
        <w:t>-------------</w:t>
      </w:r>
    </w:p>
    <w:p w14:paraId="7C83ACDB" w14:textId="6A186F3B" w:rsidR="00081145" w:rsidRDefault="00081145" w:rsidP="00081145">
      <w:pPr>
        <w:spacing w:after="0" w:line="240" w:lineRule="auto"/>
        <w:textAlignment w:val="baseline"/>
        <w:rPr>
          <w:rFonts w:ascii="Inter" w:eastAsia="Times New Roman" w:hAnsi="Inter" w:cs="Segoe UI"/>
          <w:b/>
          <w:bCs/>
          <w:smallCaps/>
          <w:color w:val="000000"/>
          <w:lang w:eastAsia="en-AU"/>
        </w:rPr>
      </w:pPr>
    </w:p>
    <w:p w14:paraId="07EFD8C3" w14:textId="22189B14" w:rsidR="0014531E" w:rsidRDefault="00DD794F" w:rsidP="004E184B">
      <w:pPr>
        <w:spacing w:after="0" w:line="240" w:lineRule="auto"/>
        <w:textAlignment w:val="baseline"/>
        <w:rPr>
          <w:rFonts w:ascii="Inter" w:eastAsia="Times New Roman" w:hAnsi="Inter" w:cs="Segoe UI"/>
          <w:b/>
          <w:bCs/>
          <w:smallCaps/>
          <w:color w:val="000000"/>
          <w:lang w:eastAsia="en-AU"/>
        </w:rPr>
      </w:pPr>
      <w:r w:rsidRPr="004722FB">
        <w:rPr>
          <w:rFonts w:ascii="Inter" w:eastAsia="Times New Roman" w:hAnsi="Inter" w:cs="Segoe UI"/>
          <w:b/>
          <w:bCs/>
          <w:smallCaps/>
          <w:color w:val="000000"/>
          <w:lang w:eastAsia="en-AU"/>
        </w:rPr>
        <w:t xml:space="preserve">investment account data record </w:t>
      </w:r>
      <w:r>
        <w:rPr>
          <w:rFonts w:ascii="Inter" w:eastAsia="Times New Roman" w:hAnsi="Inter" w:cs="Segoe UI"/>
          <w:b/>
          <w:bCs/>
          <w:smallCaps/>
          <w:color w:val="000000"/>
          <w:lang w:eastAsia="en-AU"/>
        </w:rPr>
        <w:t>2 for 1 investor</w:t>
      </w:r>
      <w:r w:rsidRPr="004722FB">
        <w:rPr>
          <w:rFonts w:ascii="Inter" w:eastAsia="Times New Roman" w:hAnsi="Inter" w:cs="Segoe UI"/>
          <w:b/>
          <w:bCs/>
          <w:smallCaps/>
          <w:color w:val="000000"/>
          <w:lang w:eastAsia="en-AU"/>
        </w:rPr>
        <w:t> </w:t>
      </w:r>
      <w:r w:rsidR="00777177" w:rsidRPr="004722FB">
        <w:rPr>
          <w:rFonts w:ascii="Inter" w:eastAsia="Times New Roman" w:hAnsi="Inter" w:cs="Segoe UI"/>
          <w:smallCaps/>
          <w:color w:val="000000"/>
          <w:lang w:eastAsia="en-AU"/>
        </w:rPr>
        <w:t>(</w:t>
      </w:r>
      <w:r w:rsidR="00777177" w:rsidRPr="004335E5">
        <w:rPr>
          <w:rFonts w:ascii="Inter" w:eastAsia="Times New Roman" w:hAnsi="Inter" w:cs="Segoe UI"/>
          <w:smallCaps/>
          <w:color w:val="000000"/>
          <w:szCs w:val="22"/>
          <w:lang w:eastAsia="en-AU"/>
        </w:rPr>
        <w:t>extract</w:t>
      </w:r>
      <w:r w:rsidR="00777177" w:rsidRPr="00130C1F">
        <w:rPr>
          <w:rFonts w:ascii="Inter" w:eastAsia="Times New Roman" w:hAnsi="Inter" w:cs="Segoe UI"/>
          <w:smallCaps/>
          <w:color w:val="000000"/>
          <w:lang w:eastAsia="en-AU"/>
        </w:rPr>
        <w:t xml:space="preserve"> – </w:t>
      </w:r>
      <w:r w:rsidR="00777177" w:rsidRPr="00130C1F">
        <w:rPr>
          <w:rFonts w:ascii="Inter" w:eastAsia="Times New Roman" w:hAnsi="Inter" w:cs="Segoe UI"/>
          <w:smallCaps/>
          <w:color w:val="000000"/>
          <w:sz w:val="16"/>
          <w:szCs w:val="16"/>
          <w:lang w:eastAsia="en-AU"/>
        </w:rPr>
        <w:t>NON-RESIDENT</w:t>
      </w:r>
      <w:r w:rsidR="00777177" w:rsidRPr="00130C1F">
        <w:rPr>
          <w:rFonts w:ascii="Inter" w:eastAsia="Times New Roman" w:hAnsi="Inter" w:cs="Segoe UI"/>
          <w:smallCaps/>
          <w:color w:val="000000"/>
          <w:lang w:eastAsia="en-AU"/>
        </w:rPr>
        <w:t>)</w:t>
      </w:r>
      <w:r w:rsidR="00777177" w:rsidRPr="00151759" w:rsidDel="00777177">
        <w:rPr>
          <w:rFonts w:cs="Arial"/>
          <w:smallCaps/>
        </w:rPr>
        <w:t xml:space="preserve"> </w:t>
      </w:r>
      <w:r w:rsidR="00777177" w:rsidRPr="00151759">
        <w:rPr>
          <w:rFonts w:cs="Arial"/>
          <w:smallCaps/>
        </w:rPr>
        <w:t xml:space="preserve"> </w:t>
      </w:r>
    </w:p>
    <w:p w14:paraId="5001C279" w14:textId="77777777" w:rsidR="002C4A82" w:rsidRDefault="002C4A82" w:rsidP="004E184B">
      <w:pPr>
        <w:spacing w:after="0" w:line="240" w:lineRule="auto"/>
        <w:textAlignment w:val="baseline"/>
        <w:rPr>
          <w:rFonts w:ascii="Inter" w:eastAsia="Times New Roman" w:hAnsi="Inter" w:cs="Segoe UI"/>
          <w:b/>
          <w:bCs/>
          <w:smallCaps/>
          <w:color w:val="000000"/>
          <w:lang w:eastAsia="en-AU"/>
        </w:rPr>
      </w:pPr>
    </w:p>
    <w:tbl>
      <w:tblPr>
        <w:tblW w:w="9188"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5185"/>
        <w:gridCol w:w="2863"/>
      </w:tblGrid>
      <w:tr w:rsidR="002C4A82" w:rsidRPr="001F6FCD" w14:paraId="383B0F42" w14:textId="77777777" w:rsidTr="00FD40F7">
        <w:trPr>
          <w:trHeight w:val="495"/>
          <w:tblHeader/>
        </w:trPr>
        <w:tc>
          <w:tcPr>
            <w:tcW w:w="1140"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66BDFB58" w14:textId="77777777" w:rsidR="002C4A82" w:rsidRPr="00F52541" w:rsidRDefault="002C4A82">
            <w:pPr>
              <w:spacing w:after="0" w:line="240" w:lineRule="auto"/>
              <w:textAlignment w:val="baseline"/>
              <w:rPr>
                <w:rFonts w:ascii="Times New Roman" w:eastAsia="Times New Roman" w:hAnsi="Times New Roman"/>
                <w:color w:val="000000"/>
                <w:sz w:val="24"/>
                <w:szCs w:val="24"/>
                <w:lang w:eastAsia="en-AU"/>
              </w:rPr>
            </w:pPr>
            <w:r w:rsidRPr="00F52541">
              <w:rPr>
                <w:rFonts w:ascii="Inter" w:eastAsia="Times New Roman" w:hAnsi="Inter"/>
                <w:b/>
                <w:bCs/>
                <w:color w:val="000000"/>
                <w:lang w:eastAsia="en-AU"/>
              </w:rPr>
              <w:t>Reference number</w:t>
            </w:r>
            <w:r w:rsidRPr="00F52541">
              <w:rPr>
                <w:rFonts w:ascii="Inter" w:eastAsia="Times New Roman" w:hAnsi="Inter"/>
                <w:color w:val="000000"/>
                <w:lang w:eastAsia="en-AU"/>
              </w:rPr>
              <w:t> </w:t>
            </w:r>
          </w:p>
        </w:tc>
        <w:tc>
          <w:tcPr>
            <w:tcW w:w="5185" w:type="dxa"/>
            <w:tcBorders>
              <w:top w:val="single" w:sz="8" w:space="0" w:color="auto"/>
              <w:left w:val="nil"/>
              <w:bottom w:val="single" w:sz="8" w:space="0" w:color="auto"/>
              <w:right w:val="single" w:sz="8" w:space="0" w:color="auto"/>
            </w:tcBorders>
            <w:shd w:val="clear" w:color="auto" w:fill="B3B3B3"/>
            <w:vAlign w:val="center"/>
            <w:hideMark/>
          </w:tcPr>
          <w:p w14:paraId="216053A2" w14:textId="77777777" w:rsidR="002C4A82" w:rsidRPr="00F52541" w:rsidRDefault="002C4A82">
            <w:pPr>
              <w:spacing w:after="0" w:line="240" w:lineRule="auto"/>
              <w:textAlignment w:val="baseline"/>
              <w:rPr>
                <w:rFonts w:ascii="Times New Roman" w:eastAsia="Times New Roman" w:hAnsi="Times New Roman"/>
                <w:color w:val="000000"/>
                <w:sz w:val="24"/>
                <w:szCs w:val="24"/>
                <w:lang w:eastAsia="en-AU"/>
              </w:rPr>
            </w:pPr>
            <w:r w:rsidRPr="00F52541">
              <w:rPr>
                <w:rFonts w:ascii="Inter" w:eastAsia="Times New Roman" w:hAnsi="Inter"/>
                <w:b/>
                <w:bCs/>
                <w:color w:val="000000"/>
                <w:lang w:eastAsia="en-AU"/>
              </w:rPr>
              <w:t>Field name</w:t>
            </w:r>
            <w:r w:rsidRPr="00F52541">
              <w:rPr>
                <w:rFonts w:ascii="Inter" w:eastAsia="Times New Roman" w:hAnsi="Inter"/>
                <w:color w:val="000000"/>
                <w:lang w:eastAsia="en-AU"/>
              </w:rPr>
              <w:t> </w:t>
            </w:r>
          </w:p>
        </w:tc>
        <w:tc>
          <w:tcPr>
            <w:tcW w:w="2863" w:type="dxa"/>
            <w:tcBorders>
              <w:top w:val="single" w:sz="8" w:space="0" w:color="auto"/>
              <w:left w:val="nil"/>
              <w:bottom w:val="single" w:sz="8" w:space="0" w:color="auto"/>
              <w:right w:val="single" w:sz="8" w:space="0" w:color="auto"/>
            </w:tcBorders>
            <w:shd w:val="clear" w:color="auto" w:fill="B3B3B3"/>
            <w:vAlign w:val="center"/>
            <w:hideMark/>
          </w:tcPr>
          <w:p w14:paraId="07754094" w14:textId="77777777" w:rsidR="002C4A82" w:rsidRPr="00F52541" w:rsidRDefault="002C4A82">
            <w:pPr>
              <w:spacing w:after="0" w:line="240" w:lineRule="auto"/>
              <w:textAlignment w:val="baseline"/>
              <w:rPr>
                <w:rFonts w:ascii="Times New Roman" w:eastAsia="Times New Roman" w:hAnsi="Times New Roman"/>
                <w:color w:val="000000"/>
                <w:sz w:val="24"/>
                <w:szCs w:val="24"/>
                <w:lang w:eastAsia="en-AU"/>
              </w:rPr>
            </w:pPr>
            <w:r w:rsidRPr="00F52541">
              <w:rPr>
                <w:rFonts w:ascii="Inter" w:eastAsia="Times New Roman" w:hAnsi="Inter"/>
                <w:b/>
                <w:bCs/>
                <w:color w:val="000000"/>
                <w:lang w:eastAsia="en-AU"/>
              </w:rPr>
              <w:t>Content</w:t>
            </w:r>
            <w:r w:rsidRPr="00F52541">
              <w:rPr>
                <w:rFonts w:ascii="Inter" w:eastAsia="Times New Roman" w:hAnsi="Inter"/>
                <w:color w:val="000000"/>
                <w:lang w:eastAsia="en-AU"/>
              </w:rPr>
              <w:t> </w:t>
            </w:r>
          </w:p>
        </w:tc>
      </w:tr>
      <w:tr w:rsidR="002C4A82" w:rsidRPr="001F6FCD" w14:paraId="32F07BC2"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4CC5383C"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9.62 </w:t>
            </w:r>
          </w:p>
        </w:tc>
        <w:tc>
          <w:tcPr>
            <w:tcW w:w="5185" w:type="dxa"/>
            <w:tcBorders>
              <w:top w:val="nil"/>
              <w:left w:val="nil"/>
              <w:bottom w:val="single" w:sz="8" w:space="0" w:color="auto"/>
              <w:right w:val="single" w:sz="8" w:space="0" w:color="auto"/>
            </w:tcBorders>
            <w:vAlign w:val="center"/>
            <w:hideMark/>
          </w:tcPr>
          <w:p w14:paraId="450B26CB"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Sequence number of DACCOUNT record </w:t>
            </w:r>
          </w:p>
        </w:tc>
        <w:tc>
          <w:tcPr>
            <w:tcW w:w="2863" w:type="dxa"/>
            <w:tcBorders>
              <w:top w:val="nil"/>
              <w:left w:val="nil"/>
              <w:bottom w:val="single" w:sz="8" w:space="0" w:color="auto"/>
              <w:right w:val="single" w:sz="8" w:space="0" w:color="auto"/>
            </w:tcBorders>
            <w:vAlign w:val="center"/>
            <w:hideMark/>
          </w:tcPr>
          <w:p w14:paraId="57DC2125" w14:textId="0D9EB1F9"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0</w:t>
            </w:r>
            <w:r w:rsidR="00E17359">
              <w:rPr>
                <w:rFonts w:ascii="Inter" w:eastAsia="Times New Roman" w:hAnsi="Inter"/>
                <w:color w:val="000000"/>
                <w:lang w:eastAsia="en-AU"/>
              </w:rPr>
              <w:t>2</w:t>
            </w:r>
          </w:p>
        </w:tc>
      </w:tr>
      <w:tr w:rsidR="002C4A82" w:rsidRPr="001F6FCD" w14:paraId="68BD8CEF"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4EC889DB"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9.63 </w:t>
            </w:r>
          </w:p>
        </w:tc>
        <w:tc>
          <w:tcPr>
            <w:tcW w:w="5185" w:type="dxa"/>
            <w:tcBorders>
              <w:top w:val="nil"/>
              <w:left w:val="nil"/>
              <w:bottom w:val="single" w:sz="8" w:space="0" w:color="auto"/>
              <w:right w:val="single" w:sz="8" w:space="0" w:color="auto"/>
            </w:tcBorders>
            <w:vAlign w:val="center"/>
            <w:hideMark/>
          </w:tcPr>
          <w:p w14:paraId="7E5D823A" w14:textId="77777777" w:rsidR="002C4A82" w:rsidRPr="00367AAE" w:rsidRDefault="002C4A82">
            <w:pPr>
              <w:spacing w:after="0" w:line="240" w:lineRule="auto"/>
              <w:textAlignment w:val="baseline"/>
              <w:rPr>
                <w:rFonts w:ascii="Inter" w:eastAsia="Times New Roman" w:hAnsi="Inter"/>
                <w:color w:val="000000"/>
                <w:lang w:eastAsia="en-AU"/>
              </w:rPr>
            </w:pPr>
            <w:r w:rsidRPr="00367AAE">
              <w:rPr>
                <w:rFonts w:ascii="Inter" w:eastAsia="Times New Roman" w:hAnsi="Inter"/>
                <w:color w:val="000000"/>
                <w:lang w:eastAsia="en-AU"/>
              </w:rPr>
              <w:t>Investment reference number </w:t>
            </w:r>
          </w:p>
        </w:tc>
        <w:tc>
          <w:tcPr>
            <w:tcW w:w="2863" w:type="dxa"/>
            <w:tcBorders>
              <w:top w:val="nil"/>
              <w:left w:val="nil"/>
              <w:bottom w:val="single" w:sz="8" w:space="0" w:color="auto"/>
              <w:right w:val="single" w:sz="8" w:space="0" w:color="auto"/>
            </w:tcBorders>
            <w:vAlign w:val="center"/>
            <w:hideMark/>
          </w:tcPr>
          <w:p w14:paraId="6459EBF2" w14:textId="77777777" w:rsidR="002C4A82" w:rsidRPr="00367AAE" w:rsidRDefault="002C4A82">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85236499</w:t>
            </w:r>
          </w:p>
        </w:tc>
      </w:tr>
      <w:tr w:rsidR="002C4A82" w:rsidRPr="001F6FCD" w14:paraId="088E86F9"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4AD4ADDA"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9.64 </w:t>
            </w:r>
          </w:p>
        </w:tc>
        <w:tc>
          <w:tcPr>
            <w:tcW w:w="5185" w:type="dxa"/>
            <w:tcBorders>
              <w:top w:val="nil"/>
              <w:left w:val="nil"/>
              <w:bottom w:val="single" w:sz="8" w:space="0" w:color="auto"/>
              <w:right w:val="single" w:sz="8" w:space="0" w:color="auto"/>
            </w:tcBorders>
            <w:vAlign w:val="center"/>
            <w:hideMark/>
          </w:tcPr>
          <w:p w14:paraId="5C1E55CA" w14:textId="77777777" w:rsidR="002C4A82" w:rsidRPr="002C4A33" w:rsidRDefault="002C4A82">
            <w:pPr>
              <w:spacing w:after="0" w:line="240" w:lineRule="auto"/>
              <w:textAlignment w:val="baseline"/>
              <w:rPr>
                <w:rFonts w:ascii="Inter" w:eastAsia="Times New Roman" w:hAnsi="Inter"/>
                <w:color w:val="000000"/>
                <w:lang w:eastAsia="en-AU"/>
              </w:rPr>
            </w:pPr>
            <w:r w:rsidRPr="00367AAE">
              <w:rPr>
                <w:rFonts w:ascii="Inter" w:eastAsia="Times New Roman" w:hAnsi="Inter"/>
                <w:color w:val="000000"/>
                <w:lang w:eastAsia="en-AU"/>
              </w:rPr>
              <w:t>Account reference number </w:t>
            </w:r>
          </w:p>
        </w:tc>
        <w:tc>
          <w:tcPr>
            <w:tcW w:w="2863" w:type="dxa"/>
            <w:tcBorders>
              <w:top w:val="nil"/>
              <w:left w:val="nil"/>
              <w:bottom w:val="single" w:sz="8" w:space="0" w:color="auto"/>
              <w:right w:val="single" w:sz="8" w:space="0" w:color="auto"/>
            </w:tcBorders>
            <w:vAlign w:val="center"/>
            <w:hideMark/>
          </w:tcPr>
          <w:p w14:paraId="12CE1F2C" w14:textId="77777777" w:rsidR="002C4A82" w:rsidRPr="002C4A33" w:rsidRDefault="002C4A82">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1046821</w:t>
            </w:r>
          </w:p>
        </w:tc>
      </w:tr>
      <w:tr w:rsidR="002C4A82" w:rsidRPr="001F6FCD" w14:paraId="7AF3F622" w14:textId="77777777">
        <w:trPr>
          <w:trHeight w:val="270"/>
        </w:trPr>
        <w:tc>
          <w:tcPr>
            <w:tcW w:w="1140" w:type="dxa"/>
            <w:tcBorders>
              <w:top w:val="nil"/>
              <w:left w:val="single" w:sz="8" w:space="0" w:color="auto"/>
              <w:bottom w:val="single" w:sz="8" w:space="0" w:color="auto"/>
              <w:right w:val="single" w:sz="8" w:space="0" w:color="auto"/>
            </w:tcBorders>
            <w:vAlign w:val="center"/>
          </w:tcPr>
          <w:p w14:paraId="5EDCA378" w14:textId="77777777" w:rsidR="002C4A82" w:rsidRPr="00F52541" w:rsidRDefault="002C4A82">
            <w:pPr>
              <w:spacing w:after="0" w:line="240" w:lineRule="auto"/>
              <w:textAlignment w:val="baseline"/>
              <w:rPr>
                <w:rFonts w:ascii="Inter" w:eastAsia="Times New Roman" w:hAnsi="Inter"/>
                <w:color w:val="000000"/>
                <w:lang w:eastAsia="en-AU"/>
              </w:rPr>
            </w:pPr>
            <w:r w:rsidRPr="00F52541">
              <w:rPr>
                <w:rFonts w:ascii="Inter" w:eastAsia="Times New Roman" w:hAnsi="Inter"/>
                <w:color w:val="000000"/>
                <w:lang w:eastAsia="en-AU"/>
              </w:rPr>
              <w:t>9.67</w:t>
            </w:r>
          </w:p>
        </w:tc>
        <w:tc>
          <w:tcPr>
            <w:tcW w:w="5185" w:type="dxa"/>
            <w:tcBorders>
              <w:top w:val="nil"/>
              <w:left w:val="nil"/>
              <w:bottom w:val="single" w:sz="8" w:space="0" w:color="auto"/>
              <w:right w:val="single" w:sz="8" w:space="0" w:color="auto"/>
            </w:tcBorders>
            <w:vAlign w:val="center"/>
          </w:tcPr>
          <w:p w14:paraId="51782875" w14:textId="77777777" w:rsidR="002C4A82" w:rsidRPr="00367AAE" w:rsidRDefault="002C4A82">
            <w:pPr>
              <w:spacing w:after="0" w:line="240" w:lineRule="auto"/>
              <w:textAlignment w:val="baseline"/>
              <w:rPr>
                <w:rFonts w:ascii="Inter" w:eastAsia="Times New Roman" w:hAnsi="Inter"/>
                <w:color w:val="000000"/>
                <w:lang w:eastAsia="en-AU"/>
              </w:rPr>
            </w:pPr>
            <w:r w:rsidRPr="00367AAE">
              <w:rPr>
                <w:rFonts w:ascii="Inter" w:eastAsia="Times New Roman" w:hAnsi="Inter"/>
                <w:color w:val="000000"/>
                <w:lang w:eastAsia="en-AU"/>
              </w:rPr>
              <w:t>Account name</w:t>
            </w:r>
          </w:p>
        </w:tc>
        <w:tc>
          <w:tcPr>
            <w:tcW w:w="2863" w:type="dxa"/>
            <w:tcBorders>
              <w:top w:val="nil"/>
              <w:left w:val="nil"/>
              <w:bottom w:val="single" w:sz="8" w:space="0" w:color="auto"/>
              <w:right w:val="single" w:sz="8" w:space="0" w:color="auto"/>
            </w:tcBorders>
            <w:vAlign w:val="center"/>
          </w:tcPr>
          <w:p w14:paraId="09B4DFA2" w14:textId="77777777" w:rsidR="002C4A82" w:rsidRPr="00367AAE" w:rsidRDefault="002C4A82">
            <w:pPr>
              <w:spacing w:after="0" w:line="240" w:lineRule="auto"/>
              <w:textAlignment w:val="baseline"/>
              <w:rPr>
                <w:rFonts w:ascii="Inter" w:eastAsia="Times New Roman" w:hAnsi="Inter"/>
                <w:color w:val="000000"/>
                <w:lang w:eastAsia="en-AU"/>
              </w:rPr>
            </w:pPr>
            <w:r>
              <w:rPr>
                <w:rFonts w:ascii="Inter" w:eastAsia="Times New Roman" w:hAnsi="Inter"/>
                <w:color w:val="000000"/>
                <w:lang w:eastAsia="en-AU"/>
              </w:rPr>
              <w:t>Lukas Volkov</w:t>
            </w:r>
            <w:r w:rsidRPr="002C4A33">
              <w:rPr>
                <w:rFonts w:ascii="Inter" w:eastAsia="Times New Roman" w:hAnsi="Inter"/>
                <w:color w:val="000000"/>
                <w:lang w:eastAsia="en-AU"/>
              </w:rPr>
              <w:t xml:space="preserve"> </w:t>
            </w:r>
          </w:p>
        </w:tc>
      </w:tr>
      <w:tr w:rsidR="002C4A82" w:rsidRPr="001F6FCD" w14:paraId="4131DC81"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7C365D99"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9.70 </w:t>
            </w:r>
          </w:p>
        </w:tc>
        <w:tc>
          <w:tcPr>
            <w:tcW w:w="5185" w:type="dxa"/>
            <w:tcBorders>
              <w:top w:val="nil"/>
              <w:left w:val="nil"/>
              <w:bottom w:val="single" w:sz="8" w:space="0" w:color="auto"/>
              <w:right w:val="single" w:sz="8" w:space="0" w:color="auto"/>
            </w:tcBorders>
            <w:vAlign w:val="center"/>
            <w:hideMark/>
          </w:tcPr>
          <w:p w14:paraId="4CB1C279"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Date of payment (DDMMCCYY) </w:t>
            </w:r>
          </w:p>
        </w:tc>
        <w:tc>
          <w:tcPr>
            <w:tcW w:w="2863" w:type="dxa"/>
            <w:tcBorders>
              <w:top w:val="nil"/>
              <w:left w:val="nil"/>
              <w:bottom w:val="single" w:sz="8" w:space="0" w:color="auto"/>
              <w:right w:val="single" w:sz="8" w:space="0" w:color="auto"/>
            </w:tcBorders>
            <w:vAlign w:val="center"/>
            <w:hideMark/>
          </w:tcPr>
          <w:p w14:paraId="5A7E7A97"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30062026</w:t>
            </w:r>
          </w:p>
        </w:tc>
      </w:tr>
      <w:tr w:rsidR="002C4A82" w:rsidRPr="001F6FCD" w14:paraId="79298CE0"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30E51F0D"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9.71 </w:t>
            </w:r>
          </w:p>
        </w:tc>
        <w:tc>
          <w:tcPr>
            <w:tcW w:w="5185" w:type="dxa"/>
            <w:tcBorders>
              <w:top w:val="nil"/>
              <w:left w:val="nil"/>
              <w:bottom w:val="single" w:sz="8" w:space="0" w:color="auto"/>
              <w:right w:val="single" w:sz="8" w:space="0" w:color="auto"/>
            </w:tcBorders>
            <w:vAlign w:val="center"/>
            <w:hideMark/>
          </w:tcPr>
          <w:p w14:paraId="60E4F58F" w14:textId="77777777" w:rsidR="002C4A82" w:rsidRPr="00F52541" w:rsidRDefault="002C4A82">
            <w:pPr>
              <w:spacing w:after="0" w:line="240" w:lineRule="auto"/>
              <w:textAlignment w:val="baseline"/>
              <w:rPr>
                <w:rFonts w:ascii="Inter" w:eastAsia="Times New Roman" w:hAnsi="Inter"/>
                <w:color w:val="000000"/>
                <w:lang w:eastAsia="en-AU"/>
              </w:rPr>
            </w:pPr>
            <w:r w:rsidRPr="001F6FCD">
              <w:rPr>
                <w:rFonts w:ascii="Inter" w:eastAsia="Times New Roman" w:hAnsi="Inter"/>
                <w:color w:val="000000"/>
                <w:lang w:eastAsia="en-AU"/>
              </w:rPr>
              <w:t>Type of investment </w:t>
            </w:r>
          </w:p>
        </w:tc>
        <w:tc>
          <w:tcPr>
            <w:tcW w:w="2863" w:type="dxa"/>
            <w:tcBorders>
              <w:top w:val="nil"/>
              <w:left w:val="nil"/>
              <w:bottom w:val="single" w:sz="8" w:space="0" w:color="auto"/>
              <w:right w:val="single" w:sz="8" w:space="0" w:color="auto"/>
            </w:tcBorders>
            <w:vAlign w:val="center"/>
            <w:hideMark/>
          </w:tcPr>
          <w:p w14:paraId="4AAD65DC" w14:textId="77777777" w:rsidR="002C4A82" w:rsidRPr="00F52541" w:rsidRDefault="002C4A82">
            <w:pPr>
              <w:spacing w:after="0" w:line="240" w:lineRule="auto"/>
              <w:textAlignment w:val="baseline"/>
              <w:rPr>
                <w:rFonts w:ascii="Inter" w:eastAsia="Times New Roman" w:hAnsi="Inter"/>
                <w:color w:val="000000"/>
                <w:lang w:eastAsia="en-AU"/>
              </w:rPr>
            </w:pPr>
            <w:r w:rsidRPr="00F52541">
              <w:rPr>
                <w:rFonts w:ascii="Inter" w:eastAsia="Times New Roman" w:hAnsi="Inter"/>
                <w:color w:val="000000"/>
                <w:lang w:eastAsia="en-AU"/>
              </w:rPr>
              <w:t>5</w:t>
            </w:r>
          </w:p>
        </w:tc>
      </w:tr>
      <w:tr w:rsidR="002C4A82" w:rsidRPr="001F6FCD" w14:paraId="2DCC819B"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4A0E530D" w14:textId="77777777" w:rsidR="002C4A82" w:rsidRPr="001F6FCD" w:rsidRDefault="002C4A82">
            <w:pPr>
              <w:spacing w:after="0" w:line="240" w:lineRule="auto"/>
              <w:textAlignment w:val="baseline"/>
              <w:rPr>
                <w:rFonts w:ascii="Times New Roman" w:eastAsia="Times New Roman" w:hAnsi="Times New Roman"/>
                <w:color w:val="000000"/>
                <w:sz w:val="24"/>
                <w:szCs w:val="24"/>
                <w:lang w:eastAsia="en-AU"/>
              </w:rPr>
            </w:pPr>
            <w:r w:rsidRPr="001F6FCD">
              <w:rPr>
                <w:rFonts w:ascii="Inter" w:eastAsia="Times New Roman" w:hAnsi="Inter"/>
                <w:color w:val="000000"/>
                <w:lang w:eastAsia="en-AU"/>
              </w:rPr>
              <w:t>9.72 </w:t>
            </w:r>
          </w:p>
        </w:tc>
        <w:tc>
          <w:tcPr>
            <w:tcW w:w="5185" w:type="dxa"/>
            <w:tcBorders>
              <w:top w:val="nil"/>
              <w:left w:val="nil"/>
              <w:bottom w:val="single" w:sz="8" w:space="0" w:color="auto"/>
              <w:right w:val="single" w:sz="8" w:space="0" w:color="auto"/>
            </w:tcBorders>
            <w:vAlign w:val="center"/>
            <w:hideMark/>
          </w:tcPr>
          <w:p w14:paraId="2295064C" w14:textId="77777777" w:rsidR="002C4A82" w:rsidRPr="00F52541" w:rsidRDefault="002C4A82">
            <w:pPr>
              <w:spacing w:after="0" w:line="240" w:lineRule="auto"/>
              <w:textAlignment w:val="baseline"/>
              <w:rPr>
                <w:rFonts w:ascii="Inter" w:eastAsia="Times New Roman" w:hAnsi="Inter"/>
                <w:color w:val="000000"/>
                <w:lang w:eastAsia="en-AU"/>
              </w:rPr>
            </w:pPr>
            <w:r w:rsidRPr="001F6FCD">
              <w:rPr>
                <w:rFonts w:ascii="Inter" w:eastAsia="Times New Roman" w:hAnsi="Inter"/>
                <w:color w:val="000000"/>
                <w:lang w:eastAsia="en-AU"/>
              </w:rPr>
              <w:t>Type of payment </w:t>
            </w:r>
          </w:p>
        </w:tc>
        <w:tc>
          <w:tcPr>
            <w:tcW w:w="2863" w:type="dxa"/>
            <w:tcBorders>
              <w:top w:val="nil"/>
              <w:left w:val="nil"/>
              <w:bottom w:val="single" w:sz="8" w:space="0" w:color="auto"/>
              <w:right w:val="single" w:sz="8" w:space="0" w:color="auto"/>
            </w:tcBorders>
            <w:vAlign w:val="center"/>
            <w:hideMark/>
          </w:tcPr>
          <w:p w14:paraId="4A1F4CA7" w14:textId="77777777" w:rsidR="002C4A82" w:rsidRPr="00F52541" w:rsidRDefault="002C4A82">
            <w:pPr>
              <w:spacing w:after="0" w:line="240" w:lineRule="auto"/>
              <w:textAlignment w:val="baseline"/>
              <w:rPr>
                <w:rFonts w:ascii="Inter" w:eastAsia="Times New Roman" w:hAnsi="Inter"/>
                <w:color w:val="000000"/>
                <w:lang w:eastAsia="en-AU"/>
              </w:rPr>
            </w:pPr>
            <w:r w:rsidRPr="00F52541">
              <w:rPr>
                <w:rFonts w:ascii="Inter" w:eastAsia="Times New Roman" w:hAnsi="Inter"/>
                <w:color w:val="000000"/>
                <w:lang w:eastAsia="en-AU"/>
              </w:rPr>
              <w:t>UTD</w:t>
            </w:r>
          </w:p>
        </w:tc>
      </w:tr>
      <w:tr w:rsidR="002C4A82" w:rsidRPr="001F6FCD" w14:paraId="0E5777ED" w14:textId="77777777">
        <w:trPr>
          <w:trHeight w:val="270"/>
        </w:trPr>
        <w:tc>
          <w:tcPr>
            <w:tcW w:w="1140" w:type="dxa"/>
            <w:tcBorders>
              <w:top w:val="nil"/>
              <w:left w:val="single" w:sz="8" w:space="0" w:color="auto"/>
              <w:bottom w:val="single" w:sz="8" w:space="0" w:color="auto"/>
              <w:right w:val="single" w:sz="8" w:space="0" w:color="auto"/>
            </w:tcBorders>
            <w:vAlign w:val="center"/>
          </w:tcPr>
          <w:p w14:paraId="1994D01B" w14:textId="77777777" w:rsidR="002C4A82" w:rsidRPr="002C4A33" w:rsidRDefault="002C4A82">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9</w:t>
            </w:r>
            <w:r w:rsidRPr="002C4A33">
              <w:rPr>
                <w:rFonts w:eastAsia="Times New Roman"/>
                <w:lang w:eastAsia="en-AU"/>
              </w:rPr>
              <w:t>.76</w:t>
            </w:r>
          </w:p>
        </w:tc>
        <w:tc>
          <w:tcPr>
            <w:tcW w:w="5185" w:type="dxa"/>
            <w:tcBorders>
              <w:top w:val="nil"/>
              <w:left w:val="nil"/>
              <w:bottom w:val="single" w:sz="8" w:space="0" w:color="auto"/>
              <w:right w:val="single" w:sz="8" w:space="0" w:color="auto"/>
            </w:tcBorders>
            <w:vAlign w:val="center"/>
          </w:tcPr>
          <w:p w14:paraId="7D006981" w14:textId="77777777" w:rsidR="002C4A82" w:rsidRPr="007E3972" w:rsidRDefault="002C4A82">
            <w:pPr>
              <w:spacing w:after="0" w:line="240" w:lineRule="auto"/>
              <w:textAlignment w:val="baseline"/>
              <w:rPr>
                <w:rFonts w:ascii="Inter" w:eastAsia="Times New Roman" w:hAnsi="Inter"/>
                <w:color w:val="000000"/>
                <w:lang w:eastAsia="en-AU"/>
              </w:rPr>
            </w:pPr>
            <w:r w:rsidRPr="007E3972">
              <w:rPr>
                <w:rFonts w:ascii="Inter" w:eastAsia="Times New Roman" w:hAnsi="Inter"/>
                <w:color w:val="000000"/>
                <w:lang w:eastAsia="en-AU"/>
              </w:rPr>
              <w:t>Non-resident withholding amount deducted</w:t>
            </w:r>
          </w:p>
        </w:tc>
        <w:tc>
          <w:tcPr>
            <w:tcW w:w="2863" w:type="dxa"/>
            <w:tcBorders>
              <w:top w:val="nil"/>
              <w:left w:val="nil"/>
              <w:bottom w:val="single" w:sz="8" w:space="0" w:color="auto"/>
              <w:right w:val="single" w:sz="8" w:space="0" w:color="auto"/>
            </w:tcBorders>
            <w:vAlign w:val="center"/>
          </w:tcPr>
          <w:p w14:paraId="13DC87EE" w14:textId="0141CB01" w:rsidR="002C4A82" w:rsidRPr="00E97F33" w:rsidRDefault="00081145">
            <w:pPr>
              <w:spacing w:after="0" w:line="240" w:lineRule="auto"/>
              <w:textAlignment w:val="baseline"/>
              <w:rPr>
                <w:rStyle w:val="normaltextrun"/>
                <w:rFonts w:ascii="Inter" w:hAnsi="Inter"/>
                <w:color w:val="000000"/>
                <w:shd w:val="clear" w:color="auto" w:fill="FFFFFF"/>
              </w:rPr>
            </w:pPr>
            <w:r w:rsidRPr="00E97F33">
              <w:rPr>
                <w:rStyle w:val="normaltextrun"/>
                <w:rFonts w:ascii="Inter" w:hAnsi="Inter"/>
                <w:color w:val="000000"/>
                <w:shd w:val="clear" w:color="auto" w:fill="FFFFFF"/>
              </w:rPr>
              <w:t>000000</w:t>
            </w:r>
            <w:r w:rsidR="009B7AD5">
              <w:rPr>
                <w:rStyle w:val="normaltextrun"/>
                <w:rFonts w:ascii="Inter" w:hAnsi="Inter"/>
                <w:color w:val="000000"/>
                <w:shd w:val="clear" w:color="auto" w:fill="FFFFFF"/>
              </w:rPr>
              <w:t>2</w:t>
            </w:r>
            <w:r w:rsidR="009B7AD5">
              <w:rPr>
                <w:rStyle w:val="normaltextrun"/>
                <w:shd w:val="clear" w:color="auto" w:fill="FFFFFF"/>
              </w:rPr>
              <w:t>4</w:t>
            </w:r>
            <w:r w:rsidRPr="00E97F33">
              <w:rPr>
                <w:rStyle w:val="normaltextrun"/>
                <w:rFonts w:ascii="Inter" w:hAnsi="Inter"/>
                <w:color w:val="000000"/>
                <w:shd w:val="clear" w:color="auto" w:fill="FFFFFF"/>
              </w:rPr>
              <w:t>0000</w:t>
            </w:r>
          </w:p>
        </w:tc>
      </w:tr>
      <w:tr w:rsidR="002C4A82" w:rsidRPr="001F6FCD" w14:paraId="4491CC6F" w14:textId="77777777">
        <w:trPr>
          <w:trHeight w:val="270"/>
        </w:trPr>
        <w:tc>
          <w:tcPr>
            <w:tcW w:w="1140" w:type="dxa"/>
            <w:tcBorders>
              <w:top w:val="nil"/>
              <w:left w:val="single" w:sz="8" w:space="0" w:color="auto"/>
              <w:bottom w:val="single" w:sz="8" w:space="0" w:color="auto"/>
              <w:right w:val="single" w:sz="8" w:space="0" w:color="auto"/>
            </w:tcBorders>
            <w:vAlign w:val="center"/>
          </w:tcPr>
          <w:p w14:paraId="4CA076FE" w14:textId="77777777" w:rsidR="002C4A82" w:rsidRPr="002C4A33" w:rsidRDefault="002C4A82">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9.85</w:t>
            </w:r>
          </w:p>
        </w:tc>
        <w:tc>
          <w:tcPr>
            <w:tcW w:w="5185" w:type="dxa"/>
            <w:tcBorders>
              <w:top w:val="nil"/>
              <w:left w:val="nil"/>
              <w:bottom w:val="single" w:sz="8" w:space="0" w:color="auto"/>
              <w:right w:val="single" w:sz="8" w:space="0" w:color="auto"/>
            </w:tcBorders>
            <w:vAlign w:val="center"/>
          </w:tcPr>
          <w:p w14:paraId="4301DB72" w14:textId="5BB39DF8" w:rsidR="002C4A82" w:rsidRPr="007E3972" w:rsidRDefault="002C4A82">
            <w:pPr>
              <w:spacing w:after="0" w:line="240" w:lineRule="auto"/>
              <w:textAlignment w:val="baseline"/>
              <w:rPr>
                <w:rFonts w:ascii="Inter" w:eastAsia="Times New Roman" w:hAnsi="Inter"/>
                <w:color w:val="000000"/>
                <w:lang w:eastAsia="en-AU"/>
              </w:rPr>
            </w:pPr>
            <w:r w:rsidRPr="007E3972">
              <w:rPr>
                <w:rFonts w:ascii="Inter" w:eastAsia="Times New Roman" w:hAnsi="Inter"/>
                <w:color w:val="000000"/>
                <w:lang w:eastAsia="en-AU"/>
              </w:rPr>
              <w:t xml:space="preserve">Non-primary production income </w:t>
            </w:r>
          </w:p>
        </w:tc>
        <w:tc>
          <w:tcPr>
            <w:tcW w:w="2863" w:type="dxa"/>
            <w:tcBorders>
              <w:top w:val="nil"/>
              <w:left w:val="nil"/>
              <w:bottom w:val="single" w:sz="8" w:space="0" w:color="auto"/>
              <w:right w:val="single" w:sz="8" w:space="0" w:color="auto"/>
            </w:tcBorders>
            <w:vAlign w:val="center"/>
          </w:tcPr>
          <w:p w14:paraId="394C70D7" w14:textId="0871AF6B" w:rsidR="002C4A82" w:rsidRPr="00E97F33" w:rsidRDefault="00081145">
            <w:pPr>
              <w:spacing w:after="0" w:line="240" w:lineRule="auto"/>
              <w:textAlignment w:val="baseline"/>
              <w:rPr>
                <w:rFonts w:ascii="Inter" w:eastAsia="Times New Roman" w:hAnsi="Inter"/>
                <w:color w:val="000000"/>
                <w:lang w:eastAsia="en-AU"/>
              </w:rPr>
            </w:pPr>
            <w:r w:rsidRPr="007E3972">
              <w:rPr>
                <w:rStyle w:val="normaltextrun"/>
                <w:rFonts w:ascii="Inter" w:hAnsi="Inter"/>
                <w:color w:val="000000"/>
                <w:shd w:val="clear" w:color="auto" w:fill="FFFFFF"/>
              </w:rPr>
              <w:t>00000</w:t>
            </w:r>
            <w:r w:rsidRPr="006D4EEE">
              <w:rPr>
                <w:rStyle w:val="normaltextrun"/>
                <w:rFonts w:ascii="Inter" w:hAnsi="Inter"/>
                <w:color w:val="000000"/>
                <w:shd w:val="clear" w:color="auto" w:fill="FFFFFF"/>
              </w:rPr>
              <w:t>11</w:t>
            </w:r>
            <w:r w:rsidRPr="007E3972">
              <w:rPr>
                <w:rStyle w:val="normaltextrun"/>
                <w:rFonts w:ascii="Inter" w:hAnsi="Inter"/>
                <w:color w:val="000000"/>
                <w:shd w:val="clear" w:color="auto" w:fill="FFFFFF"/>
              </w:rPr>
              <w:t>00000</w:t>
            </w:r>
            <w:r w:rsidRPr="007E3972">
              <w:rPr>
                <w:rStyle w:val="eop"/>
                <w:rFonts w:ascii="Inter" w:hAnsi="Inter"/>
                <w:color w:val="000000"/>
                <w:shd w:val="clear" w:color="auto" w:fill="FFFFFF"/>
              </w:rPr>
              <w:t> </w:t>
            </w:r>
          </w:p>
        </w:tc>
      </w:tr>
      <w:tr w:rsidR="002C4A82" w:rsidRPr="001F6FCD" w14:paraId="4791CAED" w14:textId="77777777">
        <w:trPr>
          <w:trHeight w:val="270"/>
        </w:trPr>
        <w:tc>
          <w:tcPr>
            <w:tcW w:w="1140" w:type="dxa"/>
            <w:tcBorders>
              <w:top w:val="nil"/>
              <w:left w:val="single" w:sz="8" w:space="0" w:color="auto"/>
              <w:bottom w:val="single" w:sz="8" w:space="0" w:color="auto"/>
              <w:right w:val="single" w:sz="8" w:space="0" w:color="auto"/>
            </w:tcBorders>
            <w:vAlign w:val="center"/>
          </w:tcPr>
          <w:p w14:paraId="285CA07B" w14:textId="77777777" w:rsidR="002C4A82" w:rsidRPr="002C4A33" w:rsidRDefault="002C4A82">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9.88</w:t>
            </w:r>
          </w:p>
        </w:tc>
        <w:tc>
          <w:tcPr>
            <w:tcW w:w="5185" w:type="dxa"/>
            <w:tcBorders>
              <w:top w:val="nil"/>
              <w:left w:val="nil"/>
              <w:bottom w:val="single" w:sz="8" w:space="0" w:color="auto"/>
              <w:right w:val="single" w:sz="8" w:space="0" w:color="auto"/>
            </w:tcBorders>
            <w:vAlign w:val="center"/>
          </w:tcPr>
          <w:p w14:paraId="04856694" w14:textId="3DFF6E52" w:rsidR="002C4A82" w:rsidRPr="007E3972" w:rsidRDefault="002C4A82">
            <w:pPr>
              <w:spacing w:after="0" w:line="240" w:lineRule="auto"/>
              <w:textAlignment w:val="baseline"/>
              <w:rPr>
                <w:rFonts w:ascii="Inter" w:eastAsia="Times New Roman" w:hAnsi="Inter"/>
                <w:color w:val="000000"/>
                <w:lang w:eastAsia="en-AU"/>
              </w:rPr>
            </w:pPr>
            <w:r w:rsidRPr="007E3972">
              <w:rPr>
                <w:rFonts w:ascii="Inter" w:eastAsia="Times New Roman" w:hAnsi="Inter"/>
                <w:color w:val="000000"/>
                <w:lang w:eastAsia="en-AU"/>
              </w:rPr>
              <w:t xml:space="preserve">Net capital gain </w:t>
            </w:r>
          </w:p>
        </w:tc>
        <w:tc>
          <w:tcPr>
            <w:tcW w:w="2863" w:type="dxa"/>
            <w:tcBorders>
              <w:top w:val="nil"/>
              <w:left w:val="nil"/>
              <w:bottom w:val="single" w:sz="8" w:space="0" w:color="auto"/>
              <w:right w:val="single" w:sz="8" w:space="0" w:color="auto"/>
            </w:tcBorders>
            <w:vAlign w:val="center"/>
          </w:tcPr>
          <w:p w14:paraId="0CBCF1B8" w14:textId="1B469272" w:rsidR="002C4A82" w:rsidRPr="00E97F33" w:rsidRDefault="00081145">
            <w:pPr>
              <w:spacing w:after="0" w:line="240" w:lineRule="auto"/>
              <w:textAlignment w:val="baseline"/>
              <w:rPr>
                <w:rFonts w:ascii="Inter" w:eastAsia="Times New Roman" w:hAnsi="Inter"/>
                <w:color w:val="000000"/>
                <w:lang w:eastAsia="en-AU"/>
              </w:rPr>
            </w:pPr>
            <w:r w:rsidRPr="007E3972">
              <w:rPr>
                <w:rStyle w:val="normaltextrun"/>
                <w:rFonts w:ascii="Inter" w:hAnsi="Inter"/>
                <w:color w:val="000000"/>
                <w:shd w:val="clear" w:color="auto" w:fill="FFFFFF"/>
              </w:rPr>
              <w:t>000000</w:t>
            </w:r>
            <w:r w:rsidRPr="006D4EEE">
              <w:rPr>
                <w:rStyle w:val="normaltextrun"/>
                <w:rFonts w:ascii="Inter" w:hAnsi="Inter"/>
                <w:color w:val="000000"/>
                <w:shd w:val="clear" w:color="auto" w:fill="FFFFFF"/>
              </w:rPr>
              <w:t>25</w:t>
            </w:r>
            <w:r w:rsidRPr="007E3972">
              <w:rPr>
                <w:rStyle w:val="normaltextrun"/>
                <w:rFonts w:ascii="Inter" w:hAnsi="Inter"/>
                <w:color w:val="000000"/>
                <w:shd w:val="clear" w:color="auto" w:fill="FFFFFF"/>
              </w:rPr>
              <w:t>0000</w:t>
            </w:r>
          </w:p>
        </w:tc>
      </w:tr>
      <w:tr w:rsidR="002C4A82" w:rsidRPr="001F6FCD" w14:paraId="17499952" w14:textId="77777777">
        <w:trPr>
          <w:trHeight w:val="270"/>
        </w:trPr>
        <w:tc>
          <w:tcPr>
            <w:tcW w:w="1140" w:type="dxa"/>
            <w:tcBorders>
              <w:top w:val="nil"/>
              <w:left w:val="single" w:sz="8" w:space="0" w:color="auto"/>
              <w:bottom w:val="single" w:sz="8" w:space="0" w:color="auto"/>
              <w:right w:val="single" w:sz="8" w:space="0" w:color="auto"/>
            </w:tcBorders>
            <w:vAlign w:val="center"/>
          </w:tcPr>
          <w:p w14:paraId="3F22D0F2" w14:textId="77777777" w:rsidR="002C4A82" w:rsidRPr="002C4A33" w:rsidRDefault="002C4A82">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9.89</w:t>
            </w:r>
          </w:p>
        </w:tc>
        <w:tc>
          <w:tcPr>
            <w:tcW w:w="5185" w:type="dxa"/>
            <w:tcBorders>
              <w:top w:val="nil"/>
              <w:left w:val="nil"/>
              <w:bottom w:val="single" w:sz="8" w:space="0" w:color="auto"/>
              <w:right w:val="single" w:sz="8" w:space="0" w:color="auto"/>
            </w:tcBorders>
            <w:vAlign w:val="center"/>
          </w:tcPr>
          <w:p w14:paraId="35B6AE81" w14:textId="2115A50A" w:rsidR="002C4A82" w:rsidRPr="006D4EEE" w:rsidRDefault="002C4A82">
            <w:pPr>
              <w:spacing w:after="0" w:line="240" w:lineRule="auto"/>
              <w:textAlignment w:val="baseline"/>
              <w:rPr>
                <w:rFonts w:ascii="Inter" w:eastAsia="Times New Roman" w:hAnsi="Inter"/>
                <w:color w:val="000000"/>
                <w:lang w:eastAsia="en-AU"/>
              </w:rPr>
            </w:pPr>
            <w:r w:rsidRPr="006D4EEE">
              <w:rPr>
                <w:rFonts w:ascii="Inter" w:eastAsia="Times New Roman" w:hAnsi="Inter"/>
                <w:color w:val="000000"/>
                <w:lang w:eastAsia="en-AU"/>
              </w:rPr>
              <w:t xml:space="preserve">Total year capital gains </w:t>
            </w:r>
          </w:p>
        </w:tc>
        <w:tc>
          <w:tcPr>
            <w:tcW w:w="2863" w:type="dxa"/>
            <w:tcBorders>
              <w:top w:val="nil"/>
              <w:left w:val="nil"/>
              <w:bottom w:val="single" w:sz="8" w:space="0" w:color="auto"/>
              <w:right w:val="single" w:sz="8" w:space="0" w:color="auto"/>
            </w:tcBorders>
            <w:vAlign w:val="center"/>
          </w:tcPr>
          <w:p w14:paraId="3C51557E" w14:textId="35B289B6" w:rsidR="002C4A82" w:rsidRPr="006D4EEE" w:rsidRDefault="002C4A82">
            <w:pPr>
              <w:spacing w:after="0" w:line="240" w:lineRule="auto"/>
              <w:textAlignment w:val="baseline"/>
              <w:rPr>
                <w:rStyle w:val="normaltextrun"/>
                <w:rFonts w:ascii="Inter" w:hAnsi="Inter"/>
                <w:color w:val="000000"/>
                <w:shd w:val="clear" w:color="auto" w:fill="FFFFFF"/>
              </w:rPr>
            </w:pPr>
            <w:r w:rsidRPr="006D4EEE">
              <w:rPr>
                <w:rStyle w:val="normaltextrun"/>
                <w:rFonts w:ascii="Inter" w:hAnsi="Inter"/>
                <w:color w:val="000000"/>
                <w:shd w:val="clear" w:color="auto" w:fill="FFFFFF"/>
              </w:rPr>
              <w:t>0</w:t>
            </w:r>
            <w:r w:rsidRPr="006D4EEE">
              <w:rPr>
                <w:rStyle w:val="normaltextrun"/>
                <w:shd w:val="clear" w:color="auto" w:fill="FFFFFF"/>
              </w:rPr>
              <w:t>0000</w:t>
            </w:r>
            <w:r w:rsidR="007E3972" w:rsidRPr="006D4EEE">
              <w:rPr>
                <w:rStyle w:val="normaltextrun"/>
                <w:rFonts w:ascii="Inter" w:hAnsi="Inter"/>
                <w:color w:val="000000"/>
                <w:shd w:val="clear" w:color="auto" w:fill="FFFFFF"/>
              </w:rPr>
              <w:t>05</w:t>
            </w:r>
            <w:r w:rsidRPr="006D4EEE">
              <w:rPr>
                <w:rStyle w:val="normaltextrun"/>
                <w:rFonts w:ascii="Inter" w:hAnsi="Inter"/>
                <w:color w:val="000000"/>
                <w:shd w:val="clear" w:color="auto" w:fill="FFFFFF"/>
              </w:rPr>
              <w:t>0</w:t>
            </w:r>
            <w:r w:rsidRPr="006D4EEE">
              <w:rPr>
                <w:rStyle w:val="normaltextrun"/>
                <w:shd w:val="clear" w:color="auto" w:fill="FFFFFF"/>
              </w:rPr>
              <w:t>0000</w:t>
            </w:r>
          </w:p>
        </w:tc>
      </w:tr>
      <w:tr w:rsidR="002C4A82" w:rsidRPr="001F6FCD" w14:paraId="37EE3196" w14:textId="77777777">
        <w:trPr>
          <w:trHeight w:val="270"/>
        </w:trPr>
        <w:tc>
          <w:tcPr>
            <w:tcW w:w="1140" w:type="dxa"/>
            <w:tcBorders>
              <w:top w:val="nil"/>
              <w:left w:val="single" w:sz="8" w:space="0" w:color="auto"/>
              <w:bottom w:val="single" w:sz="8" w:space="0" w:color="auto"/>
              <w:right w:val="single" w:sz="8" w:space="0" w:color="auto"/>
            </w:tcBorders>
            <w:vAlign w:val="center"/>
          </w:tcPr>
          <w:p w14:paraId="7D8B8A65" w14:textId="77777777" w:rsidR="002C4A82" w:rsidRPr="002C4A33" w:rsidRDefault="002C4A82">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9.105</w:t>
            </w:r>
          </w:p>
        </w:tc>
        <w:tc>
          <w:tcPr>
            <w:tcW w:w="5185" w:type="dxa"/>
            <w:tcBorders>
              <w:top w:val="nil"/>
              <w:left w:val="nil"/>
              <w:bottom w:val="single" w:sz="8" w:space="0" w:color="auto"/>
              <w:right w:val="single" w:sz="8" w:space="0" w:color="auto"/>
            </w:tcBorders>
            <w:vAlign w:val="center"/>
          </w:tcPr>
          <w:p w14:paraId="6D4939F4" w14:textId="6B9AF187" w:rsidR="002C4A82" w:rsidRPr="007E3972" w:rsidRDefault="002C4A82">
            <w:pPr>
              <w:spacing w:after="0" w:line="240" w:lineRule="auto"/>
              <w:textAlignment w:val="baseline"/>
              <w:rPr>
                <w:rFonts w:ascii="Inter" w:eastAsia="Times New Roman" w:hAnsi="Inter"/>
                <w:color w:val="000000"/>
                <w:lang w:eastAsia="en-AU"/>
              </w:rPr>
            </w:pPr>
            <w:r w:rsidRPr="007E3972">
              <w:rPr>
                <w:rFonts w:ascii="Inter" w:eastAsia="Times New Roman" w:hAnsi="Inter"/>
                <w:color w:val="000000"/>
                <w:lang w:eastAsia="en-AU"/>
              </w:rPr>
              <w:t xml:space="preserve">Managed investment trust fund payments </w:t>
            </w:r>
          </w:p>
        </w:tc>
        <w:tc>
          <w:tcPr>
            <w:tcW w:w="2863" w:type="dxa"/>
            <w:tcBorders>
              <w:top w:val="nil"/>
              <w:left w:val="nil"/>
              <w:bottom w:val="single" w:sz="8" w:space="0" w:color="auto"/>
              <w:right w:val="single" w:sz="8" w:space="0" w:color="auto"/>
            </w:tcBorders>
            <w:vAlign w:val="center"/>
          </w:tcPr>
          <w:p w14:paraId="2D4129D2" w14:textId="412B99FD" w:rsidR="002C4A82" w:rsidRPr="00E97F33" w:rsidRDefault="002C4A82">
            <w:pPr>
              <w:spacing w:after="0" w:line="240" w:lineRule="auto"/>
              <w:textAlignment w:val="baseline"/>
              <w:rPr>
                <w:rStyle w:val="normaltextrun"/>
                <w:rFonts w:ascii="Inter" w:hAnsi="Inter"/>
                <w:color w:val="000000"/>
                <w:shd w:val="clear" w:color="auto" w:fill="FFFFFF"/>
              </w:rPr>
            </w:pPr>
            <w:r w:rsidRPr="00E97F33">
              <w:rPr>
                <w:rStyle w:val="normaltextrun"/>
                <w:rFonts w:ascii="Inter" w:hAnsi="Inter"/>
                <w:color w:val="000000"/>
                <w:shd w:val="clear" w:color="auto" w:fill="FFFFFF"/>
              </w:rPr>
              <w:t>0</w:t>
            </w:r>
            <w:r w:rsidRPr="00E97F33">
              <w:rPr>
                <w:rStyle w:val="normaltextrun"/>
                <w:shd w:val="clear" w:color="auto" w:fill="FFFFFF"/>
              </w:rPr>
              <w:t>00000</w:t>
            </w:r>
            <w:r w:rsidR="007E3972" w:rsidRPr="006D4EEE">
              <w:rPr>
                <w:rStyle w:val="normaltextrun"/>
                <w:shd w:val="clear" w:color="auto" w:fill="FFFFFF"/>
              </w:rPr>
              <w:t>00</w:t>
            </w:r>
            <w:r w:rsidRPr="00E97F33">
              <w:rPr>
                <w:rStyle w:val="normaltextrun"/>
                <w:shd w:val="clear" w:color="auto" w:fill="FFFFFF"/>
              </w:rPr>
              <w:t>0000</w:t>
            </w:r>
          </w:p>
        </w:tc>
      </w:tr>
      <w:tr w:rsidR="002C4A82" w:rsidRPr="001F6FCD" w14:paraId="441F5655" w14:textId="77777777">
        <w:trPr>
          <w:trHeight w:val="270"/>
        </w:trPr>
        <w:tc>
          <w:tcPr>
            <w:tcW w:w="1140" w:type="dxa"/>
            <w:tcBorders>
              <w:top w:val="nil"/>
              <w:left w:val="single" w:sz="8" w:space="0" w:color="auto"/>
              <w:bottom w:val="single" w:sz="8" w:space="0" w:color="auto"/>
              <w:right w:val="single" w:sz="8" w:space="0" w:color="auto"/>
            </w:tcBorders>
            <w:vAlign w:val="center"/>
          </w:tcPr>
          <w:p w14:paraId="47F1083B" w14:textId="77777777" w:rsidR="002C4A82" w:rsidRPr="006D4EEE" w:rsidRDefault="002C4A82">
            <w:pPr>
              <w:spacing w:after="0" w:line="240" w:lineRule="auto"/>
              <w:textAlignment w:val="baseline"/>
              <w:rPr>
                <w:rFonts w:ascii="Inter" w:eastAsia="Times New Roman" w:hAnsi="Inter"/>
                <w:color w:val="000000"/>
                <w:lang w:eastAsia="en-AU"/>
              </w:rPr>
            </w:pPr>
            <w:r w:rsidRPr="006D4EEE">
              <w:rPr>
                <w:rFonts w:ascii="Inter" w:eastAsia="Times New Roman" w:hAnsi="Inter"/>
                <w:color w:val="000000"/>
                <w:lang w:eastAsia="en-AU"/>
              </w:rPr>
              <w:t>9.106</w:t>
            </w:r>
          </w:p>
        </w:tc>
        <w:tc>
          <w:tcPr>
            <w:tcW w:w="5185" w:type="dxa"/>
            <w:tcBorders>
              <w:top w:val="nil"/>
              <w:left w:val="nil"/>
              <w:bottom w:val="single" w:sz="8" w:space="0" w:color="auto"/>
              <w:right w:val="single" w:sz="8" w:space="0" w:color="auto"/>
            </w:tcBorders>
            <w:vAlign w:val="center"/>
          </w:tcPr>
          <w:p w14:paraId="04D596E1" w14:textId="241BA26B" w:rsidR="002C4A82" w:rsidRPr="006D4EEE" w:rsidRDefault="002C4A82">
            <w:pPr>
              <w:spacing w:after="0" w:line="240" w:lineRule="auto"/>
              <w:textAlignment w:val="baseline"/>
              <w:rPr>
                <w:rFonts w:ascii="Inter" w:eastAsia="Times New Roman" w:hAnsi="Inter"/>
                <w:color w:val="000000"/>
                <w:lang w:eastAsia="en-AU"/>
              </w:rPr>
            </w:pPr>
            <w:r w:rsidRPr="006D4EEE">
              <w:rPr>
                <w:rFonts w:ascii="Inter" w:eastAsia="Times New Roman" w:hAnsi="Inter"/>
                <w:color w:val="000000"/>
                <w:lang w:eastAsia="en-AU"/>
              </w:rPr>
              <w:t xml:space="preserve">Amounts withheld from managed investment trust fund payments </w:t>
            </w:r>
          </w:p>
        </w:tc>
        <w:tc>
          <w:tcPr>
            <w:tcW w:w="2863" w:type="dxa"/>
            <w:tcBorders>
              <w:top w:val="nil"/>
              <w:left w:val="nil"/>
              <w:bottom w:val="single" w:sz="8" w:space="0" w:color="auto"/>
              <w:right w:val="single" w:sz="8" w:space="0" w:color="auto"/>
            </w:tcBorders>
            <w:vAlign w:val="center"/>
          </w:tcPr>
          <w:p w14:paraId="1109E83E" w14:textId="2A7A6BC7" w:rsidR="002C4A82" w:rsidRPr="006D4EEE" w:rsidRDefault="002C4A82">
            <w:pPr>
              <w:spacing w:after="0" w:line="240" w:lineRule="auto"/>
              <w:textAlignment w:val="baseline"/>
              <w:rPr>
                <w:rStyle w:val="normaltextrun"/>
                <w:rFonts w:ascii="Inter" w:hAnsi="Inter"/>
                <w:color w:val="000000"/>
                <w:shd w:val="clear" w:color="auto" w:fill="FFFFFF"/>
              </w:rPr>
            </w:pPr>
            <w:r w:rsidRPr="006D4EEE">
              <w:rPr>
                <w:rStyle w:val="normaltextrun"/>
                <w:rFonts w:ascii="Inter" w:hAnsi="Inter"/>
                <w:color w:val="000000"/>
                <w:shd w:val="clear" w:color="auto" w:fill="FFFFFF"/>
              </w:rPr>
              <w:t>0</w:t>
            </w:r>
            <w:r w:rsidRPr="006D4EEE">
              <w:rPr>
                <w:rStyle w:val="normaltextrun"/>
                <w:shd w:val="clear" w:color="auto" w:fill="FFFFFF"/>
              </w:rPr>
              <w:t>00000</w:t>
            </w:r>
            <w:r w:rsidR="007E3972" w:rsidRPr="006D4EEE">
              <w:rPr>
                <w:rStyle w:val="normaltextrun"/>
                <w:shd w:val="clear" w:color="auto" w:fill="FFFFFF"/>
              </w:rPr>
              <w:t>00</w:t>
            </w:r>
            <w:r w:rsidRPr="006D4EEE">
              <w:rPr>
                <w:rStyle w:val="normaltextrun"/>
                <w:shd w:val="clear" w:color="auto" w:fill="FFFFFF"/>
              </w:rPr>
              <w:t>000</w:t>
            </w:r>
            <w:r w:rsidR="00E673C8">
              <w:rPr>
                <w:rStyle w:val="normaltextrun"/>
                <w:shd w:val="clear" w:color="auto" w:fill="FFFFFF"/>
              </w:rPr>
              <w:t>0</w:t>
            </w:r>
          </w:p>
        </w:tc>
      </w:tr>
    </w:tbl>
    <w:p w14:paraId="02669C84" w14:textId="77777777" w:rsidR="002C4A82" w:rsidRDefault="002C4A82" w:rsidP="004E184B">
      <w:pPr>
        <w:spacing w:after="0" w:line="240" w:lineRule="auto"/>
        <w:textAlignment w:val="baseline"/>
        <w:rPr>
          <w:rFonts w:ascii="Segoe UI" w:eastAsia="Times New Roman" w:hAnsi="Segoe UI" w:cs="Segoe UI"/>
          <w:color w:val="000000"/>
          <w:sz w:val="18"/>
          <w:szCs w:val="18"/>
          <w:lang w:eastAsia="en-AU"/>
        </w:rPr>
      </w:pPr>
    </w:p>
    <w:p w14:paraId="12DE8BE0" w14:textId="25B589AF" w:rsidR="00E17359" w:rsidRDefault="00E17359" w:rsidP="00E17359">
      <w:pPr>
        <w:pStyle w:val="Maintext"/>
        <w:rPr>
          <w:rFonts w:ascii="Inter" w:hAnsi="Inter" w:cs="Segoe UI"/>
          <w:color w:val="000000"/>
        </w:rPr>
      </w:pPr>
      <w:r w:rsidRPr="00301F1F">
        <w:rPr>
          <w:rFonts w:asciiTheme="minorHAnsi" w:hAnsiTheme="minorHAnsi" w:cs="Arial"/>
          <w:b/>
          <w:smallCaps/>
          <w:sz w:val="20"/>
          <w:szCs w:val="20"/>
        </w:rPr>
        <w:t xml:space="preserve">supplementary income account data record </w:t>
      </w:r>
      <w:r>
        <w:rPr>
          <w:rFonts w:asciiTheme="minorHAnsi" w:hAnsiTheme="minorHAnsi" w:cs="Arial"/>
          <w:b/>
          <w:smallCaps/>
          <w:sz w:val="20"/>
          <w:szCs w:val="20"/>
        </w:rPr>
        <w:t>2</w:t>
      </w:r>
      <w:r w:rsidRPr="00301F1F">
        <w:rPr>
          <w:rFonts w:asciiTheme="minorHAnsi" w:hAnsiTheme="minorHAnsi" w:cs="Arial"/>
          <w:b/>
          <w:smallCaps/>
          <w:sz w:val="20"/>
          <w:szCs w:val="20"/>
        </w:rPr>
        <w:t xml:space="preserve"> for 1 investor </w:t>
      </w:r>
      <w:r w:rsidR="00777177" w:rsidRPr="004722FB">
        <w:rPr>
          <w:rFonts w:ascii="Inter" w:hAnsi="Inter" w:cs="Segoe UI"/>
          <w:smallCaps/>
          <w:color w:val="000000"/>
        </w:rPr>
        <w:t>(</w:t>
      </w:r>
      <w:r w:rsidR="00777177" w:rsidRPr="004335E5">
        <w:rPr>
          <w:rFonts w:ascii="Inter" w:hAnsi="Inter" w:cs="Segoe UI"/>
          <w:smallCaps/>
          <w:color w:val="000000"/>
          <w:sz w:val="20"/>
          <w:szCs w:val="22"/>
        </w:rPr>
        <w:t>extract</w:t>
      </w:r>
      <w:r w:rsidR="00777177" w:rsidRPr="00130C1F">
        <w:rPr>
          <w:rFonts w:ascii="Inter" w:hAnsi="Inter" w:cs="Segoe UI"/>
          <w:smallCaps/>
          <w:color w:val="000000"/>
        </w:rPr>
        <w:t xml:space="preserve"> – </w:t>
      </w:r>
      <w:r w:rsidR="00777177" w:rsidRPr="00130C1F">
        <w:rPr>
          <w:rFonts w:ascii="Inter" w:hAnsi="Inter" w:cs="Segoe UI"/>
          <w:smallCaps/>
          <w:color w:val="000000"/>
          <w:sz w:val="16"/>
          <w:szCs w:val="16"/>
        </w:rPr>
        <w:t>NON-RESIDENT</w:t>
      </w:r>
      <w:r w:rsidR="00777177" w:rsidRPr="00130C1F">
        <w:rPr>
          <w:rFonts w:ascii="Inter" w:hAnsi="Inter" w:cs="Segoe UI"/>
          <w:smallCaps/>
          <w:color w:val="000000"/>
        </w:rPr>
        <w:t>)</w:t>
      </w:r>
      <w:r w:rsidR="00777177" w:rsidRPr="00151759" w:rsidDel="00777177">
        <w:rPr>
          <w:rFonts w:asciiTheme="minorHAnsi" w:hAnsiTheme="minorHAnsi" w:cs="Arial"/>
          <w:smallCaps/>
          <w:sz w:val="20"/>
          <w:szCs w:val="20"/>
        </w:rPr>
        <w:t xml:space="preserve"> </w:t>
      </w:r>
      <w:r w:rsidR="00777177" w:rsidRPr="00151759">
        <w:rPr>
          <w:rFonts w:asciiTheme="minorHAnsi" w:hAnsiTheme="minorHAnsi" w:cs="Arial"/>
          <w:smallCaps/>
          <w:sz w:val="20"/>
          <w:szCs w:val="20"/>
        </w:rPr>
        <w:t xml:space="preserve"> </w:t>
      </w:r>
    </w:p>
    <w:p w14:paraId="06AA9DFE" w14:textId="77777777" w:rsidR="0079514C" w:rsidRDefault="0079514C" w:rsidP="00E17359">
      <w:pPr>
        <w:pStyle w:val="Maintext"/>
        <w:rPr>
          <w:rFonts w:asciiTheme="minorHAnsi" w:hAnsiTheme="minorHAnsi" w:cs="Arial"/>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499"/>
        <w:gridCol w:w="2361"/>
      </w:tblGrid>
      <w:tr w:rsidR="00E17359" w:rsidRPr="00B11B96" w14:paraId="36B92517" w14:textId="77777777">
        <w:trPr>
          <w:trHeight w:val="495"/>
          <w:tblHeader/>
        </w:trPr>
        <w:tc>
          <w:tcPr>
            <w:tcW w:w="675"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EA8C63F" w14:textId="77777777" w:rsidR="00E17359" w:rsidRPr="00B11B96" w:rsidRDefault="00E17359">
            <w:pPr>
              <w:spacing w:after="0" w:line="240" w:lineRule="auto"/>
              <w:rPr>
                <w:rFonts w:cs="Arial"/>
              </w:rPr>
            </w:pPr>
            <w:r w:rsidRPr="00F4606C">
              <w:rPr>
                <w:rFonts w:cs="Arial"/>
                <w:b/>
                <w:bCs/>
              </w:rPr>
              <w:t>Reference number</w:t>
            </w:r>
          </w:p>
        </w:tc>
        <w:tc>
          <w:tcPr>
            <w:tcW w:w="302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BCA4FBB" w14:textId="77777777" w:rsidR="00E17359" w:rsidRPr="00B11B96" w:rsidRDefault="00E17359">
            <w:pPr>
              <w:spacing w:after="0" w:line="240" w:lineRule="auto"/>
              <w:rPr>
                <w:rFonts w:cs="Arial"/>
              </w:rPr>
            </w:pPr>
            <w:r w:rsidRPr="00F4606C">
              <w:rPr>
                <w:rFonts w:cs="Arial"/>
                <w:b/>
                <w:bCs/>
              </w:rPr>
              <w:t>Field name</w:t>
            </w:r>
          </w:p>
        </w:tc>
        <w:tc>
          <w:tcPr>
            <w:tcW w:w="1299"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B6181B1" w14:textId="77777777" w:rsidR="00E17359" w:rsidRPr="00B11B96" w:rsidRDefault="00E17359">
            <w:pPr>
              <w:spacing w:after="0" w:line="240" w:lineRule="auto"/>
              <w:rPr>
                <w:rFonts w:cs="Arial"/>
              </w:rPr>
            </w:pPr>
            <w:r w:rsidRPr="00F4606C">
              <w:rPr>
                <w:rFonts w:cs="Arial"/>
                <w:b/>
                <w:bCs/>
              </w:rPr>
              <w:t>Content</w:t>
            </w:r>
          </w:p>
        </w:tc>
      </w:tr>
      <w:tr w:rsidR="00E17359" w:rsidRPr="00B11B96" w14:paraId="3585CD3E"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F89CF1" w14:textId="01B9221F" w:rsidR="00E17359" w:rsidRPr="002C4A33" w:rsidRDefault="00E17359" w:rsidP="00E17359">
            <w:pPr>
              <w:spacing w:after="0" w:line="240" w:lineRule="auto"/>
              <w:rPr>
                <w:rFonts w:cs="Arial"/>
              </w:rPr>
            </w:pPr>
            <w:r>
              <w:rPr>
                <w:rFonts w:cs="Arial"/>
              </w:rPr>
              <w:t>9.121</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3EA9B4A0" w14:textId="365EACE5" w:rsidR="00E17359" w:rsidRPr="002C4A33" w:rsidRDefault="00E17359" w:rsidP="00E17359">
            <w:pPr>
              <w:spacing w:after="0" w:line="240" w:lineRule="auto"/>
              <w:rPr>
                <w:rFonts w:cs="Arial"/>
              </w:rPr>
            </w:pPr>
            <w:r>
              <w:rPr>
                <w:rFonts w:cs="Arial"/>
              </w:rPr>
              <w:t xml:space="preserve">Gross cash distribution </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0F832742" w14:textId="5FDC10B8" w:rsidR="00E17359" w:rsidRPr="00E97F33" w:rsidRDefault="00E17359" w:rsidP="00E17359">
            <w:pPr>
              <w:spacing w:after="0" w:line="240" w:lineRule="auto"/>
              <w:rPr>
                <w:rFonts w:cs="Arial"/>
              </w:rPr>
            </w:pPr>
            <w:r w:rsidRPr="00E97F33">
              <w:rPr>
                <w:rFonts w:cs="Arial"/>
              </w:rPr>
              <w:t>00000</w:t>
            </w:r>
            <w:r w:rsidR="00170202" w:rsidRPr="00B078CC">
              <w:rPr>
                <w:rFonts w:cs="Arial"/>
              </w:rPr>
              <w:t>160</w:t>
            </w:r>
            <w:r w:rsidRPr="00E97F33">
              <w:rPr>
                <w:rFonts w:cs="Arial"/>
              </w:rPr>
              <w:t>0000</w:t>
            </w:r>
          </w:p>
        </w:tc>
      </w:tr>
      <w:tr w:rsidR="00E17359" w:rsidRPr="00B11B96" w14:paraId="1BFAA7A5"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0A943" w14:textId="77777777" w:rsidR="00E17359" w:rsidRPr="002C4A33" w:rsidRDefault="00E17359" w:rsidP="00E17359">
            <w:pPr>
              <w:spacing w:after="0" w:line="240" w:lineRule="auto"/>
              <w:rPr>
                <w:rFonts w:cs="Arial"/>
              </w:rPr>
            </w:pPr>
            <w:r w:rsidRPr="002C4A33">
              <w:rPr>
                <w:rFonts w:cs="Arial"/>
              </w:rPr>
              <w:t>9.123</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1AFA5B3D" w14:textId="77777777" w:rsidR="00E17359" w:rsidRPr="002C4A33" w:rsidRDefault="00E17359" w:rsidP="00E17359">
            <w:pPr>
              <w:spacing w:after="0" w:line="240" w:lineRule="auto"/>
              <w:rPr>
                <w:rFonts w:cs="Arial"/>
              </w:rPr>
            </w:pPr>
            <w:r w:rsidRPr="002C4A33">
              <w:rPr>
                <w:rFonts w:cs="Arial"/>
              </w:rPr>
              <w:t>Capital Gains discount method – Taxable Australian property</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118AFC38" w14:textId="71B8C13D" w:rsidR="00E17359" w:rsidRPr="00E97F33" w:rsidRDefault="00E17359" w:rsidP="00E17359">
            <w:pPr>
              <w:spacing w:after="0" w:line="240" w:lineRule="auto"/>
              <w:rPr>
                <w:rFonts w:cs="Arial"/>
              </w:rPr>
            </w:pPr>
            <w:r w:rsidRPr="00E97F33">
              <w:rPr>
                <w:rFonts w:cs="Arial"/>
              </w:rPr>
              <w:t>000000</w:t>
            </w:r>
            <w:r w:rsidR="00170202" w:rsidRPr="00B078CC">
              <w:rPr>
                <w:rFonts w:cs="Arial"/>
              </w:rPr>
              <w:t>25</w:t>
            </w:r>
            <w:r w:rsidRPr="00E97F33">
              <w:rPr>
                <w:rFonts w:cs="Arial"/>
              </w:rPr>
              <w:t>0000</w:t>
            </w:r>
          </w:p>
        </w:tc>
      </w:tr>
      <w:tr w:rsidR="00E17359" w:rsidRPr="00B11B96" w14:paraId="3D68C32F"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F2AA5" w14:textId="77777777" w:rsidR="00E17359" w:rsidRDefault="00E17359" w:rsidP="00E17359">
            <w:pPr>
              <w:spacing w:after="0" w:line="240" w:lineRule="auto"/>
              <w:rPr>
                <w:rFonts w:cs="Arial"/>
              </w:rPr>
            </w:pPr>
            <w:r>
              <w:rPr>
                <w:rFonts w:cs="Arial"/>
              </w:rPr>
              <w:t>9.138</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3EFA2" w14:textId="77777777" w:rsidR="00E17359" w:rsidRPr="00302E32" w:rsidRDefault="00E17359" w:rsidP="00E17359">
            <w:pPr>
              <w:spacing w:after="0" w:line="240" w:lineRule="auto"/>
              <w:rPr>
                <w:rFonts w:cs="Arial"/>
              </w:rPr>
            </w:pPr>
            <w:r>
              <w:rPr>
                <w:rFonts w:cs="Arial"/>
              </w:rPr>
              <w:t>Excluded from NCMI – Non-primary production</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CDEB5" w14:textId="39FDD3D9" w:rsidR="00E17359" w:rsidRPr="00E97F33" w:rsidRDefault="003A2999" w:rsidP="00E17359">
            <w:pPr>
              <w:spacing w:after="0" w:line="240" w:lineRule="auto"/>
              <w:rPr>
                <w:rFonts w:cs="Arial"/>
              </w:rPr>
            </w:pPr>
            <w:r w:rsidRPr="00E97F33">
              <w:rPr>
                <w:rFonts w:cs="Arial"/>
              </w:rPr>
              <w:t>00000</w:t>
            </w:r>
            <w:r w:rsidRPr="00B078CC">
              <w:rPr>
                <w:rFonts w:cs="Arial"/>
              </w:rPr>
              <w:t>11</w:t>
            </w:r>
            <w:r w:rsidRPr="00E97F33">
              <w:rPr>
                <w:rFonts w:cs="Arial"/>
              </w:rPr>
              <w:t>00000</w:t>
            </w:r>
          </w:p>
        </w:tc>
      </w:tr>
      <w:tr w:rsidR="00E17359" w:rsidRPr="00B11B96" w14:paraId="2D02BE4A"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14BE9C" w14:textId="77777777" w:rsidR="00E17359" w:rsidRDefault="00E17359" w:rsidP="00E17359">
            <w:pPr>
              <w:spacing w:after="0" w:line="240" w:lineRule="auto"/>
              <w:rPr>
                <w:rFonts w:cs="Arial"/>
              </w:rPr>
            </w:pPr>
            <w:r>
              <w:rPr>
                <w:rFonts w:cs="Arial"/>
              </w:rPr>
              <w:t>9.141</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14D05" w14:textId="77777777" w:rsidR="00E17359" w:rsidRDefault="00E17359" w:rsidP="00E17359">
            <w:pPr>
              <w:pStyle w:val="Maintext"/>
              <w:rPr>
                <w:rFonts w:asciiTheme="minorHAnsi" w:eastAsiaTheme="majorEastAsia" w:hAnsiTheme="minorHAnsi" w:cstheme="majorBidi"/>
                <w:bCs/>
                <w:color w:val="000000" w:themeColor="text1"/>
                <w:spacing w:val="4"/>
                <w:sz w:val="20"/>
                <w:szCs w:val="20"/>
                <w:lang w:eastAsia="en-US"/>
              </w:rPr>
            </w:pPr>
            <w:r>
              <w:rPr>
                <w:rFonts w:asciiTheme="minorHAnsi" w:eastAsiaTheme="majorEastAsia" w:hAnsiTheme="minorHAnsi" w:cstheme="majorBidi"/>
                <w:bCs/>
                <w:color w:val="000000" w:themeColor="text1"/>
                <w:spacing w:val="4"/>
                <w:sz w:val="20"/>
                <w:szCs w:val="20"/>
                <w:lang w:eastAsia="en-US"/>
              </w:rPr>
              <w:t>Excluded from NCMI Capital Gains</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4BDD0" w14:textId="6F11CD9D" w:rsidR="00E17359" w:rsidRPr="00E97F33" w:rsidRDefault="003A2999" w:rsidP="00E17359">
            <w:pPr>
              <w:spacing w:after="0" w:line="240" w:lineRule="auto"/>
              <w:rPr>
                <w:rFonts w:cs="Arial"/>
              </w:rPr>
            </w:pPr>
            <w:r w:rsidRPr="00E97F33">
              <w:rPr>
                <w:rFonts w:cs="Arial"/>
              </w:rPr>
              <w:t>000000</w:t>
            </w:r>
            <w:r w:rsidRPr="00B078CC">
              <w:rPr>
                <w:rFonts w:cs="Arial"/>
              </w:rPr>
              <w:t>5</w:t>
            </w:r>
            <w:r w:rsidRPr="00E97F33">
              <w:rPr>
                <w:rFonts w:cs="Arial"/>
              </w:rPr>
              <w:t>00000</w:t>
            </w:r>
          </w:p>
        </w:tc>
      </w:tr>
      <w:tr w:rsidR="00C779FB" w:rsidRPr="00B11B96" w14:paraId="3B562CC3"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B81F9" w14:textId="0A65F043" w:rsidR="00C779FB" w:rsidRDefault="00C779FB" w:rsidP="00C779FB">
            <w:pPr>
              <w:spacing w:after="0" w:line="240" w:lineRule="auto"/>
              <w:rPr>
                <w:rFonts w:cs="Arial"/>
              </w:rPr>
            </w:pPr>
            <w:r w:rsidRPr="004335E5">
              <w:rPr>
                <w:rFonts w:cs="Arial"/>
              </w:rPr>
              <w:t>9.142</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5EECB" w14:textId="03BEFB28" w:rsidR="00C779FB" w:rsidRPr="00E97F33" w:rsidRDefault="00C779FB" w:rsidP="00C779FB">
            <w:pPr>
              <w:pStyle w:val="Maintext"/>
              <w:rPr>
                <w:rFonts w:asciiTheme="minorHAnsi" w:eastAsiaTheme="majorEastAsia" w:hAnsiTheme="minorHAnsi" w:cstheme="majorBidi"/>
                <w:bCs/>
                <w:color w:val="000000" w:themeColor="text1"/>
                <w:spacing w:val="4"/>
                <w:sz w:val="20"/>
                <w:szCs w:val="20"/>
                <w:lang w:eastAsia="en-US"/>
              </w:rPr>
            </w:pPr>
            <w:r w:rsidRPr="00B078CC">
              <w:rPr>
                <w:rFonts w:asciiTheme="minorHAnsi" w:hAnsiTheme="minorHAnsi" w:cs="Arial"/>
                <w:sz w:val="20"/>
                <w:szCs w:val="20"/>
              </w:rPr>
              <w:t xml:space="preserve">BTR entity of payment recipient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6CA92" w14:textId="50B5E594" w:rsidR="00C779FB" w:rsidRPr="00B078CC" w:rsidRDefault="00C779FB" w:rsidP="00C779FB">
            <w:pPr>
              <w:spacing w:after="0" w:line="240" w:lineRule="auto"/>
              <w:rPr>
                <w:rFonts w:cs="Arial"/>
              </w:rPr>
            </w:pPr>
            <w:r w:rsidRPr="00045550">
              <w:rPr>
                <w:rFonts w:cs="Arial"/>
              </w:rPr>
              <w:t>E</w:t>
            </w:r>
          </w:p>
        </w:tc>
      </w:tr>
      <w:tr w:rsidR="00C779FB" w:rsidRPr="00B11B96" w14:paraId="05195179"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07B926" w14:textId="6D353382" w:rsidR="00C779FB" w:rsidRDefault="00C779FB" w:rsidP="00C779FB">
            <w:pPr>
              <w:spacing w:after="0" w:line="240" w:lineRule="auto"/>
              <w:rPr>
                <w:rFonts w:cs="Arial"/>
              </w:rPr>
            </w:pPr>
            <w:r w:rsidRPr="000771F3">
              <w:rPr>
                <w:rFonts w:cs="Arial"/>
              </w:rPr>
              <w:t>9.143</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6BDE0" w14:textId="2D05ECC7" w:rsidR="00C779FB" w:rsidRPr="00E97F33" w:rsidRDefault="00C779FB" w:rsidP="00C779FB">
            <w:pPr>
              <w:pStyle w:val="Maintext"/>
              <w:rPr>
                <w:rFonts w:asciiTheme="minorHAnsi" w:eastAsiaTheme="majorEastAsia" w:hAnsiTheme="minorHAnsi" w:cstheme="majorBidi"/>
                <w:bCs/>
                <w:color w:val="000000" w:themeColor="text1"/>
                <w:spacing w:val="4"/>
                <w:sz w:val="20"/>
                <w:szCs w:val="20"/>
                <w:lang w:eastAsia="en-US"/>
              </w:rPr>
            </w:pPr>
            <w:r w:rsidRPr="00B078CC">
              <w:rPr>
                <w:rFonts w:asciiTheme="minorHAnsi" w:hAnsiTheme="minorHAnsi" w:cs="Arial"/>
                <w:sz w:val="20"/>
                <w:szCs w:val="20"/>
              </w:rPr>
              <w:t>ATO BTR Development ID</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EF066" w14:textId="27CB26E9" w:rsidR="00C779FB" w:rsidRPr="00B078CC" w:rsidRDefault="00C779FB" w:rsidP="00C779FB">
            <w:pPr>
              <w:spacing w:after="0" w:line="240" w:lineRule="auto"/>
              <w:rPr>
                <w:rFonts w:cs="Arial"/>
              </w:rPr>
            </w:pPr>
            <w:r w:rsidRPr="00DF1912">
              <w:rPr>
                <w:rFonts w:cs="Arial"/>
              </w:rPr>
              <w:t>106574203384</w:t>
            </w:r>
            <w:r w:rsidR="00A12382" w:rsidRPr="00E97F33">
              <w:rPr>
                <w:rFonts w:cs="Arial"/>
              </w:rPr>
              <w:t>5</w:t>
            </w:r>
          </w:p>
        </w:tc>
      </w:tr>
      <w:tr w:rsidR="00C779FB" w:rsidRPr="00B11B96" w14:paraId="1C8ECC38"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ADBBF" w14:textId="77777777" w:rsidR="00C779FB" w:rsidRDefault="00C779FB" w:rsidP="00C779FB">
            <w:pPr>
              <w:spacing w:after="0" w:line="240" w:lineRule="auto"/>
              <w:rPr>
                <w:rFonts w:cs="Arial"/>
              </w:rPr>
            </w:pPr>
            <w:r>
              <w:rPr>
                <w:rFonts w:cs="Arial"/>
              </w:rPr>
              <w:t>9.144</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D1770" w14:textId="4DE0A9EF" w:rsidR="00C779FB" w:rsidRDefault="00C779FB" w:rsidP="00C779FB">
            <w:pPr>
              <w:spacing w:after="0" w:line="240" w:lineRule="auto"/>
              <w:rPr>
                <w:rFonts w:cs="Arial"/>
              </w:rPr>
            </w:pPr>
            <w:r w:rsidRPr="00302E32">
              <w:rPr>
                <w:rFonts w:cs="Arial"/>
              </w:rPr>
              <w:t>BTR excluded from NCMI – non-primary productio</w:t>
            </w:r>
            <w:r>
              <w:rPr>
                <w:rFonts w:cs="Arial"/>
              </w:rPr>
              <w:t xml:space="preserve">n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8F07E" w14:textId="02F389CB" w:rsidR="00C779FB" w:rsidRPr="00E97F33" w:rsidRDefault="00C779FB" w:rsidP="00C779FB">
            <w:pPr>
              <w:spacing w:after="0" w:line="240" w:lineRule="auto"/>
              <w:rPr>
                <w:rFonts w:cs="Arial"/>
              </w:rPr>
            </w:pPr>
            <w:r w:rsidRPr="00E97F33">
              <w:rPr>
                <w:rFonts w:cs="Arial"/>
              </w:rPr>
              <w:t>00000</w:t>
            </w:r>
            <w:r w:rsidRPr="00B078CC">
              <w:rPr>
                <w:rFonts w:cs="Arial"/>
              </w:rPr>
              <w:t>11</w:t>
            </w:r>
            <w:r w:rsidRPr="00E97F33">
              <w:rPr>
                <w:rFonts w:cs="Arial"/>
              </w:rPr>
              <w:t>00000</w:t>
            </w:r>
          </w:p>
        </w:tc>
      </w:tr>
      <w:tr w:rsidR="00C779FB" w:rsidRPr="00B11B96" w14:paraId="12AE5544"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3D4DE5" w14:textId="77777777" w:rsidR="00C779FB" w:rsidRDefault="00C779FB" w:rsidP="00C779FB">
            <w:pPr>
              <w:spacing w:after="0" w:line="240" w:lineRule="auto"/>
              <w:rPr>
                <w:rFonts w:cs="Arial"/>
              </w:rPr>
            </w:pPr>
            <w:r>
              <w:rPr>
                <w:rFonts w:cs="Arial"/>
              </w:rPr>
              <w:t>9.145</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E223F5" w14:textId="205EF52B" w:rsidR="00C779FB" w:rsidRPr="00793CF4" w:rsidRDefault="00C779FB" w:rsidP="00C779FB">
            <w:pPr>
              <w:pStyle w:val="Maintext"/>
              <w:rPr>
                <w:rFonts w:eastAsiaTheme="majorEastAsia" w:cstheme="majorBidi"/>
                <w:spacing w:val="4"/>
              </w:rPr>
            </w:pPr>
            <w:r>
              <w:rPr>
                <w:rFonts w:asciiTheme="minorHAnsi" w:eastAsiaTheme="majorEastAsia" w:hAnsiTheme="minorHAnsi" w:cstheme="majorBidi"/>
                <w:bCs/>
                <w:color w:val="000000" w:themeColor="text1"/>
                <w:spacing w:val="4"/>
                <w:sz w:val="20"/>
                <w:szCs w:val="20"/>
                <w:lang w:eastAsia="en-US"/>
              </w:rPr>
              <w:t xml:space="preserve">BTR excluded from NCMI capital gains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A38B5" w14:textId="20D5A777" w:rsidR="00C779FB" w:rsidRPr="00E97F33" w:rsidRDefault="00C779FB" w:rsidP="00C779FB">
            <w:pPr>
              <w:spacing w:after="0" w:line="240" w:lineRule="auto"/>
              <w:rPr>
                <w:rFonts w:cs="Arial"/>
              </w:rPr>
            </w:pPr>
            <w:r w:rsidRPr="00E97F33">
              <w:rPr>
                <w:rFonts w:cs="Arial"/>
              </w:rPr>
              <w:t>000000</w:t>
            </w:r>
            <w:r w:rsidRPr="00B078CC">
              <w:rPr>
                <w:rFonts w:cs="Arial"/>
              </w:rPr>
              <w:t>5</w:t>
            </w:r>
            <w:r w:rsidRPr="00E97F33">
              <w:rPr>
                <w:rFonts w:cs="Arial"/>
              </w:rPr>
              <w:t>00000</w:t>
            </w:r>
          </w:p>
        </w:tc>
      </w:tr>
      <w:tr w:rsidR="00C779FB" w:rsidRPr="00B11B96" w14:paraId="07424CE0"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9DF8E" w14:textId="77777777" w:rsidR="00C779FB" w:rsidRDefault="00C779FB" w:rsidP="00C779FB">
            <w:pPr>
              <w:spacing w:after="0" w:line="240" w:lineRule="auto"/>
              <w:rPr>
                <w:rFonts w:cs="Arial"/>
              </w:rPr>
            </w:pPr>
            <w:r>
              <w:rPr>
                <w:rFonts w:cs="Arial"/>
              </w:rPr>
              <w:t>9.146</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D219DD" w14:textId="186E3530" w:rsidR="00C779FB" w:rsidRDefault="00C779FB" w:rsidP="00C779FB">
            <w:pPr>
              <w:pStyle w:val="Maintext"/>
              <w:rPr>
                <w:rFonts w:asciiTheme="minorHAnsi" w:eastAsiaTheme="majorEastAsia" w:hAnsiTheme="minorHAnsi" w:cstheme="majorBidi"/>
                <w:bCs/>
                <w:color w:val="000000" w:themeColor="text1"/>
                <w:spacing w:val="4"/>
                <w:sz w:val="20"/>
                <w:szCs w:val="20"/>
                <w:lang w:eastAsia="en-US"/>
              </w:rPr>
            </w:pPr>
            <w:r>
              <w:rPr>
                <w:rFonts w:asciiTheme="minorHAnsi" w:eastAsiaTheme="majorEastAsia" w:hAnsiTheme="minorHAnsi" w:cstheme="majorBidi"/>
                <w:bCs/>
                <w:color w:val="000000" w:themeColor="text1"/>
                <w:spacing w:val="4"/>
                <w:sz w:val="20"/>
                <w:szCs w:val="20"/>
                <w:lang w:eastAsia="en-US"/>
              </w:rPr>
              <w:t xml:space="preserve">Active BTR withholding amount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6ED81" w14:textId="1CC98F89" w:rsidR="00C779FB" w:rsidRPr="00E97F33" w:rsidRDefault="00081145" w:rsidP="00C779FB">
            <w:pPr>
              <w:spacing w:after="0" w:line="240" w:lineRule="auto"/>
              <w:rPr>
                <w:rFonts w:cs="Arial"/>
              </w:rPr>
            </w:pPr>
            <w:r w:rsidRPr="00E97F33">
              <w:rPr>
                <w:rFonts w:cs="Arial"/>
              </w:rPr>
              <w:t>000000</w:t>
            </w:r>
            <w:r w:rsidR="009B7AD5">
              <w:rPr>
                <w:rFonts w:cs="Arial"/>
              </w:rPr>
              <w:t>24</w:t>
            </w:r>
            <w:r w:rsidRPr="00E97F33">
              <w:rPr>
                <w:rFonts w:cs="Arial"/>
              </w:rPr>
              <w:t>0000</w:t>
            </w:r>
          </w:p>
        </w:tc>
      </w:tr>
    </w:tbl>
    <w:p w14:paraId="139AC9F6" w14:textId="74314C1C" w:rsidR="00851B4D" w:rsidRPr="00777FBF" w:rsidRDefault="00081145" w:rsidP="00FD40F7">
      <w:pPr>
        <w:spacing w:after="0" w:line="240" w:lineRule="auto"/>
        <w:rPr>
          <w:rFonts w:cs="Arial"/>
          <w:sz w:val="18"/>
          <w:szCs w:val="18"/>
        </w:rPr>
      </w:pPr>
      <w:r w:rsidRPr="00777FBF">
        <w:rPr>
          <w:iCs/>
          <w:color w:val="000000"/>
          <w:sz w:val="18"/>
          <w:szCs w:val="18"/>
        </w:rPr>
        <w:t>An</w:t>
      </w:r>
      <w:r w:rsidR="00851B4D" w:rsidRPr="00777FBF">
        <w:rPr>
          <w:i/>
          <w:color w:val="000000"/>
          <w:sz w:val="18"/>
          <w:szCs w:val="18"/>
        </w:rPr>
        <w:t xml:space="preserve"> Investor Data Record </w:t>
      </w:r>
      <w:r w:rsidR="00851B4D" w:rsidRPr="00777FBF">
        <w:rPr>
          <w:color w:val="000000"/>
          <w:sz w:val="18"/>
          <w:szCs w:val="18"/>
        </w:rPr>
        <w:t xml:space="preserve">is required following the </w:t>
      </w:r>
      <w:r w:rsidR="00851B4D" w:rsidRPr="00777FBF">
        <w:rPr>
          <w:rFonts w:cs="Arial"/>
          <w:i/>
          <w:sz w:val="18"/>
          <w:szCs w:val="18"/>
        </w:rPr>
        <w:t>Supplementary Income Account Data Record</w:t>
      </w:r>
    </w:p>
    <w:p w14:paraId="38F119D6" w14:textId="3FBA3DFB" w:rsidR="00F77402" w:rsidRPr="00777FBF" w:rsidRDefault="00F77402" w:rsidP="004E184B">
      <w:pPr>
        <w:spacing w:after="0" w:line="240" w:lineRule="auto"/>
        <w:textAlignment w:val="baseline"/>
        <w:rPr>
          <w:rFonts w:cs="Arial"/>
          <w:i/>
          <w:sz w:val="18"/>
          <w:szCs w:val="18"/>
        </w:rPr>
      </w:pPr>
    </w:p>
    <w:p w14:paraId="7842EDF3" w14:textId="0A766F6A" w:rsidR="00DB0080" w:rsidRPr="00B078CC" w:rsidRDefault="00851B4D" w:rsidP="004E184B">
      <w:pPr>
        <w:spacing w:after="0" w:line="240" w:lineRule="auto"/>
        <w:textAlignment w:val="baseline"/>
        <w:rPr>
          <w:rFonts w:cs="Arial"/>
        </w:rPr>
      </w:pPr>
      <w:r>
        <w:rPr>
          <w:rFonts w:cs="Arial"/>
          <w:iCs/>
        </w:rPr>
        <w:t>-------------</w:t>
      </w:r>
    </w:p>
    <w:p w14:paraId="2F62D5CD" w14:textId="77777777" w:rsidR="00DB0080" w:rsidRDefault="00DB0080" w:rsidP="004E184B">
      <w:pPr>
        <w:spacing w:after="0" w:line="240" w:lineRule="auto"/>
        <w:textAlignment w:val="baseline"/>
        <w:rPr>
          <w:rFonts w:cs="Arial"/>
          <w:i/>
        </w:rPr>
      </w:pPr>
    </w:p>
    <w:p w14:paraId="5537E857" w14:textId="44D3D077" w:rsidR="009315EB" w:rsidRDefault="009315EB" w:rsidP="009315EB">
      <w:pPr>
        <w:spacing w:after="0" w:line="240" w:lineRule="auto"/>
        <w:textAlignment w:val="baseline"/>
        <w:rPr>
          <w:rFonts w:ascii="Inter" w:eastAsia="Times New Roman" w:hAnsi="Inter" w:cs="Segoe UI"/>
          <w:color w:val="000000"/>
          <w:lang w:eastAsia="en-AU"/>
        </w:rPr>
      </w:pPr>
      <w:r w:rsidRPr="00151759">
        <w:rPr>
          <w:rFonts w:ascii="Inter" w:eastAsia="Times New Roman" w:hAnsi="Inter" w:cs="Segoe UI"/>
          <w:b/>
          <w:smallCaps/>
          <w:color w:val="000000"/>
          <w:lang w:eastAsia="en-AU"/>
        </w:rPr>
        <w:t>investment account data record 3 for 1 investor </w:t>
      </w:r>
      <w:r w:rsidR="00777177" w:rsidRPr="004722FB">
        <w:rPr>
          <w:rFonts w:ascii="Inter" w:eastAsia="Times New Roman" w:hAnsi="Inter" w:cs="Segoe UI"/>
          <w:smallCaps/>
          <w:color w:val="000000"/>
          <w:lang w:eastAsia="en-AU"/>
        </w:rPr>
        <w:t>(</w:t>
      </w:r>
      <w:r w:rsidR="00777177" w:rsidRPr="004335E5">
        <w:rPr>
          <w:rFonts w:ascii="Inter" w:eastAsia="Times New Roman" w:hAnsi="Inter" w:cs="Segoe UI"/>
          <w:smallCaps/>
          <w:color w:val="000000"/>
          <w:szCs w:val="22"/>
          <w:lang w:eastAsia="en-AU"/>
        </w:rPr>
        <w:t>extract</w:t>
      </w:r>
      <w:r w:rsidR="00777177" w:rsidRPr="00130C1F">
        <w:rPr>
          <w:rFonts w:ascii="Inter" w:eastAsia="Times New Roman" w:hAnsi="Inter" w:cs="Segoe UI"/>
          <w:smallCaps/>
          <w:color w:val="000000"/>
          <w:lang w:eastAsia="en-AU"/>
        </w:rPr>
        <w:t xml:space="preserve"> – </w:t>
      </w:r>
      <w:r w:rsidR="00777177" w:rsidRPr="00130C1F">
        <w:rPr>
          <w:rFonts w:ascii="Inter" w:eastAsia="Times New Roman" w:hAnsi="Inter" w:cs="Segoe UI"/>
          <w:smallCaps/>
          <w:color w:val="000000"/>
          <w:sz w:val="16"/>
          <w:szCs w:val="16"/>
          <w:lang w:eastAsia="en-AU"/>
        </w:rPr>
        <w:t>NON-RESIDENT</w:t>
      </w:r>
      <w:r w:rsidR="00777177" w:rsidRPr="00130C1F">
        <w:rPr>
          <w:rFonts w:ascii="Inter" w:eastAsia="Times New Roman" w:hAnsi="Inter" w:cs="Segoe UI"/>
          <w:smallCaps/>
          <w:color w:val="000000"/>
          <w:lang w:eastAsia="en-AU"/>
        </w:rPr>
        <w:t>)</w:t>
      </w:r>
      <w:r w:rsidR="00777177" w:rsidRPr="00151759" w:rsidDel="00777177">
        <w:rPr>
          <w:rFonts w:cs="Arial"/>
          <w:smallCaps/>
        </w:rPr>
        <w:t xml:space="preserve"> </w:t>
      </w:r>
      <w:r w:rsidR="00777177" w:rsidRPr="00151759">
        <w:rPr>
          <w:rFonts w:cs="Arial"/>
          <w:smallCaps/>
        </w:rPr>
        <w:t xml:space="preserve"> </w:t>
      </w:r>
    </w:p>
    <w:p w14:paraId="6B917967" w14:textId="77777777" w:rsidR="0079514C" w:rsidRPr="00151759" w:rsidRDefault="0079514C" w:rsidP="009315EB">
      <w:pPr>
        <w:spacing w:after="0" w:line="240" w:lineRule="auto"/>
        <w:textAlignment w:val="baseline"/>
        <w:rPr>
          <w:rFonts w:ascii="Segoe UI" w:eastAsia="Times New Roman" w:hAnsi="Segoe UI" w:cs="Segoe UI"/>
          <w:color w:val="000000"/>
          <w:sz w:val="18"/>
          <w:szCs w:val="18"/>
          <w:lang w:eastAsia="en-AU"/>
        </w:rPr>
      </w:pPr>
    </w:p>
    <w:tbl>
      <w:tblPr>
        <w:tblW w:w="9188"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5185"/>
        <w:gridCol w:w="2863"/>
      </w:tblGrid>
      <w:tr w:rsidR="009315EB" w:rsidRPr="00151759" w14:paraId="4121791B" w14:textId="77777777">
        <w:trPr>
          <w:trHeight w:val="495"/>
        </w:trPr>
        <w:tc>
          <w:tcPr>
            <w:tcW w:w="1140" w:type="dxa"/>
            <w:tcBorders>
              <w:top w:val="single" w:sz="8" w:space="0" w:color="auto"/>
              <w:left w:val="single" w:sz="8" w:space="0" w:color="auto"/>
              <w:bottom w:val="single" w:sz="8" w:space="0" w:color="auto"/>
              <w:right w:val="single" w:sz="8" w:space="0" w:color="auto"/>
            </w:tcBorders>
            <w:shd w:val="clear" w:color="auto" w:fill="B3B3B3"/>
            <w:vAlign w:val="center"/>
            <w:hideMark/>
          </w:tcPr>
          <w:p w14:paraId="5CD932F0"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b/>
                <w:color w:val="000000"/>
                <w:lang w:eastAsia="en-AU"/>
              </w:rPr>
              <w:t>Reference number</w:t>
            </w:r>
            <w:r w:rsidRPr="00151759">
              <w:rPr>
                <w:rFonts w:ascii="Inter" w:eastAsia="Times New Roman" w:hAnsi="Inter"/>
                <w:color w:val="000000"/>
                <w:lang w:eastAsia="en-AU"/>
              </w:rPr>
              <w:t> </w:t>
            </w:r>
          </w:p>
        </w:tc>
        <w:tc>
          <w:tcPr>
            <w:tcW w:w="5185" w:type="dxa"/>
            <w:tcBorders>
              <w:top w:val="single" w:sz="8" w:space="0" w:color="auto"/>
              <w:left w:val="nil"/>
              <w:bottom w:val="single" w:sz="8" w:space="0" w:color="auto"/>
              <w:right w:val="single" w:sz="8" w:space="0" w:color="auto"/>
            </w:tcBorders>
            <w:shd w:val="clear" w:color="auto" w:fill="B3B3B3"/>
            <w:vAlign w:val="center"/>
            <w:hideMark/>
          </w:tcPr>
          <w:p w14:paraId="1383F928"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b/>
                <w:color w:val="000000"/>
                <w:lang w:eastAsia="en-AU"/>
              </w:rPr>
              <w:t>Field name</w:t>
            </w:r>
            <w:r w:rsidRPr="00151759">
              <w:rPr>
                <w:rFonts w:ascii="Inter" w:eastAsia="Times New Roman" w:hAnsi="Inter"/>
                <w:color w:val="000000"/>
                <w:lang w:eastAsia="en-AU"/>
              </w:rPr>
              <w:t> </w:t>
            </w:r>
          </w:p>
        </w:tc>
        <w:tc>
          <w:tcPr>
            <w:tcW w:w="2863" w:type="dxa"/>
            <w:tcBorders>
              <w:top w:val="single" w:sz="8" w:space="0" w:color="auto"/>
              <w:left w:val="nil"/>
              <w:bottom w:val="single" w:sz="8" w:space="0" w:color="auto"/>
              <w:right w:val="single" w:sz="8" w:space="0" w:color="auto"/>
            </w:tcBorders>
            <w:shd w:val="clear" w:color="auto" w:fill="B3B3B3"/>
            <w:vAlign w:val="center"/>
            <w:hideMark/>
          </w:tcPr>
          <w:p w14:paraId="48FA3073"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b/>
                <w:color w:val="000000"/>
                <w:lang w:eastAsia="en-AU"/>
              </w:rPr>
              <w:t>Content</w:t>
            </w:r>
            <w:r w:rsidRPr="00151759">
              <w:rPr>
                <w:rFonts w:ascii="Inter" w:eastAsia="Times New Roman" w:hAnsi="Inter"/>
                <w:color w:val="000000"/>
                <w:lang w:eastAsia="en-AU"/>
              </w:rPr>
              <w:t> </w:t>
            </w:r>
          </w:p>
        </w:tc>
      </w:tr>
      <w:tr w:rsidR="009315EB" w:rsidRPr="00151759" w14:paraId="49487811"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3C2FC5AB"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9.62 </w:t>
            </w:r>
          </w:p>
        </w:tc>
        <w:tc>
          <w:tcPr>
            <w:tcW w:w="5185" w:type="dxa"/>
            <w:tcBorders>
              <w:top w:val="nil"/>
              <w:left w:val="nil"/>
              <w:bottom w:val="single" w:sz="8" w:space="0" w:color="auto"/>
              <w:right w:val="single" w:sz="8" w:space="0" w:color="auto"/>
            </w:tcBorders>
            <w:vAlign w:val="center"/>
            <w:hideMark/>
          </w:tcPr>
          <w:p w14:paraId="0FBF0831"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Sequence number of DACCOUNT record </w:t>
            </w:r>
          </w:p>
        </w:tc>
        <w:tc>
          <w:tcPr>
            <w:tcW w:w="2863" w:type="dxa"/>
            <w:tcBorders>
              <w:top w:val="nil"/>
              <w:left w:val="nil"/>
              <w:bottom w:val="single" w:sz="8" w:space="0" w:color="auto"/>
              <w:right w:val="single" w:sz="8" w:space="0" w:color="auto"/>
            </w:tcBorders>
            <w:vAlign w:val="center"/>
            <w:hideMark/>
          </w:tcPr>
          <w:p w14:paraId="2EA9F5D3" w14:textId="60D73E8D"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0</w:t>
            </w:r>
            <w:r w:rsidR="009C18A2" w:rsidRPr="00151759">
              <w:rPr>
                <w:rFonts w:ascii="Inter" w:eastAsia="Times New Roman" w:hAnsi="Inter"/>
                <w:color w:val="000000"/>
                <w:lang w:eastAsia="en-AU"/>
              </w:rPr>
              <w:t>3</w:t>
            </w:r>
          </w:p>
        </w:tc>
      </w:tr>
      <w:tr w:rsidR="009315EB" w:rsidRPr="00151759" w14:paraId="5E36F44B"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7C330AE6"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9.63 </w:t>
            </w:r>
          </w:p>
        </w:tc>
        <w:tc>
          <w:tcPr>
            <w:tcW w:w="5185" w:type="dxa"/>
            <w:tcBorders>
              <w:top w:val="nil"/>
              <w:left w:val="nil"/>
              <w:bottom w:val="single" w:sz="8" w:space="0" w:color="auto"/>
              <w:right w:val="single" w:sz="8" w:space="0" w:color="auto"/>
            </w:tcBorders>
            <w:vAlign w:val="center"/>
            <w:hideMark/>
          </w:tcPr>
          <w:p w14:paraId="4D361AE1"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Investment reference number </w:t>
            </w:r>
          </w:p>
        </w:tc>
        <w:tc>
          <w:tcPr>
            <w:tcW w:w="2863" w:type="dxa"/>
            <w:tcBorders>
              <w:top w:val="nil"/>
              <w:left w:val="nil"/>
              <w:bottom w:val="single" w:sz="8" w:space="0" w:color="auto"/>
              <w:right w:val="single" w:sz="8" w:space="0" w:color="auto"/>
            </w:tcBorders>
            <w:vAlign w:val="center"/>
            <w:hideMark/>
          </w:tcPr>
          <w:p w14:paraId="2FB2175C" w14:textId="3C3F8466" w:rsidR="009315EB" w:rsidRPr="00151759" w:rsidRDefault="00B927B8">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85236499</w:t>
            </w:r>
          </w:p>
        </w:tc>
      </w:tr>
      <w:tr w:rsidR="009315EB" w:rsidRPr="00151759" w14:paraId="6BD6F451"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7D46D335"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9.64 </w:t>
            </w:r>
          </w:p>
        </w:tc>
        <w:tc>
          <w:tcPr>
            <w:tcW w:w="5185" w:type="dxa"/>
            <w:tcBorders>
              <w:top w:val="nil"/>
              <w:left w:val="nil"/>
              <w:bottom w:val="single" w:sz="8" w:space="0" w:color="auto"/>
              <w:right w:val="single" w:sz="8" w:space="0" w:color="auto"/>
            </w:tcBorders>
            <w:vAlign w:val="center"/>
            <w:hideMark/>
          </w:tcPr>
          <w:p w14:paraId="2121A306"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Account reference number </w:t>
            </w:r>
          </w:p>
        </w:tc>
        <w:tc>
          <w:tcPr>
            <w:tcW w:w="2863" w:type="dxa"/>
            <w:tcBorders>
              <w:top w:val="nil"/>
              <w:left w:val="nil"/>
              <w:bottom w:val="single" w:sz="8" w:space="0" w:color="auto"/>
              <w:right w:val="single" w:sz="8" w:space="0" w:color="auto"/>
            </w:tcBorders>
            <w:vAlign w:val="center"/>
            <w:hideMark/>
          </w:tcPr>
          <w:p w14:paraId="2277DFF1" w14:textId="4D5DD7BE" w:rsidR="009315EB" w:rsidRPr="00151759" w:rsidRDefault="001F2F56">
            <w:pPr>
              <w:spacing w:after="0" w:line="240" w:lineRule="auto"/>
              <w:textAlignment w:val="baseline"/>
              <w:rPr>
                <w:rFonts w:ascii="Inter" w:eastAsia="Times New Roman" w:hAnsi="Inter"/>
                <w:color w:val="000000"/>
                <w:lang w:eastAsia="en-AU"/>
              </w:rPr>
            </w:pPr>
            <w:r w:rsidRPr="002C4A33">
              <w:rPr>
                <w:rFonts w:ascii="Inter" w:eastAsia="Times New Roman" w:hAnsi="Inter"/>
                <w:color w:val="000000"/>
                <w:lang w:eastAsia="en-AU"/>
              </w:rPr>
              <w:t>1046821</w:t>
            </w:r>
          </w:p>
        </w:tc>
      </w:tr>
      <w:tr w:rsidR="009315EB" w:rsidRPr="00151759" w14:paraId="5D773B57" w14:textId="77777777">
        <w:trPr>
          <w:trHeight w:val="270"/>
        </w:trPr>
        <w:tc>
          <w:tcPr>
            <w:tcW w:w="1140" w:type="dxa"/>
            <w:tcBorders>
              <w:top w:val="nil"/>
              <w:left w:val="single" w:sz="8" w:space="0" w:color="auto"/>
              <w:bottom w:val="single" w:sz="8" w:space="0" w:color="auto"/>
              <w:right w:val="single" w:sz="8" w:space="0" w:color="auto"/>
            </w:tcBorders>
            <w:vAlign w:val="center"/>
          </w:tcPr>
          <w:p w14:paraId="3067CA7A"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9.67</w:t>
            </w:r>
          </w:p>
        </w:tc>
        <w:tc>
          <w:tcPr>
            <w:tcW w:w="5185" w:type="dxa"/>
            <w:tcBorders>
              <w:top w:val="nil"/>
              <w:left w:val="nil"/>
              <w:bottom w:val="single" w:sz="8" w:space="0" w:color="auto"/>
              <w:right w:val="single" w:sz="8" w:space="0" w:color="auto"/>
            </w:tcBorders>
            <w:vAlign w:val="center"/>
          </w:tcPr>
          <w:p w14:paraId="18CF7853"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Account name</w:t>
            </w:r>
          </w:p>
        </w:tc>
        <w:tc>
          <w:tcPr>
            <w:tcW w:w="2863" w:type="dxa"/>
            <w:tcBorders>
              <w:top w:val="nil"/>
              <w:left w:val="nil"/>
              <w:bottom w:val="single" w:sz="8" w:space="0" w:color="auto"/>
              <w:right w:val="single" w:sz="8" w:space="0" w:color="auto"/>
            </w:tcBorders>
            <w:vAlign w:val="center"/>
          </w:tcPr>
          <w:p w14:paraId="6A47BEFF" w14:textId="4763B0F9" w:rsidR="009315EB" w:rsidRPr="00151759" w:rsidRDefault="001F2F56">
            <w:pPr>
              <w:spacing w:after="0" w:line="240" w:lineRule="auto"/>
              <w:textAlignment w:val="baseline"/>
              <w:rPr>
                <w:rFonts w:ascii="Inter" w:eastAsia="Times New Roman" w:hAnsi="Inter"/>
                <w:color w:val="000000"/>
                <w:lang w:eastAsia="en-AU"/>
              </w:rPr>
            </w:pPr>
            <w:r>
              <w:rPr>
                <w:rFonts w:ascii="Inter" w:eastAsia="Times New Roman" w:hAnsi="Inter"/>
                <w:color w:val="000000"/>
                <w:lang w:eastAsia="en-AU"/>
              </w:rPr>
              <w:t>Lukas Volkov</w:t>
            </w:r>
          </w:p>
        </w:tc>
      </w:tr>
      <w:tr w:rsidR="009315EB" w:rsidRPr="00151759" w14:paraId="11F6A7D9"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422C585D"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9.70 </w:t>
            </w:r>
          </w:p>
        </w:tc>
        <w:tc>
          <w:tcPr>
            <w:tcW w:w="5185" w:type="dxa"/>
            <w:tcBorders>
              <w:top w:val="nil"/>
              <w:left w:val="nil"/>
              <w:bottom w:val="single" w:sz="8" w:space="0" w:color="auto"/>
              <w:right w:val="single" w:sz="8" w:space="0" w:color="auto"/>
            </w:tcBorders>
            <w:vAlign w:val="center"/>
            <w:hideMark/>
          </w:tcPr>
          <w:p w14:paraId="3A46C6DF"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Date of payment (DDMMCCYY) </w:t>
            </w:r>
          </w:p>
        </w:tc>
        <w:tc>
          <w:tcPr>
            <w:tcW w:w="2863" w:type="dxa"/>
            <w:tcBorders>
              <w:top w:val="nil"/>
              <w:left w:val="nil"/>
              <w:bottom w:val="single" w:sz="8" w:space="0" w:color="auto"/>
              <w:right w:val="single" w:sz="8" w:space="0" w:color="auto"/>
            </w:tcBorders>
            <w:vAlign w:val="center"/>
            <w:hideMark/>
          </w:tcPr>
          <w:p w14:paraId="48481FBE"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30062026</w:t>
            </w:r>
          </w:p>
        </w:tc>
      </w:tr>
      <w:tr w:rsidR="009315EB" w:rsidRPr="00151759" w14:paraId="19DA7BAF"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3E91F1EB"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9.71 </w:t>
            </w:r>
          </w:p>
        </w:tc>
        <w:tc>
          <w:tcPr>
            <w:tcW w:w="5185" w:type="dxa"/>
            <w:tcBorders>
              <w:top w:val="nil"/>
              <w:left w:val="nil"/>
              <w:bottom w:val="single" w:sz="8" w:space="0" w:color="auto"/>
              <w:right w:val="single" w:sz="8" w:space="0" w:color="auto"/>
            </w:tcBorders>
            <w:vAlign w:val="center"/>
            <w:hideMark/>
          </w:tcPr>
          <w:p w14:paraId="7FFAA626"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Type of investment </w:t>
            </w:r>
          </w:p>
        </w:tc>
        <w:tc>
          <w:tcPr>
            <w:tcW w:w="2863" w:type="dxa"/>
            <w:tcBorders>
              <w:top w:val="nil"/>
              <w:left w:val="nil"/>
              <w:bottom w:val="single" w:sz="8" w:space="0" w:color="auto"/>
              <w:right w:val="single" w:sz="8" w:space="0" w:color="auto"/>
            </w:tcBorders>
            <w:vAlign w:val="center"/>
            <w:hideMark/>
          </w:tcPr>
          <w:p w14:paraId="4DC50194"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5</w:t>
            </w:r>
          </w:p>
        </w:tc>
      </w:tr>
      <w:tr w:rsidR="009315EB" w:rsidRPr="00151759" w14:paraId="7C80CBC2" w14:textId="77777777">
        <w:trPr>
          <w:trHeight w:val="270"/>
        </w:trPr>
        <w:tc>
          <w:tcPr>
            <w:tcW w:w="1140" w:type="dxa"/>
            <w:tcBorders>
              <w:top w:val="nil"/>
              <w:left w:val="single" w:sz="8" w:space="0" w:color="auto"/>
              <w:bottom w:val="single" w:sz="8" w:space="0" w:color="auto"/>
              <w:right w:val="single" w:sz="8" w:space="0" w:color="auto"/>
            </w:tcBorders>
            <w:vAlign w:val="center"/>
            <w:hideMark/>
          </w:tcPr>
          <w:p w14:paraId="6DC7B825" w14:textId="77777777" w:rsidR="009315EB" w:rsidRPr="00151759" w:rsidRDefault="009315EB">
            <w:pPr>
              <w:spacing w:after="0" w:line="240" w:lineRule="auto"/>
              <w:textAlignment w:val="baseline"/>
              <w:rPr>
                <w:rFonts w:ascii="Times New Roman" w:eastAsia="Times New Roman" w:hAnsi="Times New Roman"/>
                <w:color w:val="000000"/>
                <w:sz w:val="24"/>
                <w:szCs w:val="24"/>
                <w:lang w:eastAsia="en-AU"/>
              </w:rPr>
            </w:pPr>
            <w:r w:rsidRPr="00151759">
              <w:rPr>
                <w:rFonts w:ascii="Inter" w:eastAsia="Times New Roman" w:hAnsi="Inter"/>
                <w:color w:val="000000"/>
                <w:lang w:eastAsia="en-AU"/>
              </w:rPr>
              <w:t>9.72 </w:t>
            </w:r>
          </w:p>
        </w:tc>
        <w:tc>
          <w:tcPr>
            <w:tcW w:w="5185" w:type="dxa"/>
            <w:tcBorders>
              <w:top w:val="nil"/>
              <w:left w:val="nil"/>
              <w:bottom w:val="single" w:sz="8" w:space="0" w:color="auto"/>
              <w:right w:val="single" w:sz="8" w:space="0" w:color="auto"/>
            </w:tcBorders>
            <w:vAlign w:val="center"/>
            <w:hideMark/>
          </w:tcPr>
          <w:p w14:paraId="21F05FE6"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Type of payment </w:t>
            </w:r>
          </w:p>
        </w:tc>
        <w:tc>
          <w:tcPr>
            <w:tcW w:w="2863" w:type="dxa"/>
            <w:tcBorders>
              <w:top w:val="nil"/>
              <w:left w:val="nil"/>
              <w:bottom w:val="single" w:sz="8" w:space="0" w:color="auto"/>
              <w:right w:val="single" w:sz="8" w:space="0" w:color="auto"/>
            </w:tcBorders>
            <w:vAlign w:val="center"/>
            <w:hideMark/>
          </w:tcPr>
          <w:p w14:paraId="1D9BC928"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UTD</w:t>
            </w:r>
          </w:p>
        </w:tc>
      </w:tr>
      <w:tr w:rsidR="009315EB" w:rsidRPr="00151759" w14:paraId="3A9DD84E" w14:textId="77777777">
        <w:trPr>
          <w:trHeight w:val="270"/>
        </w:trPr>
        <w:tc>
          <w:tcPr>
            <w:tcW w:w="1140" w:type="dxa"/>
            <w:tcBorders>
              <w:top w:val="nil"/>
              <w:left w:val="single" w:sz="8" w:space="0" w:color="auto"/>
              <w:bottom w:val="single" w:sz="8" w:space="0" w:color="auto"/>
              <w:right w:val="single" w:sz="8" w:space="0" w:color="auto"/>
            </w:tcBorders>
            <w:vAlign w:val="center"/>
          </w:tcPr>
          <w:p w14:paraId="7415D593" w14:textId="77777777" w:rsidR="009315EB" w:rsidRPr="00B078CC" w:rsidRDefault="009315EB">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w:t>
            </w:r>
            <w:r w:rsidRPr="00B078CC">
              <w:rPr>
                <w:rFonts w:eastAsia="Times New Roman"/>
                <w:lang w:eastAsia="en-AU"/>
              </w:rPr>
              <w:t>.76</w:t>
            </w:r>
          </w:p>
        </w:tc>
        <w:tc>
          <w:tcPr>
            <w:tcW w:w="5185" w:type="dxa"/>
            <w:tcBorders>
              <w:top w:val="nil"/>
              <w:left w:val="nil"/>
              <w:bottom w:val="single" w:sz="8" w:space="0" w:color="auto"/>
              <w:right w:val="single" w:sz="8" w:space="0" w:color="auto"/>
            </w:tcBorders>
            <w:vAlign w:val="center"/>
          </w:tcPr>
          <w:p w14:paraId="04AF4B3D" w14:textId="284DAFE4" w:rsidR="009315EB" w:rsidRPr="00B078CC" w:rsidRDefault="009315EB">
            <w:pPr>
              <w:spacing w:after="0" w:line="240" w:lineRule="auto"/>
              <w:textAlignment w:val="baseline"/>
              <w:rPr>
                <w:rFonts w:ascii="Inter" w:eastAsia="Times New Roman" w:hAnsi="Inter"/>
                <w:color w:val="000000"/>
                <w:lang w:eastAsia="en-AU"/>
              </w:rPr>
            </w:pPr>
            <w:r w:rsidRPr="000771F3">
              <w:rPr>
                <w:rFonts w:ascii="Inter" w:eastAsia="Times New Roman" w:hAnsi="Inter"/>
                <w:color w:val="000000"/>
                <w:lang w:eastAsia="en-AU"/>
              </w:rPr>
              <w:t>Non-resident withholding amount deducted</w:t>
            </w:r>
            <w:r w:rsidR="00B80CC6" w:rsidRPr="000771F3">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53E606C0" w14:textId="7B944EEA" w:rsidR="009315EB" w:rsidRPr="00B078CC" w:rsidRDefault="00081145">
            <w:pPr>
              <w:spacing w:after="0" w:line="240" w:lineRule="auto"/>
              <w:textAlignment w:val="baseline"/>
              <w:rPr>
                <w:rStyle w:val="normaltextrun"/>
                <w:rFonts w:ascii="Inter" w:hAnsi="Inter"/>
                <w:color w:val="000000"/>
                <w:shd w:val="clear" w:color="auto" w:fill="FFFFFF"/>
              </w:rPr>
            </w:pPr>
            <w:r w:rsidRPr="00E97F33">
              <w:rPr>
                <w:rStyle w:val="normaltextrun"/>
                <w:rFonts w:ascii="Inter" w:hAnsi="Inter"/>
                <w:color w:val="000000"/>
                <w:shd w:val="clear" w:color="auto" w:fill="FFFFFF"/>
              </w:rPr>
              <w:t>000000</w:t>
            </w:r>
            <w:r w:rsidR="00512E0D">
              <w:rPr>
                <w:rStyle w:val="normaltextrun"/>
                <w:rFonts w:ascii="Inter" w:hAnsi="Inter"/>
                <w:color w:val="000000"/>
                <w:shd w:val="clear" w:color="auto" w:fill="FFFFFF"/>
              </w:rPr>
              <w:t>4</w:t>
            </w:r>
            <w:r w:rsidR="00512E0D">
              <w:rPr>
                <w:rStyle w:val="normaltextrun"/>
                <w:shd w:val="clear" w:color="auto" w:fill="FFFFFF"/>
              </w:rPr>
              <w:t>5</w:t>
            </w:r>
            <w:r w:rsidRPr="00045550">
              <w:rPr>
                <w:rStyle w:val="normaltextrun"/>
                <w:rFonts w:ascii="Inter" w:hAnsi="Inter"/>
                <w:color w:val="000000"/>
                <w:shd w:val="clear" w:color="auto" w:fill="FFFFFF"/>
              </w:rPr>
              <w:t>0000</w:t>
            </w:r>
          </w:p>
        </w:tc>
      </w:tr>
      <w:tr w:rsidR="009315EB" w:rsidRPr="00151759" w14:paraId="531935BE" w14:textId="77777777">
        <w:trPr>
          <w:trHeight w:val="270"/>
        </w:trPr>
        <w:tc>
          <w:tcPr>
            <w:tcW w:w="1140" w:type="dxa"/>
            <w:tcBorders>
              <w:top w:val="nil"/>
              <w:left w:val="single" w:sz="8" w:space="0" w:color="auto"/>
              <w:bottom w:val="single" w:sz="8" w:space="0" w:color="auto"/>
              <w:right w:val="single" w:sz="8" w:space="0" w:color="auto"/>
            </w:tcBorders>
            <w:vAlign w:val="center"/>
          </w:tcPr>
          <w:p w14:paraId="547FF908" w14:textId="77777777" w:rsidR="009315EB" w:rsidRPr="00B078CC" w:rsidRDefault="009315EB">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9.85</w:t>
            </w:r>
          </w:p>
        </w:tc>
        <w:tc>
          <w:tcPr>
            <w:tcW w:w="5185" w:type="dxa"/>
            <w:tcBorders>
              <w:top w:val="nil"/>
              <w:left w:val="nil"/>
              <w:bottom w:val="single" w:sz="8" w:space="0" w:color="auto"/>
              <w:right w:val="single" w:sz="8" w:space="0" w:color="auto"/>
            </w:tcBorders>
            <w:vAlign w:val="center"/>
          </w:tcPr>
          <w:p w14:paraId="4C8199CC" w14:textId="11C4730A" w:rsidR="009315EB" w:rsidRPr="00B078CC" w:rsidRDefault="009315EB">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Non-primary production income</w:t>
            </w:r>
            <w:r w:rsidR="00B80CC6" w:rsidRPr="00B078CC">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22F6048C" w14:textId="5A9E49A5" w:rsidR="009315EB" w:rsidRPr="00B078CC" w:rsidRDefault="009315EB">
            <w:pPr>
              <w:spacing w:after="0" w:line="240" w:lineRule="auto"/>
              <w:textAlignment w:val="baseline"/>
              <w:rPr>
                <w:rFonts w:ascii="Inter" w:eastAsia="Times New Roman" w:hAnsi="Inter"/>
                <w:color w:val="000000"/>
                <w:lang w:eastAsia="en-AU"/>
              </w:rPr>
            </w:pPr>
            <w:r w:rsidRPr="00B078CC">
              <w:rPr>
                <w:rStyle w:val="normaltextrun"/>
                <w:rFonts w:ascii="Inter" w:hAnsi="Inter"/>
                <w:color w:val="000000"/>
                <w:shd w:val="clear" w:color="auto" w:fill="FFFFFF"/>
              </w:rPr>
              <w:t>00000</w:t>
            </w:r>
            <w:r w:rsidR="000771F3" w:rsidRPr="00B078CC">
              <w:rPr>
                <w:rStyle w:val="normaltextrun"/>
                <w:rFonts w:ascii="Inter" w:hAnsi="Inter"/>
                <w:color w:val="000000"/>
                <w:shd w:val="clear" w:color="auto" w:fill="FFFFFF"/>
              </w:rPr>
              <w:t>17</w:t>
            </w:r>
            <w:r w:rsidRPr="00B078CC">
              <w:rPr>
                <w:rStyle w:val="normaltextrun"/>
                <w:rFonts w:ascii="Inter" w:hAnsi="Inter"/>
                <w:color w:val="000000"/>
                <w:shd w:val="clear" w:color="auto" w:fill="FFFFFF"/>
              </w:rPr>
              <w:t>00000</w:t>
            </w:r>
            <w:r w:rsidRPr="00B078CC">
              <w:rPr>
                <w:rStyle w:val="eop"/>
                <w:rFonts w:ascii="Inter" w:hAnsi="Inter" w:hint="eastAsia"/>
                <w:color w:val="000000"/>
                <w:shd w:val="clear" w:color="auto" w:fill="FFFFFF"/>
              </w:rPr>
              <w:t> </w:t>
            </w:r>
          </w:p>
        </w:tc>
      </w:tr>
      <w:tr w:rsidR="009315EB" w:rsidRPr="00151759" w14:paraId="4F23D57B" w14:textId="77777777">
        <w:trPr>
          <w:trHeight w:val="270"/>
        </w:trPr>
        <w:tc>
          <w:tcPr>
            <w:tcW w:w="1140" w:type="dxa"/>
            <w:tcBorders>
              <w:top w:val="nil"/>
              <w:left w:val="single" w:sz="8" w:space="0" w:color="auto"/>
              <w:bottom w:val="single" w:sz="8" w:space="0" w:color="auto"/>
              <w:right w:val="single" w:sz="8" w:space="0" w:color="auto"/>
            </w:tcBorders>
            <w:vAlign w:val="center"/>
          </w:tcPr>
          <w:p w14:paraId="092F8D6C" w14:textId="77777777" w:rsidR="009315EB" w:rsidRPr="00B078CC" w:rsidRDefault="009315EB">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9.88</w:t>
            </w:r>
          </w:p>
        </w:tc>
        <w:tc>
          <w:tcPr>
            <w:tcW w:w="5185" w:type="dxa"/>
            <w:tcBorders>
              <w:top w:val="nil"/>
              <w:left w:val="nil"/>
              <w:bottom w:val="single" w:sz="8" w:space="0" w:color="auto"/>
              <w:right w:val="single" w:sz="8" w:space="0" w:color="auto"/>
            </w:tcBorders>
            <w:vAlign w:val="center"/>
          </w:tcPr>
          <w:p w14:paraId="00512215" w14:textId="17887F35" w:rsidR="009315EB" w:rsidRPr="00B078CC" w:rsidRDefault="009315EB">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Net capital gain</w:t>
            </w:r>
            <w:r w:rsidR="00B80CC6" w:rsidRPr="00B078CC">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43953BCC" w14:textId="6112D0E8" w:rsidR="009315EB" w:rsidRPr="00B078CC" w:rsidRDefault="009315EB">
            <w:pPr>
              <w:spacing w:after="0" w:line="240" w:lineRule="auto"/>
              <w:textAlignment w:val="baseline"/>
              <w:rPr>
                <w:rFonts w:ascii="Inter" w:eastAsia="Times New Roman" w:hAnsi="Inter"/>
                <w:color w:val="000000"/>
                <w:lang w:eastAsia="en-AU"/>
              </w:rPr>
            </w:pPr>
            <w:r w:rsidRPr="00B078CC">
              <w:rPr>
                <w:rStyle w:val="normaltextrun"/>
                <w:rFonts w:ascii="Inter" w:hAnsi="Inter"/>
                <w:color w:val="000000"/>
                <w:shd w:val="clear" w:color="auto" w:fill="FFFFFF"/>
              </w:rPr>
              <w:t>00000</w:t>
            </w:r>
            <w:r w:rsidR="00DF66B3" w:rsidRPr="00B078CC">
              <w:rPr>
                <w:rStyle w:val="normaltextrun"/>
                <w:rFonts w:ascii="Inter" w:hAnsi="Inter"/>
                <w:color w:val="000000"/>
                <w:shd w:val="clear" w:color="auto" w:fill="FFFFFF"/>
              </w:rPr>
              <w:t>065</w:t>
            </w:r>
            <w:r w:rsidRPr="00B078CC">
              <w:rPr>
                <w:rStyle w:val="normaltextrun"/>
                <w:rFonts w:ascii="Inter" w:hAnsi="Inter"/>
                <w:color w:val="000000"/>
                <w:shd w:val="clear" w:color="auto" w:fill="FFFFFF"/>
              </w:rPr>
              <w:t>0000</w:t>
            </w:r>
          </w:p>
        </w:tc>
      </w:tr>
      <w:tr w:rsidR="009315EB" w:rsidRPr="00151759" w14:paraId="5EF09114" w14:textId="77777777">
        <w:trPr>
          <w:trHeight w:val="270"/>
        </w:trPr>
        <w:tc>
          <w:tcPr>
            <w:tcW w:w="1140" w:type="dxa"/>
            <w:tcBorders>
              <w:top w:val="nil"/>
              <w:left w:val="single" w:sz="8" w:space="0" w:color="auto"/>
              <w:bottom w:val="single" w:sz="8" w:space="0" w:color="auto"/>
              <w:right w:val="single" w:sz="8" w:space="0" w:color="auto"/>
            </w:tcBorders>
            <w:vAlign w:val="center"/>
          </w:tcPr>
          <w:p w14:paraId="2CC1A5C7" w14:textId="77777777" w:rsidR="009315EB" w:rsidRPr="00B078CC" w:rsidRDefault="009315EB">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9.89</w:t>
            </w:r>
          </w:p>
        </w:tc>
        <w:tc>
          <w:tcPr>
            <w:tcW w:w="5185" w:type="dxa"/>
            <w:tcBorders>
              <w:top w:val="nil"/>
              <w:left w:val="nil"/>
              <w:bottom w:val="single" w:sz="8" w:space="0" w:color="auto"/>
              <w:right w:val="single" w:sz="8" w:space="0" w:color="auto"/>
            </w:tcBorders>
            <w:vAlign w:val="center"/>
          </w:tcPr>
          <w:p w14:paraId="1C0191D2" w14:textId="04CC55E5" w:rsidR="009315EB" w:rsidRPr="00B078CC" w:rsidRDefault="009315EB">
            <w:pPr>
              <w:spacing w:after="0" w:line="240" w:lineRule="auto"/>
              <w:textAlignment w:val="baseline"/>
              <w:rPr>
                <w:rFonts w:ascii="Inter" w:eastAsia="Times New Roman" w:hAnsi="Inter"/>
                <w:color w:val="000000"/>
                <w:lang w:eastAsia="en-AU"/>
              </w:rPr>
            </w:pPr>
            <w:r w:rsidRPr="00B078CC">
              <w:rPr>
                <w:rFonts w:ascii="Inter" w:eastAsia="Times New Roman" w:hAnsi="Inter"/>
                <w:color w:val="000000"/>
                <w:lang w:eastAsia="en-AU"/>
              </w:rPr>
              <w:t>Total year capital gains</w:t>
            </w:r>
            <w:r w:rsidR="00B80CC6" w:rsidRPr="00B078CC">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0343E68E" w14:textId="03D955D6" w:rsidR="009315EB" w:rsidRPr="00B078CC" w:rsidRDefault="009315EB">
            <w:pPr>
              <w:spacing w:after="0" w:line="240" w:lineRule="auto"/>
              <w:textAlignment w:val="baseline"/>
              <w:rPr>
                <w:rStyle w:val="normaltextrun"/>
                <w:rFonts w:ascii="Inter" w:hAnsi="Inter"/>
                <w:color w:val="000000"/>
                <w:shd w:val="clear" w:color="auto" w:fill="FFFFFF"/>
              </w:rPr>
            </w:pPr>
            <w:r w:rsidRPr="00B078CC">
              <w:rPr>
                <w:rStyle w:val="normaltextrun"/>
                <w:rFonts w:ascii="Inter" w:hAnsi="Inter"/>
                <w:color w:val="000000"/>
                <w:shd w:val="clear" w:color="auto" w:fill="FFFFFF"/>
              </w:rPr>
              <w:t>00000</w:t>
            </w:r>
            <w:r w:rsidR="008A3A01" w:rsidRPr="00B078CC">
              <w:rPr>
                <w:rStyle w:val="normaltextrun"/>
                <w:rFonts w:ascii="Inter" w:hAnsi="Inter"/>
                <w:color w:val="000000"/>
                <w:shd w:val="clear" w:color="auto" w:fill="FFFFFF"/>
              </w:rPr>
              <w:t>13</w:t>
            </w:r>
            <w:r w:rsidRPr="00B078CC">
              <w:rPr>
                <w:rStyle w:val="normaltextrun"/>
                <w:rFonts w:ascii="Inter" w:hAnsi="Inter"/>
                <w:color w:val="000000"/>
                <w:shd w:val="clear" w:color="auto" w:fill="FFFFFF"/>
              </w:rPr>
              <w:t>0000</w:t>
            </w:r>
            <w:r w:rsidR="00C53591" w:rsidRPr="00B078CC">
              <w:rPr>
                <w:rStyle w:val="normaltextrun"/>
                <w:rFonts w:ascii="Inter" w:hAnsi="Inter"/>
                <w:color w:val="000000"/>
                <w:shd w:val="clear" w:color="auto" w:fill="FFFFFF"/>
              </w:rPr>
              <w:t>0</w:t>
            </w:r>
          </w:p>
        </w:tc>
      </w:tr>
      <w:tr w:rsidR="009315EB" w:rsidRPr="00151759" w14:paraId="1784A5AE" w14:textId="77777777">
        <w:trPr>
          <w:trHeight w:val="270"/>
        </w:trPr>
        <w:tc>
          <w:tcPr>
            <w:tcW w:w="1140" w:type="dxa"/>
            <w:tcBorders>
              <w:top w:val="nil"/>
              <w:left w:val="single" w:sz="8" w:space="0" w:color="auto"/>
              <w:bottom w:val="single" w:sz="8" w:space="0" w:color="auto"/>
              <w:right w:val="single" w:sz="8" w:space="0" w:color="auto"/>
            </w:tcBorders>
            <w:vAlign w:val="center"/>
          </w:tcPr>
          <w:p w14:paraId="4DFA8EA6"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9.105</w:t>
            </w:r>
          </w:p>
        </w:tc>
        <w:tc>
          <w:tcPr>
            <w:tcW w:w="5185" w:type="dxa"/>
            <w:tcBorders>
              <w:top w:val="nil"/>
              <w:left w:val="nil"/>
              <w:bottom w:val="single" w:sz="8" w:space="0" w:color="auto"/>
              <w:right w:val="single" w:sz="8" w:space="0" w:color="auto"/>
            </w:tcBorders>
            <w:vAlign w:val="center"/>
          </w:tcPr>
          <w:p w14:paraId="203F53BE" w14:textId="68E290FE"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 xml:space="preserve">Managed investment trust fund payments </w:t>
            </w:r>
          </w:p>
        </w:tc>
        <w:tc>
          <w:tcPr>
            <w:tcW w:w="2863" w:type="dxa"/>
            <w:tcBorders>
              <w:top w:val="nil"/>
              <w:left w:val="nil"/>
              <w:bottom w:val="single" w:sz="8" w:space="0" w:color="auto"/>
              <w:right w:val="single" w:sz="8" w:space="0" w:color="auto"/>
            </w:tcBorders>
            <w:vAlign w:val="center"/>
          </w:tcPr>
          <w:p w14:paraId="387C66E8" w14:textId="242CD833" w:rsidR="009315EB" w:rsidRPr="00E83B27" w:rsidRDefault="009315EB">
            <w:pPr>
              <w:spacing w:after="0" w:line="240" w:lineRule="auto"/>
              <w:textAlignment w:val="baseline"/>
              <w:rPr>
                <w:rStyle w:val="normaltextrun"/>
                <w:rFonts w:ascii="Inter" w:hAnsi="Inter"/>
                <w:color w:val="000000"/>
                <w:shd w:val="clear" w:color="auto" w:fill="FFFFFF"/>
              </w:rPr>
            </w:pPr>
            <w:r w:rsidRPr="00E83B27">
              <w:rPr>
                <w:rStyle w:val="normaltextrun"/>
                <w:rFonts w:ascii="Inter" w:hAnsi="Inter"/>
                <w:color w:val="000000"/>
                <w:shd w:val="clear" w:color="auto" w:fill="FFFFFF"/>
              </w:rPr>
              <w:t>0</w:t>
            </w:r>
            <w:r w:rsidRPr="00B078CC">
              <w:rPr>
                <w:rStyle w:val="normaltextrun"/>
                <w:rFonts w:ascii="Inter" w:hAnsi="Inter"/>
                <w:color w:val="000000"/>
                <w:shd w:val="clear" w:color="auto" w:fill="FFFFFF"/>
              </w:rPr>
              <w:t>00000000000</w:t>
            </w:r>
          </w:p>
        </w:tc>
      </w:tr>
      <w:tr w:rsidR="009315EB" w:rsidRPr="00151759" w14:paraId="763CF345" w14:textId="77777777">
        <w:trPr>
          <w:trHeight w:val="270"/>
        </w:trPr>
        <w:tc>
          <w:tcPr>
            <w:tcW w:w="1140" w:type="dxa"/>
            <w:tcBorders>
              <w:top w:val="nil"/>
              <w:left w:val="single" w:sz="8" w:space="0" w:color="auto"/>
              <w:bottom w:val="single" w:sz="8" w:space="0" w:color="auto"/>
              <w:right w:val="single" w:sz="8" w:space="0" w:color="auto"/>
            </w:tcBorders>
            <w:vAlign w:val="center"/>
          </w:tcPr>
          <w:p w14:paraId="56D4BE0E" w14:textId="7777777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9.106</w:t>
            </w:r>
          </w:p>
        </w:tc>
        <w:tc>
          <w:tcPr>
            <w:tcW w:w="5185" w:type="dxa"/>
            <w:tcBorders>
              <w:top w:val="nil"/>
              <w:left w:val="nil"/>
              <w:bottom w:val="single" w:sz="8" w:space="0" w:color="auto"/>
              <w:right w:val="single" w:sz="8" w:space="0" w:color="auto"/>
            </w:tcBorders>
            <w:vAlign w:val="center"/>
          </w:tcPr>
          <w:p w14:paraId="3A8C019E" w14:textId="1F4C69C7" w:rsidR="009315EB" w:rsidRPr="00151759" w:rsidRDefault="009315EB">
            <w:pPr>
              <w:spacing w:after="0" w:line="240" w:lineRule="auto"/>
              <w:textAlignment w:val="baseline"/>
              <w:rPr>
                <w:rFonts w:ascii="Inter" w:eastAsia="Times New Roman" w:hAnsi="Inter"/>
                <w:color w:val="000000"/>
                <w:lang w:eastAsia="en-AU"/>
              </w:rPr>
            </w:pPr>
            <w:r w:rsidRPr="00151759">
              <w:rPr>
                <w:rFonts w:ascii="Inter" w:eastAsia="Times New Roman" w:hAnsi="Inter"/>
                <w:color w:val="000000"/>
                <w:lang w:eastAsia="en-AU"/>
              </w:rPr>
              <w:t>Amounts withheld from managed investment trust fund payments</w:t>
            </w:r>
            <w:r w:rsidR="00B80CC6" w:rsidRPr="00151759">
              <w:rPr>
                <w:rFonts w:ascii="Inter" w:eastAsia="Times New Roman" w:hAnsi="Inter"/>
                <w:color w:val="000000"/>
                <w:lang w:eastAsia="en-AU"/>
              </w:rPr>
              <w:t xml:space="preserve"> </w:t>
            </w:r>
          </w:p>
        </w:tc>
        <w:tc>
          <w:tcPr>
            <w:tcW w:w="2863" w:type="dxa"/>
            <w:tcBorders>
              <w:top w:val="nil"/>
              <w:left w:val="nil"/>
              <w:bottom w:val="single" w:sz="8" w:space="0" w:color="auto"/>
              <w:right w:val="single" w:sz="8" w:space="0" w:color="auto"/>
            </w:tcBorders>
            <w:vAlign w:val="center"/>
          </w:tcPr>
          <w:p w14:paraId="2826DEC5" w14:textId="529A07F2" w:rsidR="009315EB" w:rsidRPr="00E83B27" w:rsidRDefault="009315EB">
            <w:pPr>
              <w:spacing w:after="0" w:line="240" w:lineRule="auto"/>
              <w:textAlignment w:val="baseline"/>
              <w:rPr>
                <w:rStyle w:val="normaltextrun"/>
                <w:rFonts w:ascii="Inter" w:hAnsi="Inter"/>
                <w:color w:val="000000"/>
                <w:shd w:val="clear" w:color="auto" w:fill="FFFFFF"/>
              </w:rPr>
            </w:pPr>
            <w:r w:rsidRPr="00E83B27">
              <w:rPr>
                <w:rStyle w:val="normaltextrun"/>
                <w:rFonts w:ascii="Inter" w:hAnsi="Inter"/>
                <w:color w:val="000000"/>
                <w:shd w:val="clear" w:color="auto" w:fill="FFFFFF"/>
              </w:rPr>
              <w:t>0</w:t>
            </w:r>
            <w:r w:rsidRPr="00B078CC">
              <w:rPr>
                <w:rStyle w:val="normaltextrun"/>
                <w:rFonts w:ascii="Inter" w:hAnsi="Inter"/>
                <w:color w:val="000000"/>
                <w:shd w:val="clear" w:color="auto" w:fill="FFFFFF"/>
              </w:rPr>
              <w:t>00000000000</w:t>
            </w:r>
          </w:p>
        </w:tc>
      </w:tr>
    </w:tbl>
    <w:p w14:paraId="2C369FB6" w14:textId="77777777" w:rsidR="00FD40F7" w:rsidRDefault="00FD40F7" w:rsidP="002D317C">
      <w:pPr>
        <w:pStyle w:val="Maintext"/>
        <w:rPr>
          <w:rFonts w:asciiTheme="minorHAnsi" w:hAnsiTheme="minorHAnsi" w:cs="Arial"/>
          <w:b/>
          <w:smallCaps/>
          <w:sz w:val="20"/>
          <w:szCs w:val="20"/>
        </w:rPr>
      </w:pPr>
    </w:p>
    <w:p w14:paraId="57EDCB5C" w14:textId="77777777" w:rsidR="00FD40F7" w:rsidRDefault="00FD40F7" w:rsidP="002D317C">
      <w:pPr>
        <w:pStyle w:val="Maintext"/>
        <w:rPr>
          <w:rFonts w:asciiTheme="minorHAnsi" w:hAnsiTheme="minorHAnsi" w:cs="Arial"/>
          <w:b/>
          <w:smallCaps/>
          <w:sz w:val="20"/>
          <w:szCs w:val="20"/>
        </w:rPr>
      </w:pPr>
    </w:p>
    <w:p w14:paraId="0E0A37F5" w14:textId="133E4BC7" w:rsidR="002D317C" w:rsidRDefault="002D317C" w:rsidP="002D317C">
      <w:pPr>
        <w:pStyle w:val="Maintext"/>
        <w:rPr>
          <w:rFonts w:ascii="Inter" w:hAnsi="Inter" w:cs="Segoe UI"/>
          <w:color w:val="000000"/>
        </w:rPr>
      </w:pPr>
      <w:r w:rsidRPr="00151759">
        <w:rPr>
          <w:rFonts w:asciiTheme="minorHAnsi" w:hAnsiTheme="minorHAnsi" w:cs="Arial"/>
          <w:b/>
          <w:smallCaps/>
          <w:sz w:val="20"/>
          <w:szCs w:val="20"/>
        </w:rPr>
        <w:t xml:space="preserve">supplementary income account data record </w:t>
      </w:r>
      <w:r w:rsidR="009E531C" w:rsidRPr="00B078CC">
        <w:rPr>
          <w:rFonts w:asciiTheme="minorHAnsi" w:hAnsiTheme="minorHAnsi" w:cs="Arial"/>
          <w:b/>
          <w:smallCaps/>
          <w:sz w:val="20"/>
          <w:szCs w:val="20"/>
        </w:rPr>
        <w:t>3</w:t>
      </w:r>
      <w:r w:rsidRPr="00151759">
        <w:rPr>
          <w:rFonts w:asciiTheme="minorHAnsi" w:hAnsiTheme="minorHAnsi" w:cs="Arial"/>
          <w:b/>
          <w:smallCaps/>
          <w:sz w:val="20"/>
          <w:szCs w:val="20"/>
        </w:rPr>
        <w:t xml:space="preserve"> for 1 investor </w:t>
      </w:r>
      <w:r w:rsidR="00777177" w:rsidRPr="004722FB">
        <w:rPr>
          <w:rFonts w:ascii="Inter" w:hAnsi="Inter" w:cs="Segoe UI"/>
          <w:smallCaps/>
          <w:color w:val="000000"/>
        </w:rPr>
        <w:t>(</w:t>
      </w:r>
      <w:r w:rsidR="00777177" w:rsidRPr="00B078CC">
        <w:rPr>
          <w:rFonts w:ascii="Inter" w:hAnsi="Inter" w:cs="Segoe UI"/>
          <w:smallCaps/>
          <w:color w:val="000000"/>
          <w:sz w:val="20"/>
          <w:szCs w:val="22"/>
        </w:rPr>
        <w:t>extract</w:t>
      </w:r>
      <w:r w:rsidR="00777177" w:rsidRPr="00130C1F">
        <w:rPr>
          <w:rFonts w:ascii="Inter" w:hAnsi="Inter" w:cs="Segoe UI"/>
          <w:smallCaps/>
          <w:color w:val="000000"/>
        </w:rPr>
        <w:t xml:space="preserve"> – </w:t>
      </w:r>
      <w:r w:rsidR="00777177" w:rsidRPr="00130C1F">
        <w:rPr>
          <w:rFonts w:ascii="Inter" w:hAnsi="Inter" w:cs="Segoe UI"/>
          <w:smallCaps/>
          <w:color w:val="000000"/>
          <w:sz w:val="16"/>
          <w:szCs w:val="16"/>
        </w:rPr>
        <w:t>NON-RESIDENT</w:t>
      </w:r>
      <w:r w:rsidR="00777177" w:rsidRPr="00130C1F">
        <w:rPr>
          <w:rFonts w:ascii="Inter" w:hAnsi="Inter" w:cs="Segoe UI"/>
          <w:smallCaps/>
          <w:color w:val="000000"/>
        </w:rPr>
        <w:t>)</w:t>
      </w:r>
      <w:r w:rsidR="00777177" w:rsidRPr="00151759" w:rsidDel="00777177">
        <w:rPr>
          <w:rFonts w:asciiTheme="minorHAnsi" w:hAnsiTheme="minorHAnsi" w:cs="Arial"/>
          <w:smallCaps/>
          <w:sz w:val="20"/>
          <w:szCs w:val="20"/>
        </w:rPr>
        <w:t xml:space="preserve"> </w:t>
      </w:r>
      <w:r w:rsidRPr="00151759">
        <w:rPr>
          <w:rFonts w:asciiTheme="minorHAnsi" w:hAnsiTheme="minorHAnsi" w:cs="Arial"/>
          <w:smallCaps/>
          <w:sz w:val="20"/>
          <w:szCs w:val="20"/>
        </w:rPr>
        <w:t xml:space="preserve"> </w:t>
      </w:r>
    </w:p>
    <w:p w14:paraId="64C15DD7" w14:textId="77777777" w:rsidR="0079514C" w:rsidRPr="00151759" w:rsidRDefault="0079514C" w:rsidP="002D317C">
      <w:pPr>
        <w:pStyle w:val="Maintext"/>
        <w:rPr>
          <w:rFonts w:asciiTheme="minorHAnsi" w:hAnsiTheme="minorHAnsi" w:cs="Arial"/>
          <w:sz w:val="20"/>
          <w:szCs w:val="20"/>
        </w:rPr>
      </w:pPr>
    </w:p>
    <w:tbl>
      <w:tblPr>
        <w:tblW w:w="9087" w:type="dxa"/>
        <w:tblInd w:w="93" w:type="dxa"/>
        <w:tblCellMar>
          <w:left w:w="0" w:type="dxa"/>
          <w:right w:w="0" w:type="dxa"/>
        </w:tblCellMar>
        <w:tblLook w:val="0000" w:firstRow="0" w:lastRow="0" w:firstColumn="0" w:lastColumn="0" w:noHBand="0" w:noVBand="0"/>
      </w:tblPr>
      <w:tblGrid>
        <w:gridCol w:w="1227"/>
        <w:gridCol w:w="5499"/>
        <w:gridCol w:w="2361"/>
      </w:tblGrid>
      <w:tr w:rsidR="002D317C" w:rsidRPr="00151759" w14:paraId="7498F77B" w14:textId="77777777">
        <w:trPr>
          <w:trHeight w:val="495"/>
          <w:tblHeader/>
        </w:trPr>
        <w:tc>
          <w:tcPr>
            <w:tcW w:w="675"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9115CCA" w14:textId="77777777" w:rsidR="002D317C" w:rsidRPr="00151759" w:rsidRDefault="002D317C">
            <w:pPr>
              <w:spacing w:after="0" w:line="240" w:lineRule="auto"/>
              <w:rPr>
                <w:rFonts w:cs="Arial"/>
              </w:rPr>
            </w:pPr>
            <w:r w:rsidRPr="00151759">
              <w:rPr>
                <w:rFonts w:cs="Arial"/>
                <w:b/>
              </w:rPr>
              <w:t>Reference number</w:t>
            </w:r>
          </w:p>
        </w:tc>
        <w:tc>
          <w:tcPr>
            <w:tcW w:w="302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A21805B" w14:textId="77777777" w:rsidR="002D317C" w:rsidRPr="00151759" w:rsidRDefault="002D317C">
            <w:pPr>
              <w:spacing w:after="0" w:line="240" w:lineRule="auto"/>
              <w:rPr>
                <w:rFonts w:cs="Arial"/>
              </w:rPr>
            </w:pPr>
            <w:r w:rsidRPr="00151759">
              <w:rPr>
                <w:rFonts w:cs="Arial"/>
                <w:b/>
              </w:rPr>
              <w:t>Field name</w:t>
            </w:r>
          </w:p>
        </w:tc>
        <w:tc>
          <w:tcPr>
            <w:tcW w:w="1299"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2460E22" w14:textId="77777777" w:rsidR="002D317C" w:rsidRPr="00151759" w:rsidRDefault="002D317C">
            <w:pPr>
              <w:spacing w:after="0" w:line="240" w:lineRule="auto"/>
              <w:rPr>
                <w:rFonts w:cs="Arial"/>
              </w:rPr>
            </w:pPr>
            <w:r w:rsidRPr="00151759">
              <w:rPr>
                <w:rFonts w:cs="Arial"/>
                <w:b/>
              </w:rPr>
              <w:t>Content</w:t>
            </w:r>
          </w:p>
        </w:tc>
      </w:tr>
      <w:tr w:rsidR="003A2999" w:rsidRPr="00151759" w14:paraId="4E0795F8"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7013E8" w14:textId="7679F7ED" w:rsidR="003A2999" w:rsidRPr="003A2999" w:rsidRDefault="003A2999" w:rsidP="003A2999">
            <w:pPr>
              <w:spacing w:after="0" w:line="240" w:lineRule="auto"/>
              <w:rPr>
                <w:rFonts w:cs="Arial"/>
              </w:rPr>
            </w:pPr>
            <w:r>
              <w:rPr>
                <w:rFonts w:cs="Arial"/>
              </w:rPr>
              <w:t>9.121</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7DB85084" w14:textId="40293675" w:rsidR="003A2999" w:rsidRPr="0023358B" w:rsidRDefault="003A2999" w:rsidP="003A2999">
            <w:pPr>
              <w:spacing w:after="0" w:line="240" w:lineRule="auto"/>
              <w:rPr>
                <w:rFonts w:cs="Arial"/>
              </w:rPr>
            </w:pPr>
            <w:r w:rsidRPr="0023358B">
              <w:rPr>
                <w:rFonts w:cs="Arial"/>
              </w:rPr>
              <w:t xml:space="preserve">Gross cash distribution </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22F5E2B9" w14:textId="0FE38370" w:rsidR="003A2999" w:rsidRPr="00E97F33" w:rsidRDefault="003A2999" w:rsidP="003A2999">
            <w:pPr>
              <w:spacing w:after="0" w:line="240" w:lineRule="auto"/>
              <w:rPr>
                <w:rFonts w:cs="Arial"/>
              </w:rPr>
            </w:pPr>
            <w:r w:rsidRPr="00B078CC">
              <w:rPr>
                <w:rFonts w:cs="Arial"/>
              </w:rPr>
              <w:t>00000</w:t>
            </w:r>
            <w:r w:rsidR="00E83B27" w:rsidRPr="00B078CC">
              <w:rPr>
                <w:rFonts w:cs="Arial"/>
              </w:rPr>
              <w:t>30</w:t>
            </w:r>
            <w:r w:rsidRPr="00B078CC">
              <w:rPr>
                <w:rFonts w:cs="Arial"/>
              </w:rPr>
              <w:t>00000</w:t>
            </w:r>
          </w:p>
        </w:tc>
      </w:tr>
      <w:tr w:rsidR="002D317C" w:rsidRPr="00151759" w14:paraId="425A844E" w14:textId="77777777">
        <w:trPr>
          <w:trHeight w:val="270"/>
        </w:trPr>
        <w:tc>
          <w:tcPr>
            <w:tcW w:w="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5B0E50" w14:textId="77777777" w:rsidR="002D317C" w:rsidRPr="003A2999" w:rsidRDefault="002D317C">
            <w:pPr>
              <w:spacing w:after="0" w:line="240" w:lineRule="auto"/>
              <w:rPr>
                <w:rFonts w:cs="Arial"/>
              </w:rPr>
            </w:pPr>
            <w:r w:rsidRPr="003A2999">
              <w:rPr>
                <w:rFonts w:cs="Arial"/>
              </w:rPr>
              <w:t>9.123</w:t>
            </w:r>
          </w:p>
        </w:tc>
        <w:tc>
          <w:tcPr>
            <w:tcW w:w="3026" w:type="pct"/>
            <w:tcBorders>
              <w:top w:val="nil"/>
              <w:left w:val="nil"/>
              <w:bottom w:val="single" w:sz="8" w:space="0" w:color="auto"/>
              <w:right w:val="single" w:sz="8" w:space="0" w:color="auto"/>
            </w:tcBorders>
            <w:tcMar>
              <w:top w:w="0" w:type="dxa"/>
              <w:left w:w="108" w:type="dxa"/>
              <w:bottom w:w="0" w:type="dxa"/>
              <w:right w:w="108" w:type="dxa"/>
            </w:tcMar>
            <w:vAlign w:val="center"/>
          </w:tcPr>
          <w:p w14:paraId="5F40EACD" w14:textId="77777777" w:rsidR="002D317C" w:rsidRPr="003A2999" w:rsidRDefault="002D317C">
            <w:pPr>
              <w:spacing w:after="0" w:line="240" w:lineRule="auto"/>
              <w:rPr>
                <w:rFonts w:cs="Arial"/>
              </w:rPr>
            </w:pPr>
            <w:r w:rsidRPr="003A2999">
              <w:rPr>
                <w:rFonts w:cs="Arial"/>
              </w:rPr>
              <w:t>Capital Gains discount method – Taxable Australian property</w:t>
            </w:r>
          </w:p>
        </w:tc>
        <w:tc>
          <w:tcPr>
            <w:tcW w:w="1299" w:type="pct"/>
            <w:tcBorders>
              <w:top w:val="nil"/>
              <w:left w:val="nil"/>
              <w:bottom w:val="single" w:sz="8" w:space="0" w:color="auto"/>
              <w:right w:val="single" w:sz="8" w:space="0" w:color="auto"/>
            </w:tcBorders>
            <w:tcMar>
              <w:top w:w="0" w:type="dxa"/>
              <w:left w:w="108" w:type="dxa"/>
              <w:bottom w:w="0" w:type="dxa"/>
              <w:right w:w="108" w:type="dxa"/>
            </w:tcMar>
            <w:vAlign w:val="center"/>
          </w:tcPr>
          <w:p w14:paraId="587CAF36" w14:textId="4670C181" w:rsidR="002D317C" w:rsidRPr="00E97F33" w:rsidRDefault="003A2999">
            <w:pPr>
              <w:spacing w:after="0" w:line="240" w:lineRule="auto"/>
              <w:rPr>
                <w:rFonts w:cs="Arial"/>
              </w:rPr>
            </w:pPr>
            <w:r w:rsidRPr="00E97F33">
              <w:rPr>
                <w:rFonts w:cs="Arial"/>
              </w:rPr>
              <w:t>000000</w:t>
            </w:r>
            <w:r w:rsidR="00E83B27" w:rsidRPr="00E97F33">
              <w:rPr>
                <w:rFonts w:cs="Arial"/>
              </w:rPr>
              <w:t>65</w:t>
            </w:r>
            <w:r w:rsidRPr="00E97F33">
              <w:rPr>
                <w:rFonts w:cs="Arial"/>
              </w:rPr>
              <w:t>0000</w:t>
            </w:r>
          </w:p>
        </w:tc>
      </w:tr>
      <w:tr w:rsidR="002D317C" w:rsidRPr="00151759" w14:paraId="727B766B"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81282" w14:textId="77777777" w:rsidR="002D317C" w:rsidRPr="00151759" w:rsidRDefault="002D317C">
            <w:pPr>
              <w:spacing w:after="0" w:line="240" w:lineRule="auto"/>
              <w:rPr>
                <w:rFonts w:cs="Arial"/>
              </w:rPr>
            </w:pPr>
            <w:r w:rsidRPr="00151759">
              <w:rPr>
                <w:rFonts w:cs="Arial"/>
              </w:rPr>
              <w:t>9.138</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5AFFBC" w14:textId="77777777" w:rsidR="002D317C" w:rsidRPr="00151759" w:rsidRDefault="002D317C">
            <w:pPr>
              <w:spacing w:after="0" w:line="240" w:lineRule="auto"/>
              <w:rPr>
                <w:rFonts w:cs="Arial"/>
              </w:rPr>
            </w:pPr>
            <w:r w:rsidRPr="00151759">
              <w:rPr>
                <w:rFonts w:cs="Arial"/>
              </w:rPr>
              <w:t>Excluded from NCMI – Non-primary production</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1A889" w14:textId="40E5D9E9" w:rsidR="002D317C" w:rsidRPr="00E97F33" w:rsidRDefault="003A2999">
            <w:pPr>
              <w:spacing w:after="0" w:line="240" w:lineRule="auto"/>
              <w:rPr>
                <w:rFonts w:cs="Arial"/>
              </w:rPr>
            </w:pPr>
            <w:r w:rsidRPr="00E97F33">
              <w:rPr>
                <w:rFonts w:cs="Arial"/>
              </w:rPr>
              <w:t>00000</w:t>
            </w:r>
            <w:r w:rsidR="000771F3" w:rsidRPr="00E97F33">
              <w:rPr>
                <w:rFonts w:cs="Arial"/>
              </w:rPr>
              <w:t>1</w:t>
            </w:r>
            <w:r w:rsidRPr="00E97F33">
              <w:rPr>
                <w:rFonts w:cs="Arial"/>
              </w:rPr>
              <w:t>700000</w:t>
            </w:r>
          </w:p>
        </w:tc>
      </w:tr>
      <w:tr w:rsidR="002D317C" w:rsidRPr="00151759" w14:paraId="3BC9910C"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7AE13C" w14:textId="77777777" w:rsidR="002D317C" w:rsidRPr="00151759" w:rsidRDefault="002D317C">
            <w:pPr>
              <w:spacing w:after="0" w:line="240" w:lineRule="auto"/>
              <w:rPr>
                <w:rFonts w:cs="Arial"/>
              </w:rPr>
            </w:pPr>
            <w:r w:rsidRPr="00151759">
              <w:rPr>
                <w:rFonts w:cs="Arial"/>
              </w:rPr>
              <w:t>9.141</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F5FBC" w14:textId="77777777" w:rsidR="002D317C" w:rsidRPr="00151759" w:rsidRDefault="002D317C">
            <w:pPr>
              <w:pStyle w:val="Maintext"/>
              <w:rPr>
                <w:rFonts w:asciiTheme="minorHAnsi" w:eastAsiaTheme="majorEastAsia" w:hAnsiTheme="minorHAnsi" w:cstheme="majorBidi"/>
                <w:color w:val="000000" w:themeColor="text1"/>
                <w:spacing w:val="4"/>
                <w:sz w:val="20"/>
                <w:szCs w:val="20"/>
                <w:lang w:eastAsia="en-US"/>
              </w:rPr>
            </w:pPr>
            <w:r w:rsidRPr="00151759">
              <w:rPr>
                <w:rFonts w:asciiTheme="minorHAnsi" w:eastAsiaTheme="majorEastAsia" w:hAnsiTheme="minorHAnsi" w:cstheme="majorBidi"/>
                <w:color w:val="000000" w:themeColor="text1"/>
                <w:spacing w:val="4"/>
                <w:sz w:val="20"/>
                <w:szCs w:val="20"/>
                <w:lang w:eastAsia="en-US"/>
              </w:rPr>
              <w:t>Excluded from NCMI Capital Gains</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89E32" w14:textId="318D03C4" w:rsidR="002D317C" w:rsidRPr="00E97F33" w:rsidRDefault="003A2999">
            <w:pPr>
              <w:spacing w:after="0" w:line="240" w:lineRule="auto"/>
              <w:rPr>
                <w:rFonts w:cs="Arial"/>
              </w:rPr>
            </w:pPr>
            <w:r w:rsidRPr="00E97F33">
              <w:rPr>
                <w:rFonts w:cs="Arial"/>
              </w:rPr>
              <w:t>00000</w:t>
            </w:r>
            <w:r w:rsidR="0023358B" w:rsidRPr="00E97F33">
              <w:rPr>
                <w:rFonts w:cs="Arial"/>
              </w:rPr>
              <w:t>13</w:t>
            </w:r>
            <w:r w:rsidRPr="00E97F33">
              <w:rPr>
                <w:rFonts w:cs="Arial"/>
              </w:rPr>
              <w:t>00000</w:t>
            </w:r>
          </w:p>
        </w:tc>
      </w:tr>
      <w:tr w:rsidR="00A12382" w:rsidRPr="00151759" w14:paraId="436B3F13"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BD109" w14:textId="68E70226" w:rsidR="00A12382" w:rsidRPr="00151759" w:rsidRDefault="00A12382" w:rsidP="00A12382">
            <w:pPr>
              <w:spacing w:after="0" w:line="240" w:lineRule="auto"/>
              <w:rPr>
                <w:rFonts w:cs="Arial"/>
              </w:rPr>
            </w:pPr>
            <w:r w:rsidRPr="00151759">
              <w:rPr>
                <w:rFonts w:cs="Arial"/>
              </w:rPr>
              <w:t>9.142</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F3743" w14:textId="014A64AB" w:rsidR="00A12382" w:rsidRPr="00E97F33" w:rsidRDefault="00A12382" w:rsidP="00A12382">
            <w:pPr>
              <w:pStyle w:val="Maintext"/>
              <w:rPr>
                <w:rFonts w:asciiTheme="minorHAnsi" w:eastAsiaTheme="majorEastAsia" w:hAnsiTheme="minorHAnsi" w:cstheme="majorBidi"/>
                <w:color w:val="000000" w:themeColor="text1"/>
                <w:spacing w:val="4"/>
                <w:sz w:val="20"/>
                <w:szCs w:val="20"/>
                <w:lang w:eastAsia="en-US"/>
              </w:rPr>
            </w:pPr>
            <w:r w:rsidRPr="00B078CC">
              <w:rPr>
                <w:rFonts w:asciiTheme="minorHAnsi" w:hAnsiTheme="minorHAnsi" w:cs="Arial"/>
                <w:sz w:val="20"/>
                <w:szCs w:val="20"/>
              </w:rPr>
              <w:t xml:space="preserve">BTR entity of payment recipient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7DBE1" w14:textId="1E04A713" w:rsidR="00A12382" w:rsidRPr="00B078CC" w:rsidRDefault="00A12382" w:rsidP="00A12382">
            <w:pPr>
              <w:spacing w:after="0" w:line="240" w:lineRule="auto"/>
              <w:rPr>
                <w:rFonts w:cs="Arial"/>
              </w:rPr>
            </w:pPr>
            <w:r w:rsidRPr="00045550">
              <w:rPr>
                <w:rFonts w:cs="Arial"/>
              </w:rPr>
              <w:t>P</w:t>
            </w:r>
          </w:p>
        </w:tc>
      </w:tr>
      <w:tr w:rsidR="00A12382" w:rsidRPr="00151759" w14:paraId="345E9889"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E7C4B" w14:textId="338A4B29" w:rsidR="00A12382" w:rsidRPr="00151759" w:rsidRDefault="00A12382" w:rsidP="00A12382">
            <w:pPr>
              <w:spacing w:after="0" w:line="240" w:lineRule="auto"/>
              <w:rPr>
                <w:rFonts w:cs="Arial"/>
              </w:rPr>
            </w:pPr>
            <w:r>
              <w:rPr>
                <w:rFonts w:cs="Arial"/>
              </w:rPr>
              <w:t>9.143</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30C4E" w14:textId="5B723F45" w:rsidR="00A12382" w:rsidRPr="00E97F33" w:rsidRDefault="00A12382" w:rsidP="00A12382">
            <w:pPr>
              <w:pStyle w:val="Maintext"/>
              <w:rPr>
                <w:rFonts w:asciiTheme="minorHAnsi" w:eastAsiaTheme="majorEastAsia" w:hAnsiTheme="minorHAnsi" w:cstheme="majorBidi"/>
                <w:color w:val="000000" w:themeColor="text1"/>
                <w:spacing w:val="4"/>
                <w:sz w:val="20"/>
                <w:szCs w:val="20"/>
                <w:lang w:eastAsia="en-US"/>
              </w:rPr>
            </w:pPr>
            <w:r w:rsidRPr="00B078CC">
              <w:rPr>
                <w:rFonts w:asciiTheme="minorHAnsi" w:hAnsiTheme="minorHAnsi" w:cs="Arial"/>
                <w:sz w:val="20"/>
                <w:szCs w:val="20"/>
              </w:rPr>
              <w:t>ATO BTR Development ID</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BFBFC" w14:textId="77777777" w:rsidR="00A12382" w:rsidRPr="00B078CC" w:rsidRDefault="00A12382" w:rsidP="00A12382">
            <w:pPr>
              <w:spacing w:after="0" w:line="240" w:lineRule="auto"/>
              <w:rPr>
                <w:rFonts w:cs="Arial"/>
              </w:rPr>
            </w:pPr>
          </w:p>
        </w:tc>
      </w:tr>
      <w:tr w:rsidR="00A12382" w:rsidRPr="00151759" w14:paraId="6B220F1D"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E4BA2" w14:textId="77777777" w:rsidR="00A12382" w:rsidRPr="00151759" w:rsidRDefault="00A12382" w:rsidP="00A12382">
            <w:pPr>
              <w:spacing w:after="0" w:line="240" w:lineRule="auto"/>
              <w:rPr>
                <w:rFonts w:cs="Arial"/>
              </w:rPr>
            </w:pPr>
            <w:r w:rsidRPr="00151759">
              <w:rPr>
                <w:rFonts w:cs="Arial"/>
              </w:rPr>
              <w:t>9.144</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84A44" w14:textId="786314FB" w:rsidR="00A12382" w:rsidRPr="00151759" w:rsidRDefault="00A12382" w:rsidP="00A12382">
            <w:pPr>
              <w:spacing w:after="0" w:line="240" w:lineRule="auto"/>
              <w:rPr>
                <w:rFonts w:cs="Arial"/>
              </w:rPr>
            </w:pPr>
            <w:r w:rsidRPr="00151759">
              <w:rPr>
                <w:rFonts w:cs="Arial"/>
              </w:rPr>
              <w:t xml:space="preserve">BTR excluded from NCMI – non-primary production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5BFF7" w14:textId="0DCA334B" w:rsidR="00A12382" w:rsidRPr="00E97F33" w:rsidRDefault="00A12382" w:rsidP="00A12382">
            <w:pPr>
              <w:spacing w:after="0" w:line="240" w:lineRule="auto"/>
              <w:rPr>
                <w:rFonts w:cs="Arial"/>
              </w:rPr>
            </w:pPr>
            <w:r w:rsidRPr="00E97F33">
              <w:rPr>
                <w:rFonts w:cs="Arial"/>
              </w:rPr>
              <w:t>000001700000</w:t>
            </w:r>
          </w:p>
        </w:tc>
      </w:tr>
      <w:tr w:rsidR="00A12382" w:rsidRPr="00151759" w14:paraId="3067584A"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AC812" w14:textId="77777777" w:rsidR="00A12382" w:rsidRPr="00151759" w:rsidRDefault="00A12382" w:rsidP="00A12382">
            <w:pPr>
              <w:spacing w:after="0" w:line="240" w:lineRule="auto"/>
              <w:rPr>
                <w:rFonts w:cs="Arial"/>
              </w:rPr>
            </w:pPr>
            <w:r w:rsidRPr="00151759">
              <w:rPr>
                <w:rFonts w:cs="Arial"/>
              </w:rPr>
              <w:t>9.145</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A09D1" w14:textId="3CE4D63D" w:rsidR="00A12382" w:rsidRPr="00151759" w:rsidRDefault="00A12382" w:rsidP="00A12382">
            <w:pPr>
              <w:pStyle w:val="Maintext"/>
              <w:rPr>
                <w:rFonts w:eastAsiaTheme="majorEastAsia" w:cstheme="majorBidi"/>
                <w:spacing w:val="4"/>
              </w:rPr>
            </w:pPr>
            <w:r w:rsidRPr="00151759">
              <w:rPr>
                <w:rFonts w:asciiTheme="minorHAnsi" w:eastAsiaTheme="majorEastAsia" w:hAnsiTheme="minorHAnsi" w:cstheme="majorBidi"/>
                <w:color w:val="000000" w:themeColor="text1"/>
                <w:spacing w:val="4"/>
                <w:sz w:val="20"/>
                <w:szCs w:val="20"/>
                <w:lang w:eastAsia="en-US"/>
              </w:rPr>
              <w:t xml:space="preserve">BTR excluded from NCMI capital gains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7885E" w14:textId="7A894C16" w:rsidR="00A12382" w:rsidRPr="00E97F33" w:rsidRDefault="00081145" w:rsidP="00A12382">
            <w:pPr>
              <w:spacing w:after="0" w:line="240" w:lineRule="auto"/>
              <w:rPr>
                <w:rFonts w:cs="Arial"/>
              </w:rPr>
            </w:pPr>
            <w:r w:rsidRPr="00E97F33">
              <w:rPr>
                <w:rFonts w:cs="Arial"/>
              </w:rPr>
              <w:t>00000</w:t>
            </w:r>
            <w:r w:rsidRPr="00B078CC">
              <w:rPr>
                <w:rFonts w:cs="Arial"/>
              </w:rPr>
              <w:t>1</w:t>
            </w:r>
            <w:r w:rsidRPr="00045550">
              <w:rPr>
                <w:rFonts w:cs="Arial"/>
              </w:rPr>
              <w:t>3</w:t>
            </w:r>
            <w:r w:rsidRPr="00E97F33">
              <w:rPr>
                <w:rFonts w:cs="Arial"/>
              </w:rPr>
              <w:t>00000</w:t>
            </w:r>
          </w:p>
        </w:tc>
      </w:tr>
      <w:tr w:rsidR="00A12382" w:rsidRPr="00151759" w14:paraId="09BD4CBA" w14:textId="77777777">
        <w:trPr>
          <w:trHeight w:val="270"/>
        </w:trPr>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2D612" w14:textId="77777777" w:rsidR="00A12382" w:rsidRPr="00151759" w:rsidRDefault="00A12382" w:rsidP="00A12382">
            <w:pPr>
              <w:spacing w:after="0" w:line="240" w:lineRule="auto"/>
              <w:rPr>
                <w:rFonts w:cs="Arial"/>
              </w:rPr>
            </w:pPr>
            <w:r w:rsidRPr="00151759">
              <w:rPr>
                <w:rFonts w:cs="Arial"/>
              </w:rPr>
              <w:t>9.146</w:t>
            </w:r>
          </w:p>
        </w:tc>
        <w:tc>
          <w:tcPr>
            <w:tcW w:w="3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B1314" w14:textId="74185BFE" w:rsidR="00A12382" w:rsidRPr="00151759" w:rsidRDefault="00A12382" w:rsidP="00A12382">
            <w:pPr>
              <w:pStyle w:val="Maintext"/>
              <w:rPr>
                <w:rFonts w:asciiTheme="minorHAnsi" w:eastAsiaTheme="majorEastAsia" w:hAnsiTheme="minorHAnsi" w:cstheme="majorBidi"/>
                <w:color w:val="000000" w:themeColor="text1"/>
                <w:spacing w:val="4"/>
                <w:sz w:val="20"/>
                <w:szCs w:val="20"/>
                <w:lang w:eastAsia="en-US"/>
              </w:rPr>
            </w:pPr>
            <w:r w:rsidRPr="00151759">
              <w:rPr>
                <w:rFonts w:asciiTheme="minorHAnsi" w:eastAsiaTheme="majorEastAsia" w:hAnsiTheme="minorHAnsi" w:cstheme="majorBidi"/>
                <w:color w:val="000000" w:themeColor="text1"/>
                <w:spacing w:val="4"/>
                <w:sz w:val="20"/>
                <w:szCs w:val="20"/>
                <w:lang w:eastAsia="en-US"/>
              </w:rPr>
              <w:t xml:space="preserve">Active BTR withholding amount </w:t>
            </w:r>
          </w:p>
        </w:tc>
        <w:tc>
          <w:tcPr>
            <w:tcW w:w="12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A7DC5A" w14:textId="0445276D" w:rsidR="00A12382" w:rsidRPr="00E97F33" w:rsidRDefault="00081145" w:rsidP="00A12382">
            <w:pPr>
              <w:spacing w:after="0" w:line="240" w:lineRule="auto"/>
              <w:rPr>
                <w:rFonts w:cs="Arial"/>
              </w:rPr>
            </w:pPr>
            <w:r w:rsidRPr="00E97F33">
              <w:rPr>
                <w:rFonts w:cs="Arial"/>
              </w:rPr>
              <w:t>000000</w:t>
            </w:r>
            <w:r w:rsidR="00512E0D">
              <w:rPr>
                <w:rFonts w:cs="Arial"/>
              </w:rPr>
              <w:t>45</w:t>
            </w:r>
            <w:r w:rsidRPr="00E97F33">
              <w:rPr>
                <w:rFonts w:cs="Arial"/>
              </w:rPr>
              <w:t>0000</w:t>
            </w:r>
          </w:p>
        </w:tc>
      </w:tr>
    </w:tbl>
    <w:p w14:paraId="2C96A7BC" w14:textId="3D97034B" w:rsidR="0014531E" w:rsidRPr="00777FBF" w:rsidRDefault="00851B4D" w:rsidP="004E184B">
      <w:pPr>
        <w:spacing w:after="0" w:line="240" w:lineRule="auto"/>
        <w:textAlignment w:val="baseline"/>
        <w:rPr>
          <w:rFonts w:ascii="Segoe UI" w:eastAsia="Times New Roman" w:hAnsi="Segoe UI" w:cs="Segoe UI"/>
          <w:color w:val="000000"/>
          <w:sz w:val="18"/>
          <w:szCs w:val="18"/>
          <w:lang w:eastAsia="en-AU"/>
        </w:rPr>
      </w:pPr>
      <w:r w:rsidRPr="00777FBF">
        <w:rPr>
          <w:iCs/>
          <w:color w:val="000000"/>
          <w:sz w:val="18"/>
          <w:szCs w:val="18"/>
        </w:rPr>
        <w:t>An</w:t>
      </w:r>
      <w:r w:rsidRPr="00777FBF">
        <w:rPr>
          <w:i/>
          <w:color w:val="000000"/>
          <w:sz w:val="18"/>
          <w:szCs w:val="18"/>
        </w:rPr>
        <w:t xml:space="preserve"> Investor Data Record </w:t>
      </w:r>
      <w:r w:rsidRPr="00777FBF">
        <w:rPr>
          <w:color w:val="000000"/>
          <w:sz w:val="18"/>
          <w:szCs w:val="18"/>
        </w:rPr>
        <w:t xml:space="preserve">is required following the </w:t>
      </w:r>
      <w:r w:rsidRPr="00777FBF">
        <w:rPr>
          <w:i/>
          <w:color w:val="000000"/>
          <w:sz w:val="18"/>
          <w:szCs w:val="18"/>
        </w:rPr>
        <w:t>Supplementary Income Account Data Record</w:t>
      </w:r>
    </w:p>
    <w:p w14:paraId="6C26B3EB" w14:textId="77777777" w:rsidR="0014531E" w:rsidRPr="00777FBF" w:rsidDel="00FC4A58" w:rsidRDefault="0014531E" w:rsidP="00200FBB">
      <w:pPr>
        <w:pStyle w:val="Maintext"/>
        <w:rPr>
          <w:rFonts w:asciiTheme="minorHAnsi" w:eastAsiaTheme="majorEastAsia" w:hAnsiTheme="minorHAnsi" w:cstheme="majorBidi"/>
          <w:b/>
          <w:color w:val="000000" w:themeColor="text1"/>
          <w:spacing w:val="4"/>
          <w:sz w:val="18"/>
          <w:szCs w:val="18"/>
          <w:lang w:eastAsia="en-US"/>
        </w:rPr>
      </w:pPr>
    </w:p>
    <w:p w14:paraId="783CA597" w14:textId="77777777" w:rsidR="00115458" w:rsidRPr="00DB7B17" w:rsidRDefault="00115458" w:rsidP="00115458">
      <w:pPr>
        <w:pStyle w:val="Heading3"/>
      </w:pPr>
      <w:bookmarkStart w:id="1655" w:name="_Toc232191351"/>
      <w:r w:rsidRPr="00DB7B17">
        <w:t>CGT discount for affordable housing</w:t>
      </w:r>
      <w:bookmarkEnd w:id="1655"/>
    </w:p>
    <w:p w14:paraId="49A993EF" w14:textId="77777777" w:rsidR="00115458" w:rsidRPr="00E57001" w:rsidRDefault="00115458" w:rsidP="00F4606C">
      <w:pPr>
        <w:spacing w:after="0" w:line="240" w:lineRule="auto"/>
      </w:pPr>
      <w:r w:rsidRPr="00E57001">
        <w:t>Australian resident individual investors may be eligible for an additional up to 10% affordable housing capital gain discount.  This capital gain can be received directly through a trust or MIT or indirectly from a trust through an interposed partnership, MIT or other trust.  Public unit trusts and super funds are excluded.</w:t>
      </w:r>
    </w:p>
    <w:p w14:paraId="099D036E" w14:textId="77777777" w:rsidR="00115458" w:rsidRPr="00E57001" w:rsidRDefault="00115458" w:rsidP="00F4606C">
      <w:pPr>
        <w:spacing w:after="0" w:line="240" w:lineRule="auto"/>
      </w:pPr>
    </w:p>
    <w:p w14:paraId="67995100" w14:textId="77777777" w:rsidR="00115458" w:rsidRPr="00E57001" w:rsidRDefault="00115458" w:rsidP="00F4606C">
      <w:pPr>
        <w:spacing w:after="0" w:line="240" w:lineRule="auto"/>
      </w:pPr>
      <w:r w:rsidRPr="00E57001">
        <w:t>Although a trust may make a capital gain from the disposal of an affordable housing property and this capital gain may be included in capital gain amounts reported in the AIIR, there is no change to the calculation of the capital gains discount (50%) that is distributed or attributed through the AIIR to eligible investors.  Such trusts are required to provide information to eligible investors to assist them in calculating their discount percentage.  This information may be provided through additional notes in the AMMA or SDS, a separate statement or courtesy letter or by providing information on your website.</w:t>
      </w:r>
    </w:p>
    <w:p w14:paraId="7FC5561F" w14:textId="33672A41" w:rsidR="00115458" w:rsidRPr="00A002E5" w:rsidRDefault="00115458" w:rsidP="00115458">
      <w:pPr>
        <w:pStyle w:val="Head4"/>
        <w:rPr>
          <w:rFonts w:asciiTheme="minorHAnsi" w:hAnsiTheme="minorHAnsi"/>
          <w:sz w:val="20"/>
          <w:szCs w:val="20"/>
        </w:rPr>
      </w:pPr>
      <w:r w:rsidRPr="00A002E5">
        <w:rPr>
          <w:rFonts w:asciiTheme="minorHAnsi" w:hAnsiTheme="minorHAnsi"/>
          <w:sz w:val="20"/>
          <w:szCs w:val="20"/>
        </w:rPr>
        <w:t>Example 7.</w:t>
      </w:r>
      <w:r w:rsidR="00B16B7F" w:rsidRPr="00A002E5">
        <w:rPr>
          <w:rFonts w:asciiTheme="minorHAnsi" w:hAnsiTheme="minorHAnsi"/>
          <w:sz w:val="20"/>
          <w:szCs w:val="20"/>
        </w:rPr>
        <w:t>4</w:t>
      </w:r>
      <w:r w:rsidRPr="00A002E5">
        <w:rPr>
          <w:rFonts w:asciiTheme="minorHAnsi" w:hAnsiTheme="minorHAnsi"/>
          <w:sz w:val="20"/>
          <w:szCs w:val="20"/>
        </w:rPr>
        <w:t xml:space="preserve"> – Sunshine Trust reports a capital gain in the AIIR that includes a gain from the disposal of an eligible affordable housing property </w:t>
      </w:r>
    </w:p>
    <w:p w14:paraId="5085DD65" w14:textId="77777777" w:rsidR="00115458" w:rsidRPr="00AA677F" w:rsidRDefault="00115458" w:rsidP="00F4606C">
      <w:pPr>
        <w:spacing w:after="0" w:line="240" w:lineRule="auto"/>
      </w:pPr>
      <w:r w:rsidRPr="00AA677F">
        <w:t>Sunshine Trust realises a capital gain of $50,000.00 from the disposal of an affordable housing property and a capital gain of $100,000.00 from a commercial property. A 50% capital gains discount is applied. The amounts are distributed equally between their 1,000 investors.  Sunshine Trust would report for one investor, Martha Smith, as follows:</w:t>
      </w:r>
    </w:p>
    <w:p w14:paraId="3A8B4887" w14:textId="77777777" w:rsidR="00115458" w:rsidRPr="00F4606C" w:rsidRDefault="00115458" w:rsidP="00AA677F">
      <w:pPr>
        <w:pStyle w:val="Maintext"/>
        <w:rPr>
          <w:rFonts w:asciiTheme="minorHAnsi" w:hAnsiTheme="minorHAnsi" w:cs="Arial"/>
          <w:b/>
          <w:smallCaps/>
          <w:sz w:val="20"/>
          <w:szCs w:val="20"/>
        </w:rPr>
      </w:pPr>
    </w:p>
    <w:p w14:paraId="0C6A3EE9" w14:textId="77777777" w:rsidR="00115458" w:rsidRPr="00F4606C" w:rsidRDefault="00115458" w:rsidP="00AA677F">
      <w:pPr>
        <w:pStyle w:val="Maintext"/>
        <w:rPr>
          <w:rFonts w:asciiTheme="minorHAnsi" w:hAnsiTheme="minorHAnsi" w:cs="Arial"/>
          <w:b/>
          <w:smallCaps/>
          <w:sz w:val="20"/>
          <w:szCs w:val="20"/>
        </w:rPr>
      </w:pPr>
      <w:r w:rsidRPr="00F4606C">
        <w:rPr>
          <w:rFonts w:asciiTheme="minorHAnsi" w:hAnsiTheme="minorHAnsi" w:cs="Arial"/>
          <w:b/>
          <w:smallCaps/>
          <w:sz w:val="20"/>
          <w:szCs w:val="20"/>
        </w:rPr>
        <w:t>investment account data record 1</w:t>
      </w:r>
      <w:r w:rsidRPr="00F4606C">
        <w:rPr>
          <w:rFonts w:asciiTheme="minorHAnsi" w:hAnsiTheme="minorHAnsi" w:cs="Arial"/>
          <w:smallCaps/>
          <w:sz w:val="20"/>
          <w:szCs w:val="20"/>
        </w:rPr>
        <w:t>(extract)</w:t>
      </w:r>
    </w:p>
    <w:p w14:paraId="62FC1848" w14:textId="77777777" w:rsidR="00115458" w:rsidRPr="00F4606C" w:rsidRDefault="00115458" w:rsidP="00AA677F">
      <w:pPr>
        <w:pStyle w:val="Maintext"/>
        <w:rPr>
          <w:rFonts w:asciiTheme="minorHAnsi" w:hAnsiTheme="minorHAnsi" w:cs="Arial"/>
          <w:smallCaps/>
          <w:sz w:val="20"/>
          <w:szCs w:val="20"/>
        </w:rPr>
      </w:pPr>
    </w:p>
    <w:tbl>
      <w:tblPr>
        <w:tblW w:w="9214" w:type="dxa"/>
        <w:tblInd w:w="93" w:type="dxa"/>
        <w:tblCellMar>
          <w:left w:w="0" w:type="dxa"/>
          <w:right w:w="0" w:type="dxa"/>
        </w:tblCellMar>
        <w:tblLook w:val="0000" w:firstRow="0" w:lastRow="0" w:firstColumn="0" w:lastColumn="0" w:noHBand="0" w:noVBand="0"/>
      </w:tblPr>
      <w:tblGrid>
        <w:gridCol w:w="1227"/>
        <w:gridCol w:w="6089"/>
        <w:gridCol w:w="1898"/>
      </w:tblGrid>
      <w:tr w:rsidR="00115458" w:rsidRPr="00AA677F" w14:paraId="46D43893"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C3C5F5D" w14:textId="77777777" w:rsidR="00115458" w:rsidRPr="00AA677F" w:rsidRDefault="00115458" w:rsidP="00F4606C">
            <w:pPr>
              <w:spacing w:after="0" w:line="240" w:lineRule="auto"/>
              <w:rPr>
                <w:rFonts w:cs="Arial"/>
              </w:rPr>
            </w:pPr>
            <w:r w:rsidRPr="00F4606C">
              <w:rPr>
                <w:rFonts w:cs="Arial"/>
                <w:b/>
                <w:bCs/>
              </w:rPr>
              <w:t>Reference number</w:t>
            </w:r>
          </w:p>
        </w:tc>
        <w:tc>
          <w:tcPr>
            <w:tcW w:w="334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323717D" w14:textId="77777777" w:rsidR="00115458" w:rsidRPr="00AA677F" w:rsidRDefault="00115458" w:rsidP="00F4606C">
            <w:pPr>
              <w:spacing w:after="0" w:line="240" w:lineRule="auto"/>
              <w:rPr>
                <w:rFonts w:cs="Arial"/>
              </w:rPr>
            </w:pPr>
            <w:r w:rsidRPr="00F4606C">
              <w:rPr>
                <w:rFonts w:cs="Arial"/>
                <w:b/>
                <w:bCs/>
              </w:rPr>
              <w:t>Field name</w:t>
            </w:r>
          </w:p>
        </w:tc>
        <w:tc>
          <w:tcPr>
            <w:tcW w:w="106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1C5A83E"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0287B32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8B4887" w14:textId="77777777" w:rsidR="00115458" w:rsidRPr="00AA677F" w:rsidRDefault="00115458" w:rsidP="00F4606C">
            <w:pPr>
              <w:spacing w:after="0" w:line="240" w:lineRule="auto"/>
              <w:rPr>
                <w:rFonts w:cs="Arial"/>
              </w:rPr>
            </w:pPr>
            <w:r w:rsidRPr="00F4606C">
              <w:rPr>
                <w:rFonts w:cs="Arial"/>
              </w:rPr>
              <w:t>9.62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386A36D0" w14:textId="77777777" w:rsidR="00115458" w:rsidRPr="00AA677F" w:rsidRDefault="00115458" w:rsidP="00F4606C">
            <w:pPr>
              <w:spacing w:after="0" w:line="240" w:lineRule="auto"/>
              <w:rPr>
                <w:rFonts w:cs="Arial"/>
              </w:rPr>
            </w:pPr>
            <w:r w:rsidRPr="00F4606C">
              <w:rPr>
                <w:rFonts w:cs="Arial"/>
              </w:rPr>
              <w:t>Sequence number of DACCOUNT record</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5DC5A63F" w14:textId="77777777" w:rsidR="00115458" w:rsidRPr="00AA677F" w:rsidRDefault="00115458" w:rsidP="00F4606C">
            <w:pPr>
              <w:spacing w:after="0" w:line="240" w:lineRule="auto"/>
              <w:rPr>
                <w:rFonts w:cs="Arial"/>
              </w:rPr>
            </w:pPr>
            <w:r w:rsidRPr="00F4606C">
              <w:rPr>
                <w:rFonts w:cs="Arial"/>
              </w:rPr>
              <w:t>01</w:t>
            </w:r>
          </w:p>
        </w:tc>
      </w:tr>
      <w:tr w:rsidR="00115458" w:rsidRPr="00AA677F" w14:paraId="4AF6461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F19B97" w14:textId="77777777" w:rsidR="00115458" w:rsidRPr="00AA677F" w:rsidRDefault="00115458" w:rsidP="00F4606C">
            <w:pPr>
              <w:spacing w:after="0" w:line="240" w:lineRule="auto"/>
              <w:rPr>
                <w:rFonts w:cs="Arial"/>
              </w:rPr>
            </w:pPr>
            <w:r w:rsidRPr="00F4606C">
              <w:rPr>
                <w:rFonts w:cs="Arial"/>
              </w:rPr>
              <w:t>9.67</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ACC53" w14:textId="77777777" w:rsidR="00115458" w:rsidRPr="00AA677F" w:rsidRDefault="00115458" w:rsidP="00F4606C">
            <w:pPr>
              <w:spacing w:after="0" w:line="240" w:lineRule="auto"/>
              <w:rPr>
                <w:rFonts w:cs="Arial"/>
              </w:rPr>
            </w:pPr>
            <w:r w:rsidRPr="00F4606C">
              <w:rPr>
                <w:rFonts w:cs="Arial"/>
              </w:rPr>
              <w:t>Account name</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7AD35CF" w14:textId="77777777" w:rsidR="00115458" w:rsidRPr="00AA677F" w:rsidRDefault="00115458" w:rsidP="00F4606C">
            <w:pPr>
              <w:spacing w:after="0" w:line="240" w:lineRule="auto"/>
              <w:rPr>
                <w:rFonts w:cs="Arial"/>
              </w:rPr>
            </w:pPr>
            <w:r w:rsidRPr="00F4606C">
              <w:rPr>
                <w:rFonts w:cs="Arial"/>
              </w:rPr>
              <w:t>Martha Smith</w:t>
            </w:r>
          </w:p>
        </w:tc>
      </w:tr>
      <w:tr w:rsidR="00115458" w:rsidRPr="00AA677F" w14:paraId="7AE02C8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EC2FAE" w14:textId="77777777" w:rsidR="00115458" w:rsidRPr="00AA677F" w:rsidRDefault="00115458" w:rsidP="00F4606C">
            <w:pPr>
              <w:spacing w:after="0" w:line="240" w:lineRule="auto"/>
              <w:rPr>
                <w:rFonts w:cs="Arial"/>
              </w:rPr>
            </w:pPr>
            <w:r w:rsidRPr="00F4606C">
              <w:rPr>
                <w:rFonts w:cs="Arial"/>
              </w:rPr>
              <w:t>9.70</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3EE170D" w14:textId="77777777" w:rsidR="00115458" w:rsidRPr="00AA677F" w:rsidRDefault="00115458" w:rsidP="00F4606C">
            <w:pPr>
              <w:spacing w:after="0" w:line="240" w:lineRule="auto"/>
              <w:rPr>
                <w:rFonts w:cs="Arial"/>
              </w:rPr>
            </w:pPr>
            <w:r w:rsidRPr="00F4606C">
              <w:rPr>
                <w:rFonts w:cs="Arial"/>
              </w:rPr>
              <w:t>Date of payment (DDMMCCYY)</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FF73CB0" w14:textId="04EF74FE" w:rsidR="00115458" w:rsidRPr="00AA677F" w:rsidRDefault="00115458" w:rsidP="00F4606C">
            <w:pPr>
              <w:spacing w:after="0" w:line="240" w:lineRule="auto"/>
              <w:rPr>
                <w:rFonts w:cs="Arial"/>
              </w:rPr>
            </w:pPr>
            <w:r w:rsidRPr="00F4606C">
              <w:rPr>
                <w:rFonts w:cs="Arial"/>
              </w:rPr>
              <w:t>3006202</w:t>
            </w:r>
            <w:r w:rsidR="00623170">
              <w:rPr>
                <w:rFonts w:cs="Arial"/>
              </w:rPr>
              <w:t>6</w:t>
            </w:r>
          </w:p>
        </w:tc>
      </w:tr>
      <w:tr w:rsidR="00115458" w:rsidRPr="00AA677F" w14:paraId="290572D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18921B" w14:textId="77777777" w:rsidR="00115458" w:rsidRPr="00AA677F" w:rsidRDefault="00115458" w:rsidP="00F4606C">
            <w:pPr>
              <w:spacing w:after="0" w:line="240" w:lineRule="auto"/>
              <w:rPr>
                <w:rFonts w:cs="Arial"/>
              </w:rPr>
            </w:pPr>
            <w:r w:rsidRPr="00F4606C">
              <w:rPr>
                <w:rFonts w:cs="Arial"/>
              </w:rPr>
              <w:t>9.71</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A9DAAC" w14:textId="77777777" w:rsidR="00115458" w:rsidRPr="00AA677F" w:rsidRDefault="00115458" w:rsidP="00F4606C">
            <w:pPr>
              <w:spacing w:after="0" w:line="240" w:lineRule="auto"/>
              <w:rPr>
                <w:rFonts w:cs="Arial"/>
              </w:rPr>
            </w:pPr>
            <w:r w:rsidRPr="00F4606C">
              <w:rPr>
                <w:rFonts w:cs="Arial"/>
              </w:rPr>
              <w:t>Type of investment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0136A931" w14:textId="77777777" w:rsidR="00115458" w:rsidRPr="00F4606C" w:rsidRDefault="00115458" w:rsidP="00F4606C">
            <w:pPr>
              <w:spacing w:after="0" w:line="240" w:lineRule="auto"/>
              <w:rPr>
                <w:rFonts w:cs="Arial"/>
              </w:rPr>
            </w:pPr>
            <w:r w:rsidRPr="00F4606C">
              <w:rPr>
                <w:rFonts w:cs="Arial"/>
              </w:rPr>
              <w:t>5</w:t>
            </w:r>
          </w:p>
        </w:tc>
      </w:tr>
      <w:tr w:rsidR="00115458" w:rsidRPr="00AA677F" w14:paraId="22E8125D"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12E111" w14:textId="77777777" w:rsidR="00115458" w:rsidRPr="00AA677F" w:rsidRDefault="00115458" w:rsidP="00F4606C">
            <w:pPr>
              <w:spacing w:after="0" w:line="240" w:lineRule="auto"/>
              <w:rPr>
                <w:rFonts w:cs="Arial"/>
              </w:rPr>
            </w:pPr>
            <w:r w:rsidRPr="00F4606C">
              <w:rPr>
                <w:rFonts w:cs="Arial"/>
              </w:rPr>
              <w:t>9.72</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C513B67" w14:textId="77777777" w:rsidR="00115458" w:rsidRPr="00AA677F" w:rsidRDefault="00115458" w:rsidP="00F4606C">
            <w:pPr>
              <w:spacing w:after="0" w:line="240" w:lineRule="auto"/>
              <w:rPr>
                <w:rFonts w:cs="Arial"/>
              </w:rPr>
            </w:pPr>
            <w:r w:rsidRPr="00F4606C">
              <w:rPr>
                <w:rFonts w:cs="Arial"/>
              </w:rPr>
              <w:t>Type of payment</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3360C811" w14:textId="77777777" w:rsidR="00115458" w:rsidRPr="00F4606C" w:rsidRDefault="00115458" w:rsidP="00F4606C">
            <w:pPr>
              <w:spacing w:after="0" w:line="240" w:lineRule="auto"/>
              <w:rPr>
                <w:rFonts w:cs="Arial"/>
              </w:rPr>
            </w:pPr>
            <w:r w:rsidRPr="00F4606C">
              <w:rPr>
                <w:rFonts w:cs="Arial"/>
              </w:rPr>
              <w:t>UTD</w:t>
            </w:r>
          </w:p>
        </w:tc>
      </w:tr>
      <w:tr w:rsidR="00115458" w:rsidRPr="00AA677F" w14:paraId="205C275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1539A0" w14:textId="77777777" w:rsidR="00115458" w:rsidRPr="00F4606C" w:rsidRDefault="00115458" w:rsidP="00F4606C">
            <w:pPr>
              <w:spacing w:after="0" w:line="240" w:lineRule="auto"/>
              <w:rPr>
                <w:rFonts w:cs="Arial"/>
              </w:rPr>
            </w:pPr>
            <w:r w:rsidRPr="00F4606C">
              <w:rPr>
                <w:rFonts w:cs="Arial"/>
              </w:rPr>
              <w:t>9.88</w:t>
            </w:r>
          </w:p>
        </w:tc>
        <w:tc>
          <w:tcPr>
            <w:tcW w:w="3342" w:type="pct"/>
            <w:tcBorders>
              <w:top w:val="nil"/>
              <w:left w:val="nil"/>
              <w:bottom w:val="single" w:sz="8" w:space="0" w:color="auto"/>
              <w:right w:val="single" w:sz="8" w:space="0" w:color="auto"/>
            </w:tcBorders>
            <w:tcMar>
              <w:top w:w="0" w:type="dxa"/>
              <w:left w:w="108" w:type="dxa"/>
              <w:bottom w:w="0" w:type="dxa"/>
              <w:right w:w="108" w:type="dxa"/>
            </w:tcMar>
          </w:tcPr>
          <w:p w14:paraId="15507FAD" w14:textId="77777777" w:rsidR="00115458" w:rsidRPr="00F4606C" w:rsidRDefault="00115458" w:rsidP="00F4606C">
            <w:pPr>
              <w:spacing w:after="0" w:line="240" w:lineRule="auto"/>
              <w:rPr>
                <w:rFonts w:cs="Arial"/>
              </w:rPr>
            </w:pPr>
            <w:r w:rsidRPr="00F4606C">
              <w:rPr>
                <w:rFonts w:cs="Arial"/>
              </w:rPr>
              <w:t>Net capital gain</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4C3ECD70" w14:textId="77777777" w:rsidR="00115458" w:rsidRPr="00AA677F" w:rsidRDefault="00115458" w:rsidP="00F4606C">
            <w:pPr>
              <w:spacing w:after="0" w:line="240" w:lineRule="auto"/>
              <w:rPr>
                <w:rFonts w:cs="Arial"/>
              </w:rPr>
            </w:pPr>
            <w:r w:rsidRPr="00F4606C">
              <w:rPr>
                <w:rFonts w:cs="Arial"/>
              </w:rPr>
              <w:t>000000007500</w:t>
            </w:r>
          </w:p>
        </w:tc>
      </w:tr>
      <w:tr w:rsidR="00115458" w:rsidRPr="00AA677F" w14:paraId="0E3F055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5F0749" w14:textId="77777777" w:rsidR="00115458" w:rsidRPr="00F4606C" w:rsidRDefault="00115458" w:rsidP="00F4606C">
            <w:pPr>
              <w:spacing w:after="0" w:line="240" w:lineRule="auto"/>
              <w:rPr>
                <w:rFonts w:cs="Arial"/>
              </w:rPr>
            </w:pPr>
            <w:r w:rsidRPr="00F4606C">
              <w:rPr>
                <w:rFonts w:cs="Arial"/>
              </w:rPr>
              <w:t>9.89</w:t>
            </w:r>
          </w:p>
        </w:tc>
        <w:tc>
          <w:tcPr>
            <w:tcW w:w="3342" w:type="pct"/>
            <w:tcBorders>
              <w:top w:val="nil"/>
              <w:left w:val="nil"/>
              <w:bottom w:val="single" w:sz="8" w:space="0" w:color="auto"/>
              <w:right w:val="single" w:sz="8" w:space="0" w:color="auto"/>
            </w:tcBorders>
            <w:tcMar>
              <w:top w:w="0" w:type="dxa"/>
              <w:left w:w="108" w:type="dxa"/>
              <w:bottom w:w="0" w:type="dxa"/>
              <w:right w:w="108" w:type="dxa"/>
            </w:tcMar>
          </w:tcPr>
          <w:p w14:paraId="7AA72F97" w14:textId="77777777" w:rsidR="00115458" w:rsidRPr="00F4606C" w:rsidRDefault="00115458" w:rsidP="00F4606C">
            <w:pPr>
              <w:spacing w:after="0" w:line="240" w:lineRule="auto"/>
              <w:rPr>
                <w:rFonts w:cs="Arial"/>
              </w:rPr>
            </w:pPr>
            <w:r w:rsidRPr="00F4606C">
              <w:rPr>
                <w:rFonts w:cs="Arial"/>
              </w:rPr>
              <w:t>Total current year capital gains</w:t>
            </w:r>
          </w:p>
        </w:tc>
        <w:tc>
          <w:tcPr>
            <w:tcW w:w="10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AD9BD45" w14:textId="77777777" w:rsidR="00115458" w:rsidRPr="00AA677F" w:rsidRDefault="00115458" w:rsidP="00F4606C">
            <w:pPr>
              <w:spacing w:after="0" w:line="240" w:lineRule="auto"/>
              <w:rPr>
                <w:rFonts w:cs="Arial"/>
              </w:rPr>
            </w:pPr>
            <w:r w:rsidRPr="00F4606C">
              <w:rPr>
                <w:rFonts w:cs="Arial"/>
              </w:rPr>
              <w:t>000000015000</w:t>
            </w:r>
          </w:p>
        </w:tc>
      </w:tr>
      <w:tr w:rsidR="00115458" w:rsidRPr="00AA677F" w14:paraId="0404CF54"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DA005" w14:textId="77777777" w:rsidR="00115458" w:rsidRPr="00AA677F" w:rsidRDefault="00115458" w:rsidP="00F4606C">
            <w:pPr>
              <w:spacing w:after="0" w:line="240" w:lineRule="auto"/>
              <w:rPr>
                <w:rFonts w:cs="Arial"/>
              </w:rPr>
            </w:pPr>
            <w:r w:rsidRPr="00F4606C">
              <w:rPr>
                <w:rFonts w:cs="Arial"/>
              </w:rPr>
              <w:t>9.98</w:t>
            </w:r>
          </w:p>
        </w:tc>
        <w:tc>
          <w:tcPr>
            <w:tcW w:w="3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0B47C" w14:textId="77777777" w:rsidR="00115458" w:rsidRPr="00AA677F" w:rsidRDefault="00115458" w:rsidP="00F4606C">
            <w:pPr>
              <w:spacing w:after="0" w:line="240" w:lineRule="auto"/>
              <w:rPr>
                <w:rFonts w:cs="Arial"/>
              </w:rPr>
            </w:pPr>
            <w:r w:rsidRPr="00F4606C">
              <w:rPr>
                <w:rFonts w:cs="Arial"/>
              </w:rPr>
              <w:t>Other allowable trust deductions (cents)</w:t>
            </w:r>
          </w:p>
        </w:tc>
        <w:tc>
          <w:tcPr>
            <w:tcW w:w="1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8DCA1" w14:textId="77777777" w:rsidR="00115458" w:rsidRPr="00AA677F" w:rsidRDefault="00115458" w:rsidP="00F4606C">
            <w:pPr>
              <w:spacing w:after="0" w:line="240" w:lineRule="auto"/>
              <w:rPr>
                <w:rFonts w:cs="Arial"/>
              </w:rPr>
            </w:pPr>
            <w:r w:rsidRPr="00F4606C">
              <w:rPr>
                <w:rFonts w:cs="Arial"/>
              </w:rPr>
              <w:t>000000000000</w:t>
            </w:r>
          </w:p>
        </w:tc>
      </w:tr>
    </w:tbl>
    <w:p w14:paraId="47927DE4" w14:textId="77777777" w:rsidR="00115458" w:rsidRPr="00F4606C" w:rsidRDefault="00115458" w:rsidP="00AA677F">
      <w:pPr>
        <w:pStyle w:val="Maintext"/>
        <w:rPr>
          <w:rFonts w:asciiTheme="minorHAnsi" w:hAnsiTheme="minorHAnsi" w:cs="Arial"/>
          <w:b/>
          <w:smallCaps/>
          <w:sz w:val="20"/>
          <w:szCs w:val="20"/>
        </w:rPr>
      </w:pPr>
    </w:p>
    <w:p w14:paraId="59F46C64" w14:textId="77777777" w:rsidR="00115458" w:rsidRPr="00F4606C" w:rsidRDefault="00115458" w:rsidP="00AA677F">
      <w:pPr>
        <w:pStyle w:val="Maintext"/>
        <w:rPr>
          <w:rFonts w:asciiTheme="minorHAnsi" w:hAnsiTheme="minorHAnsi" w:cs="Arial"/>
          <w:b/>
          <w:smallCaps/>
          <w:sz w:val="20"/>
          <w:szCs w:val="20"/>
        </w:rPr>
      </w:pPr>
      <w:r w:rsidRPr="00F4606C">
        <w:rPr>
          <w:rFonts w:asciiTheme="minorHAnsi" w:hAnsiTheme="minorHAnsi" w:cs="Arial"/>
          <w:b/>
          <w:smallCaps/>
          <w:sz w:val="20"/>
          <w:szCs w:val="20"/>
        </w:rPr>
        <w:t xml:space="preserve">supplementary income account data record 1 </w:t>
      </w:r>
      <w:r w:rsidRPr="00F4606C">
        <w:rPr>
          <w:rFonts w:asciiTheme="minorHAnsi" w:hAnsiTheme="minorHAnsi" w:cs="Arial"/>
          <w:smallCaps/>
          <w:sz w:val="20"/>
          <w:szCs w:val="20"/>
        </w:rPr>
        <w:t>(extract)</w:t>
      </w:r>
    </w:p>
    <w:p w14:paraId="10EF2CFF" w14:textId="77777777" w:rsidR="00115458" w:rsidRPr="00F4606C" w:rsidRDefault="00115458" w:rsidP="00AA677F">
      <w:pPr>
        <w:pStyle w:val="Maintext"/>
        <w:rPr>
          <w:rFonts w:asciiTheme="minorHAnsi" w:hAnsiTheme="minorHAnsi" w:cs="Arial"/>
          <w:sz w:val="20"/>
          <w:szCs w:val="20"/>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6089"/>
        <w:gridCol w:w="1898"/>
      </w:tblGrid>
      <w:tr w:rsidR="00115458" w:rsidRPr="00AA677F" w14:paraId="4B9E9EE7" w14:textId="77777777" w:rsidTr="000C1365">
        <w:trPr>
          <w:cantSplit/>
          <w:trHeight w:val="495"/>
          <w:tblHeader/>
        </w:trPr>
        <w:tc>
          <w:tcPr>
            <w:tcW w:w="590" w:type="pct"/>
            <w:shd w:val="clear" w:color="auto" w:fill="B3B3B3"/>
            <w:tcMar>
              <w:top w:w="0" w:type="dxa"/>
              <w:left w:w="108" w:type="dxa"/>
              <w:bottom w:w="0" w:type="dxa"/>
              <w:right w:w="108" w:type="dxa"/>
            </w:tcMar>
            <w:vAlign w:val="center"/>
          </w:tcPr>
          <w:p w14:paraId="429DDEFF" w14:textId="77777777" w:rsidR="00115458" w:rsidRPr="00AA677F" w:rsidRDefault="00115458" w:rsidP="00F4606C">
            <w:pPr>
              <w:spacing w:after="0" w:line="240" w:lineRule="auto"/>
              <w:rPr>
                <w:rFonts w:cs="Arial"/>
              </w:rPr>
            </w:pPr>
            <w:r w:rsidRPr="00F4606C">
              <w:rPr>
                <w:rFonts w:cs="Arial"/>
                <w:b/>
                <w:bCs/>
              </w:rPr>
              <w:t>Reference number</w:t>
            </w:r>
          </w:p>
        </w:tc>
        <w:tc>
          <w:tcPr>
            <w:tcW w:w="3342" w:type="pct"/>
            <w:shd w:val="clear" w:color="auto" w:fill="B3B3B3"/>
            <w:tcMar>
              <w:top w:w="0" w:type="dxa"/>
              <w:left w:w="108" w:type="dxa"/>
              <w:bottom w:w="0" w:type="dxa"/>
              <w:right w:w="108" w:type="dxa"/>
            </w:tcMar>
            <w:vAlign w:val="center"/>
          </w:tcPr>
          <w:p w14:paraId="3D80A47E" w14:textId="77777777" w:rsidR="00115458" w:rsidRPr="00AA677F" w:rsidRDefault="00115458" w:rsidP="00F4606C">
            <w:pPr>
              <w:spacing w:after="0" w:line="240" w:lineRule="auto"/>
              <w:rPr>
                <w:rFonts w:cs="Arial"/>
              </w:rPr>
            </w:pPr>
            <w:r w:rsidRPr="00F4606C">
              <w:rPr>
                <w:rFonts w:cs="Arial"/>
                <w:b/>
                <w:bCs/>
              </w:rPr>
              <w:t>Field name</w:t>
            </w:r>
          </w:p>
        </w:tc>
        <w:tc>
          <w:tcPr>
            <w:tcW w:w="1068" w:type="pct"/>
            <w:shd w:val="clear" w:color="auto" w:fill="B3B3B3"/>
            <w:tcMar>
              <w:top w:w="0" w:type="dxa"/>
              <w:left w:w="108" w:type="dxa"/>
              <w:bottom w:w="0" w:type="dxa"/>
              <w:right w:w="108" w:type="dxa"/>
            </w:tcMar>
            <w:vAlign w:val="center"/>
          </w:tcPr>
          <w:p w14:paraId="0B335709"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6395D517"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42EB52" w14:textId="77777777" w:rsidR="00115458" w:rsidRPr="00F4606C" w:rsidRDefault="00115458" w:rsidP="00F4606C">
            <w:pPr>
              <w:spacing w:after="0" w:line="240" w:lineRule="auto"/>
              <w:rPr>
                <w:rFonts w:cs="Arial"/>
              </w:rPr>
            </w:pPr>
            <w:r w:rsidRPr="00F4606C">
              <w:rPr>
                <w:rFonts w:cs="Arial"/>
              </w:rPr>
              <w:t>9.123</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54A75BD" w14:textId="77777777" w:rsidR="00115458" w:rsidRPr="00F4606C" w:rsidRDefault="00115458" w:rsidP="00F4606C">
            <w:pPr>
              <w:spacing w:after="0" w:line="240" w:lineRule="auto"/>
            </w:pPr>
            <w:r w:rsidRPr="00F4606C">
              <w:t>Capital gains discount method –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7493C267" w14:textId="77777777" w:rsidR="00115458" w:rsidRPr="00F4606C" w:rsidDel="006E4A4F" w:rsidRDefault="00115458" w:rsidP="00F4606C">
            <w:pPr>
              <w:spacing w:after="0" w:line="240" w:lineRule="auto"/>
              <w:rPr>
                <w:rFonts w:cs="Arial"/>
              </w:rPr>
            </w:pPr>
            <w:r w:rsidRPr="00F4606C">
              <w:rPr>
                <w:rFonts w:cs="Arial"/>
              </w:rPr>
              <w:t>000000007500</w:t>
            </w:r>
          </w:p>
        </w:tc>
      </w:tr>
      <w:tr w:rsidR="00115458" w:rsidRPr="00AA677F" w14:paraId="153CCF9B"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ADF3" w14:textId="77777777" w:rsidR="00115458" w:rsidRPr="00F4606C" w:rsidRDefault="00115458" w:rsidP="00F4606C">
            <w:pPr>
              <w:spacing w:after="0" w:line="240" w:lineRule="auto"/>
              <w:rPr>
                <w:rFonts w:cs="Arial"/>
              </w:rPr>
            </w:pPr>
            <w:r w:rsidRPr="00F4606C">
              <w:rPr>
                <w:rFonts w:cs="Arial"/>
              </w:rPr>
              <w:t>9.124</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549E78C" w14:textId="77777777" w:rsidR="00115458" w:rsidRPr="00F4606C" w:rsidRDefault="00115458" w:rsidP="00F4606C">
            <w:pPr>
              <w:spacing w:after="0" w:line="240" w:lineRule="auto"/>
            </w:pPr>
            <w:r w:rsidRPr="00F4606C">
              <w:t>Capital gains discount method – Non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4F44960A" w14:textId="77777777" w:rsidR="00115458" w:rsidRPr="00F4606C" w:rsidDel="006E4A4F" w:rsidRDefault="00115458" w:rsidP="00F4606C">
            <w:pPr>
              <w:spacing w:after="0" w:line="240" w:lineRule="auto"/>
              <w:rPr>
                <w:rFonts w:cs="Arial"/>
              </w:rPr>
            </w:pPr>
            <w:r w:rsidRPr="00F4606C">
              <w:rPr>
                <w:rFonts w:cs="Arial"/>
              </w:rPr>
              <w:t>000000000000</w:t>
            </w:r>
          </w:p>
        </w:tc>
      </w:tr>
      <w:tr w:rsidR="00115458" w:rsidRPr="00AA677F" w14:paraId="3D5991BD"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F53C35" w14:textId="77777777" w:rsidR="00115458" w:rsidRPr="00F4606C" w:rsidRDefault="00115458" w:rsidP="00F4606C">
            <w:pPr>
              <w:spacing w:after="0" w:line="240" w:lineRule="auto"/>
              <w:rPr>
                <w:rFonts w:cs="Arial"/>
              </w:rPr>
            </w:pPr>
            <w:r w:rsidRPr="00F4606C">
              <w:rPr>
                <w:rFonts w:cs="Arial"/>
              </w:rPr>
              <w:t>9.125</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5313A15B" w14:textId="77777777" w:rsidR="00115458" w:rsidRPr="00F4606C" w:rsidRDefault="00115458" w:rsidP="00F4606C">
            <w:pPr>
              <w:spacing w:after="0" w:line="240" w:lineRule="auto"/>
            </w:pPr>
            <w:r w:rsidRPr="00F4606C">
              <w:t>Capital gains other  –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332213AD" w14:textId="77777777" w:rsidR="00115458" w:rsidRPr="00F4606C" w:rsidDel="006E4A4F" w:rsidRDefault="00115458" w:rsidP="00F4606C">
            <w:pPr>
              <w:spacing w:after="0" w:line="240" w:lineRule="auto"/>
              <w:rPr>
                <w:rFonts w:cs="Arial"/>
              </w:rPr>
            </w:pPr>
            <w:r w:rsidRPr="00F4606C">
              <w:rPr>
                <w:rFonts w:cs="Arial"/>
              </w:rPr>
              <w:t>000000000000</w:t>
            </w:r>
          </w:p>
        </w:tc>
      </w:tr>
      <w:tr w:rsidR="00115458" w:rsidRPr="00AA677F" w14:paraId="31131EC0" w14:textId="77777777" w:rsidTr="000C1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38DAD9" w14:textId="77777777" w:rsidR="00115458" w:rsidRPr="00F4606C" w:rsidRDefault="00115458" w:rsidP="00F4606C">
            <w:pPr>
              <w:spacing w:after="0" w:line="240" w:lineRule="auto"/>
              <w:rPr>
                <w:rFonts w:cs="Arial"/>
              </w:rPr>
            </w:pPr>
            <w:r w:rsidRPr="00F4606C">
              <w:rPr>
                <w:rFonts w:cs="Arial"/>
              </w:rPr>
              <w:t>9.126</w:t>
            </w:r>
          </w:p>
        </w:tc>
        <w:tc>
          <w:tcPr>
            <w:tcW w:w="334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3092D9" w14:textId="77777777" w:rsidR="00115458" w:rsidRPr="00F4606C" w:rsidRDefault="00115458" w:rsidP="00F4606C">
            <w:pPr>
              <w:spacing w:after="0" w:line="240" w:lineRule="auto"/>
            </w:pPr>
            <w:r w:rsidRPr="00F4606C">
              <w:t>Capital gains other  –  Non Taxable Australian property</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327E4468" w14:textId="77777777" w:rsidR="00115458" w:rsidRPr="00F4606C" w:rsidDel="006E4A4F" w:rsidRDefault="00115458" w:rsidP="00F4606C">
            <w:pPr>
              <w:spacing w:after="0" w:line="240" w:lineRule="auto"/>
              <w:rPr>
                <w:rFonts w:cs="Arial"/>
              </w:rPr>
            </w:pPr>
            <w:r w:rsidRPr="00F4606C">
              <w:rPr>
                <w:rFonts w:cs="Arial"/>
              </w:rPr>
              <w:t>000000000000</w:t>
            </w:r>
          </w:p>
        </w:tc>
      </w:tr>
    </w:tbl>
    <w:p w14:paraId="2DE804D2" w14:textId="40C30965" w:rsidR="00115458" w:rsidRPr="0028338D" w:rsidRDefault="00115458" w:rsidP="00F4606C">
      <w:pPr>
        <w:spacing w:after="0" w:line="240" w:lineRule="auto"/>
        <w:rPr>
          <w:rFonts w:cs="Arial"/>
          <w:sz w:val="18"/>
          <w:szCs w:val="18"/>
        </w:rPr>
      </w:pPr>
      <w:r w:rsidRPr="0028338D">
        <w:rPr>
          <w:iCs/>
          <w:color w:val="000000"/>
          <w:sz w:val="18"/>
          <w:szCs w:val="18"/>
        </w:rPr>
        <w:t>An</w:t>
      </w:r>
      <w:r w:rsidRPr="0028338D">
        <w:rPr>
          <w:i/>
          <w:color w:val="000000"/>
          <w:sz w:val="18"/>
          <w:szCs w:val="18"/>
        </w:rPr>
        <w:t xml:space="preserve"> Investor data record </w:t>
      </w:r>
      <w:r w:rsidRPr="0028338D">
        <w:rPr>
          <w:color w:val="000000"/>
          <w:sz w:val="18"/>
          <w:szCs w:val="18"/>
        </w:rPr>
        <w:t xml:space="preserve">is required following the </w:t>
      </w:r>
      <w:r w:rsidRPr="0028338D">
        <w:rPr>
          <w:rFonts w:cs="Arial"/>
          <w:i/>
          <w:sz w:val="18"/>
          <w:szCs w:val="18"/>
        </w:rPr>
        <w:t>Supplementary income account data record</w:t>
      </w:r>
    </w:p>
    <w:p w14:paraId="390DC887" w14:textId="77777777" w:rsidR="00115458" w:rsidRPr="00AA677F" w:rsidRDefault="00115458" w:rsidP="00F4606C">
      <w:pPr>
        <w:spacing w:after="0" w:line="240" w:lineRule="auto"/>
      </w:pPr>
    </w:p>
    <w:p w14:paraId="60D2AD85" w14:textId="77777777" w:rsidR="00115458" w:rsidRPr="00AA677F" w:rsidRDefault="00115458" w:rsidP="00F4606C">
      <w:pPr>
        <w:spacing w:after="0" w:line="240" w:lineRule="auto"/>
      </w:pPr>
      <w:r w:rsidRPr="00AA677F">
        <w:t xml:space="preserve">For further information see </w:t>
      </w:r>
      <w:hyperlink r:id="rId35" w:history="1">
        <w:r w:rsidRPr="00AA677F">
          <w:rPr>
            <w:rStyle w:val="Hyperlink"/>
          </w:rPr>
          <w:t>CGT discount for affordable housing | Australian Taxation Office (ato.gov.au)</w:t>
        </w:r>
      </w:hyperlink>
      <w:r w:rsidRPr="00AA677F">
        <w:t xml:space="preserve"> </w:t>
      </w:r>
    </w:p>
    <w:p w14:paraId="0D57B64A" w14:textId="77777777" w:rsidR="00115458" w:rsidRPr="00DB7B17" w:rsidRDefault="00115458" w:rsidP="00115458">
      <w:pPr>
        <w:pStyle w:val="Heading3"/>
      </w:pPr>
      <w:bookmarkStart w:id="1656" w:name="_Hlk77676953"/>
      <w:bookmarkStart w:id="1657" w:name="_Toc232191352"/>
      <w:r w:rsidRPr="00DB7B17">
        <w:t>Stapled Structures and non-concessional MIT income (NCMI) reporting</w:t>
      </w:r>
      <w:bookmarkEnd w:id="1657"/>
    </w:p>
    <w:bookmarkEnd w:id="1656"/>
    <w:p w14:paraId="78F8E8BB" w14:textId="77777777" w:rsidR="00115458" w:rsidRPr="00B11B96" w:rsidRDefault="00115458" w:rsidP="00F4606C">
      <w:pPr>
        <w:spacing w:after="0" w:line="240" w:lineRule="auto"/>
        <w:rPr>
          <w:rFonts w:cs="Arial"/>
        </w:rPr>
      </w:pPr>
      <w:r w:rsidRPr="00B11B96">
        <w:rPr>
          <w:rFonts w:cs="Arial"/>
        </w:rPr>
        <w:t>A stapled structure is an arrangement where two or more entities that are commonly owned (at least one of which is a trust) are often bound together, such that interests in them (i.e. shares or units) cannot be bought or sold separately. The controlling entity is required to supply an AIIR.</w:t>
      </w:r>
    </w:p>
    <w:p w14:paraId="00054274" w14:textId="77777777" w:rsidR="00115458" w:rsidRPr="00F4606C" w:rsidRDefault="00115458" w:rsidP="00B11B96">
      <w:pPr>
        <w:pStyle w:val="Maintext"/>
        <w:rPr>
          <w:rFonts w:asciiTheme="minorHAnsi" w:hAnsiTheme="minorHAnsi"/>
          <w:sz w:val="20"/>
          <w:szCs w:val="20"/>
        </w:rPr>
      </w:pPr>
      <w:r w:rsidRPr="00F4606C">
        <w:rPr>
          <w:rFonts w:asciiTheme="minorHAnsi" w:hAnsiTheme="minorHAnsi" w:cs="Arial"/>
          <w:sz w:val="20"/>
          <w:szCs w:val="20"/>
        </w:rPr>
        <w:t>Although the securities cannot be sold separately, they are treated separately for tax purposes</w:t>
      </w:r>
    </w:p>
    <w:p w14:paraId="64D2FAA2" w14:textId="77777777" w:rsidR="00115458" w:rsidRPr="00F4606C" w:rsidRDefault="00115458" w:rsidP="00B11B96">
      <w:pPr>
        <w:pStyle w:val="Maintext"/>
        <w:rPr>
          <w:rFonts w:asciiTheme="minorHAnsi" w:hAnsiTheme="minorHAnsi"/>
          <w:sz w:val="20"/>
          <w:szCs w:val="20"/>
        </w:rPr>
      </w:pPr>
    </w:p>
    <w:p w14:paraId="0CE61649" w14:textId="02633364" w:rsidR="00115458" w:rsidRDefault="00115458" w:rsidP="00B11B96">
      <w:pPr>
        <w:pStyle w:val="Maintext"/>
        <w:rPr>
          <w:rFonts w:asciiTheme="minorHAnsi" w:hAnsiTheme="minorHAnsi"/>
          <w:sz w:val="20"/>
          <w:szCs w:val="20"/>
        </w:rPr>
      </w:pPr>
      <w:r w:rsidRPr="00F4606C">
        <w:rPr>
          <w:rFonts w:asciiTheme="minorHAnsi" w:hAnsiTheme="minorHAnsi"/>
          <w:sz w:val="20"/>
          <w:szCs w:val="20"/>
        </w:rPr>
        <w:t xml:space="preserve">Legislative changes were introduced in the </w:t>
      </w:r>
      <w:bookmarkStart w:id="1658" w:name="_Hlk77074302"/>
      <w:r w:rsidRPr="00F4606C">
        <w:rPr>
          <w:rFonts w:asciiTheme="minorHAnsi" w:hAnsiTheme="minorHAnsi"/>
          <w:i/>
          <w:iCs/>
          <w:sz w:val="20"/>
          <w:szCs w:val="20"/>
        </w:rPr>
        <w:t xml:space="preserve">Treasury Laws Amendment (Making Sure Foreign Investors Pay Their Fair Share of Tax in Australia and Other Measures) Act 2019 </w:t>
      </w:r>
      <w:bookmarkEnd w:id="1658"/>
      <w:r w:rsidRPr="00F4606C">
        <w:rPr>
          <w:rFonts w:asciiTheme="minorHAnsi" w:hAnsiTheme="minorHAnsi"/>
          <w:sz w:val="20"/>
          <w:szCs w:val="20"/>
        </w:rPr>
        <w:t>(Stapled Structures Act) to address risks posed by arrangements involving stapled structures and to limit access to concessions currently available to foreign investors for passive income. Changes apply from 1 July 2019 (subject to transitional rules apply) to:</w:t>
      </w:r>
    </w:p>
    <w:p w14:paraId="32B73AED" w14:textId="77777777" w:rsidR="004A5DA4" w:rsidRPr="00F4606C" w:rsidRDefault="004A5DA4" w:rsidP="00B11B96">
      <w:pPr>
        <w:pStyle w:val="Maintext"/>
        <w:rPr>
          <w:rFonts w:asciiTheme="minorHAnsi" w:hAnsiTheme="minorHAnsi" w:cs="Arial"/>
          <w:sz w:val="20"/>
          <w:szCs w:val="20"/>
        </w:rPr>
      </w:pPr>
    </w:p>
    <w:p w14:paraId="71F1B267" w14:textId="77777777" w:rsidR="00115458" w:rsidRPr="00F4606C" w:rsidRDefault="00115458" w:rsidP="00F4606C">
      <w:pPr>
        <w:pStyle w:val="Bulletedlist1"/>
        <w:spacing w:before="0"/>
        <w:rPr>
          <w:rFonts w:asciiTheme="minorHAnsi" w:hAnsiTheme="minorHAnsi"/>
          <w:bCs/>
          <w:sz w:val="20"/>
          <w:szCs w:val="20"/>
        </w:rPr>
      </w:pPr>
      <w:r w:rsidRPr="00F4606C">
        <w:rPr>
          <w:rFonts w:asciiTheme="minorHAnsi" w:hAnsiTheme="minorHAnsi"/>
          <w:sz w:val="20"/>
          <w:szCs w:val="20"/>
        </w:rPr>
        <w:t xml:space="preserve">ensure that trading income that is converted to passive income via a stapled structure or distributed by a trading trust, and income from agricultural land and residential housing (other than affordable housing), is subject to a 30% withholding tax rate - See </w:t>
      </w:r>
      <w:bookmarkStart w:id="1659" w:name="_Hlk77677144"/>
      <w:r w:rsidRPr="00F4606C">
        <w:rPr>
          <w:rFonts w:asciiTheme="minorHAnsi" w:hAnsiTheme="minorHAnsi"/>
          <w:bCs/>
          <w:noProof/>
          <w:sz w:val="20"/>
          <w:szCs w:val="20"/>
        </w:rPr>
        <w:fldChar w:fldCharType="begin"/>
      </w:r>
      <w:r w:rsidRPr="00F4606C">
        <w:rPr>
          <w:rFonts w:asciiTheme="minorHAnsi" w:hAnsiTheme="minorHAnsi"/>
          <w:bCs/>
          <w:noProof/>
          <w:sz w:val="20"/>
          <w:szCs w:val="20"/>
        </w:rPr>
        <w:instrText xml:space="preserve"> HYPERLINK "https://www.ato.gov.au/law/view/document?src=hs&amp;pit=99991231235958&amp;arc=false&amp;start=1&amp;pageSize=10&amp;total=31&amp;num=0&amp;docid=COG%2FLCR20202%2FNAT%2FATO%2F00001&amp;dc=false&amp;stype=find&amp;tm=phrase-basic-2020%2F2" </w:instrText>
      </w:r>
      <w:r w:rsidRPr="00F4606C">
        <w:rPr>
          <w:rFonts w:asciiTheme="minorHAnsi" w:hAnsiTheme="minorHAnsi"/>
          <w:bCs/>
          <w:noProof/>
          <w:sz w:val="20"/>
          <w:szCs w:val="20"/>
        </w:rPr>
      </w:r>
      <w:r w:rsidRPr="00F4606C">
        <w:rPr>
          <w:rFonts w:asciiTheme="minorHAnsi" w:hAnsiTheme="minorHAnsi"/>
          <w:bCs/>
          <w:noProof/>
          <w:sz w:val="20"/>
          <w:szCs w:val="20"/>
        </w:rPr>
        <w:fldChar w:fldCharType="separate"/>
      </w:r>
      <w:r w:rsidRPr="00F4606C">
        <w:rPr>
          <w:rStyle w:val="Hyperlink"/>
          <w:rFonts w:asciiTheme="minorHAnsi" w:hAnsiTheme="minorHAnsi"/>
          <w:bCs/>
          <w:szCs w:val="20"/>
        </w:rPr>
        <w:t xml:space="preserve">LCR 2020/2 - </w:t>
      </w:r>
      <w:bookmarkStart w:id="1660" w:name="_Hlk77677102"/>
      <w:r w:rsidRPr="00F4606C">
        <w:rPr>
          <w:rStyle w:val="Hyperlink"/>
          <w:rFonts w:asciiTheme="minorHAnsi" w:hAnsiTheme="minorHAnsi"/>
          <w:bCs/>
          <w:szCs w:val="20"/>
        </w:rPr>
        <w:t>Non-concessional MIT income</w:t>
      </w:r>
      <w:bookmarkEnd w:id="1660"/>
      <w:r w:rsidRPr="00F4606C">
        <w:rPr>
          <w:rFonts w:asciiTheme="minorHAnsi" w:hAnsiTheme="minorHAnsi"/>
          <w:bCs/>
          <w:noProof/>
          <w:sz w:val="20"/>
          <w:szCs w:val="20"/>
        </w:rPr>
        <w:fldChar w:fldCharType="end"/>
      </w:r>
      <w:r w:rsidRPr="00F4606C">
        <w:rPr>
          <w:rStyle w:val="StyleItalic"/>
          <w:rFonts w:asciiTheme="minorHAnsi" w:hAnsiTheme="minorHAnsi"/>
          <w:bCs/>
          <w:sz w:val="20"/>
          <w:szCs w:val="20"/>
        </w:rPr>
        <w:t xml:space="preserve"> </w:t>
      </w:r>
    </w:p>
    <w:bookmarkEnd w:id="1659"/>
    <w:p w14:paraId="605608FC" w14:textId="77777777" w:rsidR="00115458" w:rsidRPr="00F4606C" w:rsidRDefault="00115458" w:rsidP="00F4606C">
      <w:pPr>
        <w:pStyle w:val="Bulletedlist1"/>
        <w:spacing w:before="0"/>
        <w:rPr>
          <w:rFonts w:asciiTheme="minorHAnsi" w:hAnsiTheme="minorHAnsi"/>
          <w:sz w:val="20"/>
          <w:szCs w:val="20"/>
        </w:rPr>
      </w:pPr>
      <w:r w:rsidRPr="00F4606C">
        <w:rPr>
          <w:rFonts w:asciiTheme="minorHAnsi" w:hAnsiTheme="minorHAnsi"/>
          <w:sz w:val="20"/>
          <w:szCs w:val="20"/>
        </w:rPr>
        <w:t xml:space="preserve">limit the existing tax exemptions for foreign pension funds and sovereign wealth funds to passive income and portfolio investments only – typically interests of less than 10% - See </w:t>
      </w:r>
      <w:hyperlink r:id="rId36" w:history="1">
        <w:r w:rsidRPr="00F4606C">
          <w:rPr>
            <w:rStyle w:val="Hyperlink"/>
            <w:rFonts w:asciiTheme="minorHAnsi" w:hAnsiTheme="minorHAnsi"/>
            <w:szCs w:val="20"/>
          </w:rPr>
          <w:t>LCR 2020/3 | Legal database (ato.gov.au)</w:t>
        </w:r>
      </w:hyperlink>
    </w:p>
    <w:p w14:paraId="5FA39738" w14:textId="77777777" w:rsidR="00115458" w:rsidRPr="00B11B96" w:rsidRDefault="00115458" w:rsidP="00F4606C">
      <w:pPr>
        <w:spacing w:after="0" w:line="240" w:lineRule="auto"/>
      </w:pPr>
    </w:p>
    <w:p w14:paraId="21ED19DC" w14:textId="318313A2" w:rsidR="00115458" w:rsidRDefault="00115458" w:rsidP="00F4606C">
      <w:pPr>
        <w:spacing w:after="0" w:line="240" w:lineRule="auto"/>
      </w:pPr>
      <w:r w:rsidRPr="00B11B96">
        <w:t>From 1 July 2019 the MIT withholding rate for fund payments is 30% to the extent that the fund payment is attributable to NCMI. If transitional rules apply to the fund payments, the concessional MIT withholding tax rate of 15% will continue to apply for relevant transitional periods. New approved economic infrastructure projects may also be concessionally taxed.</w:t>
      </w:r>
    </w:p>
    <w:p w14:paraId="72886592" w14:textId="77777777" w:rsidR="00891524" w:rsidRDefault="00891524" w:rsidP="00F4606C">
      <w:pPr>
        <w:spacing w:after="0" w:line="240" w:lineRule="auto"/>
      </w:pPr>
    </w:p>
    <w:p w14:paraId="73FAA846" w14:textId="77777777" w:rsidR="00891524" w:rsidRPr="00B11B96" w:rsidRDefault="00891524" w:rsidP="00F4606C">
      <w:pPr>
        <w:spacing w:after="0" w:line="240" w:lineRule="auto"/>
        <w:rPr>
          <w:rStyle w:val="StyleItalic"/>
          <w:i w:val="0"/>
          <w:iCs w:val="0"/>
        </w:rPr>
      </w:pPr>
    </w:p>
    <w:p w14:paraId="2005D096" w14:textId="77777777" w:rsidR="00115458" w:rsidRPr="00AA677F" w:rsidRDefault="00115458" w:rsidP="00115458">
      <w:pPr>
        <w:pStyle w:val="Heading4"/>
        <w:rPr>
          <w:rStyle w:val="StyleItalic"/>
          <w:i w:val="0"/>
        </w:rPr>
      </w:pPr>
      <w:r w:rsidRPr="00AA677F">
        <w:rPr>
          <w:rStyle w:val="StyleItalic"/>
          <w:i w:val="0"/>
        </w:rPr>
        <w:t>What is NCMI?</w:t>
      </w:r>
    </w:p>
    <w:p w14:paraId="1A1FBECB" w14:textId="611C2E2D" w:rsidR="00115458" w:rsidRPr="00AA677F" w:rsidRDefault="00115458" w:rsidP="00F4606C">
      <w:pPr>
        <w:spacing w:after="0" w:line="240" w:lineRule="auto"/>
      </w:pPr>
      <w:r w:rsidRPr="00AA677F">
        <w:t>An amount of a fund payment will be NCMI if it is attributable to income that is:</w:t>
      </w:r>
    </w:p>
    <w:p w14:paraId="4EE74358" w14:textId="77777777" w:rsidR="00115458" w:rsidRPr="00AA677F" w:rsidRDefault="00115458" w:rsidP="00F4606C">
      <w:pPr>
        <w:spacing w:after="0" w:line="240" w:lineRule="auto"/>
      </w:pPr>
    </w:p>
    <w:p w14:paraId="190F5964"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MIT cross staple arrangement income</w:t>
      </w:r>
    </w:p>
    <w:p w14:paraId="7CE523AC"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MIT trading trust income</w:t>
      </w:r>
    </w:p>
    <w:p w14:paraId="7D966F39"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MIT residential housing income, or</w:t>
      </w:r>
    </w:p>
    <w:p w14:paraId="0F35D3B9"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 xml:space="preserve">MIT agricultural income. </w:t>
      </w:r>
    </w:p>
    <w:p w14:paraId="1F0816FB" w14:textId="77777777" w:rsidR="00115458" w:rsidRPr="00F4606C" w:rsidRDefault="00115458" w:rsidP="00AA677F">
      <w:pPr>
        <w:pStyle w:val="Bullet1"/>
        <w:spacing w:before="0" w:after="0"/>
        <w:rPr>
          <w:rFonts w:asciiTheme="minorHAnsi" w:hAnsiTheme="minorHAnsi" w:cs="Arial"/>
          <w:sz w:val="20"/>
          <w:szCs w:val="20"/>
        </w:rPr>
      </w:pPr>
    </w:p>
    <w:p w14:paraId="14666C8F" w14:textId="4CC3DC53" w:rsidR="00115458" w:rsidRDefault="00115458" w:rsidP="00AA677F">
      <w:pPr>
        <w:spacing w:after="0" w:line="240" w:lineRule="auto"/>
      </w:pPr>
      <w:r w:rsidRPr="00AA677F">
        <w:rPr>
          <w:rFonts w:cs="Arial"/>
        </w:rPr>
        <w:t>Refer to section 12-435 of the TAA 1953 for further information on the meaning of NCMI.</w:t>
      </w:r>
      <w:r w:rsidRPr="00AA677F">
        <w:t xml:space="preserve"> </w:t>
      </w:r>
    </w:p>
    <w:p w14:paraId="10E83A31" w14:textId="77777777" w:rsidR="00AA677F" w:rsidRPr="00AA677F" w:rsidRDefault="00AA677F" w:rsidP="00F4606C">
      <w:pPr>
        <w:spacing w:after="0" w:line="240" w:lineRule="auto"/>
      </w:pPr>
    </w:p>
    <w:p w14:paraId="044473BF" w14:textId="5EFAEDEE" w:rsidR="00AA677F" w:rsidRPr="00AA677F" w:rsidRDefault="00115458" w:rsidP="00891524">
      <w:pPr>
        <w:pStyle w:val="Heading4"/>
        <w:spacing w:before="0" w:after="0" w:line="240" w:lineRule="auto"/>
      </w:pPr>
      <w:r w:rsidRPr="00AA677F">
        <w:rPr>
          <w:rStyle w:val="StyleItalic"/>
          <w:i w:val="0"/>
        </w:rPr>
        <w:t>What is</w:t>
      </w:r>
      <w:r w:rsidRPr="00AA677F">
        <w:rPr>
          <w:i/>
          <w:iCs w:val="0"/>
        </w:rPr>
        <w:t xml:space="preserve"> </w:t>
      </w:r>
      <w:r w:rsidRPr="00AA677F">
        <w:rPr>
          <w:rStyle w:val="StyleItalic"/>
          <w:i w:val="0"/>
        </w:rPr>
        <w:t>Excluded from NCMI</w:t>
      </w:r>
      <w:r w:rsidRPr="00AA677F">
        <w:t>?</w:t>
      </w:r>
    </w:p>
    <w:p w14:paraId="3F111EF1" w14:textId="77777777" w:rsidR="00115458" w:rsidRPr="00AA677F" w:rsidRDefault="00115458" w:rsidP="00F4606C">
      <w:pPr>
        <w:spacing w:after="0" w:line="240" w:lineRule="auto"/>
      </w:pPr>
      <w:r w:rsidRPr="00AA677F">
        <w:t xml:space="preserve">Amounts paid to sovereign entities that are excluded from NCMI due only to: </w:t>
      </w:r>
    </w:p>
    <w:p w14:paraId="0EDCCDCF"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An Approved economic infrastructure facility (refer subsection 12-437(5) of Schedule 1 to the TAA 1953)</w:t>
      </w:r>
    </w:p>
    <w:p w14:paraId="47D031E6"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Transitional – MIT cross staple arrangement income (refer section 12-440 of Schedule 1 to the TAA 1953)</w:t>
      </w:r>
    </w:p>
    <w:p w14:paraId="19172B22"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Transitional – MIT trading trust income (refer section 12-447 of Schedule 1 to the TAA 1953)</w:t>
      </w:r>
    </w:p>
    <w:p w14:paraId="28DE8461" w14:textId="77777777" w:rsidR="00115458"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Transitional – MIT residential housing income (refer section 12-451 of Schedule 1 to the TAA 1953)</w:t>
      </w:r>
    </w:p>
    <w:p w14:paraId="1FDAE8A9" w14:textId="0B9752A8" w:rsidR="00120FCD" w:rsidRPr="00F4606C" w:rsidRDefault="00115458" w:rsidP="001601AF">
      <w:pPr>
        <w:pStyle w:val="Bullet1"/>
        <w:numPr>
          <w:ilvl w:val="1"/>
          <w:numId w:val="39"/>
        </w:numPr>
        <w:tabs>
          <w:tab w:val="num" w:pos="720"/>
        </w:tabs>
        <w:spacing w:before="0" w:after="0"/>
        <w:ind w:left="714" w:hanging="357"/>
        <w:rPr>
          <w:rFonts w:asciiTheme="minorHAnsi" w:hAnsiTheme="minorHAnsi" w:cs="Arial"/>
          <w:sz w:val="20"/>
          <w:szCs w:val="20"/>
        </w:rPr>
      </w:pPr>
      <w:r w:rsidRPr="00F4606C">
        <w:rPr>
          <w:rFonts w:asciiTheme="minorHAnsi" w:hAnsiTheme="minorHAnsi" w:cs="Arial"/>
          <w:sz w:val="20"/>
          <w:szCs w:val="20"/>
        </w:rPr>
        <w:t>Transitional – MIT agricultural income (refer section 12-449 of Schedule 1 to the TAA 1953)</w:t>
      </w:r>
    </w:p>
    <w:p w14:paraId="41B0EB2C" w14:textId="77777777" w:rsidR="00E5144C" w:rsidRDefault="00E5144C" w:rsidP="00997965">
      <w:pPr>
        <w:pStyle w:val="Maintext"/>
        <w:rPr>
          <w:rFonts w:asciiTheme="minorHAnsi" w:eastAsiaTheme="minorEastAsia" w:hAnsiTheme="minorHAnsi"/>
          <w:color w:val="000000" w:themeColor="text1"/>
          <w:sz w:val="20"/>
          <w:szCs w:val="20"/>
          <w:lang w:eastAsia="en-US"/>
        </w:rPr>
      </w:pPr>
    </w:p>
    <w:p w14:paraId="5DF424C9" w14:textId="5C4DC779" w:rsidR="00997965" w:rsidRPr="00C0730D" w:rsidRDefault="00997965" w:rsidP="00997965">
      <w:pPr>
        <w:pStyle w:val="Maintext"/>
        <w:rPr>
          <w:rFonts w:asciiTheme="minorHAnsi" w:eastAsiaTheme="minorEastAsia" w:hAnsiTheme="minorHAnsi"/>
          <w:color w:val="000000" w:themeColor="text1"/>
          <w:sz w:val="20"/>
          <w:szCs w:val="20"/>
          <w:lang w:eastAsia="en-US"/>
        </w:rPr>
      </w:pPr>
      <w:r w:rsidRPr="00C0730D">
        <w:rPr>
          <w:rFonts w:asciiTheme="minorHAnsi" w:eastAsiaTheme="minorEastAsia" w:hAnsiTheme="minorHAnsi"/>
          <w:color w:val="000000" w:themeColor="text1"/>
          <w:sz w:val="20"/>
          <w:szCs w:val="20"/>
          <w:lang w:eastAsia="en-US"/>
        </w:rPr>
        <w:t>Amounts that are excluded from NCMI due to Section 12-451 of Schedule 1 to the TAA 1953 – Transitional – MIT residential housing income.</w:t>
      </w:r>
      <w:r w:rsidR="00645397">
        <w:rPr>
          <w:rFonts w:asciiTheme="minorHAnsi" w:eastAsiaTheme="minorEastAsia" w:hAnsiTheme="minorHAnsi"/>
          <w:color w:val="000000" w:themeColor="text1"/>
          <w:sz w:val="20"/>
          <w:szCs w:val="20"/>
          <w:lang w:eastAsia="en-US"/>
        </w:rPr>
        <w:t xml:space="preserve"> </w:t>
      </w:r>
      <w:r w:rsidRPr="00C0730D">
        <w:rPr>
          <w:rFonts w:asciiTheme="minorHAnsi" w:eastAsiaTheme="minorEastAsia" w:hAnsiTheme="minorHAnsi"/>
          <w:color w:val="000000" w:themeColor="text1"/>
          <w:sz w:val="20"/>
          <w:szCs w:val="20"/>
          <w:lang w:eastAsia="en-US"/>
        </w:rPr>
        <w:t>Amounts of eligible fund payments from a MIT to a foreign resident of an information exchange country that is not MIT residential housing income to the extent it is referrable to any of the following amounts:</w:t>
      </w:r>
    </w:p>
    <w:p w14:paraId="7A342AFA" w14:textId="77777777" w:rsidR="00997965" w:rsidRPr="00C0730D" w:rsidRDefault="00997965" w:rsidP="00997965">
      <w:pPr>
        <w:pStyle w:val="Maintext"/>
        <w:numPr>
          <w:ilvl w:val="0"/>
          <w:numId w:val="39"/>
        </w:numPr>
        <w:rPr>
          <w:rFonts w:asciiTheme="minorHAnsi" w:eastAsiaTheme="minorEastAsia" w:hAnsiTheme="minorHAnsi"/>
          <w:color w:val="000000" w:themeColor="text1"/>
          <w:sz w:val="20"/>
          <w:szCs w:val="20"/>
          <w:lang w:eastAsia="en-US"/>
        </w:rPr>
      </w:pPr>
      <w:r w:rsidRPr="00C0730D">
        <w:rPr>
          <w:rFonts w:asciiTheme="minorHAnsi" w:eastAsiaTheme="minorEastAsia" w:hAnsiTheme="minorHAnsi"/>
          <w:color w:val="000000" w:themeColor="text1"/>
          <w:sz w:val="20"/>
          <w:szCs w:val="20"/>
          <w:lang w:eastAsia="en-US"/>
        </w:rPr>
        <w:t>A payment of rental income under a lease of the dwelling within the build to rent development accessing the BTR development tax incentives (dwelling).</w:t>
      </w:r>
    </w:p>
    <w:p w14:paraId="62BD1E24" w14:textId="77777777" w:rsidR="00891524" w:rsidRDefault="00997965" w:rsidP="00891524">
      <w:pPr>
        <w:pStyle w:val="Maintext"/>
        <w:numPr>
          <w:ilvl w:val="0"/>
          <w:numId w:val="39"/>
        </w:numPr>
        <w:rPr>
          <w:rFonts w:asciiTheme="minorHAnsi" w:eastAsiaTheme="minorEastAsia" w:hAnsiTheme="minorHAnsi"/>
          <w:color w:val="000000" w:themeColor="text1"/>
          <w:sz w:val="20"/>
          <w:szCs w:val="20"/>
          <w:lang w:eastAsia="en-US"/>
        </w:rPr>
      </w:pPr>
      <w:r w:rsidRPr="00C0730D">
        <w:rPr>
          <w:rFonts w:asciiTheme="minorHAnsi" w:eastAsiaTheme="minorEastAsia" w:hAnsiTheme="minorHAnsi"/>
          <w:color w:val="000000" w:themeColor="text1"/>
          <w:sz w:val="20"/>
          <w:szCs w:val="20"/>
          <w:lang w:eastAsia="en-US"/>
        </w:rPr>
        <w:t>The amount is attributable to a capital gain from a CGT event in relation to the dwelling.</w:t>
      </w:r>
    </w:p>
    <w:p w14:paraId="66F6C040" w14:textId="50442E9D" w:rsidR="00997965" w:rsidRPr="00891524" w:rsidRDefault="00997965" w:rsidP="00891524">
      <w:pPr>
        <w:pStyle w:val="Maintext"/>
        <w:numPr>
          <w:ilvl w:val="0"/>
          <w:numId w:val="39"/>
        </w:numPr>
        <w:rPr>
          <w:rFonts w:asciiTheme="minorHAnsi" w:eastAsiaTheme="minorEastAsia" w:hAnsiTheme="minorHAnsi"/>
          <w:color w:val="000000" w:themeColor="text1"/>
          <w:sz w:val="20"/>
          <w:szCs w:val="20"/>
          <w:lang w:eastAsia="en-US"/>
        </w:rPr>
      </w:pPr>
      <w:r w:rsidRPr="00891524">
        <w:rPr>
          <w:rFonts w:asciiTheme="minorHAnsi" w:eastAsiaTheme="minorEastAsia" w:hAnsiTheme="minorHAnsi"/>
          <w:color w:val="000000" w:themeColor="text1"/>
          <w:sz w:val="20"/>
          <w:szCs w:val="20"/>
          <w:lang w:eastAsia="en-US"/>
        </w:rPr>
        <w:t>The amount is attributable to or part of a capital gain from a CGT event in relation to a membership interest in the owner of the BTR development.</w:t>
      </w:r>
    </w:p>
    <w:p w14:paraId="5D4BFE0B" w14:textId="77777777" w:rsidR="00115458" w:rsidRPr="00D1354E" w:rsidRDefault="00115458" w:rsidP="00115458">
      <w:pPr>
        <w:pStyle w:val="Bullet1"/>
        <w:spacing w:before="0" w:after="0"/>
        <w:ind w:left="714"/>
        <w:rPr>
          <w:rFonts w:cs="Arial"/>
        </w:rPr>
      </w:pPr>
    </w:p>
    <w:p w14:paraId="475DC709" w14:textId="65282B98" w:rsidR="00115458" w:rsidRDefault="00115458" w:rsidP="00115458">
      <w:r>
        <w:t xml:space="preserve">For more information, see </w:t>
      </w:r>
      <w:hyperlink r:id="rId37" w:history="1">
        <w:r>
          <w:rPr>
            <w:rStyle w:val="Hyperlink"/>
          </w:rPr>
          <w:t>S</w:t>
        </w:r>
        <w:r w:rsidRPr="002923AB">
          <w:rPr>
            <w:rStyle w:val="Hyperlink"/>
          </w:rPr>
          <w:t>tapled structures</w:t>
        </w:r>
      </w:hyperlink>
      <w:r>
        <w:t>.</w:t>
      </w:r>
    </w:p>
    <w:p w14:paraId="6E32B31A" w14:textId="77777777" w:rsidR="004D0793" w:rsidRDefault="004D0793" w:rsidP="00891524">
      <w:pPr>
        <w:pStyle w:val="Heading4"/>
        <w:spacing w:before="0" w:after="0" w:line="240" w:lineRule="auto"/>
        <w:rPr>
          <w:rStyle w:val="StyleItalic"/>
          <w:i w:val="0"/>
        </w:rPr>
      </w:pPr>
      <w:bookmarkStart w:id="1661" w:name="_Hlk77247253"/>
    </w:p>
    <w:p w14:paraId="745749C6" w14:textId="466D67C4" w:rsidR="00AA677F" w:rsidRDefault="00115458" w:rsidP="00891524">
      <w:pPr>
        <w:pStyle w:val="Heading4"/>
        <w:spacing w:before="0" w:after="0" w:line="240" w:lineRule="auto"/>
        <w:rPr>
          <w:rStyle w:val="StyleItalic"/>
          <w:i w:val="0"/>
        </w:rPr>
      </w:pPr>
      <w:r w:rsidRPr="009C65D7">
        <w:rPr>
          <w:rStyle w:val="StyleItalic"/>
          <w:i w:val="0"/>
        </w:rPr>
        <w:t>AIIR reporting</w:t>
      </w:r>
    </w:p>
    <w:p w14:paraId="6130B15F" w14:textId="77777777" w:rsidR="004D0793" w:rsidRDefault="004D0793" w:rsidP="00891524">
      <w:pPr>
        <w:pStyle w:val="Heading4"/>
        <w:spacing w:before="0" w:after="0" w:line="240" w:lineRule="auto"/>
      </w:pPr>
    </w:p>
    <w:bookmarkEnd w:id="1661"/>
    <w:p w14:paraId="46947E26" w14:textId="7D21D917" w:rsidR="00115458" w:rsidRDefault="00115458" w:rsidP="00AA677F">
      <w:pPr>
        <w:spacing w:after="0" w:line="240" w:lineRule="auto"/>
        <w:rPr>
          <w:bCs/>
        </w:rPr>
      </w:pPr>
      <w:r>
        <w:t>ERS v1</w:t>
      </w:r>
      <w:r w:rsidR="00FB4A4D">
        <w:t>3</w:t>
      </w:r>
      <w:r>
        <w:t xml:space="preserve"> introduced new fields to support this measure</w:t>
      </w:r>
      <w:r w:rsidRPr="00E57001">
        <w:t>. I</w:t>
      </w:r>
      <w:r w:rsidRPr="00E57001">
        <w:rPr>
          <w:rFonts w:cs="Arial"/>
          <w:szCs w:val="22"/>
          <w:lang w:val="en"/>
        </w:rPr>
        <w:t xml:space="preserve">nvestment bodies that are trusts generally and receive distributions or attributions from trusts </w:t>
      </w:r>
      <w:r w:rsidRPr="00E57001">
        <w:t xml:space="preserve">to </w:t>
      </w:r>
      <w:r>
        <w:t xml:space="preserve">report NCMI amounts, including amounts that would be excluded from NCMI, must report using this version. </w:t>
      </w:r>
      <w:r w:rsidR="0062240A">
        <w:t>If you have BTR amounts</w:t>
      </w:r>
      <w:r w:rsidR="00D40196">
        <w:t xml:space="preserve"> to be reported, you must use ERS v14. </w:t>
      </w:r>
      <w:r>
        <w:t>Additionally, amounts</w:t>
      </w:r>
      <w:r w:rsidRPr="00C40FB1">
        <w:t xml:space="preserve"> of NANE paid to</w:t>
      </w:r>
      <w:r>
        <w:t xml:space="preserve"> foreign superannuation/pension funds and sovereign wealth funds will also need to be recorded and reported, </w:t>
      </w:r>
      <w:r w:rsidRPr="00676183">
        <w:rPr>
          <w:bCs/>
        </w:rPr>
        <w:t>for example, companies making payments to sovereign entities</w:t>
      </w:r>
      <w:r>
        <w:rPr>
          <w:bCs/>
        </w:rPr>
        <w:t xml:space="preserve"> are required to report under this measure.</w:t>
      </w:r>
    </w:p>
    <w:p w14:paraId="455619C5" w14:textId="77777777" w:rsidR="00891524" w:rsidRDefault="00891524" w:rsidP="00AA677F">
      <w:pPr>
        <w:spacing w:after="0" w:line="240" w:lineRule="auto"/>
        <w:rPr>
          <w:bCs/>
        </w:rPr>
      </w:pPr>
    </w:p>
    <w:p w14:paraId="18EDC658" w14:textId="77777777" w:rsidR="00891524" w:rsidRDefault="00891524" w:rsidP="00AA677F">
      <w:pPr>
        <w:spacing w:after="0" w:line="240" w:lineRule="auto"/>
        <w:rPr>
          <w:bCs/>
        </w:rPr>
      </w:pPr>
    </w:p>
    <w:p w14:paraId="5AE5B5AA" w14:textId="77777777" w:rsidR="00891524" w:rsidRDefault="00891524" w:rsidP="00AA677F">
      <w:pPr>
        <w:spacing w:after="0" w:line="240" w:lineRule="auto"/>
        <w:rPr>
          <w:bCs/>
        </w:rPr>
      </w:pPr>
    </w:p>
    <w:p w14:paraId="76DD443C" w14:textId="77777777" w:rsidR="00891524" w:rsidRDefault="00891524" w:rsidP="00AA677F">
      <w:pPr>
        <w:spacing w:after="0" w:line="240" w:lineRule="auto"/>
        <w:rPr>
          <w:bCs/>
        </w:rPr>
      </w:pPr>
    </w:p>
    <w:p w14:paraId="7107A545" w14:textId="77777777" w:rsidR="00AA677F" w:rsidRPr="00DA4AF4" w:rsidRDefault="00AA677F" w:rsidP="00F4606C">
      <w:pPr>
        <w:spacing w:after="0" w:line="240" w:lineRule="auto"/>
      </w:pPr>
    </w:p>
    <w:p w14:paraId="51EF6DB5" w14:textId="77777777" w:rsidR="00115458" w:rsidRPr="00891524" w:rsidRDefault="00115458" w:rsidP="00AA677F">
      <w:pPr>
        <w:pStyle w:val="Heading4"/>
        <w:spacing w:before="0" w:after="0" w:line="240" w:lineRule="auto"/>
        <w:rPr>
          <w:sz w:val="22"/>
          <w:szCs w:val="22"/>
        </w:rPr>
      </w:pPr>
      <w:r w:rsidRPr="00891524">
        <w:rPr>
          <w:sz w:val="22"/>
          <w:szCs w:val="22"/>
        </w:rPr>
        <w:t>Investment account data record fields</w:t>
      </w:r>
    </w:p>
    <w:p w14:paraId="1F28F9A0" w14:textId="77777777" w:rsidR="00AA677F" w:rsidRDefault="00AA677F" w:rsidP="00891524"/>
    <w:p w14:paraId="3E4C422F" w14:textId="3D229A9E" w:rsidR="00115458" w:rsidRDefault="00115458" w:rsidP="00F4606C">
      <w:pPr>
        <w:spacing w:after="0" w:line="240" w:lineRule="auto"/>
        <w:rPr>
          <w:rFonts w:cs="Arial"/>
          <w:bCs/>
        </w:rPr>
      </w:pPr>
      <w:r>
        <w:rPr>
          <w:rFonts w:cs="Arial"/>
          <w:b/>
        </w:rPr>
        <w:t xml:space="preserve">Non-assessable non-exempt non-trust income (9.77) </w:t>
      </w:r>
      <w:r>
        <w:rPr>
          <w:rFonts w:cs="Arial"/>
          <w:bCs/>
        </w:rPr>
        <w:t xml:space="preserve"> </w:t>
      </w:r>
    </w:p>
    <w:p w14:paraId="0E93DC85" w14:textId="239A7C01" w:rsidR="00115458" w:rsidRDefault="00115458" w:rsidP="00AA677F">
      <w:pPr>
        <w:spacing w:after="0" w:line="240" w:lineRule="auto"/>
        <w:rPr>
          <w:rFonts w:cs="Arial"/>
          <w:bCs/>
        </w:rPr>
      </w:pPr>
      <w:r>
        <w:rPr>
          <w:rFonts w:cs="Arial"/>
          <w:bCs/>
        </w:rPr>
        <w:t xml:space="preserve">Report at this field NANE amounts paid to foreign pension funds or sovereign entities that are not distributed or attributed through a trust.  Payment types reported at this field are </w:t>
      </w:r>
      <w:r>
        <w:rPr>
          <w:rFonts w:cs="Arial"/>
          <w:b/>
        </w:rPr>
        <w:t>DIV</w:t>
      </w:r>
      <w:r>
        <w:rPr>
          <w:rFonts w:cs="Arial"/>
          <w:bCs/>
        </w:rPr>
        <w:t xml:space="preserve"> or </w:t>
      </w:r>
      <w:r>
        <w:rPr>
          <w:rFonts w:cs="Arial"/>
          <w:b/>
        </w:rPr>
        <w:t>INT</w:t>
      </w:r>
      <w:r>
        <w:rPr>
          <w:rFonts w:cs="Arial"/>
          <w:bCs/>
        </w:rPr>
        <w:t xml:space="preserve"> only.</w:t>
      </w:r>
    </w:p>
    <w:p w14:paraId="7893EDA1" w14:textId="77777777" w:rsidR="00AA677F" w:rsidRDefault="00AA677F" w:rsidP="00F4606C">
      <w:pPr>
        <w:spacing w:after="0" w:line="240" w:lineRule="auto"/>
      </w:pPr>
    </w:p>
    <w:p w14:paraId="597F8CD1" w14:textId="01FE1E97" w:rsidR="00115458" w:rsidRPr="008E5F31" w:rsidRDefault="00115458" w:rsidP="00AA677F">
      <w:pPr>
        <w:pStyle w:val="Heading4"/>
        <w:spacing w:before="0" w:after="0" w:line="240" w:lineRule="auto"/>
        <w:rPr>
          <w:sz w:val="22"/>
          <w:szCs w:val="22"/>
        </w:rPr>
      </w:pPr>
      <w:r w:rsidRPr="008E5F31">
        <w:rPr>
          <w:sz w:val="22"/>
          <w:szCs w:val="22"/>
        </w:rPr>
        <w:t>Supplementary income account data record fields</w:t>
      </w:r>
    </w:p>
    <w:p w14:paraId="0CE828A7" w14:textId="77777777" w:rsidR="00AA677F" w:rsidRPr="00720FC2" w:rsidRDefault="00AA677F" w:rsidP="008E5F31"/>
    <w:p w14:paraId="0D4A181A" w14:textId="77777777" w:rsidR="00115458" w:rsidRPr="00720FC2" w:rsidRDefault="00115458" w:rsidP="00F4606C">
      <w:pPr>
        <w:spacing w:after="0" w:line="240" w:lineRule="auto"/>
        <w:rPr>
          <w:rFonts w:cs="Arial"/>
          <w:b/>
        </w:rPr>
      </w:pPr>
      <w:r w:rsidRPr="00720FC2">
        <w:rPr>
          <w:rFonts w:cs="Arial"/>
          <w:b/>
        </w:rPr>
        <w:t>NCMI – Non-primary production (9.136)</w:t>
      </w:r>
    </w:p>
    <w:p w14:paraId="6E8B5FAE" w14:textId="77777777" w:rsidR="00115458" w:rsidRDefault="00115458" w:rsidP="00F4606C">
      <w:pPr>
        <w:spacing w:after="0" w:line="240" w:lineRule="auto"/>
        <w:rPr>
          <w:szCs w:val="22"/>
        </w:rPr>
      </w:pPr>
      <w:r>
        <w:rPr>
          <w:rFonts w:cs="Arial"/>
        </w:rPr>
        <w:t>T</w:t>
      </w:r>
      <w:r w:rsidRPr="00720FC2">
        <w:rPr>
          <w:rFonts w:cs="Arial"/>
        </w:rPr>
        <w:t>he total amount paid, credited or attributed (for AMITs) to the investment account that is NCMI</w:t>
      </w:r>
      <w:r>
        <w:rPr>
          <w:rFonts w:cs="Arial"/>
        </w:rPr>
        <w:t xml:space="preserve"> (or would be NCMI if the entity was a MIT) from non-primary production activities</w:t>
      </w:r>
      <w:r w:rsidRPr="00720FC2">
        <w:rPr>
          <w:rFonts w:cs="Arial"/>
        </w:rPr>
        <w:t xml:space="preserve">. Do not include any amounts to the extent that are derived from </w:t>
      </w:r>
      <w:r w:rsidRPr="00676885">
        <w:rPr>
          <w:rFonts w:cs="Arial"/>
        </w:rPr>
        <w:t>primary production business activities</w:t>
      </w:r>
      <w:r>
        <w:rPr>
          <w:rFonts w:cs="Arial"/>
        </w:rPr>
        <w:t xml:space="preserve"> which are reported separately at field 9.137.</w:t>
      </w:r>
      <w:r w:rsidRPr="00720FC2">
        <w:rPr>
          <w:rFonts w:cs="Arial"/>
        </w:rPr>
        <w:t xml:space="preserve"> </w:t>
      </w:r>
    </w:p>
    <w:p w14:paraId="73E285ED" w14:textId="77777777" w:rsidR="00115458" w:rsidRDefault="00115458" w:rsidP="00F4606C">
      <w:pPr>
        <w:spacing w:after="0" w:line="240" w:lineRule="auto"/>
        <w:rPr>
          <w:szCs w:val="22"/>
        </w:rPr>
      </w:pPr>
    </w:p>
    <w:p w14:paraId="5438CEB5" w14:textId="77777777" w:rsidR="00115458" w:rsidRDefault="00115458" w:rsidP="00F4606C">
      <w:pPr>
        <w:spacing w:after="0" w:line="240" w:lineRule="auto"/>
        <w:rPr>
          <w:rFonts w:cs="Arial"/>
          <w:bCs/>
        </w:rPr>
      </w:pPr>
      <w:r>
        <w:rPr>
          <w:rFonts w:cs="Arial"/>
          <w:bCs/>
        </w:rPr>
        <w:t xml:space="preserve">This field is also included in the calculation of non-primary production income separately reported at field 9.85.  </w:t>
      </w:r>
    </w:p>
    <w:p w14:paraId="225EC81A" w14:textId="77777777" w:rsidR="00115458" w:rsidRDefault="00115458" w:rsidP="00F4606C">
      <w:pPr>
        <w:spacing w:after="0" w:line="240" w:lineRule="auto"/>
        <w:rPr>
          <w:rFonts w:cs="Arial"/>
        </w:rPr>
      </w:pPr>
    </w:p>
    <w:p w14:paraId="292F58D3" w14:textId="77777777" w:rsidR="00115458" w:rsidRDefault="00115458" w:rsidP="00F4606C">
      <w:pPr>
        <w:spacing w:after="0" w:line="240" w:lineRule="auto"/>
        <w:rPr>
          <w:rFonts w:cs="Arial"/>
          <w:b/>
        </w:rPr>
      </w:pPr>
      <w:r>
        <w:rPr>
          <w:rFonts w:cs="Arial"/>
          <w:b/>
        </w:rPr>
        <w:t>NCMI – Primary production (9.137)</w:t>
      </w:r>
    </w:p>
    <w:p w14:paraId="186F6627" w14:textId="77777777" w:rsidR="00115458" w:rsidRDefault="00115458" w:rsidP="00F4606C">
      <w:pPr>
        <w:spacing w:after="0" w:line="240" w:lineRule="auto"/>
        <w:rPr>
          <w:rFonts w:cs="Arial"/>
        </w:rPr>
      </w:pPr>
      <w:r>
        <w:rPr>
          <w:rFonts w:cs="Arial"/>
        </w:rPr>
        <w:t xml:space="preserve">The total amount paid, credited or attributed (for AMITs) to the investment account that is NCMI which is a share of any from </w:t>
      </w:r>
      <w:r w:rsidRPr="00676885">
        <w:rPr>
          <w:rFonts w:cs="Arial"/>
        </w:rPr>
        <w:t xml:space="preserve">primary production </w:t>
      </w:r>
      <w:r>
        <w:rPr>
          <w:rFonts w:cs="Arial"/>
        </w:rPr>
        <w:t>activities.</w:t>
      </w:r>
    </w:p>
    <w:p w14:paraId="04AEB54C" w14:textId="77777777" w:rsidR="00115458" w:rsidRDefault="00115458" w:rsidP="00F4606C">
      <w:pPr>
        <w:spacing w:after="0" w:line="240" w:lineRule="auto"/>
        <w:rPr>
          <w:rFonts w:cs="Arial"/>
        </w:rPr>
      </w:pPr>
    </w:p>
    <w:p w14:paraId="3D6DD0E4" w14:textId="77777777" w:rsidR="00115458" w:rsidRDefault="00115458" w:rsidP="00F4606C">
      <w:pPr>
        <w:spacing w:after="0" w:line="240" w:lineRule="auto"/>
        <w:rPr>
          <w:rFonts w:cs="Arial"/>
        </w:rPr>
      </w:pPr>
      <w:r>
        <w:rPr>
          <w:rFonts w:cs="Arial"/>
        </w:rPr>
        <w:t>Include</w:t>
      </w:r>
      <w:r>
        <w:rPr>
          <w:szCs w:val="22"/>
        </w:rPr>
        <w:t xml:space="preserve"> this amount in amounts separately reported at the </w:t>
      </w:r>
      <w:r w:rsidRPr="00676885">
        <w:rPr>
          <w:i/>
          <w:iCs/>
          <w:szCs w:val="22"/>
        </w:rPr>
        <w:t xml:space="preserve">Primary production income </w:t>
      </w:r>
      <w:r>
        <w:rPr>
          <w:szCs w:val="22"/>
        </w:rPr>
        <w:t xml:space="preserve">(9.113) field. </w:t>
      </w:r>
    </w:p>
    <w:p w14:paraId="38F3A214" w14:textId="77777777" w:rsidR="00115458" w:rsidRDefault="00115458" w:rsidP="00F4606C">
      <w:pPr>
        <w:spacing w:after="0" w:line="240" w:lineRule="auto"/>
        <w:rPr>
          <w:rFonts w:cs="Arial"/>
        </w:rPr>
      </w:pPr>
    </w:p>
    <w:p w14:paraId="3FA79091" w14:textId="5F27DAEC" w:rsidR="00115458" w:rsidRDefault="00115458" w:rsidP="00F4606C">
      <w:pPr>
        <w:spacing w:after="0" w:line="240" w:lineRule="auto"/>
        <w:rPr>
          <w:rFonts w:cs="Arial"/>
          <w:bCs/>
        </w:rPr>
      </w:pPr>
      <w:r w:rsidRPr="003543C3">
        <w:rPr>
          <w:rFonts w:cs="Arial"/>
          <w:b/>
          <w:bCs/>
        </w:rPr>
        <w:t>Excluded from NCMI – Non-primary production</w:t>
      </w:r>
      <w:r>
        <w:rPr>
          <w:rFonts w:cs="Arial"/>
          <w:b/>
          <w:bCs/>
        </w:rPr>
        <w:t xml:space="preserve"> </w:t>
      </w:r>
      <w:r>
        <w:rPr>
          <w:rFonts w:cs="Arial"/>
          <w:b/>
        </w:rPr>
        <w:t>(9.138)</w:t>
      </w:r>
      <w:r w:rsidRPr="003543C3">
        <w:rPr>
          <w:rFonts w:cs="Arial"/>
          <w:bCs/>
        </w:rPr>
        <w:t>The total amount paid, credited or attributed (for AMITs) to the investment account that is income excluded from NCMI (or would be NCMI if the entity were a MIT) and which is a share of any income from non-primary production activities.</w:t>
      </w:r>
      <w:r>
        <w:rPr>
          <w:rFonts w:cs="Arial"/>
          <w:bCs/>
        </w:rPr>
        <w:t xml:space="preserve"> </w:t>
      </w:r>
    </w:p>
    <w:p w14:paraId="1A61CF3D" w14:textId="77777777" w:rsidR="00115458" w:rsidRDefault="00115458" w:rsidP="00F4606C">
      <w:pPr>
        <w:spacing w:after="0" w:line="240" w:lineRule="auto"/>
        <w:rPr>
          <w:rFonts w:cs="Arial"/>
          <w:bCs/>
        </w:rPr>
      </w:pPr>
    </w:p>
    <w:p w14:paraId="3558125B" w14:textId="77777777" w:rsidR="00115458" w:rsidRDefault="00115458" w:rsidP="00F4606C">
      <w:pPr>
        <w:spacing w:after="0" w:line="240" w:lineRule="auto"/>
        <w:rPr>
          <w:rFonts w:cs="Arial"/>
          <w:bCs/>
        </w:rPr>
      </w:pPr>
      <w:r>
        <w:rPr>
          <w:rFonts w:cs="Arial"/>
          <w:bCs/>
        </w:rPr>
        <w:t xml:space="preserve">This field is included in the calculation of non-primary production income separately reported at field 9.85.  </w:t>
      </w:r>
    </w:p>
    <w:p w14:paraId="5AF40DD2" w14:textId="77777777" w:rsidR="00B81355" w:rsidRDefault="00B81355" w:rsidP="00F4606C">
      <w:pPr>
        <w:spacing w:after="0" w:line="240" w:lineRule="auto"/>
        <w:rPr>
          <w:rFonts w:cs="Arial"/>
          <w:bCs/>
        </w:rPr>
      </w:pPr>
    </w:p>
    <w:p w14:paraId="088D0496" w14:textId="0A5233FF" w:rsidR="00424BB9" w:rsidRDefault="00B81355" w:rsidP="00F4606C">
      <w:pPr>
        <w:spacing w:after="0" w:line="240" w:lineRule="auto"/>
        <w:rPr>
          <w:rFonts w:cs="Arial"/>
          <w:bCs/>
        </w:rPr>
      </w:pP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4D0793">
        <w:rPr>
          <w:rFonts w:cs="Arial"/>
          <w:szCs w:val="22"/>
        </w:rPr>
        <w:t>9.144</w:t>
      </w:r>
      <w:r w:rsidRPr="00F41253">
        <w:rPr>
          <w:rFonts w:cs="Arial"/>
          <w:b/>
          <w:bCs/>
          <w:szCs w:val="22"/>
        </w:rPr>
        <w:t xml:space="preserve"> </w:t>
      </w:r>
      <w:r w:rsidRPr="004D0793">
        <w:rPr>
          <w:rFonts w:cs="Arial"/>
          <w:i/>
          <w:iCs/>
          <w:szCs w:val="22"/>
        </w:rPr>
        <w:t>BTR excluded from NCMI – non primary production</w:t>
      </w:r>
      <w:r>
        <w:rPr>
          <w:rFonts w:cs="Arial"/>
          <w:b/>
          <w:bCs/>
          <w:szCs w:val="22"/>
        </w:rPr>
        <w:t>.</w:t>
      </w:r>
    </w:p>
    <w:p w14:paraId="0EC4F392" w14:textId="77777777" w:rsidR="00115458" w:rsidRDefault="00115458" w:rsidP="00F4606C">
      <w:pPr>
        <w:spacing w:after="0" w:line="240" w:lineRule="auto"/>
        <w:rPr>
          <w:rFonts w:cs="Arial"/>
          <w:bCs/>
        </w:rPr>
      </w:pPr>
    </w:p>
    <w:p w14:paraId="34C0D898" w14:textId="77777777" w:rsidR="00115458" w:rsidRPr="003543C3" w:rsidRDefault="00115458" w:rsidP="00F4606C">
      <w:pPr>
        <w:spacing w:after="0" w:line="240" w:lineRule="auto"/>
        <w:rPr>
          <w:rFonts w:cs="Arial"/>
          <w:b/>
        </w:rPr>
      </w:pPr>
      <w:r w:rsidRPr="003543C3">
        <w:rPr>
          <w:rFonts w:cs="Arial"/>
          <w:b/>
        </w:rPr>
        <w:t>Excluded from NCMI – Primary production</w:t>
      </w:r>
      <w:r>
        <w:rPr>
          <w:rFonts w:cs="Arial"/>
          <w:b/>
        </w:rPr>
        <w:t xml:space="preserve"> </w:t>
      </w:r>
      <w:r w:rsidRPr="003543C3">
        <w:rPr>
          <w:rFonts w:cs="Arial"/>
          <w:b/>
        </w:rPr>
        <w:t>(9.13</w:t>
      </w:r>
      <w:r>
        <w:rPr>
          <w:rFonts w:cs="Arial"/>
          <w:b/>
        </w:rPr>
        <w:t>9</w:t>
      </w:r>
      <w:r w:rsidRPr="003543C3">
        <w:rPr>
          <w:rFonts w:cs="Arial"/>
          <w:b/>
        </w:rPr>
        <w:t>)</w:t>
      </w:r>
    </w:p>
    <w:p w14:paraId="65420DAB" w14:textId="77777777" w:rsidR="00115458" w:rsidRDefault="00115458" w:rsidP="00F4606C">
      <w:pPr>
        <w:spacing w:after="0" w:line="240" w:lineRule="auto"/>
      </w:pPr>
      <w:r w:rsidRPr="000D70C7">
        <w:t xml:space="preserve">The total amount </w:t>
      </w:r>
      <w:r>
        <w:rPr>
          <w:rFonts w:cs="Arial"/>
        </w:rPr>
        <w:t>paid, credited</w:t>
      </w:r>
      <w:r w:rsidRPr="00FF0D65">
        <w:rPr>
          <w:rFonts w:cs="Arial"/>
        </w:rPr>
        <w:t xml:space="preserve"> </w:t>
      </w:r>
      <w:r>
        <w:rPr>
          <w:rFonts w:cs="Arial"/>
        </w:rPr>
        <w:t>or attributed (for AMITs) to the investment account</w:t>
      </w:r>
      <w:r w:rsidRPr="000D70C7">
        <w:t xml:space="preserve"> </w:t>
      </w:r>
      <w:r>
        <w:t>that is</w:t>
      </w:r>
      <w:r w:rsidRPr="000D70C7">
        <w:t xml:space="preserve"> </w:t>
      </w:r>
      <w:r>
        <w:t>income excluded from NCMI (or would be NCMI if the entity were a MIT) and which is a share of any primary production income.</w:t>
      </w:r>
    </w:p>
    <w:p w14:paraId="321339C8" w14:textId="77777777" w:rsidR="00115458" w:rsidRDefault="00115458" w:rsidP="00F4606C">
      <w:pPr>
        <w:spacing w:after="0" w:line="240" w:lineRule="auto"/>
      </w:pPr>
    </w:p>
    <w:p w14:paraId="269C6D46" w14:textId="77777777" w:rsidR="00115458" w:rsidRDefault="00115458" w:rsidP="00F4606C">
      <w:pPr>
        <w:spacing w:after="0" w:line="240" w:lineRule="auto"/>
        <w:rPr>
          <w:rFonts w:cs="Arial"/>
          <w:bCs/>
        </w:rPr>
      </w:pPr>
      <w:r>
        <w:rPr>
          <w:rFonts w:cs="Arial"/>
          <w:bCs/>
        </w:rPr>
        <w:t>This field is included in the calculation of non-primary production income separately reported at field 9.85.</w:t>
      </w:r>
    </w:p>
    <w:p w14:paraId="5A18D212" w14:textId="77777777" w:rsidR="00115458" w:rsidRDefault="00115458" w:rsidP="00F4606C">
      <w:pPr>
        <w:spacing w:after="0" w:line="240" w:lineRule="auto"/>
      </w:pPr>
    </w:p>
    <w:p w14:paraId="053FECDC" w14:textId="77777777" w:rsidR="00115458" w:rsidRPr="003543C3" w:rsidRDefault="00115458" w:rsidP="00F4606C">
      <w:pPr>
        <w:spacing w:after="0" w:line="240" w:lineRule="auto"/>
        <w:rPr>
          <w:rFonts w:cs="Arial"/>
          <w:b/>
        </w:rPr>
      </w:pPr>
      <w:r w:rsidRPr="003543C3">
        <w:rPr>
          <w:rFonts w:cs="Arial"/>
          <w:b/>
        </w:rPr>
        <w:t>NCMI Capital Gains</w:t>
      </w:r>
      <w:r>
        <w:rPr>
          <w:rFonts w:cs="Arial"/>
          <w:b/>
        </w:rPr>
        <w:t xml:space="preserve"> </w:t>
      </w:r>
      <w:r w:rsidRPr="003543C3">
        <w:rPr>
          <w:rFonts w:cs="Arial"/>
          <w:b/>
        </w:rPr>
        <w:t>(9.1</w:t>
      </w:r>
      <w:r>
        <w:rPr>
          <w:rFonts w:cs="Arial"/>
          <w:b/>
        </w:rPr>
        <w:t>40</w:t>
      </w:r>
      <w:r w:rsidRPr="003543C3">
        <w:rPr>
          <w:rFonts w:cs="Arial"/>
          <w:b/>
        </w:rPr>
        <w:t>)</w:t>
      </w:r>
    </w:p>
    <w:p w14:paraId="006E721E" w14:textId="77777777" w:rsidR="00115458" w:rsidRDefault="00115458" w:rsidP="00F4606C">
      <w:pPr>
        <w:spacing w:after="0" w:line="240" w:lineRule="auto"/>
        <w:rPr>
          <w:szCs w:val="22"/>
        </w:rPr>
      </w:pPr>
      <w:r w:rsidRPr="003543C3">
        <w:rPr>
          <w:rFonts w:cs="Arial"/>
          <w:szCs w:val="22"/>
        </w:rPr>
        <w:t xml:space="preserve">The amount of capital gains that is </w:t>
      </w:r>
      <w:r>
        <w:rPr>
          <w:rFonts w:cs="Arial"/>
          <w:szCs w:val="22"/>
        </w:rPr>
        <w:t>NCMI</w:t>
      </w:r>
      <w:r w:rsidRPr="003543C3">
        <w:rPr>
          <w:rFonts w:cs="Arial"/>
          <w:szCs w:val="22"/>
        </w:rPr>
        <w:t xml:space="preserve"> </w:t>
      </w:r>
      <w:r w:rsidRPr="003543C3">
        <w:rPr>
          <w:szCs w:val="22"/>
        </w:rPr>
        <w:t>(or would be NCMI if the entity were a MIT).</w:t>
      </w:r>
      <w:r>
        <w:rPr>
          <w:szCs w:val="22"/>
        </w:rPr>
        <w:t xml:space="preserve"> </w:t>
      </w:r>
    </w:p>
    <w:p w14:paraId="281C933C" w14:textId="77777777" w:rsidR="00115458" w:rsidRDefault="00115458" w:rsidP="00F4606C">
      <w:pPr>
        <w:spacing w:after="0" w:line="240" w:lineRule="auto"/>
        <w:rPr>
          <w:szCs w:val="22"/>
        </w:rPr>
      </w:pPr>
    </w:p>
    <w:p w14:paraId="6B493053" w14:textId="77777777" w:rsidR="00115458" w:rsidRDefault="00115458" w:rsidP="00F4606C">
      <w:pPr>
        <w:spacing w:after="0" w:line="240" w:lineRule="auto"/>
        <w:rPr>
          <w:szCs w:val="22"/>
        </w:rPr>
      </w:pPr>
      <w:r>
        <w:rPr>
          <w:szCs w:val="22"/>
        </w:rPr>
        <w:t xml:space="preserve">Include this amount </w:t>
      </w:r>
      <w:r w:rsidRPr="00E93957">
        <w:rPr>
          <w:szCs w:val="22"/>
        </w:rPr>
        <w:t>in the applicable capital gains fields</w:t>
      </w:r>
      <w:r>
        <w:rPr>
          <w:szCs w:val="22"/>
        </w:rPr>
        <w:t>:</w:t>
      </w:r>
      <w:r w:rsidRPr="00E93957">
        <w:rPr>
          <w:szCs w:val="22"/>
        </w:rPr>
        <w:t xml:space="preserve"> </w:t>
      </w:r>
    </w:p>
    <w:p w14:paraId="71CFC916" w14:textId="77777777" w:rsidR="00115458" w:rsidRDefault="00115458" w:rsidP="00F4606C">
      <w:pPr>
        <w:spacing w:after="0" w:line="240" w:lineRule="auto"/>
        <w:rPr>
          <w:szCs w:val="22"/>
        </w:rPr>
      </w:pPr>
    </w:p>
    <w:p w14:paraId="4B624D00" w14:textId="77777777" w:rsidR="00115458" w:rsidRPr="00AA677F" w:rsidRDefault="00115458" w:rsidP="001601AF">
      <w:pPr>
        <w:pStyle w:val="ListParagraph"/>
        <w:numPr>
          <w:ilvl w:val="0"/>
          <w:numId w:val="79"/>
        </w:numPr>
        <w:spacing w:after="0" w:line="240" w:lineRule="auto"/>
        <w:rPr>
          <w:i/>
          <w:iCs/>
          <w:szCs w:val="22"/>
        </w:rPr>
      </w:pPr>
      <w:r w:rsidRPr="00AA677F">
        <w:rPr>
          <w:i/>
          <w:iCs/>
          <w:szCs w:val="22"/>
        </w:rPr>
        <w:t xml:space="preserve">Capital Gains discount method – Taxable Australian property </w:t>
      </w:r>
      <w:r w:rsidRPr="00AA677F">
        <w:rPr>
          <w:szCs w:val="22"/>
        </w:rPr>
        <w:t>(9.123)</w:t>
      </w:r>
      <w:r w:rsidRPr="00AA677F">
        <w:rPr>
          <w:i/>
          <w:iCs/>
          <w:szCs w:val="22"/>
        </w:rPr>
        <w:t xml:space="preserve">, </w:t>
      </w:r>
    </w:p>
    <w:p w14:paraId="1530C428" w14:textId="77777777" w:rsidR="00115458" w:rsidRPr="00AA677F" w:rsidRDefault="00115458" w:rsidP="001601AF">
      <w:pPr>
        <w:pStyle w:val="ListParagraph"/>
        <w:numPr>
          <w:ilvl w:val="0"/>
          <w:numId w:val="79"/>
        </w:numPr>
        <w:spacing w:after="0" w:line="240" w:lineRule="auto"/>
        <w:rPr>
          <w:i/>
          <w:iCs/>
          <w:szCs w:val="22"/>
        </w:rPr>
      </w:pPr>
      <w:r w:rsidRPr="00AA677F">
        <w:rPr>
          <w:i/>
          <w:iCs/>
          <w:szCs w:val="22"/>
        </w:rPr>
        <w:t xml:space="preserve">Capital Gains discount method – Non-Taxable Australian property </w:t>
      </w:r>
      <w:r w:rsidRPr="00AA677F">
        <w:rPr>
          <w:szCs w:val="22"/>
        </w:rPr>
        <w:t>(9.124)</w:t>
      </w:r>
      <w:r w:rsidRPr="00AA677F">
        <w:rPr>
          <w:i/>
          <w:iCs/>
          <w:szCs w:val="22"/>
        </w:rPr>
        <w:t xml:space="preserve">, </w:t>
      </w:r>
    </w:p>
    <w:p w14:paraId="0AE1ED21" w14:textId="77777777" w:rsidR="00115458" w:rsidRPr="00AA677F" w:rsidRDefault="00115458" w:rsidP="001601AF">
      <w:pPr>
        <w:pStyle w:val="ListParagraph"/>
        <w:numPr>
          <w:ilvl w:val="0"/>
          <w:numId w:val="79"/>
        </w:numPr>
        <w:spacing w:after="0" w:line="240" w:lineRule="auto"/>
        <w:rPr>
          <w:szCs w:val="22"/>
        </w:rPr>
      </w:pPr>
      <w:r w:rsidRPr="00AA677F">
        <w:rPr>
          <w:i/>
          <w:iCs/>
          <w:szCs w:val="22"/>
        </w:rPr>
        <w:t>Capital gains other – Taxable Australian property</w:t>
      </w:r>
      <w:r w:rsidRPr="00AA677F">
        <w:rPr>
          <w:szCs w:val="22"/>
        </w:rPr>
        <w:t xml:space="preserve"> (9.125) or </w:t>
      </w:r>
    </w:p>
    <w:p w14:paraId="1852C01D" w14:textId="77777777" w:rsidR="00115458" w:rsidRPr="00AA677F" w:rsidRDefault="00115458" w:rsidP="001601AF">
      <w:pPr>
        <w:pStyle w:val="ListParagraph"/>
        <w:numPr>
          <w:ilvl w:val="0"/>
          <w:numId w:val="79"/>
        </w:numPr>
        <w:spacing w:after="0" w:line="240" w:lineRule="auto"/>
        <w:rPr>
          <w:i/>
          <w:iCs/>
          <w:szCs w:val="22"/>
        </w:rPr>
      </w:pPr>
      <w:r w:rsidRPr="00AA677F">
        <w:rPr>
          <w:i/>
          <w:iCs/>
          <w:szCs w:val="22"/>
        </w:rPr>
        <w:t xml:space="preserve">Capital gains other – Non - Taxable Australian property </w:t>
      </w:r>
      <w:r w:rsidRPr="00AA677F">
        <w:rPr>
          <w:szCs w:val="22"/>
        </w:rPr>
        <w:t>(9.126)</w:t>
      </w:r>
      <w:r w:rsidRPr="00AA677F">
        <w:rPr>
          <w:i/>
          <w:iCs/>
          <w:szCs w:val="22"/>
        </w:rPr>
        <w:t xml:space="preserve"> </w:t>
      </w:r>
    </w:p>
    <w:p w14:paraId="39A0EA0F" w14:textId="77777777" w:rsidR="00115458" w:rsidRDefault="00115458" w:rsidP="00AA677F">
      <w:pPr>
        <w:spacing w:after="0" w:line="240" w:lineRule="auto"/>
        <w:rPr>
          <w:rFonts w:cs="Arial"/>
          <w:b/>
        </w:rPr>
      </w:pPr>
    </w:p>
    <w:p w14:paraId="6D400CE6" w14:textId="77777777" w:rsidR="00115458" w:rsidRDefault="00115458" w:rsidP="00AA677F">
      <w:pPr>
        <w:spacing w:after="0" w:line="240" w:lineRule="auto"/>
        <w:rPr>
          <w:rFonts w:cs="Arial"/>
          <w:b/>
        </w:rPr>
      </w:pPr>
      <w:r w:rsidRPr="003543C3">
        <w:rPr>
          <w:rFonts w:cs="Arial"/>
          <w:b/>
        </w:rPr>
        <w:t>Excluded from NCMI Capital Gains</w:t>
      </w:r>
      <w:r>
        <w:rPr>
          <w:rFonts w:cs="Arial"/>
          <w:b/>
        </w:rPr>
        <w:t xml:space="preserve"> </w:t>
      </w:r>
      <w:r w:rsidRPr="003543C3">
        <w:rPr>
          <w:rFonts w:cs="Arial"/>
          <w:b/>
        </w:rPr>
        <w:t>(9.14</w:t>
      </w:r>
      <w:r>
        <w:rPr>
          <w:rFonts w:cs="Arial"/>
          <w:b/>
        </w:rPr>
        <w:t>1</w:t>
      </w:r>
      <w:r w:rsidRPr="003543C3">
        <w:rPr>
          <w:rFonts w:cs="Arial"/>
          <w:b/>
        </w:rPr>
        <w:t>)</w:t>
      </w:r>
    </w:p>
    <w:p w14:paraId="4D3BD062" w14:textId="77777777" w:rsidR="00115458" w:rsidRDefault="00115458" w:rsidP="00AA677F">
      <w:pPr>
        <w:spacing w:after="0" w:line="240" w:lineRule="auto"/>
        <w:rPr>
          <w:rFonts w:cs="Arial"/>
        </w:rPr>
      </w:pPr>
      <w:r w:rsidRPr="003543C3">
        <w:rPr>
          <w:rFonts w:cs="Arial"/>
        </w:rPr>
        <w:t>The total amount of capital gains excluded from NCMI (or which would be excluded from NCMI if the entity were a MIT)</w:t>
      </w:r>
      <w:r>
        <w:rPr>
          <w:rFonts w:cs="Arial"/>
        </w:rPr>
        <w:t xml:space="preserve">. </w:t>
      </w:r>
    </w:p>
    <w:p w14:paraId="0AB6311F" w14:textId="77777777" w:rsidR="00115458" w:rsidRDefault="00115458" w:rsidP="00AA677F">
      <w:pPr>
        <w:spacing w:after="0" w:line="240" w:lineRule="auto"/>
        <w:rPr>
          <w:rFonts w:cs="Arial"/>
        </w:rPr>
      </w:pPr>
    </w:p>
    <w:p w14:paraId="7E3A2BE9" w14:textId="77777777" w:rsidR="00484BBB" w:rsidRDefault="00484BBB" w:rsidP="00484BBB">
      <w:pPr>
        <w:spacing w:after="0"/>
        <w:rPr>
          <w:szCs w:val="22"/>
        </w:rPr>
      </w:pPr>
      <w:r w:rsidRPr="002543C8">
        <w:rPr>
          <w:szCs w:val="22"/>
        </w:rPr>
        <w:t xml:space="preserve">If you are a BTR </w:t>
      </w:r>
      <w:r>
        <w:rPr>
          <w:szCs w:val="22"/>
        </w:rPr>
        <w:t>E</w:t>
      </w:r>
      <w:r w:rsidRPr="002543C8">
        <w:rPr>
          <w:szCs w:val="22"/>
        </w:rPr>
        <w:t xml:space="preserve">ntity or </w:t>
      </w:r>
      <w:r>
        <w:rPr>
          <w:szCs w:val="22"/>
        </w:rPr>
        <w:t>BTR P</w:t>
      </w:r>
      <w:r w:rsidRPr="002543C8">
        <w:rPr>
          <w:szCs w:val="22"/>
        </w:rPr>
        <w:t xml:space="preserve">ayment </w:t>
      </w:r>
      <w:r>
        <w:rPr>
          <w:szCs w:val="22"/>
        </w:rPr>
        <w:t>R</w:t>
      </w:r>
      <w:r w:rsidRPr="002543C8">
        <w:rPr>
          <w:szCs w:val="22"/>
        </w:rPr>
        <w:t xml:space="preserve">ecipient, also include here the amounts reported at field 9.145 </w:t>
      </w:r>
      <w:r w:rsidRPr="004D0793">
        <w:rPr>
          <w:i/>
          <w:iCs/>
          <w:szCs w:val="22"/>
        </w:rPr>
        <w:t>BTR excluded from NCMI - capital gains</w:t>
      </w:r>
      <w:r w:rsidRPr="002543C8">
        <w:rPr>
          <w:szCs w:val="22"/>
        </w:rPr>
        <w:t>.</w:t>
      </w:r>
    </w:p>
    <w:p w14:paraId="1C4640CA" w14:textId="77777777" w:rsidR="00802F21" w:rsidRPr="002543C8" w:rsidRDefault="00802F21" w:rsidP="00AB3ADE">
      <w:pPr>
        <w:spacing w:after="0"/>
        <w:rPr>
          <w:szCs w:val="22"/>
        </w:rPr>
      </w:pPr>
    </w:p>
    <w:p w14:paraId="0A872CDC" w14:textId="77777777" w:rsidR="00115458" w:rsidRDefault="00115458" w:rsidP="00AA677F">
      <w:pPr>
        <w:spacing w:after="0" w:line="240" w:lineRule="auto"/>
        <w:rPr>
          <w:szCs w:val="22"/>
        </w:rPr>
      </w:pPr>
      <w:r>
        <w:rPr>
          <w:szCs w:val="22"/>
        </w:rPr>
        <w:t xml:space="preserve">Include this amount </w:t>
      </w:r>
      <w:r w:rsidRPr="00E93957">
        <w:rPr>
          <w:szCs w:val="22"/>
        </w:rPr>
        <w:t>in the applicable capital gains fields</w:t>
      </w:r>
      <w:r>
        <w:rPr>
          <w:szCs w:val="22"/>
        </w:rPr>
        <w:t>:</w:t>
      </w:r>
      <w:r w:rsidRPr="00E93957">
        <w:rPr>
          <w:szCs w:val="22"/>
        </w:rPr>
        <w:t xml:space="preserve"> </w:t>
      </w:r>
    </w:p>
    <w:p w14:paraId="7ED0A90B" w14:textId="77777777" w:rsidR="00115458" w:rsidRDefault="00115458" w:rsidP="00AA677F">
      <w:pPr>
        <w:spacing w:after="0" w:line="240" w:lineRule="auto"/>
        <w:rPr>
          <w:szCs w:val="22"/>
        </w:rPr>
      </w:pPr>
    </w:p>
    <w:p w14:paraId="25F202E2" w14:textId="77777777" w:rsidR="00115458" w:rsidRPr="008763E6" w:rsidRDefault="00115458" w:rsidP="001601AF">
      <w:pPr>
        <w:pStyle w:val="ListParagraph"/>
        <w:numPr>
          <w:ilvl w:val="0"/>
          <w:numId w:val="79"/>
        </w:numPr>
        <w:spacing w:after="0" w:line="240" w:lineRule="auto"/>
        <w:rPr>
          <w:i/>
          <w:iCs/>
          <w:szCs w:val="22"/>
        </w:rPr>
      </w:pPr>
      <w:r w:rsidRPr="008763E6">
        <w:rPr>
          <w:i/>
          <w:iCs/>
          <w:szCs w:val="22"/>
        </w:rPr>
        <w:t>Capital Gains discount method – Taxable Australian property</w:t>
      </w:r>
      <w:r>
        <w:rPr>
          <w:i/>
          <w:iCs/>
          <w:szCs w:val="22"/>
        </w:rPr>
        <w:t xml:space="preserve"> </w:t>
      </w:r>
      <w:r w:rsidRPr="00AA677F">
        <w:rPr>
          <w:i/>
          <w:iCs/>
          <w:szCs w:val="22"/>
        </w:rPr>
        <w:t>(9.123)</w:t>
      </w:r>
      <w:r w:rsidRPr="008763E6">
        <w:rPr>
          <w:i/>
          <w:iCs/>
          <w:szCs w:val="22"/>
        </w:rPr>
        <w:t xml:space="preserve">, </w:t>
      </w:r>
    </w:p>
    <w:p w14:paraId="5065638E" w14:textId="77777777" w:rsidR="00115458" w:rsidRPr="008763E6" w:rsidRDefault="00115458" w:rsidP="001601AF">
      <w:pPr>
        <w:pStyle w:val="ListParagraph"/>
        <w:numPr>
          <w:ilvl w:val="0"/>
          <w:numId w:val="79"/>
        </w:numPr>
        <w:spacing w:after="0" w:line="240" w:lineRule="auto"/>
        <w:rPr>
          <w:i/>
          <w:iCs/>
          <w:szCs w:val="22"/>
        </w:rPr>
      </w:pPr>
      <w:r w:rsidRPr="008763E6">
        <w:rPr>
          <w:i/>
          <w:iCs/>
          <w:szCs w:val="22"/>
        </w:rPr>
        <w:t>Capital Gains discount method – Non-Taxable Australian property</w:t>
      </w:r>
      <w:r>
        <w:rPr>
          <w:i/>
          <w:iCs/>
          <w:szCs w:val="22"/>
        </w:rPr>
        <w:t xml:space="preserve"> </w:t>
      </w:r>
      <w:r w:rsidRPr="00AA677F">
        <w:rPr>
          <w:i/>
          <w:iCs/>
          <w:szCs w:val="22"/>
        </w:rPr>
        <w:t>(9.124)</w:t>
      </w:r>
      <w:r w:rsidRPr="008763E6">
        <w:rPr>
          <w:i/>
          <w:iCs/>
          <w:szCs w:val="22"/>
        </w:rPr>
        <w:t xml:space="preserve">, </w:t>
      </w:r>
    </w:p>
    <w:p w14:paraId="5CA9150D" w14:textId="77777777" w:rsidR="00115458" w:rsidRPr="00AA677F" w:rsidRDefault="00115458" w:rsidP="001601AF">
      <w:pPr>
        <w:pStyle w:val="ListParagraph"/>
        <w:numPr>
          <w:ilvl w:val="0"/>
          <w:numId w:val="79"/>
        </w:numPr>
        <w:spacing w:after="0" w:line="240" w:lineRule="auto"/>
        <w:rPr>
          <w:i/>
          <w:iCs/>
          <w:szCs w:val="22"/>
        </w:rPr>
      </w:pPr>
      <w:r w:rsidRPr="008763E6">
        <w:rPr>
          <w:i/>
          <w:iCs/>
          <w:szCs w:val="22"/>
        </w:rPr>
        <w:t>Capital gains other – Taxable Australian property</w:t>
      </w:r>
      <w:r w:rsidRPr="00AA677F">
        <w:rPr>
          <w:i/>
          <w:iCs/>
          <w:szCs w:val="22"/>
        </w:rPr>
        <w:t xml:space="preserve"> (9.125) or </w:t>
      </w:r>
    </w:p>
    <w:p w14:paraId="7345F28D" w14:textId="55E5612B" w:rsidR="00D369F5" w:rsidRPr="00AB3ADE" w:rsidRDefault="00115458" w:rsidP="00D369F5">
      <w:pPr>
        <w:pStyle w:val="ListParagraph"/>
        <w:numPr>
          <w:ilvl w:val="0"/>
          <w:numId w:val="79"/>
        </w:numPr>
        <w:spacing w:after="0" w:line="240" w:lineRule="auto"/>
        <w:rPr>
          <w:i/>
          <w:szCs w:val="22"/>
        </w:rPr>
      </w:pPr>
      <w:r w:rsidRPr="008763E6">
        <w:rPr>
          <w:i/>
          <w:iCs/>
          <w:szCs w:val="22"/>
        </w:rPr>
        <w:t xml:space="preserve">Capital gains other – Non - Taxable Australian property </w:t>
      </w:r>
      <w:r w:rsidRPr="00AA677F">
        <w:rPr>
          <w:i/>
          <w:iCs/>
          <w:szCs w:val="22"/>
        </w:rPr>
        <w:t>(9.126)</w:t>
      </w:r>
      <w:r w:rsidRPr="008763E6">
        <w:rPr>
          <w:i/>
          <w:iCs/>
          <w:szCs w:val="22"/>
        </w:rPr>
        <w:t xml:space="preserve"> </w:t>
      </w:r>
      <w:r w:rsidR="00D369F5">
        <w:rPr>
          <w:i/>
          <w:iCs/>
          <w:szCs w:val="22"/>
        </w:rPr>
        <w:br/>
      </w:r>
    </w:p>
    <w:p w14:paraId="69FCC49A" w14:textId="7A32EF05" w:rsidR="00115458" w:rsidRPr="008B0919" w:rsidRDefault="00115458" w:rsidP="00F4606C">
      <w:pPr>
        <w:spacing w:after="0" w:line="240" w:lineRule="auto"/>
      </w:pPr>
      <w:bookmarkStart w:id="1662" w:name="_Hlk170229117"/>
      <w:r w:rsidRPr="008B0919">
        <w:rPr>
          <w:b/>
        </w:rPr>
        <w:t>Example 7.</w:t>
      </w:r>
      <w:r w:rsidR="00CF1761" w:rsidRPr="008B0919">
        <w:rPr>
          <w:b/>
          <w:bCs/>
        </w:rPr>
        <w:t>5</w:t>
      </w:r>
      <w:r w:rsidRPr="008B0919">
        <w:rPr>
          <w:b/>
        </w:rPr>
        <w:t xml:space="preserve"> – NCMI reporting for resident and non-resident investor</w:t>
      </w:r>
    </w:p>
    <w:p w14:paraId="210F3F15" w14:textId="77777777" w:rsidR="00115458" w:rsidRPr="00AA677F" w:rsidRDefault="00115458" w:rsidP="00F4606C">
      <w:pPr>
        <w:spacing w:after="0" w:line="240" w:lineRule="auto"/>
        <w:rPr>
          <w:u w:val="single"/>
        </w:rPr>
      </w:pPr>
    </w:p>
    <w:p w14:paraId="60F3DB20" w14:textId="3BDE1392" w:rsidR="00115458" w:rsidRPr="000A08A4" w:rsidRDefault="00115458" w:rsidP="00F4606C">
      <w:pPr>
        <w:spacing w:after="0" w:line="240" w:lineRule="auto"/>
      </w:pPr>
      <w:r w:rsidRPr="000A08A4">
        <w:t>XYC Trust, an AMIT, makes an attribution in the 202</w:t>
      </w:r>
      <w:r w:rsidR="006038C9">
        <w:t>6</w:t>
      </w:r>
      <w:r w:rsidRPr="000A08A4">
        <w:t xml:space="preserve"> year.  The attribution includes NCMI from capital disposals and non-primary production activities.  The attributions (AMT payment type only) for 2 investors, a resident and non-resident* are: </w:t>
      </w:r>
    </w:p>
    <w:p w14:paraId="062A33F2" w14:textId="77777777" w:rsidR="00115458" w:rsidRPr="000A08A4" w:rsidRDefault="00115458" w:rsidP="00F4606C">
      <w:pPr>
        <w:spacing w:after="0" w:line="240" w:lineRule="auto"/>
      </w:pPr>
    </w:p>
    <w:p w14:paraId="1C176BCF"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Interest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t>$1,000.00</w:t>
      </w:r>
    </w:p>
    <w:p w14:paraId="498FB413"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Unfranked dividends – non-CFI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t>$5,000.00</w:t>
      </w:r>
    </w:p>
    <w:p w14:paraId="28FC0882"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Other Australian taxable income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t>$10,000.00</w:t>
      </w:r>
    </w:p>
    <w:p w14:paraId="67DF2144"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NCMI – Non-primary production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t>$500.00</w:t>
      </w:r>
    </w:p>
    <w:p w14:paraId="760C16D3"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Excluded from NCMI – Non-primary production </w:t>
      </w:r>
      <w:r w:rsidRPr="00F4606C">
        <w:rPr>
          <w:rFonts w:cs="Arial"/>
        </w:rPr>
        <w:tab/>
      </w:r>
      <w:r w:rsidRPr="00F4606C">
        <w:rPr>
          <w:rFonts w:cs="Arial"/>
        </w:rPr>
        <w:tab/>
      </w:r>
      <w:r w:rsidRPr="00F4606C">
        <w:rPr>
          <w:rFonts w:cs="Arial"/>
        </w:rPr>
        <w:tab/>
        <w:t>$50.00</w:t>
      </w:r>
    </w:p>
    <w:p w14:paraId="48D496C9"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Franked dividend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t>$7,000.00</w:t>
      </w:r>
    </w:p>
    <w:p w14:paraId="1EA979DC"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 xml:space="preserve">Franking credit </w:t>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t>$3,000.00</w:t>
      </w:r>
    </w:p>
    <w:p w14:paraId="66B4A26B" w14:textId="0A38D562" w:rsidR="00115458" w:rsidRPr="00F4606C" w:rsidRDefault="00115458" w:rsidP="001601AF">
      <w:pPr>
        <w:pStyle w:val="ListParagraph"/>
        <w:numPr>
          <w:ilvl w:val="0"/>
          <w:numId w:val="58"/>
        </w:numPr>
        <w:spacing w:after="0" w:line="240" w:lineRule="auto"/>
        <w:rPr>
          <w:rFonts w:cs="Arial"/>
        </w:rPr>
      </w:pPr>
      <w:r w:rsidRPr="00F4606C">
        <w:rPr>
          <w:rFonts w:cs="Arial"/>
        </w:rPr>
        <w:t xml:space="preserve">Capital Gains discount method – </w:t>
      </w:r>
      <w:r w:rsidR="00613AFA" w:rsidRPr="000A08A4">
        <w:rPr>
          <w:rFonts w:cs="Arial"/>
        </w:rPr>
        <w:t xml:space="preserve"> </w:t>
      </w:r>
      <w:r w:rsidRPr="00F4606C">
        <w:rPr>
          <w:rFonts w:cs="Arial"/>
        </w:rPr>
        <w:t xml:space="preserve">Taxable Australian property </w:t>
      </w:r>
      <w:r w:rsidRPr="00F4606C">
        <w:rPr>
          <w:rFonts w:cs="Arial"/>
        </w:rPr>
        <w:tab/>
        <w:t>$5,000.00**</w:t>
      </w:r>
    </w:p>
    <w:p w14:paraId="3AC7D73C" w14:textId="77777777" w:rsidR="00115458" w:rsidRPr="00F4606C" w:rsidRDefault="00115458" w:rsidP="001601AF">
      <w:pPr>
        <w:pStyle w:val="ListParagraph"/>
        <w:numPr>
          <w:ilvl w:val="0"/>
          <w:numId w:val="58"/>
        </w:numPr>
        <w:spacing w:after="0" w:line="240" w:lineRule="auto"/>
        <w:rPr>
          <w:rFonts w:cs="Arial"/>
        </w:rPr>
      </w:pPr>
      <w:r w:rsidRPr="00F4606C">
        <w:rPr>
          <w:rFonts w:cs="Arial"/>
        </w:rPr>
        <w:t>NCMI Capital Gains</w:t>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r>
      <w:r w:rsidRPr="00F4606C">
        <w:rPr>
          <w:rFonts w:cs="Arial"/>
        </w:rPr>
        <w:tab/>
        <w:t>$1,000.00</w:t>
      </w:r>
    </w:p>
    <w:p w14:paraId="1F98F603" w14:textId="77777777" w:rsidR="00115458" w:rsidRPr="00F4606C" w:rsidRDefault="00115458" w:rsidP="00F4606C">
      <w:pPr>
        <w:spacing w:after="0" w:line="240" w:lineRule="auto"/>
        <w:rPr>
          <w:u w:val="single"/>
        </w:rPr>
      </w:pPr>
      <w:r w:rsidRPr="00F4606C">
        <w:rPr>
          <w:u w:val="single"/>
        </w:rPr>
        <w:t>*Non-resident is a resident of country that has an exchange of information agreement with Australia</w:t>
      </w:r>
    </w:p>
    <w:p w14:paraId="4A228311" w14:textId="77777777" w:rsidR="00115458" w:rsidRPr="00F4606C" w:rsidRDefault="00115458" w:rsidP="00F4606C">
      <w:pPr>
        <w:spacing w:after="0" w:line="240" w:lineRule="auto"/>
        <w:rPr>
          <w:u w:val="single"/>
        </w:rPr>
      </w:pPr>
      <w:r w:rsidRPr="00F4606C">
        <w:rPr>
          <w:u w:val="single"/>
        </w:rPr>
        <w:t>**Includes NCMI capital gain amount of $1,000</w:t>
      </w:r>
    </w:p>
    <w:p w14:paraId="290B02F0" w14:textId="77777777" w:rsidR="00115458" w:rsidRPr="000A08A4" w:rsidRDefault="00115458" w:rsidP="00F4606C">
      <w:pPr>
        <w:spacing w:after="0" w:line="240" w:lineRule="auto"/>
        <w:rPr>
          <w:u w:val="single"/>
        </w:rPr>
      </w:pPr>
    </w:p>
    <w:p w14:paraId="267C69E9" w14:textId="77777777" w:rsidR="00115458" w:rsidRPr="000A08A4" w:rsidRDefault="00115458" w:rsidP="00F4606C">
      <w:pPr>
        <w:spacing w:after="0" w:line="240" w:lineRule="auto"/>
        <w:rPr>
          <w:rFonts w:cs="Arial"/>
          <w:smallCaps/>
        </w:rPr>
      </w:pPr>
      <w:r w:rsidRPr="000A08A4">
        <w:rPr>
          <w:rFonts w:cs="Arial"/>
          <w:b/>
          <w:smallCaps/>
        </w:rPr>
        <w:t xml:space="preserve">investment account data record 1 </w:t>
      </w:r>
      <w:r w:rsidRPr="000A08A4">
        <w:rPr>
          <w:rFonts w:cs="Arial"/>
          <w:smallCaps/>
        </w:rPr>
        <w:t>(extract - resident)</w:t>
      </w:r>
    </w:p>
    <w:p w14:paraId="0DF7D661" w14:textId="77777777" w:rsidR="00115458" w:rsidRPr="000A08A4" w:rsidRDefault="00115458" w:rsidP="00F4606C">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39FA0995"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7E80CB2" w14:textId="77777777" w:rsidR="00115458" w:rsidRPr="000A08A4" w:rsidRDefault="00115458" w:rsidP="00F4606C">
            <w:pPr>
              <w:spacing w:after="0" w:line="240" w:lineRule="auto"/>
              <w:rPr>
                <w:rFonts w:cs="Arial"/>
              </w:rPr>
            </w:pPr>
            <w:r w:rsidRPr="00F4606C">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C3BF11E" w14:textId="77777777" w:rsidR="00115458" w:rsidRPr="000A08A4" w:rsidRDefault="00115458" w:rsidP="00F4606C">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29DC777" w14:textId="77777777" w:rsidR="00115458" w:rsidRPr="000A08A4" w:rsidRDefault="00115458" w:rsidP="00F4606C">
            <w:pPr>
              <w:spacing w:after="0" w:line="240" w:lineRule="auto"/>
              <w:rPr>
                <w:rFonts w:cs="Arial"/>
              </w:rPr>
            </w:pPr>
            <w:r w:rsidRPr="00F4606C">
              <w:rPr>
                <w:rFonts w:cs="Arial"/>
                <w:b/>
                <w:bCs/>
              </w:rPr>
              <w:t>Content</w:t>
            </w:r>
          </w:p>
        </w:tc>
      </w:tr>
      <w:tr w:rsidR="00115458" w:rsidRPr="000A08A4" w14:paraId="6054DAC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4E5B71" w14:textId="77777777" w:rsidR="00115458" w:rsidRPr="000A08A4" w:rsidRDefault="00115458" w:rsidP="00F4606C">
            <w:pPr>
              <w:spacing w:after="0" w:line="240" w:lineRule="auto"/>
              <w:rPr>
                <w:rFonts w:cs="Arial"/>
              </w:rPr>
            </w:pPr>
            <w:r w:rsidRPr="00F4606C">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116CE61" w14:textId="77777777" w:rsidR="00115458" w:rsidRPr="000A08A4" w:rsidRDefault="00115458" w:rsidP="00F4606C">
            <w:pPr>
              <w:spacing w:after="0" w:line="240" w:lineRule="auto"/>
              <w:rPr>
                <w:rFonts w:cs="Arial"/>
              </w:rPr>
            </w:pPr>
            <w:r w:rsidRPr="00F4606C">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2F807EC" w14:textId="77777777" w:rsidR="00115458" w:rsidRPr="000A08A4" w:rsidRDefault="00115458" w:rsidP="00F4606C">
            <w:pPr>
              <w:spacing w:after="0" w:line="240" w:lineRule="auto"/>
              <w:rPr>
                <w:rFonts w:cs="Arial"/>
              </w:rPr>
            </w:pPr>
            <w:r w:rsidRPr="00F4606C">
              <w:rPr>
                <w:rFonts w:cs="Arial"/>
              </w:rPr>
              <w:t>01</w:t>
            </w:r>
          </w:p>
        </w:tc>
      </w:tr>
      <w:tr w:rsidR="00115458" w:rsidRPr="000A08A4" w14:paraId="193BF8EC"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59D4C4" w14:textId="77777777" w:rsidR="00115458" w:rsidRPr="000A08A4" w:rsidRDefault="00115458" w:rsidP="00F4606C">
            <w:pPr>
              <w:spacing w:after="0" w:line="240" w:lineRule="auto"/>
              <w:rPr>
                <w:rFonts w:cs="Arial"/>
              </w:rPr>
            </w:pPr>
            <w:r w:rsidRPr="00F4606C">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B444031" w14:textId="77777777" w:rsidR="00115458" w:rsidRPr="000A08A4" w:rsidRDefault="00115458" w:rsidP="00F4606C">
            <w:pPr>
              <w:spacing w:after="0" w:line="240" w:lineRule="auto"/>
              <w:rPr>
                <w:rFonts w:cs="Arial"/>
              </w:rPr>
            </w:pPr>
            <w:r w:rsidRPr="00F4606C">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45F5B3C" w14:textId="77777777" w:rsidR="00115458" w:rsidRPr="000A08A4" w:rsidRDefault="00115458" w:rsidP="00F4606C">
            <w:pPr>
              <w:spacing w:after="0" w:line="240" w:lineRule="auto"/>
              <w:rPr>
                <w:rFonts w:cs="Arial"/>
              </w:rPr>
            </w:pPr>
            <w:r w:rsidRPr="00F4606C">
              <w:rPr>
                <w:rFonts w:cs="Arial"/>
              </w:rPr>
              <w:t>12345888</w:t>
            </w:r>
          </w:p>
        </w:tc>
      </w:tr>
      <w:tr w:rsidR="00115458" w:rsidRPr="000A08A4" w14:paraId="133474C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C92D55" w14:textId="77777777" w:rsidR="00115458" w:rsidRPr="000A08A4" w:rsidRDefault="00115458" w:rsidP="00F4606C">
            <w:pPr>
              <w:spacing w:after="0" w:line="240" w:lineRule="auto"/>
              <w:rPr>
                <w:rFonts w:cs="Arial"/>
              </w:rPr>
            </w:pPr>
            <w:r w:rsidRPr="00F4606C">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DCE72D" w14:textId="77777777" w:rsidR="00115458" w:rsidRPr="000A08A4" w:rsidRDefault="00115458" w:rsidP="00F4606C">
            <w:pPr>
              <w:spacing w:after="0" w:line="240" w:lineRule="auto"/>
              <w:rPr>
                <w:rFonts w:cs="Arial"/>
              </w:rPr>
            </w:pPr>
            <w:r w:rsidRPr="00F4606C">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19D8643" w14:textId="77777777" w:rsidR="00115458" w:rsidRPr="000A08A4" w:rsidRDefault="00115458" w:rsidP="00F4606C">
            <w:pPr>
              <w:spacing w:after="0" w:line="240" w:lineRule="auto"/>
              <w:rPr>
                <w:rFonts w:cs="Arial"/>
              </w:rPr>
            </w:pPr>
            <w:r w:rsidRPr="00F4606C">
              <w:rPr>
                <w:rFonts w:cs="Arial"/>
              </w:rPr>
              <w:t>12345</w:t>
            </w:r>
          </w:p>
        </w:tc>
      </w:tr>
      <w:tr w:rsidR="00115458" w:rsidRPr="000A08A4" w14:paraId="1AC04DC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71F314" w14:textId="77777777" w:rsidR="00115458" w:rsidRPr="000A08A4" w:rsidRDefault="00115458" w:rsidP="00F4606C">
            <w:pPr>
              <w:spacing w:after="0" w:line="240" w:lineRule="auto"/>
              <w:rPr>
                <w:rFonts w:cs="Arial"/>
              </w:rPr>
            </w:pPr>
            <w:r w:rsidRPr="00F4606C">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4872F5A" w14:textId="77777777" w:rsidR="00115458" w:rsidRPr="000A08A4" w:rsidRDefault="00115458" w:rsidP="00F4606C">
            <w:pPr>
              <w:spacing w:after="0" w:line="240" w:lineRule="auto"/>
              <w:rPr>
                <w:rFonts w:cs="Arial"/>
              </w:rPr>
            </w:pPr>
            <w:r w:rsidRPr="00F4606C">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1307333" w14:textId="779EC8D2" w:rsidR="00115458" w:rsidRPr="000A08A4" w:rsidRDefault="00115458" w:rsidP="00F4606C">
            <w:pPr>
              <w:spacing w:after="0" w:line="240" w:lineRule="auto"/>
              <w:rPr>
                <w:rFonts w:cs="Arial"/>
              </w:rPr>
            </w:pPr>
            <w:r w:rsidRPr="00F4606C">
              <w:rPr>
                <w:rFonts w:cs="Arial"/>
              </w:rPr>
              <w:t>3006202</w:t>
            </w:r>
            <w:r w:rsidR="006038C9">
              <w:rPr>
                <w:rFonts w:cs="Arial"/>
              </w:rPr>
              <w:t>6</w:t>
            </w:r>
          </w:p>
        </w:tc>
      </w:tr>
      <w:tr w:rsidR="00115458" w:rsidRPr="000A08A4" w14:paraId="6453FBC4"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73EA56" w14:textId="77777777" w:rsidR="00115458" w:rsidRPr="000A08A4" w:rsidRDefault="00115458" w:rsidP="00F4606C">
            <w:pPr>
              <w:spacing w:after="0" w:line="240" w:lineRule="auto"/>
              <w:rPr>
                <w:rFonts w:cs="Arial"/>
              </w:rPr>
            </w:pPr>
            <w:r w:rsidRPr="00F4606C">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FF1BD6F" w14:textId="77777777" w:rsidR="00115458" w:rsidRPr="000A08A4" w:rsidRDefault="00115458" w:rsidP="00F4606C">
            <w:pPr>
              <w:spacing w:after="0" w:line="240" w:lineRule="auto"/>
              <w:rPr>
                <w:rFonts w:cs="Arial"/>
              </w:rPr>
            </w:pPr>
            <w:r w:rsidRPr="00F4606C">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7FD1D26" w14:textId="77777777" w:rsidR="00115458" w:rsidRPr="000A08A4" w:rsidRDefault="00115458" w:rsidP="00F4606C">
            <w:pPr>
              <w:spacing w:after="0" w:line="240" w:lineRule="auto"/>
              <w:rPr>
                <w:rFonts w:cs="Arial"/>
              </w:rPr>
            </w:pPr>
            <w:r w:rsidRPr="00F4606C">
              <w:rPr>
                <w:rFonts w:cs="Arial"/>
              </w:rPr>
              <w:t>0</w:t>
            </w:r>
          </w:p>
        </w:tc>
      </w:tr>
      <w:tr w:rsidR="00115458" w:rsidRPr="000A08A4" w14:paraId="23D03DE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E7A8E" w14:textId="77777777" w:rsidR="00115458" w:rsidRPr="000A08A4" w:rsidRDefault="00115458" w:rsidP="00F4606C">
            <w:pPr>
              <w:spacing w:after="0" w:line="240" w:lineRule="auto"/>
              <w:rPr>
                <w:rFonts w:cs="Arial"/>
              </w:rPr>
            </w:pPr>
            <w:r w:rsidRPr="00F4606C">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BE03FB9" w14:textId="77777777" w:rsidR="00115458" w:rsidRPr="000A08A4" w:rsidRDefault="00115458" w:rsidP="00F4606C">
            <w:pPr>
              <w:spacing w:after="0" w:line="240" w:lineRule="auto"/>
              <w:rPr>
                <w:rFonts w:cs="Arial"/>
              </w:rPr>
            </w:pPr>
            <w:r w:rsidRPr="00F4606C">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4F98780" w14:textId="77777777" w:rsidR="00115458" w:rsidRPr="00F4606C" w:rsidRDefault="00115458" w:rsidP="00F4606C">
            <w:pPr>
              <w:spacing w:after="0" w:line="240" w:lineRule="auto"/>
              <w:rPr>
                <w:rFonts w:cs="Arial"/>
              </w:rPr>
            </w:pPr>
            <w:r w:rsidRPr="00F4606C">
              <w:rPr>
                <w:rFonts w:cs="Arial"/>
              </w:rPr>
              <w:t>AMT</w:t>
            </w:r>
          </w:p>
        </w:tc>
      </w:tr>
      <w:tr w:rsidR="00115458" w:rsidRPr="000A08A4" w14:paraId="0B86438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378E6" w14:textId="77777777" w:rsidR="00115458" w:rsidRPr="00F4606C" w:rsidRDefault="00115458" w:rsidP="00F4606C">
            <w:pPr>
              <w:spacing w:after="0" w:line="240" w:lineRule="auto"/>
              <w:rPr>
                <w:rFonts w:cs="Arial"/>
              </w:rPr>
            </w:pPr>
            <w:r w:rsidRPr="00F4606C">
              <w:rPr>
                <w:rFonts w:cs="Arial"/>
              </w:rPr>
              <w:t>9.76</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FA1C8F3" w14:textId="77777777" w:rsidR="00115458" w:rsidRPr="00F4606C" w:rsidRDefault="00115458" w:rsidP="00F4606C">
            <w:pPr>
              <w:spacing w:after="0" w:line="240" w:lineRule="auto"/>
              <w:rPr>
                <w:rFonts w:cs="Arial"/>
              </w:rPr>
            </w:pPr>
            <w:r w:rsidRPr="00F4606C">
              <w:rPr>
                <w:rFonts w:cs="Arial"/>
              </w:rPr>
              <w:t>Non-resident withholding amount deducted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CA6F15C" w14:textId="77777777" w:rsidR="00115458" w:rsidRPr="00F4606C" w:rsidRDefault="00115458" w:rsidP="00F4606C">
            <w:pPr>
              <w:spacing w:after="0" w:line="240" w:lineRule="auto"/>
              <w:rPr>
                <w:rFonts w:cs="Arial"/>
              </w:rPr>
            </w:pPr>
            <w:r w:rsidRPr="00F4606C">
              <w:rPr>
                <w:rFonts w:cs="Arial"/>
              </w:rPr>
              <w:t>000000000000</w:t>
            </w:r>
          </w:p>
        </w:tc>
      </w:tr>
      <w:tr w:rsidR="00115458" w:rsidRPr="000A08A4" w14:paraId="1FA4E04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90AC7" w14:textId="77777777" w:rsidR="00115458" w:rsidRPr="00F4606C" w:rsidRDefault="00115458" w:rsidP="00F4606C">
            <w:pPr>
              <w:spacing w:after="0" w:line="240" w:lineRule="auto"/>
              <w:rPr>
                <w:rFonts w:cs="Arial"/>
              </w:rPr>
            </w:pPr>
            <w:r w:rsidRPr="00F4606C">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97F3660" w14:textId="77777777" w:rsidR="00115458" w:rsidRPr="00F4606C" w:rsidRDefault="00115458" w:rsidP="00F4606C">
            <w:pPr>
              <w:spacing w:after="0" w:line="240" w:lineRule="auto"/>
              <w:rPr>
                <w:rFonts w:cs="Arial"/>
              </w:rPr>
            </w:pPr>
            <w:r w:rsidRPr="00F4606C">
              <w:rPr>
                <w:rFonts w:cs="Arial"/>
              </w:rPr>
              <w:t>Interest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560906" w14:textId="77777777" w:rsidR="00115458" w:rsidRPr="00F4606C" w:rsidRDefault="00115458" w:rsidP="00F4606C">
            <w:pPr>
              <w:spacing w:after="0" w:line="240" w:lineRule="auto"/>
              <w:rPr>
                <w:rFonts w:cs="Arial"/>
              </w:rPr>
            </w:pPr>
            <w:r w:rsidRPr="00F4606C">
              <w:rPr>
                <w:rFonts w:cs="Arial"/>
              </w:rPr>
              <w:t>000000100000</w:t>
            </w:r>
          </w:p>
        </w:tc>
      </w:tr>
      <w:tr w:rsidR="00115458" w:rsidRPr="000A08A4" w14:paraId="46562FF9"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DE1DC" w14:textId="77777777" w:rsidR="00115458" w:rsidRPr="00F4606C" w:rsidRDefault="00115458" w:rsidP="00F4606C">
            <w:pPr>
              <w:spacing w:after="0" w:line="240" w:lineRule="auto"/>
              <w:rPr>
                <w:rFonts w:cs="Arial"/>
              </w:rPr>
            </w:pPr>
            <w:r w:rsidRPr="00F4606C">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80E8060" w14:textId="77777777" w:rsidR="00115458" w:rsidRPr="00F4606C" w:rsidRDefault="00115458" w:rsidP="00F4606C">
            <w:pPr>
              <w:spacing w:after="0" w:line="240" w:lineRule="auto"/>
              <w:rPr>
                <w:rFonts w:cs="Arial"/>
              </w:rPr>
            </w:pPr>
            <w:r w:rsidRPr="00F4606C">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F5FB957"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4C489BD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7B368D" w14:textId="77777777" w:rsidR="00115458" w:rsidRPr="00F4606C" w:rsidRDefault="00115458" w:rsidP="00F4606C">
            <w:pPr>
              <w:spacing w:after="0" w:line="240" w:lineRule="auto"/>
              <w:rPr>
                <w:rFonts w:cs="Arial"/>
              </w:rPr>
            </w:pPr>
            <w:r w:rsidRPr="00F4606C">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8E8A9EB" w14:textId="77777777" w:rsidR="00115458" w:rsidRPr="00F4606C" w:rsidRDefault="00115458" w:rsidP="00F4606C">
            <w:pPr>
              <w:spacing w:after="0" w:line="240" w:lineRule="auto"/>
              <w:rPr>
                <w:rFonts w:cs="Arial"/>
              </w:rPr>
            </w:pPr>
            <w:r w:rsidRPr="00F4606C">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0CB8F62" w14:textId="77777777" w:rsidR="00115458" w:rsidRPr="00F4606C" w:rsidRDefault="00115458" w:rsidP="00F4606C">
            <w:pPr>
              <w:spacing w:after="0" w:line="240" w:lineRule="auto"/>
              <w:rPr>
                <w:rFonts w:cs="Arial"/>
              </w:rPr>
            </w:pPr>
            <w:r w:rsidRPr="00F4606C">
              <w:rPr>
                <w:rFonts w:cs="Arial"/>
              </w:rPr>
              <w:t>000000000000</w:t>
            </w:r>
          </w:p>
        </w:tc>
      </w:tr>
      <w:tr w:rsidR="00115458" w:rsidRPr="000A08A4" w14:paraId="500C7DF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8F36B0" w14:textId="77777777" w:rsidR="00115458" w:rsidRPr="00F4606C" w:rsidRDefault="00115458" w:rsidP="00F4606C">
            <w:pPr>
              <w:spacing w:after="0" w:line="240" w:lineRule="auto"/>
              <w:rPr>
                <w:rFonts w:cs="Arial"/>
              </w:rPr>
            </w:pPr>
            <w:r w:rsidRPr="00F4606C">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931BE87" w14:textId="77777777" w:rsidR="00115458" w:rsidRPr="00F4606C" w:rsidRDefault="00115458" w:rsidP="00F4606C">
            <w:pPr>
              <w:spacing w:after="0" w:line="240" w:lineRule="auto"/>
              <w:rPr>
                <w:rFonts w:cs="Arial"/>
              </w:rPr>
            </w:pPr>
            <w:r w:rsidRPr="00F4606C">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4670A8D" w14:textId="77777777" w:rsidR="00115458" w:rsidRPr="00F4606C" w:rsidRDefault="00115458" w:rsidP="00F4606C">
            <w:pPr>
              <w:spacing w:after="0" w:line="240" w:lineRule="auto"/>
              <w:rPr>
                <w:rFonts w:cs="Arial"/>
              </w:rPr>
            </w:pPr>
            <w:r w:rsidRPr="00F4606C">
              <w:rPr>
                <w:rFonts w:cs="Arial"/>
              </w:rPr>
              <w:t>000000700000</w:t>
            </w:r>
          </w:p>
        </w:tc>
      </w:tr>
      <w:tr w:rsidR="00115458" w:rsidRPr="000A08A4" w14:paraId="7914D6A0"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95628" w14:textId="77777777" w:rsidR="00115458" w:rsidRPr="00F4606C" w:rsidRDefault="00115458" w:rsidP="00F4606C">
            <w:pPr>
              <w:spacing w:after="0" w:line="240" w:lineRule="auto"/>
              <w:rPr>
                <w:rFonts w:cs="Arial"/>
              </w:rPr>
            </w:pPr>
            <w:r w:rsidRPr="00F4606C">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A7B05D0" w14:textId="77777777" w:rsidR="00115458" w:rsidRPr="00F4606C" w:rsidRDefault="00115458" w:rsidP="00F4606C">
            <w:pPr>
              <w:spacing w:after="0" w:line="240" w:lineRule="auto"/>
              <w:rPr>
                <w:rFonts w:cs="Arial"/>
              </w:rPr>
            </w:pPr>
            <w:r w:rsidRPr="00F4606C">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C9AC8C4" w14:textId="77777777" w:rsidR="00115458" w:rsidRPr="000A08A4" w:rsidRDefault="00115458" w:rsidP="00F4606C">
            <w:pPr>
              <w:spacing w:after="0" w:line="240" w:lineRule="auto"/>
              <w:rPr>
                <w:rFonts w:cs="Arial"/>
              </w:rPr>
            </w:pPr>
            <w:r w:rsidRPr="00F4606C">
              <w:rPr>
                <w:rFonts w:cs="Arial"/>
              </w:rPr>
              <w:t>000000300000</w:t>
            </w:r>
          </w:p>
        </w:tc>
      </w:tr>
      <w:tr w:rsidR="00115458" w:rsidRPr="000A08A4" w14:paraId="64BCEF4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7AA6A5" w14:textId="77777777" w:rsidR="00115458" w:rsidRPr="00F4606C" w:rsidRDefault="00115458" w:rsidP="00F4606C">
            <w:pPr>
              <w:spacing w:after="0" w:line="240" w:lineRule="auto"/>
              <w:rPr>
                <w:rFonts w:cs="Arial"/>
              </w:rPr>
            </w:pPr>
            <w:r w:rsidRPr="00F4606C">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57DEC9" w14:textId="77777777" w:rsidR="00115458" w:rsidRPr="00F4606C" w:rsidRDefault="00115458" w:rsidP="00F4606C">
            <w:pPr>
              <w:spacing w:after="0" w:line="240" w:lineRule="auto"/>
              <w:rPr>
                <w:rFonts w:cs="Arial"/>
              </w:rPr>
            </w:pPr>
            <w:r w:rsidRPr="00F4606C">
              <w:rPr>
                <w:rFonts w:cs="Arial"/>
              </w:rPr>
              <w:t>Other taxable Australian income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90A8C80" w14:textId="77777777" w:rsidR="00115458" w:rsidRPr="00F4606C" w:rsidRDefault="00115458" w:rsidP="00F4606C">
            <w:pPr>
              <w:spacing w:after="0" w:line="240" w:lineRule="auto"/>
              <w:rPr>
                <w:rFonts w:cs="Arial"/>
              </w:rPr>
            </w:pPr>
            <w:r w:rsidRPr="00F4606C">
              <w:rPr>
                <w:rFonts w:cs="Arial"/>
              </w:rPr>
              <w:t>000001000000</w:t>
            </w:r>
          </w:p>
        </w:tc>
      </w:tr>
      <w:tr w:rsidR="00115458" w:rsidRPr="000A08A4" w14:paraId="04848E9A"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F345C65" w14:textId="77777777" w:rsidR="00115458" w:rsidRPr="00F4606C" w:rsidRDefault="00115458" w:rsidP="00F4606C">
            <w:pPr>
              <w:spacing w:after="0" w:line="240" w:lineRule="auto"/>
              <w:rPr>
                <w:rFonts w:cs="Arial"/>
              </w:rPr>
            </w:pPr>
            <w:r w:rsidRPr="00F4606C">
              <w:rPr>
                <w:rFonts w:cs="Arial"/>
              </w:rPr>
              <w:t>9.85</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56C97438" w14:textId="77777777" w:rsidR="00115458" w:rsidRPr="00F4606C" w:rsidRDefault="00115458" w:rsidP="00F4606C">
            <w:pPr>
              <w:spacing w:after="0" w:line="240" w:lineRule="auto"/>
              <w:rPr>
                <w:rFonts w:cs="Arial"/>
              </w:rPr>
            </w:pPr>
            <w:r w:rsidRPr="00F4606C">
              <w:rPr>
                <w:rFonts w:cs="Arial"/>
              </w:rPr>
              <w:t>Non-primary production income</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097C66E8" w14:textId="77777777" w:rsidR="00115458" w:rsidRPr="00F4606C" w:rsidRDefault="00115458" w:rsidP="00F4606C">
            <w:pPr>
              <w:spacing w:after="0" w:line="240" w:lineRule="auto"/>
              <w:rPr>
                <w:rFonts w:cs="Arial"/>
              </w:rPr>
            </w:pPr>
            <w:r w:rsidRPr="00F4606C">
              <w:rPr>
                <w:rFonts w:cs="Arial"/>
              </w:rPr>
              <w:t>000001655000</w:t>
            </w:r>
          </w:p>
        </w:tc>
      </w:tr>
      <w:tr w:rsidR="00115458" w:rsidRPr="000A08A4" w14:paraId="79BCB57D"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C5F65E3" w14:textId="77777777" w:rsidR="00115458" w:rsidRPr="00F4606C" w:rsidRDefault="00115458" w:rsidP="00F4606C">
            <w:pPr>
              <w:spacing w:after="0" w:line="240" w:lineRule="auto"/>
              <w:rPr>
                <w:rFonts w:cs="Arial"/>
              </w:rPr>
            </w:pPr>
            <w:r w:rsidRPr="00F4606C">
              <w:rPr>
                <w:rFonts w:cs="Arial"/>
              </w:rPr>
              <w:t>9.87</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D49B4B" w14:textId="77777777" w:rsidR="00115458" w:rsidRPr="00F4606C" w:rsidRDefault="00115458" w:rsidP="00F4606C">
            <w:pPr>
              <w:spacing w:after="0" w:line="240" w:lineRule="auto"/>
              <w:rPr>
                <w:rFonts w:cs="Arial"/>
              </w:rPr>
            </w:pPr>
            <w:r w:rsidRPr="00F4606C">
              <w:rPr>
                <w:rFonts w:cs="Arial"/>
              </w:rPr>
              <w:t>CGT concession amount or AMIT CGT gross up amount</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1566064"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062F2C60"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78B8275" w14:textId="77777777" w:rsidR="00115458" w:rsidRPr="00F4606C" w:rsidRDefault="00115458" w:rsidP="00F4606C">
            <w:pPr>
              <w:spacing w:after="0" w:line="240" w:lineRule="auto"/>
              <w:rPr>
                <w:rFonts w:cs="Arial"/>
              </w:rPr>
            </w:pPr>
            <w:r w:rsidRPr="00F4606C">
              <w:rPr>
                <w:rFonts w:cs="Arial"/>
              </w:rPr>
              <w:t>9.88</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E189AB2" w14:textId="77777777" w:rsidR="00115458" w:rsidRPr="00F4606C" w:rsidRDefault="00115458" w:rsidP="00F4606C">
            <w:pPr>
              <w:spacing w:after="0" w:line="240" w:lineRule="auto"/>
              <w:rPr>
                <w:rFonts w:cs="Arial"/>
              </w:rPr>
            </w:pPr>
            <w:r w:rsidRPr="00F4606C">
              <w:rPr>
                <w:rFonts w:cs="Arial"/>
              </w:rPr>
              <w:t>Net capital gain</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0F3707D"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61314971"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AC624DB" w14:textId="77777777" w:rsidR="00115458" w:rsidRPr="00F4606C" w:rsidRDefault="00115458" w:rsidP="00F4606C">
            <w:pPr>
              <w:spacing w:after="0" w:line="240" w:lineRule="auto"/>
              <w:rPr>
                <w:rFonts w:cs="Arial"/>
              </w:rPr>
            </w:pPr>
            <w:r w:rsidRPr="00F4606C">
              <w:rPr>
                <w:rFonts w:cs="Arial"/>
              </w:rPr>
              <w:t>9.89</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E80D86C" w14:textId="77777777" w:rsidR="00115458" w:rsidRPr="00F4606C" w:rsidRDefault="00115458" w:rsidP="00F4606C">
            <w:pPr>
              <w:spacing w:after="0" w:line="240" w:lineRule="auto"/>
              <w:rPr>
                <w:rFonts w:cs="Arial"/>
              </w:rPr>
            </w:pPr>
            <w:r w:rsidRPr="00F4606C">
              <w:rPr>
                <w:rFonts w:cs="Arial"/>
              </w:rPr>
              <w:t>Total current year capital gains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FFB9288" w14:textId="77777777" w:rsidR="00115458" w:rsidRPr="00F4606C" w:rsidRDefault="00115458" w:rsidP="00F4606C">
            <w:pPr>
              <w:spacing w:after="0" w:line="240" w:lineRule="auto"/>
              <w:rPr>
                <w:rFonts w:cs="Arial"/>
              </w:rPr>
            </w:pPr>
            <w:r w:rsidRPr="00F4606C">
              <w:rPr>
                <w:rFonts w:cs="Arial"/>
              </w:rPr>
              <w:t>000001000000</w:t>
            </w:r>
          </w:p>
        </w:tc>
      </w:tr>
      <w:tr w:rsidR="00115458" w:rsidRPr="000A08A4" w14:paraId="6EF94CCB"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ADB4C51" w14:textId="77777777" w:rsidR="00115458" w:rsidRPr="00F4606C" w:rsidRDefault="00115458" w:rsidP="00F4606C">
            <w:pPr>
              <w:spacing w:after="0" w:line="240" w:lineRule="auto"/>
              <w:rPr>
                <w:rFonts w:cs="Arial"/>
              </w:rPr>
            </w:pPr>
            <w:r w:rsidRPr="00F4606C">
              <w:rPr>
                <w:rFonts w:cs="Arial"/>
              </w:rPr>
              <w:t>9.105</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0B9838" w14:textId="77777777" w:rsidR="00115458" w:rsidRPr="00F4606C" w:rsidRDefault="00115458" w:rsidP="00F4606C">
            <w:pPr>
              <w:spacing w:after="0" w:line="240" w:lineRule="auto"/>
              <w:rPr>
                <w:rFonts w:cs="Arial"/>
              </w:rPr>
            </w:pPr>
            <w:r w:rsidRPr="00F4606C">
              <w:rPr>
                <w:rFonts w:cs="Arial"/>
              </w:rPr>
              <w:t>Managed investment trust fund payment</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9DB592F" w14:textId="77777777" w:rsidR="00115458" w:rsidRPr="00F4606C" w:rsidRDefault="00115458" w:rsidP="00F4606C">
            <w:pPr>
              <w:spacing w:after="0" w:line="240" w:lineRule="auto"/>
              <w:rPr>
                <w:rFonts w:cs="Arial"/>
              </w:rPr>
            </w:pPr>
            <w:r w:rsidRPr="00F4606C">
              <w:rPr>
                <w:rFonts w:cs="Arial"/>
              </w:rPr>
              <w:t>000000000000</w:t>
            </w:r>
          </w:p>
        </w:tc>
      </w:tr>
      <w:tr w:rsidR="00115458" w:rsidRPr="000A08A4" w14:paraId="1A4357B1"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D03F729" w14:textId="77777777" w:rsidR="00115458" w:rsidRPr="00F4606C" w:rsidRDefault="00115458" w:rsidP="00F4606C">
            <w:pPr>
              <w:spacing w:after="0" w:line="240" w:lineRule="auto"/>
              <w:rPr>
                <w:rFonts w:cs="Arial"/>
              </w:rPr>
            </w:pPr>
            <w:r w:rsidRPr="00F4606C">
              <w:rPr>
                <w:rFonts w:cs="Arial"/>
              </w:rPr>
              <w:t>9.106</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C2DE3FE" w14:textId="77777777" w:rsidR="00115458" w:rsidRPr="00F4606C" w:rsidRDefault="00115458" w:rsidP="00F4606C">
            <w:pPr>
              <w:spacing w:after="0" w:line="240" w:lineRule="auto"/>
              <w:rPr>
                <w:rFonts w:cs="Arial"/>
              </w:rPr>
            </w:pPr>
            <w:r w:rsidRPr="00F4606C">
              <w:rPr>
                <w:rFonts w:cs="Arial"/>
              </w:rPr>
              <w:t>Amounts withheld from managed investment trust payments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7906A1B" w14:textId="77777777" w:rsidR="00115458" w:rsidRPr="00F4606C" w:rsidRDefault="00115458" w:rsidP="00F4606C">
            <w:pPr>
              <w:spacing w:after="0" w:line="240" w:lineRule="auto"/>
              <w:rPr>
                <w:rFonts w:cs="Arial"/>
              </w:rPr>
            </w:pPr>
            <w:r w:rsidRPr="00F4606C">
              <w:rPr>
                <w:rFonts w:cs="Arial"/>
              </w:rPr>
              <w:t>000000000000</w:t>
            </w:r>
          </w:p>
        </w:tc>
      </w:tr>
    </w:tbl>
    <w:p w14:paraId="2487D886" w14:textId="77777777" w:rsidR="00115458" w:rsidRPr="00AA677F" w:rsidRDefault="00115458" w:rsidP="00F4606C">
      <w:pPr>
        <w:spacing w:after="0" w:line="240" w:lineRule="auto"/>
        <w:rPr>
          <w:rFonts w:cs="Arial"/>
          <w:b/>
          <w:smallCaps/>
        </w:rPr>
      </w:pPr>
    </w:p>
    <w:p w14:paraId="0A8A6181" w14:textId="77777777" w:rsidR="00115458" w:rsidRPr="00AA677F" w:rsidRDefault="00115458" w:rsidP="00F4606C">
      <w:pPr>
        <w:spacing w:after="0" w:line="240" w:lineRule="auto"/>
        <w:rPr>
          <w:rFonts w:cs="Arial"/>
          <w:b/>
          <w:smallCaps/>
        </w:rPr>
      </w:pPr>
      <w:r w:rsidRPr="00AA677F">
        <w:rPr>
          <w:rFonts w:cs="Arial"/>
          <w:b/>
          <w:smallCaps/>
        </w:rPr>
        <w:t xml:space="preserve">supplementary income account data record </w:t>
      </w:r>
      <w:r w:rsidRPr="00AA677F">
        <w:rPr>
          <w:rFonts w:cs="Arial"/>
          <w:smallCaps/>
        </w:rPr>
        <w:t>(extract - resident)</w:t>
      </w:r>
    </w:p>
    <w:p w14:paraId="79CB36A6" w14:textId="77777777" w:rsidR="00115458" w:rsidRPr="00AA677F" w:rsidRDefault="00115458" w:rsidP="00F4606C">
      <w:pPr>
        <w:spacing w:after="0" w:line="240" w:lineRule="auto"/>
        <w:rPr>
          <w:rFonts w:cs="Arial"/>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AA677F" w14:paraId="1FF5DB30"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3FC85A1" w14:textId="77777777" w:rsidR="00115458" w:rsidRPr="00AA677F" w:rsidRDefault="00115458" w:rsidP="00F4606C">
            <w:pPr>
              <w:spacing w:after="0" w:line="240" w:lineRule="auto"/>
              <w:rPr>
                <w:rFonts w:cs="Arial"/>
              </w:rPr>
            </w:pPr>
            <w:r w:rsidRPr="006A5E27">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99F26C4" w14:textId="77777777" w:rsidR="00115458" w:rsidRPr="00AA677F" w:rsidRDefault="00115458" w:rsidP="00F4606C">
            <w:pPr>
              <w:spacing w:after="0" w:line="240" w:lineRule="auto"/>
              <w:rPr>
                <w:rFonts w:cs="Arial"/>
              </w:rPr>
            </w:pPr>
            <w:r w:rsidRPr="006A5E27">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99EE64D"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7CAB581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6714B" w14:textId="77777777" w:rsidR="00115458" w:rsidRPr="00AA677F" w:rsidRDefault="00115458" w:rsidP="00F4606C">
            <w:pPr>
              <w:spacing w:after="0" w:line="240" w:lineRule="auto"/>
              <w:rPr>
                <w:rFonts w:cs="Arial"/>
              </w:rPr>
            </w:pPr>
            <w:r w:rsidRPr="00F4606C">
              <w:rPr>
                <w:rFonts w:cs="Arial"/>
              </w:rPr>
              <w:t>9.110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950E34" w14:textId="77777777" w:rsidR="00115458" w:rsidRPr="00AA677F" w:rsidRDefault="00115458" w:rsidP="00F4606C">
            <w:pPr>
              <w:spacing w:after="0" w:line="240" w:lineRule="auto"/>
              <w:rPr>
                <w:rFonts w:cs="Arial"/>
              </w:rPr>
            </w:pPr>
            <w:r w:rsidRPr="00F4606C">
              <w:rPr>
                <w:rFonts w:cs="Arial"/>
              </w:rPr>
              <w:t>Supplementary income payment type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4ED76D" w14:textId="77777777" w:rsidR="00115458" w:rsidRPr="00AA677F" w:rsidRDefault="00115458" w:rsidP="00F4606C">
            <w:pPr>
              <w:spacing w:after="0" w:line="240" w:lineRule="auto"/>
              <w:rPr>
                <w:rFonts w:cs="Arial"/>
              </w:rPr>
            </w:pPr>
            <w:r w:rsidRPr="00F4606C">
              <w:rPr>
                <w:rFonts w:cs="Arial"/>
              </w:rPr>
              <w:t>AMT</w:t>
            </w:r>
          </w:p>
        </w:tc>
      </w:tr>
      <w:tr w:rsidR="00115458" w:rsidRPr="00AA677F" w14:paraId="0F78414C"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5EA4D2" w14:textId="77777777" w:rsidR="00115458" w:rsidRPr="00AA677F" w:rsidRDefault="00115458" w:rsidP="00F4606C">
            <w:pPr>
              <w:spacing w:after="0" w:line="240" w:lineRule="auto"/>
              <w:rPr>
                <w:rFonts w:cs="Arial"/>
              </w:rPr>
            </w:pPr>
            <w:r w:rsidRPr="00F4606C">
              <w:rPr>
                <w:rFonts w:cs="Arial"/>
              </w:rPr>
              <w:t>9.111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DE5F6E9" w14:textId="77777777" w:rsidR="00115458" w:rsidRPr="00AA677F" w:rsidRDefault="00115458" w:rsidP="00F4606C">
            <w:pPr>
              <w:spacing w:after="0" w:line="240" w:lineRule="auto"/>
              <w:rPr>
                <w:rFonts w:cs="Arial"/>
              </w:rPr>
            </w:pPr>
            <w:r w:rsidRPr="00F4606C">
              <w:rPr>
                <w:rFonts w:cs="Arial"/>
              </w:rPr>
              <w:t>Sequence number of DACCSUPP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A3E34B2" w14:textId="77777777" w:rsidR="00115458" w:rsidRPr="00AA677F" w:rsidRDefault="00115458" w:rsidP="00F4606C">
            <w:pPr>
              <w:spacing w:after="0" w:line="240" w:lineRule="auto"/>
              <w:rPr>
                <w:rFonts w:cs="Arial"/>
              </w:rPr>
            </w:pPr>
            <w:r w:rsidRPr="00F4606C">
              <w:rPr>
                <w:rFonts w:cs="Arial"/>
              </w:rPr>
              <w:t>01</w:t>
            </w:r>
          </w:p>
        </w:tc>
      </w:tr>
      <w:tr w:rsidR="00115458" w:rsidRPr="00AA677F" w14:paraId="1F8E7438"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36DAFAB" w14:textId="77777777" w:rsidR="00115458" w:rsidRPr="00AA677F" w:rsidRDefault="00115458" w:rsidP="00F4606C">
            <w:pPr>
              <w:spacing w:after="0" w:line="240" w:lineRule="auto"/>
              <w:rPr>
                <w:rFonts w:cs="Arial"/>
              </w:rPr>
            </w:pPr>
            <w:r w:rsidRPr="00F4606C">
              <w:rPr>
                <w:rFonts w:cs="Arial"/>
              </w:rPr>
              <w:t>9.119</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71F8E94B" w14:textId="77777777" w:rsidR="00115458" w:rsidRPr="00AA677F" w:rsidRDefault="00115458" w:rsidP="00F4606C">
            <w:pPr>
              <w:spacing w:after="0" w:line="240" w:lineRule="auto"/>
              <w:rPr>
                <w:rFonts w:cs="Arial"/>
              </w:rPr>
            </w:pPr>
            <w:r w:rsidRPr="00F4606C">
              <w:rPr>
                <w:rFonts w:cs="Arial"/>
              </w:rPr>
              <w:t>Unfranked distributions from trusts (cents)</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751AC898" w14:textId="77777777" w:rsidR="00115458" w:rsidRPr="00AA677F" w:rsidRDefault="00115458" w:rsidP="00F4606C">
            <w:pPr>
              <w:spacing w:after="0" w:line="240" w:lineRule="auto"/>
              <w:rPr>
                <w:rFonts w:cs="Arial"/>
              </w:rPr>
            </w:pPr>
            <w:r w:rsidRPr="00F4606C">
              <w:rPr>
                <w:rFonts w:cs="Arial"/>
              </w:rPr>
              <w:t>000000500000</w:t>
            </w:r>
          </w:p>
        </w:tc>
      </w:tr>
      <w:tr w:rsidR="00115458" w:rsidRPr="00AA677F" w14:paraId="2173E1B1"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D4BB5" w14:textId="77777777" w:rsidR="00115458" w:rsidRPr="00AA677F" w:rsidRDefault="00115458" w:rsidP="00F4606C">
            <w:pPr>
              <w:spacing w:after="0" w:line="240" w:lineRule="auto"/>
              <w:rPr>
                <w:rFonts w:cs="Arial"/>
              </w:rPr>
            </w:pPr>
            <w:r w:rsidRPr="00F4606C">
              <w:rPr>
                <w:rFonts w:cs="Arial"/>
              </w:rPr>
              <w:t>9.120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E1D8C" w14:textId="77777777" w:rsidR="00115458" w:rsidRPr="00AA677F" w:rsidRDefault="00115458" w:rsidP="00F4606C">
            <w:pPr>
              <w:spacing w:after="0" w:line="240" w:lineRule="auto"/>
              <w:rPr>
                <w:rFonts w:cs="Arial"/>
              </w:rPr>
            </w:pPr>
            <w:r w:rsidRPr="00F4606C">
              <w:rPr>
                <w:rFonts w:cs="Arial"/>
              </w:rPr>
              <w:t>Franked distributions from trusts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03F93" w14:textId="77777777" w:rsidR="00115458" w:rsidRPr="00AA677F" w:rsidRDefault="00115458" w:rsidP="00F4606C">
            <w:pPr>
              <w:spacing w:after="0" w:line="240" w:lineRule="auto"/>
              <w:rPr>
                <w:rFonts w:cs="Arial"/>
              </w:rPr>
            </w:pPr>
            <w:r w:rsidRPr="00F4606C">
              <w:rPr>
                <w:rFonts w:cs="Arial"/>
              </w:rPr>
              <w:t>000001000000</w:t>
            </w:r>
          </w:p>
        </w:tc>
      </w:tr>
      <w:tr w:rsidR="00115458" w:rsidRPr="00AA677F" w14:paraId="277CD726"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5FD5E" w14:textId="77777777" w:rsidR="00115458" w:rsidRPr="00F4606C" w:rsidRDefault="00115458" w:rsidP="00F4606C">
            <w:pPr>
              <w:spacing w:after="0" w:line="240" w:lineRule="auto"/>
              <w:rPr>
                <w:rFonts w:cs="Arial"/>
              </w:rPr>
            </w:pPr>
            <w:r w:rsidRPr="00F4606C">
              <w:rPr>
                <w:rFonts w:cs="Arial"/>
              </w:rPr>
              <w:t>9.123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5F695" w14:textId="77777777" w:rsidR="00115458" w:rsidRPr="00F4606C" w:rsidRDefault="00115458" w:rsidP="00F4606C">
            <w:pPr>
              <w:spacing w:after="0" w:line="240" w:lineRule="auto"/>
              <w:rPr>
                <w:rFonts w:cs="Arial"/>
              </w:rPr>
            </w:pPr>
            <w:r w:rsidRPr="00F4606C">
              <w:rPr>
                <w:rFonts w:cs="Arial"/>
              </w:rPr>
              <w:t>Capital Gains discount method – 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1A0A6" w14:textId="77777777" w:rsidR="00115458" w:rsidRPr="00F4606C" w:rsidRDefault="00115458" w:rsidP="00F4606C">
            <w:pPr>
              <w:spacing w:after="0" w:line="240" w:lineRule="auto"/>
              <w:rPr>
                <w:rFonts w:cs="Arial"/>
              </w:rPr>
            </w:pPr>
            <w:r w:rsidRPr="00F4606C">
              <w:rPr>
                <w:rFonts w:cs="Arial"/>
              </w:rPr>
              <w:t>000000500000</w:t>
            </w:r>
          </w:p>
        </w:tc>
      </w:tr>
      <w:tr w:rsidR="00115458" w:rsidRPr="00AA677F" w14:paraId="5F088304"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69448" w14:textId="77777777" w:rsidR="00115458" w:rsidRPr="00F4606C" w:rsidRDefault="00115458" w:rsidP="00F4606C">
            <w:pPr>
              <w:spacing w:after="0" w:line="240" w:lineRule="auto"/>
              <w:rPr>
                <w:rFonts w:cs="Arial"/>
              </w:rPr>
            </w:pPr>
            <w:r w:rsidRPr="00F4606C">
              <w:rPr>
                <w:rFonts w:cs="Arial"/>
              </w:rPr>
              <w:t>9.136</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3994C" w14:textId="77777777" w:rsidR="00115458" w:rsidRPr="00F4606C" w:rsidRDefault="00115458" w:rsidP="00F4606C">
            <w:pPr>
              <w:spacing w:after="0" w:line="240" w:lineRule="auto"/>
              <w:rPr>
                <w:rFonts w:cs="Arial"/>
              </w:rPr>
            </w:pPr>
            <w:r w:rsidRPr="00F4606C">
              <w:rPr>
                <w:rFonts w:cs="Arial"/>
              </w:rPr>
              <w:t>NCMI – Non-primary production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CDE4A" w14:textId="77777777" w:rsidR="00115458" w:rsidRPr="00F4606C" w:rsidRDefault="00115458" w:rsidP="00F4606C">
            <w:pPr>
              <w:spacing w:after="0" w:line="240" w:lineRule="auto"/>
              <w:rPr>
                <w:rFonts w:cs="Arial"/>
              </w:rPr>
            </w:pPr>
            <w:r w:rsidRPr="00F4606C">
              <w:rPr>
                <w:rFonts w:cs="Arial"/>
              </w:rPr>
              <w:t>000000050000</w:t>
            </w:r>
          </w:p>
        </w:tc>
      </w:tr>
      <w:tr w:rsidR="00115458" w:rsidRPr="00AA677F" w14:paraId="675E88AF"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70AE4" w14:textId="77777777" w:rsidR="00115458" w:rsidRPr="00F4606C" w:rsidRDefault="00115458" w:rsidP="00F4606C">
            <w:pPr>
              <w:spacing w:after="0" w:line="240" w:lineRule="auto"/>
              <w:rPr>
                <w:rFonts w:cs="Arial"/>
              </w:rPr>
            </w:pPr>
            <w:r w:rsidRPr="00F4606C">
              <w:rPr>
                <w:rFonts w:cs="Arial"/>
              </w:rPr>
              <w:t>9.138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9AFE3" w14:textId="77777777" w:rsidR="00115458" w:rsidRPr="00F4606C" w:rsidRDefault="00115458" w:rsidP="00F4606C">
            <w:pPr>
              <w:spacing w:after="0" w:line="240" w:lineRule="auto"/>
              <w:rPr>
                <w:rFonts w:cs="Arial"/>
              </w:rPr>
            </w:pPr>
            <w:r w:rsidRPr="00F4606C">
              <w:rPr>
                <w:rFonts w:cs="Arial"/>
              </w:rPr>
              <w:t>Excluded from NCMI – Non-primary production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D4FE2" w14:textId="77777777" w:rsidR="00115458" w:rsidRPr="00F4606C" w:rsidRDefault="00115458" w:rsidP="00F4606C">
            <w:pPr>
              <w:spacing w:after="0" w:line="240" w:lineRule="auto"/>
              <w:rPr>
                <w:rFonts w:cs="Arial"/>
              </w:rPr>
            </w:pPr>
            <w:r w:rsidRPr="00F4606C">
              <w:rPr>
                <w:rFonts w:cs="Arial"/>
              </w:rPr>
              <w:t>000000005000</w:t>
            </w:r>
          </w:p>
        </w:tc>
      </w:tr>
      <w:tr w:rsidR="00115458" w:rsidRPr="00AA677F" w14:paraId="377E91F2"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E9DE2" w14:textId="77777777" w:rsidR="00115458" w:rsidRPr="00F4606C" w:rsidRDefault="00115458" w:rsidP="00F4606C">
            <w:pPr>
              <w:spacing w:after="0" w:line="240" w:lineRule="auto"/>
              <w:rPr>
                <w:rFonts w:cs="Arial"/>
              </w:rPr>
            </w:pPr>
            <w:r w:rsidRPr="00F4606C">
              <w:rPr>
                <w:rFonts w:cs="Arial"/>
              </w:rPr>
              <w:t>9.140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BA7B1" w14:textId="77777777" w:rsidR="00115458" w:rsidRPr="00F4606C" w:rsidRDefault="00115458" w:rsidP="00F4606C">
            <w:pPr>
              <w:spacing w:after="0" w:line="240" w:lineRule="auto"/>
              <w:rPr>
                <w:rFonts w:cs="Arial"/>
              </w:rPr>
            </w:pPr>
            <w:r w:rsidRPr="00F4606C">
              <w:rPr>
                <w:rFonts w:cs="Arial"/>
              </w:rPr>
              <w:t>NCMI Capital gains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CFACF" w14:textId="77777777" w:rsidR="00115458" w:rsidRPr="00F4606C" w:rsidRDefault="00115458" w:rsidP="00F4606C">
            <w:pPr>
              <w:spacing w:after="0" w:line="240" w:lineRule="auto"/>
              <w:rPr>
                <w:rFonts w:cs="Arial"/>
              </w:rPr>
            </w:pPr>
            <w:r w:rsidRPr="00F4606C">
              <w:rPr>
                <w:rFonts w:cs="Arial"/>
              </w:rPr>
              <w:t>000000100000</w:t>
            </w:r>
          </w:p>
        </w:tc>
      </w:tr>
    </w:tbl>
    <w:p w14:paraId="0DB1B3FA" w14:textId="3E3B5EF3" w:rsidR="00115458" w:rsidRPr="004D0793" w:rsidRDefault="00115458" w:rsidP="00F4606C">
      <w:pPr>
        <w:spacing w:after="0" w:line="240" w:lineRule="auto"/>
        <w:rPr>
          <w:rFonts w:cs="Arial"/>
          <w:sz w:val="18"/>
        </w:rPr>
      </w:pPr>
      <w:r w:rsidRPr="0028338D">
        <w:rPr>
          <w:iCs/>
          <w:color w:val="000000"/>
          <w:sz w:val="18"/>
        </w:rPr>
        <w:t>An</w:t>
      </w:r>
      <w:r w:rsidRPr="004D0793">
        <w:rPr>
          <w:i/>
          <w:color w:val="000000"/>
          <w:sz w:val="18"/>
        </w:rPr>
        <w:t xml:space="preserve"> Investor data record </w:t>
      </w:r>
      <w:r w:rsidRPr="004D0793">
        <w:rPr>
          <w:color w:val="000000"/>
          <w:sz w:val="18"/>
        </w:rPr>
        <w:t xml:space="preserve">is required following the </w:t>
      </w:r>
      <w:r w:rsidRPr="004D0793">
        <w:rPr>
          <w:rFonts w:cs="Arial"/>
          <w:i/>
          <w:sz w:val="18"/>
        </w:rPr>
        <w:t>Supplementary income account data record</w:t>
      </w:r>
    </w:p>
    <w:p w14:paraId="75524719" w14:textId="77777777" w:rsidR="00115458" w:rsidRPr="004D0793" w:rsidRDefault="00115458" w:rsidP="00F4606C">
      <w:pPr>
        <w:spacing w:after="0" w:line="240" w:lineRule="auto"/>
        <w:rPr>
          <w:rFonts w:cs="Arial"/>
          <w:b/>
          <w:smallCaps/>
          <w:sz w:val="18"/>
        </w:rPr>
      </w:pPr>
    </w:p>
    <w:p w14:paraId="707E7CA5" w14:textId="77777777" w:rsidR="00115458" w:rsidRPr="00AA677F" w:rsidRDefault="00115458" w:rsidP="00F4606C">
      <w:pPr>
        <w:spacing w:after="0" w:line="240" w:lineRule="auto"/>
        <w:rPr>
          <w:rFonts w:cs="Arial"/>
          <w:smallCaps/>
        </w:rPr>
      </w:pPr>
      <w:r w:rsidRPr="00AA677F">
        <w:rPr>
          <w:rFonts w:cs="Arial"/>
          <w:b/>
          <w:smallCaps/>
        </w:rPr>
        <w:t xml:space="preserve">investment account data record 2 </w:t>
      </w:r>
      <w:r w:rsidRPr="00AA677F">
        <w:rPr>
          <w:rFonts w:cs="Arial"/>
          <w:smallCaps/>
        </w:rPr>
        <w:t>(extract – non-resident)</w:t>
      </w:r>
    </w:p>
    <w:p w14:paraId="3F80BBCE" w14:textId="77777777" w:rsidR="00115458" w:rsidRPr="00AA677F" w:rsidRDefault="00115458" w:rsidP="00F4606C">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07E72D31"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48B19D09" w14:textId="77777777" w:rsidR="00115458" w:rsidRPr="000A08A4" w:rsidRDefault="00115458" w:rsidP="00F4606C">
            <w:pPr>
              <w:spacing w:after="0" w:line="240" w:lineRule="auto"/>
              <w:rPr>
                <w:rFonts w:cs="Arial"/>
              </w:rPr>
            </w:pPr>
            <w:r w:rsidRPr="00F4606C">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0E23BE2" w14:textId="77777777" w:rsidR="00115458" w:rsidRPr="000A08A4" w:rsidRDefault="00115458" w:rsidP="00F4606C">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220303B" w14:textId="77777777" w:rsidR="00115458" w:rsidRPr="000A08A4" w:rsidRDefault="00115458" w:rsidP="00F4606C">
            <w:pPr>
              <w:spacing w:after="0" w:line="240" w:lineRule="auto"/>
              <w:rPr>
                <w:rFonts w:cs="Arial"/>
              </w:rPr>
            </w:pPr>
            <w:r w:rsidRPr="00F4606C">
              <w:rPr>
                <w:rFonts w:cs="Arial"/>
                <w:b/>
                <w:bCs/>
              </w:rPr>
              <w:t>Content</w:t>
            </w:r>
          </w:p>
        </w:tc>
      </w:tr>
      <w:tr w:rsidR="00115458" w:rsidRPr="000A08A4" w14:paraId="0C0F668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BD578A" w14:textId="77777777" w:rsidR="00115458" w:rsidRPr="000A08A4" w:rsidRDefault="00115458" w:rsidP="00F4606C">
            <w:pPr>
              <w:spacing w:after="0" w:line="240" w:lineRule="auto"/>
              <w:rPr>
                <w:rFonts w:cs="Arial"/>
              </w:rPr>
            </w:pPr>
            <w:r w:rsidRPr="00F4606C">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D41F73" w14:textId="77777777" w:rsidR="00115458" w:rsidRPr="000A08A4" w:rsidRDefault="00115458" w:rsidP="00F4606C">
            <w:pPr>
              <w:spacing w:after="0" w:line="240" w:lineRule="auto"/>
              <w:rPr>
                <w:rFonts w:cs="Arial"/>
              </w:rPr>
            </w:pPr>
            <w:r w:rsidRPr="00F4606C">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0C76235" w14:textId="77777777" w:rsidR="00115458" w:rsidRPr="000A08A4" w:rsidRDefault="00115458" w:rsidP="00F4606C">
            <w:pPr>
              <w:spacing w:after="0" w:line="240" w:lineRule="auto"/>
              <w:rPr>
                <w:rFonts w:cs="Arial"/>
              </w:rPr>
            </w:pPr>
            <w:r w:rsidRPr="00F4606C">
              <w:rPr>
                <w:rFonts w:cs="Arial"/>
              </w:rPr>
              <w:t>02</w:t>
            </w:r>
          </w:p>
        </w:tc>
      </w:tr>
      <w:tr w:rsidR="00115458" w:rsidRPr="000A08A4" w14:paraId="17827B4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DCB8EF" w14:textId="77777777" w:rsidR="00115458" w:rsidRPr="000A08A4" w:rsidRDefault="00115458" w:rsidP="00F4606C">
            <w:pPr>
              <w:spacing w:after="0" w:line="240" w:lineRule="auto"/>
              <w:rPr>
                <w:rFonts w:cs="Arial"/>
              </w:rPr>
            </w:pPr>
            <w:r w:rsidRPr="00F4606C">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F80A4" w14:textId="77777777" w:rsidR="00115458" w:rsidRPr="000A08A4" w:rsidRDefault="00115458" w:rsidP="00F4606C">
            <w:pPr>
              <w:spacing w:after="0" w:line="240" w:lineRule="auto"/>
              <w:rPr>
                <w:rFonts w:cs="Arial"/>
              </w:rPr>
            </w:pPr>
            <w:r w:rsidRPr="00F4606C">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AE6E8EC" w14:textId="77777777" w:rsidR="00115458" w:rsidRPr="00F4606C" w:rsidRDefault="00115458" w:rsidP="00F4606C">
            <w:pPr>
              <w:spacing w:after="0" w:line="240" w:lineRule="auto"/>
              <w:rPr>
                <w:rFonts w:cs="Arial"/>
              </w:rPr>
            </w:pPr>
            <w:r w:rsidRPr="00F4606C">
              <w:rPr>
                <w:rFonts w:cs="Arial"/>
              </w:rPr>
              <w:t>861861862</w:t>
            </w:r>
          </w:p>
        </w:tc>
      </w:tr>
      <w:tr w:rsidR="00115458" w:rsidRPr="000A08A4" w14:paraId="5D42A6AD"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C12373" w14:textId="77777777" w:rsidR="00115458" w:rsidRPr="000A08A4" w:rsidRDefault="00115458" w:rsidP="00F4606C">
            <w:pPr>
              <w:spacing w:after="0" w:line="240" w:lineRule="auto"/>
              <w:rPr>
                <w:rFonts w:cs="Arial"/>
              </w:rPr>
            </w:pPr>
            <w:r w:rsidRPr="00F4606C">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379AA87" w14:textId="77777777" w:rsidR="00115458" w:rsidRPr="000A08A4" w:rsidRDefault="00115458" w:rsidP="00F4606C">
            <w:pPr>
              <w:spacing w:after="0" w:line="240" w:lineRule="auto"/>
              <w:rPr>
                <w:rFonts w:cs="Arial"/>
              </w:rPr>
            </w:pPr>
            <w:r w:rsidRPr="00F4606C">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D8FB5EB" w14:textId="77777777" w:rsidR="00115458" w:rsidRPr="00F4606C" w:rsidRDefault="00115458" w:rsidP="00F4606C">
            <w:pPr>
              <w:spacing w:after="0" w:line="240" w:lineRule="auto"/>
              <w:rPr>
                <w:rFonts w:cs="Arial"/>
              </w:rPr>
            </w:pPr>
            <w:r w:rsidRPr="00F4606C">
              <w:rPr>
                <w:rFonts w:cs="Arial"/>
              </w:rPr>
              <w:t>453124</w:t>
            </w:r>
          </w:p>
        </w:tc>
      </w:tr>
      <w:tr w:rsidR="00115458" w:rsidRPr="000A08A4" w14:paraId="0D2CDD6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11E6D" w14:textId="77777777" w:rsidR="00115458" w:rsidRPr="000A08A4" w:rsidRDefault="00115458" w:rsidP="00F4606C">
            <w:pPr>
              <w:spacing w:after="0" w:line="240" w:lineRule="auto"/>
              <w:rPr>
                <w:rFonts w:cs="Arial"/>
              </w:rPr>
            </w:pPr>
            <w:r w:rsidRPr="00F4606C">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2F924CD" w14:textId="77777777" w:rsidR="00115458" w:rsidRPr="000A08A4" w:rsidRDefault="00115458" w:rsidP="00F4606C">
            <w:pPr>
              <w:spacing w:after="0" w:line="240" w:lineRule="auto"/>
              <w:rPr>
                <w:rFonts w:cs="Arial"/>
              </w:rPr>
            </w:pPr>
            <w:r w:rsidRPr="00F4606C">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B0580D9" w14:textId="2AEAAA33" w:rsidR="00115458" w:rsidRPr="000A08A4" w:rsidRDefault="00115458" w:rsidP="00F4606C">
            <w:pPr>
              <w:spacing w:after="0" w:line="240" w:lineRule="auto"/>
              <w:rPr>
                <w:rFonts w:cs="Arial"/>
              </w:rPr>
            </w:pPr>
            <w:r w:rsidRPr="00F4606C">
              <w:rPr>
                <w:rFonts w:cs="Arial"/>
              </w:rPr>
              <w:t>3006202</w:t>
            </w:r>
            <w:r w:rsidR="006038C9">
              <w:rPr>
                <w:rFonts w:cs="Arial"/>
              </w:rPr>
              <w:t>6</w:t>
            </w:r>
          </w:p>
        </w:tc>
      </w:tr>
      <w:tr w:rsidR="00115458" w:rsidRPr="000A08A4" w14:paraId="3EE32E3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36775C" w14:textId="77777777" w:rsidR="00115458" w:rsidRPr="000A08A4" w:rsidRDefault="00115458" w:rsidP="00F4606C">
            <w:pPr>
              <w:spacing w:after="0" w:line="240" w:lineRule="auto"/>
              <w:rPr>
                <w:rFonts w:cs="Arial"/>
              </w:rPr>
            </w:pPr>
            <w:r w:rsidRPr="00F4606C">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D8DCE13" w14:textId="77777777" w:rsidR="00115458" w:rsidRPr="000A08A4" w:rsidRDefault="00115458" w:rsidP="00F4606C">
            <w:pPr>
              <w:spacing w:after="0" w:line="240" w:lineRule="auto"/>
              <w:rPr>
                <w:rFonts w:cs="Arial"/>
              </w:rPr>
            </w:pPr>
            <w:r w:rsidRPr="00F4606C">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4279DF2" w14:textId="77777777" w:rsidR="00115458" w:rsidRPr="000A08A4" w:rsidRDefault="00115458" w:rsidP="00F4606C">
            <w:pPr>
              <w:spacing w:after="0" w:line="240" w:lineRule="auto"/>
              <w:rPr>
                <w:rFonts w:cs="Arial"/>
              </w:rPr>
            </w:pPr>
            <w:r w:rsidRPr="00F4606C">
              <w:rPr>
                <w:rFonts w:cs="Arial"/>
              </w:rPr>
              <w:t>0</w:t>
            </w:r>
          </w:p>
        </w:tc>
      </w:tr>
      <w:tr w:rsidR="00115458" w:rsidRPr="000A08A4" w14:paraId="43D2BA2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1FEDB" w14:textId="77777777" w:rsidR="00115458" w:rsidRPr="000A08A4" w:rsidRDefault="00115458" w:rsidP="00F4606C">
            <w:pPr>
              <w:spacing w:after="0" w:line="240" w:lineRule="auto"/>
              <w:rPr>
                <w:rFonts w:cs="Arial"/>
              </w:rPr>
            </w:pPr>
            <w:r w:rsidRPr="00F4606C">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C4AD47A" w14:textId="77777777" w:rsidR="00115458" w:rsidRPr="000A08A4" w:rsidRDefault="00115458" w:rsidP="00F4606C">
            <w:pPr>
              <w:spacing w:after="0" w:line="240" w:lineRule="auto"/>
              <w:rPr>
                <w:rFonts w:cs="Arial"/>
              </w:rPr>
            </w:pPr>
            <w:r w:rsidRPr="00F4606C">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DC619A5" w14:textId="77777777" w:rsidR="00115458" w:rsidRPr="00F4606C" w:rsidRDefault="00115458" w:rsidP="00F4606C">
            <w:pPr>
              <w:spacing w:after="0" w:line="240" w:lineRule="auto"/>
              <w:rPr>
                <w:rFonts w:cs="Arial"/>
              </w:rPr>
            </w:pPr>
            <w:r w:rsidRPr="00F4606C">
              <w:rPr>
                <w:rFonts w:cs="Arial"/>
              </w:rPr>
              <w:t>AMT</w:t>
            </w:r>
          </w:p>
        </w:tc>
      </w:tr>
      <w:tr w:rsidR="00115458" w:rsidRPr="000A08A4" w14:paraId="7FFBBF9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3CB454" w14:textId="77777777" w:rsidR="00115458" w:rsidRPr="00F4606C" w:rsidRDefault="00115458" w:rsidP="00F4606C">
            <w:pPr>
              <w:spacing w:after="0" w:line="240" w:lineRule="auto"/>
              <w:rPr>
                <w:rFonts w:cs="Arial"/>
              </w:rPr>
            </w:pPr>
            <w:r w:rsidRPr="00F4606C">
              <w:rPr>
                <w:rFonts w:cs="Arial"/>
              </w:rPr>
              <w:t>9.76</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1DEB08A" w14:textId="77777777" w:rsidR="00115458" w:rsidRPr="00F4606C" w:rsidRDefault="00115458" w:rsidP="00F4606C">
            <w:pPr>
              <w:spacing w:after="0" w:line="240" w:lineRule="auto"/>
              <w:rPr>
                <w:rFonts w:cs="Arial"/>
              </w:rPr>
            </w:pPr>
            <w:r w:rsidRPr="00F4606C">
              <w:rPr>
                <w:rFonts w:cs="Arial"/>
              </w:rPr>
              <w:t>Non-resident withholding amount deducted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727768D" w14:textId="0E84FC1B" w:rsidR="00115458" w:rsidRPr="00F4606C" w:rsidRDefault="00115458" w:rsidP="00F4606C">
            <w:pPr>
              <w:spacing w:after="0" w:line="240" w:lineRule="auto"/>
              <w:rPr>
                <w:rFonts w:cs="Arial"/>
              </w:rPr>
            </w:pPr>
            <w:r w:rsidRPr="00F4606C">
              <w:rPr>
                <w:rFonts w:cs="Arial"/>
              </w:rPr>
              <w:t>0000001</w:t>
            </w:r>
            <w:r w:rsidR="00B16136">
              <w:rPr>
                <w:rFonts w:cs="Arial"/>
              </w:rPr>
              <w:t>60750</w:t>
            </w:r>
            <w:r w:rsidRPr="00F4606C">
              <w:rPr>
                <w:rFonts w:cs="Arial"/>
              </w:rPr>
              <w:t>*</w:t>
            </w:r>
          </w:p>
        </w:tc>
      </w:tr>
      <w:tr w:rsidR="00115458" w:rsidRPr="000A08A4" w14:paraId="2A379EF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F1B874" w14:textId="77777777" w:rsidR="00115458" w:rsidRPr="00F4606C" w:rsidRDefault="00115458" w:rsidP="00F4606C">
            <w:pPr>
              <w:spacing w:after="0" w:line="240" w:lineRule="auto"/>
              <w:rPr>
                <w:rFonts w:cs="Arial"/>
              </w:rPr>
            </w:pPr>
            <w:r w:rsidRPr="00F4606C">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3E27C4" w14:textId="77777777" w:rsidR="00115458" w:rsidRPr="00F4606C" w:rsidRDefault="00115458" w:rsidP="00F4606C">
            <w:pPr>
              <w:spacing w:after="0" w:line="240" w:lineRule="auto"/>
              <w:rPr>
                <w:rFonts w:cs="Arial"/>
              </w:rPr>
            </w:pPr>
            <w:r w:rsidRPr="00F4606C">
              <w:rPr>
                <w:rFonts w:cs="Arial"/>
              </w:rPr>
              <w:t>Interest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8833C9" w14:textId="77777777" w:rsidR="00115458" w:rsidRPr="00F4606C" w:rsidRDefault="00115458" w:rsidP="00F4606C">
            <w:pPr>
              <w:spacing w:after="0" w:line="240" w:lineRule="auto"/>
              <w:rPr>
                <w:rFonts w:cs="Arial"/>
              </w:rPr>
            </w:pPr>
            <w:r w:rsidRPr="00F4606C">
              <w:rPr>
                <w:rFonts w:cs="Arial"/>
              </w:rPr>
              <w:t>000000100000</w:t>
            </w:r>
          </w:p>
        </w:tc>
      </w:tr>
      <w:tr w:rsidR="00115458" w:rsidRPr="000A08A4" w14:paraId="3452577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D9D6ED" w14:textId="77777777" w:rsidR="00115458" w:rsidRPr="00F4606C" w:rsidRDefault="00115458" w:rsidP="00F4606C">
            <w:pPr>
              <w:spacing w:after="0" w:line="240" w:lineRule="auto"/>
              <w:rPr>
                <w:rFonts w:cs="Arial"/>
              </w:rPr>
            </w:pPr>
            <w:r w:rsidRPr="00F4606C">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A17053B" w14:textId="77777777" w:rsidR="00115458" w:rsidRPr="00F4606C" w:rsidRDefault="00115458" w:rsidP="00F4606C">
            <w:pPr>
              <w:spacing w:after="0" w:line="240" w:lineRule="auto"/>
              <w:rPr>
                <w:rFonts w:cs="Arial"/>
              </w:rPr>
            </w:pPr>
            <w:r w:rsidRPr="00F4606C">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309F0C"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64E853E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F159D9" w14:textId="77777777" w:rsidR="00115458" w:rsidRPr="00F4606C" w:rsidRDefault="00115458" w:rsidP="00F4606C">
            <w:pPr>
              <w:spacing w:after="0" w:line="240" w:lineRule="auto"/>
              <w:rPr>
                <w:rFonts w:cs="Arial"/>
              </w:rPr>
            </w:pPr>
            <w:r w:rsidRPr="00F4606C">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710C4D5" w14:textId="77777777" w:rsidR="00115458" w:rsidRPr="00F4606C" w:rsidRDefault="00115458" w:rsidP="00F4606C">
            <w:pPr>
              <w:spacing w:after="0" w:line="240" w:lineRule="auto"/>
              <w:rPr>
                <w:rFonts w:cs="Arial"/>
              </w:rPr>
            </w:pPr>
            <w:r w:rsidRPr="00F4606C">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95BE18A" w14:textId="77777777" w:rsidR="00115458" w:rsidRPr="00F4606C" w:rsidRDefault="00115458" w:rsidP="00F4606C">
            <w:pPr>
              <w:spacing w:after="0" w:line="240" w:lineRule="auto"/>
              <w:rPr>
                <w:rFonts w:cs="Arial"/>
              </w:rPr>
            </w:pPr>
            <w:r w:rsidRPr="00F4606C">
              <w:rPr>
                <w:rFonts w:cs="Arial"/>
              </w:rPr>
              <w:t>000000000000</w:t>
            </w:r>
          </w:p>
        </w:tc>
      </w:tr>
      <w:tr w:rsidR="00115458" w:rsidRPr="000A08A4" w14:paraId="105C376B"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E6DC65" w14:textId="77777777" w:rsidR="00115458" w:rsidRPr="00F4606C" w:rsidRDefault="00115458" w:rsidP="00F4606C">
            <w:pPr>
              <w:spacing w:after="0" w:line="240" w:lineRule="auto"/>
              <w:rPr>
                <w:rFonts w:cs="Arial"/>
              </w:rPr>
            </w:pPr>
            <w:r w:rsidRPr="00F4606C">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A1D99F" w14:textId="77777777" w:rsidR="00115458" w:rsidRPr="00F4606C" w:rsidRDefault="00115458" w:rsidP="00F4606C">
            <w:pPr>
              <w:spacing w:after="0" w:line="240" w:lineRule="auto"/>
              <w:rPr>
                <w:rFonts w:cs="Arial"/>
              </w:rPr>
            </w:pPr>
            <w:r w:rsidRPr="00F4606C">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A2674D0" w14:textId="77777777" w:rsidR="00115458" w:rsidRPr="00F4606C" w:rsidRDefault="00115458" w:rsidP="00F4606C">
            <w:pPr>
              <w:spacing w:after="0" w:line="240" w:lineRule="auto"/>
              <w:rPr>
                <w:rFonts w:cs="Arial"/>
              </w:rPr>
            </w:pPr>
            <w:r w:rsidRPr="00F4606C">
              <w:rPr>
                <w:rFonts w:cs="Arial"/>
              </w:rPr>
              <w:t>000000700000</w:t>
            </w:r>
          </w:p>
        </w:tc>
      </w:tr>
      <w:tr w:rsidR="00115458" w:rsidRPr="000A08A4" w14:paraId="7017DEC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C6ADE8" w14:textId="77777777" w:rsidR="00115458" w:rsidRPr="00F4606C" w:rsidRDefault="00115458" w:rsidP="00F4606C">
            <w:pPr>
              <w:spacing w:after="0" w:line="240" w:lineRule="auto"/>
              <w:rPr>
                <w:rFonts w:cs="Arial"/>
              </w:rPr>
            </w:pPr>
            <w:r w:rsidRPr="00F4606C">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D0A734D" w14:textId="77777777" w:rsidR="00115458" w:rsidRPr="00F4606C" w:rsidRDefault="00115458" w:rsidP="00F4606C">
            <w:pPr>
              <w:spacing w:after="0" w:line="240" w:lineRule="auto"/>
              <w:rPr>
                <w:rFonts w:cs="Arial"/>
              </w:rPr>
            </w:pPr>
            <w:r w:rsidRPr="00F4606C">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F61888" w14:textId="77777777" w:rsidR="00115458" w:rsidRPr="000A08A4" w:rsidRDefault="00115458" w:rsidP="00F4606C">
            <w:pPr>
              <w:spacing w:after="0" w:line="240" w:lineRule="auto"/>
              <w:rPr>
                <w:rFonts w:cs="Arial"/>
              </w:rPr>
            </w:pPr>
            <w:r w:rsidRPr="00F4606C">
              <w:rPr>
                <w:rFonts w:cs="Arial"/>
              </w:rPr>
              <w:t>000000300000</w:t>
            </w:r>
          </w:p>
        </w:tc>
      </w:tr>
      <w:tr w:rsidR="00115458" w:rsidRPr="000A08A4" w14:paraId="12E0FC4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CACCDD" w14:textId="77777777" w:rsidR="00115458" w:rsidRPr="00F4606C" w:rsidRDefault="00115458" w:rsidP="00F4606C">
            <w:pPr>
              <w:spacing w:after="0" w:line="240" w:lineRule="auto"/>
              <w:rPr>
                <w:rFonts w:cs="Arial"/>
              </w:rPr>
            </w:pPr>
            <w:r w:rsidRPr="00F4606C">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5222044" w14:textId="77777777" w:rsidR="00115458" w:rsidRPr="00F4606C" w:rsidRDefault="00115458" w:rsidP="00F4606C">
            <w:pPr>
              <w:spacing w:after="0" w:line="240" w:lineRule="auto"/>
              <w:rPr>
                <w:rFonts w:cs="Arial"/>
              </w:rPr>
            </w:pPr>
            <w:r w:rsidRPr="00F4606C">
              <w:rPr>
                <w:rFonts w:cs="Arial"/>
              </w:rPr>
              <w:t>Other taxable Australian income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93C8C59" w14:textId="77777777" w:rsidR="00115458" w:rsidRPr="00F4606C" w:rsidRDefault="00115458" w:rsidP="00F4606C">
            <w:pPr>
              <w:spacing w:after="0" w:line="240" w:lineRule="auto"/>
              <w:rPr>
                <w:rFonts w:cs="Arial"/>
              </w:rPr>
            </w:pPr>
            <w:r w:rsidRPr="00F4606C">
              <w:rPr>
                <w:rFonts w:cs="Arial"/>
              </w:rPr>
              <w:t>000001000000</w:t>
            </w:r>
          </w:p>
        </w:tc>
      </w:tr>
      <w:tr w:rsidR="00115458" w:rsidRPr="000A08A4" w14:paraId="54429864"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C3B6112" w14:textId="77777777" w:rsidR="00115458" w:rsidRPr="00F4606C" w:rsidRDefault="00115458" w:rsidP="00F4606C">
            <w:pPr>
              <w:spacing w:after="0" w:line="240" w:lineRule="auto"/>
              <w:rPr>
                <w:rFonts w:cs="Arial"/>
              </w:rPr>
            </w:pPr>
            <w:r w:rsidRPr="00F4606C">
              <w:rPr>
                <w:rFonts w:cs="Arial"/>
              </w:rPr>
              <w:t>9.85</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6D07E699" w14:textId="77777777" w:rsidR="00115458" w:rsidRPr="00F4606C" w:rsidRDefault="00115458" w:rsidP="00F4606C">
            <w:pPr>
              <w:spacing w:after="0" w:line="240" w:lineRule="auto"/>
              <w:rPr>
                <w:rFonts w:cs="Arial"/>
              </w:rPr>
            </w:pPr>
            <w:r w:rsidRPr="00F4606C">
              <w:rPr>
                <w:rFonts w:cs="Arial"/>
              </w:rPr>
              <w:t>Non-primary production income</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63266D79" w14:textId="77777777" w:rsidR="00115458" w:rsidRPr="00F4606C" w:rsidRDefault="00115458" w:rsidP="00F4606C">
            <w:pPr>
              <w:spacing w:after="0" w:line="240" w:lineRule="auto"/>
              <w:rPr>
                <w:rFonts w:cs="Arial"/>
              </w:rPr>
            </w:pPr>
            <w:r w:rsidRPr="00F4606C">
              <w:rPr>
                <w:rFonts w:cs="Arial"/>
              </w:rPr>
              <w:t>000001655000</w:t>
            </w:r>
          </w:p>
        </w:tc>
      </w:tr>
      <w:tr w:rsidR="00115458" w:rsidRPr="000A08A4" w14:paraId="12363EF6"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9DD2194" w14:textId="77777777" w:rsidR="00115458" w:rsidRPr="00F4606C" w:rsidRDefault="00115458" w:rsidP="00F4606C">
            <w:pPr>
              <w:spacing w:after="0" w:line="240" w:lineRule="auto"/>
              <w:rPr>
                <w:rFonts w:cs="Arial"/>
              </w:rPr>
            </w:pPr>
            <w:r w:rsidRPr="00F4606C">
              <w:rPr>
                <w:rFonts w:cs="Arial"/>
              </w:rPr>
              <w:t>9.87</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35DD7CC" w14:textId="77777777" w:rsidR="00115458" w:rsidRPr="00F4606C" w:rsidRDefault="00115458" w:rsidP="00F4606C">
            <w:pPr>
              <w:spacing w:after="0" w:line="240" w:lineRule="auto"/>
              <w:rPr>
                <w:rFonts w:cs="Arial"/>
              </w:rPr>
            </w:pPr>
            <w:r w:rsidRPr="00F4606C">
              <w:rPr>
                <w:rFonts w:cs="Arial"/>
              </w:rPr>
              <w:t>CGT concession amount or AMIT CGT gross up amount</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22C8D51"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19CD8F05"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61A1160" w14:textId="77777777" w:rsidR="00115458" w:rsidRPr="00F4606C" w:rsidRDefault="00115458" w:rsidP="00F4606C">
            <w:pPr>
              <w:spacing w:after="0" w:line="240" w:lineRule="auto"/>
              <w:rPr>
                <w:rFonts w:cs="Arial"/>
              </w:rPr>
            </w:pPr>
            <w:r w:rsidRPr="00F4606C">
              <w:rPr>
                <w:rFonts w:cs="Arial"/>
              </w:rPr>
              <w:t>9.88</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1195794" w14:textId="77777777" w:rsidR="00115458" w:rsidRPr="00F4606C" w:rsidRDefault="00115458" w:rsidP="00F4606C">
            <w:pPr>
              <w:spacing w:after="0" w:line="240" w:lineRule="auto"/>
              <w:rPr>
                <w:rFonts w:cs="Arial"/>
              </w:rPr>
            </w:pPr>
            <w:r w:rsidRPr="00F4606C">
              <w:rPr>
                <w:rFonts w:cs="Arial"/>
              </w:rPr>
              <w:t>Net capital gain</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441C272" w14:textId="77777777" w:rsidR="00115458" w:rsidRPr="00F4606C" w:rsidRDefault="00115458" w:rsidP="00F4606C">
            <w:pPr>
              <w:spacing w:after="0" w:line="240" w:lineRule="auto"/>
              <w:rPr>
                <w:rFonts w:cs="Arial"/>
              </w:rPr>
            </w:pPr>
            <w:r w:rsidRPr="00F4606C">
              <w:rPr>
                <w:rFonts w:cs="Arial"/>
              </w:rPr>
              <w:t>000000500000</w:t>
            </w:r>
          </w:p>
        </w:tc>
      </w:tr>
      <w:tr w:rsidR="00115458" w:rsidRPr="000A08A4" w14:paraId="46FA75AF"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DF4732D" w14:textId="77777777" w:rsidR="00115458" w:rsidRPr="00F4606C" w:rsidRDefault="00115458" w:rsidP="00F4606C">
            <w:pPr>
              <w:spacing w:after="0" w:line="240" w:lineRule="auto"/>
              <w:rPr>
                <w:rFonts w:cs="Arial"/>
              </w:rPr>
            </w:pPr>
            <w:r w:rsidRPr="00F4606C">
              <w:rPr>
                <w:rFonts w:cs="Arial"/>
              </w:rPr>
              <w:t>9.89</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386AD" w14:textId="77777777" w:rsidR="00115458" w:rsidRPr="00F4606C" w:rsidRDefault="00115458" w:rsidP="00F4606C">
            <w:pPr>
              <w:spacing w:after="0" w:line="240" w:lineRule="auto"/>
              <w:rPr>
                <w:rFonts w:cs="Arial"/>
              </w:rPr>
            </w:pPr>
            <w:r w:rsidRPr="00F4606C">
              <w:rPr>
                <w:rFonts w:cs="Arial"/>
              </w:rPr>
              <w:t>Total current year capital gains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82621C" w14:textId="77777777" w:rsidR="00115458" w:rsidRPr="00F4606C" w:rsidRDefault="00115458" w:rsidP="00F4606C">
            <w:pPr>
              <w:spacing w:after="0" w:line="240" w:lineRule="auto"/>
              <w:rPr>
                <w:rFonts w:cs="Arial"/>
              </w:rPr>
            </w:pPr>
            <w:r w:rsidRPr="00F4606C">
              <w:rPr>
                <w:rFonts w:cs="Arial"/>
              </w:rPr>
              <w:t>000001000000</w:t>
            </w:r>
          </w:p>
        </w:tc>
      </w:tr>
      <w:tr w:rsidR="00115458" w:rsidRPr="000A08A4" w14:paraId="42626B25"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181862E" w14:textId="77777777" w:rsidR="00115458" w:rsidRPr="00F4606C" w:rsidRDefault="00115458" w:rsidP="00F4606C">
            <w:pPr>
              <w:spacing w:after="0" w:line="240" w:lineRule="auto"/>
              <w:rPr>
                <w:rFonts w:cs="Arial"/>
              </w:rPr>
            </w:pPr>
            <w:r w:rsidRPr="00F4606C">
              <w:rPr>
                <w:rFonts w:cs="Arial"/>
              </w:rPr>
              <w:t>9.105</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10550C1" w14:textId="77777777" w:rsidR="00115458" w:rsidRPr="00F4606C" w:rsidRDefault="00115458" w:rsidP="00F4606C">
            <w:pPr>
              <w:spacing w:after="0" w:line="240" w:lineRule="auto"/>
              <w:rPr>
                <w:rFonts w:cs="Arial"/>
              </w:rPr>
            </w:pPr>
            <w:r w:rsidRPr="00F4606C">
              <w:rPr>
                <w:rFonts w:cs="Arial"/>
              </w:rPr>
              <w:t>Managed investment trust fund payment</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F7BEE0" w14:textId="5911F729" w:rsidR="00115458" w:rsidRPr="00F4606C" w:rsidRDefault="00115458" w:rsidP="00F4606C">
            <w:pPr>
              <w:spacing w:after="0" w:line="240" w:lineRule="auto"/>
              <w:rPr>
                <w:rFonts w:cs="Arial"/>
              </w:rPr>
            </w:pPr>
            <w:r w:rsidRPr="00F4606C">
              <w:rPr>
                <w:rFonts w:cs="Arial"/>
              </w:rPr>
              <w:t>000001</w:t>
            </w:r>
            <w:r w:rsidR="00C761A4">
              <w:rPr>
                <w:rFonts w:cs="Arial"/>
              </w:rPr>
              <w:t>800000</w:t>
            </w:r>
            <w:r w:rsidRPr="00F4606C">
              <w:rPr>
                <w:rFonts w:cs="Arial"/>
              </w:rPr>
              <w:t>**</w:t>
            </w:r>
          </w:p>
        </w:tc>
      </w:tr>
      <w:tr w:rsidR="00115458" w:rsidRPr="000A08A4" w14:paraId="3FBBB8B6"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4B54720" w14:textId="77777777" w:rsidR="00115458" w:rsidRPr="00F4606C" w:rsidRDefault="00115458" w:rsidP="00F4606C">
            <w:pPr>
              <w:spacing w:after="0" w:line="240" w:lineRule="auto"/>
              <w:rPr>
                <w:rFonts w:cs="Arial"/>
              </w:rPr>
            </w:pPr>
            <w:r w:rsidRPr="00F4606C">
              <w:rPr>
                <w:rFonts w:cs="Arial"/>
              </w:rPr>
              <w:t>9.106</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9768AEA" w14:textId="77777777" w:rsidR="00115458" w:rsidRPr="00F4606C" w:rsidRDefault="00115458" w:rsidP="00F4606C">
            <w:pPr>
              <w:spacing w:after="0" w:line="240" w:lineRule="auto"/>
              <w:rPr>
                <w:rFonts w:cs="Arial"/>
              </w:rPr>
            </w:pPr>
            <w:r w:rsidRPr="00F4606C">
              <w:rPr>
                <w:rFonts w:cs="Arial"/>
              </w:rPr>
              <w:t>Amounts withheld from managed investment trust payments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3BC0940" w14:textId="1B3595A0" w:rsidR="00115458" w:rsidRPr="00F4606C" w:rsidRDefault="00115458" w:rsidP="00F4606C">
            <w:pPr>
              <w:spacing w:after="0" w:line="240" w:lineRule="auto"/>
              <w:rPr>
                <w:rFonts w:cs="Arial"/>
              </w:rPr>
            </w:pPr>
            <w:r w:rsidRPr="00F4606C">
              <w:rPr>
                <w:rFonts w:cs="Arial"/>
              </w:rPr>
              <w:t>000000</w:t>
            </w:r>
            <w:r w:rsidR="0034236F">
              <w:rPr>
                <w:rFonts w:cs="Arial"/>
              </w:rPr>
              <w:t>270000</w:t>
            </w:r>
            <w:r w:rsidRPr="00F4606C">
              <w:rPr>
                <w:rFonts w:cs="Arial"/>
              </w:rPr>
              <w:t>***</w:t>
            </w:r>
          </w:p>
        </w:tc>
      </w:tr>
    </w:tbl>
    <w:p w14:paraId="1FA9FD81" w14:textId="77777777" w:rsidR="00115458" w:rsidRPr="000A08A4" w:rsidRDefault="00115458" w:rsidP="00F4606C">
      <w:pPr>
        <w:spacing w:after="0" w:line="240" w:lineRule="auto"/>
        <w:rPr>
          <w:rFonts w:cs="Arial"/>
          <w:b/>
          <w:smallCaps/>
        </w:rPr>
      </w:pPr>
    </w:p>
    <w:p w14:paraId="576EFA1B" w14:textId="62CA7D4B" w:rsidR="00115458" w:rsidRPr="00F4606C" w:rsidRDefault="00115458" w:rsidP="00F4606C">
      <w:pPr>
        <w:spacing w:after="0" w:line="240" w:lineRule="auto"/>
        <w:rPr>
          <w:sz w:val="18"/>
          <w:szCs w:val="18"/>
          <w:u w:val="single"/>
        </w:rPr>
      </w:pPr>
      <w:r w:rsidRPr="00F4606C">
        <w:rPr>
          <w:sz w:val="18"/>
          <w:szCs w:val="18"/>
          <w:u w:val="single"/>
        </w:rPr>
        <w:t xml:space="preserve">*Amount equals:  Interest (1,000 x 10%) + Unfranked dividend – non CFI (5,000 x 15%) + NCMI – non-primary production (500 x 30%) </w:t>
      </w:r>
      <w:r w:rsidR="00051E42">
        <w:rPr>
          <w:sz w:val="18"/>
          <w:szCs w:val="18"/>
          <w:u w:val="single"/>
        </w:rPr>
        <w:t xml:space="preserve">+ Excluded from NCMI – Non-primary production (50 x 15%) </w:t>
      </w:r>
      <w:r w:rsidRPr="00F4606C">
        <w:rPr>
          <w:sz w:val="18"/>
          <w:szCs w:val="18"/>
          <w:u w:val="single"/>
        </w:rPr>
        <w:t>+ NCMI Capital Gains (1,000</w:t>
      </w:r>
      <w:r w:rsidR="00051E42">
        <w:rPr>
          <w:sz w:val="18"/>
          <w:szCs w:val="18"/>
          <w:u w:val="single"/>
        </w:rPr>
        <w:t xml:space="preserve"> x 2</w:t>
      </w:r>
      <w:r w:rsidRPr="00F4606C">
        <w:rPr>
          <w:sz w:val="18"/>
          <w:szCs w:val="18"/>
          <w:u w:val="single"/>
        </w:rPr>
        <w:t xml:space="preserve"> x 30%)</w:t>
      </w:r>
    </w:p>
    <w:p w14:paraId="577DB925" w14:textId="2B92ACE0" w:rsidR="00115458" w:rsidRPr="00F4606C" w:rsidRDefault="00115458" w:rsidP="00F4606C">
      <w:pPr>
        <w:spacing w:after="0" w:line="240" w:lineRule="auto"/>
        <w:rPr>
          <w:sz w:val="18"/>
          <w:szCs w:val="18"/>
          <w:u w:val="single"/>
        </w:rPr>
      </w:pPr>
      <w:r w:rsidRPr="00F4606C">
        <w:rPr>
          <w:sz w:val="18"/>
          <w:szCs w:val="18"/>
          <w:u w:val="single"/>
        </w:rPr>
        <w:t xml:space="preserve">**Amount equals:  Other </w:t>
      </w:r>
      <w:r w:rsidR="00B16136">
        <w:rPr>
          <w:sz w:val="18"/>
          <w:szCs w:val="18"/>
          <w:u w:val="single"/>
        </w:rPr>
        <w:t xml:space="preserve">taxable </w:t>
      </w:r>
      <w:r w:rsidRPr="00F4606C">
        <w:rPr>
          <w:sz w:val="18"/>
          <w:szCs w:val="18"/>
          <w:u w:val="single"/>
        </w:rPr>
        <w:t xml:space="preserve">Australian income (10,000) + </w:t>
      </w:r>
      <w:r w:rsidR="00C761A4">
        <w:rPr>
          <w:sz w:val="18"/>
          <w:szCs w:val="18"/>
          <w:u w:val="single"/>
        </w:rPr>
        <w:t xml:space="preserve">Capital </w:t>
      </w:r>
      <w:r w:rsidR="0034236F">
        <w:rPr>
          <w:sz w:val="18"/>
          <w:szCs w:val="18"/>
          <w:u w:val="single"/>
        </w:rPr>
        <w:t>g</w:t>
      </w:r>
      <w:r w:rsidR="00C761A4">
        <w:rPr>
          <w:sz w:val="18"/>
          <w:szCs w:val="18"/>
          <w:u w:val="single"/>
        </w:rPr>
        <w:t xml:space="preserve">ains discount method – Taxable Australian property less NCMI capital gain (grossed up) </w:t>
      </w:r>
      <w:r w:rsidR="0034236F">
        <w:rPr>
          <w:sz w:val="18"/>
          <w:szCs w:val="18"/>
          <w:u w:val="single"/>
        </w:rPr>
        <w:t>((5,000-1,000) x 2)</w:t>
      </w:r>
    </w:p>
    <w:p w14:paraId="0D34AA65" w14:textId="221E686D" w:rsidR="00115458" w:rsidRPr="00F4606C" w:rsidRDefault="00115458" w:rsidP="00F4606C">
      <w:pPr>
        <w:spacing w:after="0" w:line="240" w:lineRule="auto"/>
        <w:rPr>
          <w:sz w:val="18"/>
          <w:szCs w:val="18"/>
          <w:u w:val="single"/>
        </w:rPr>
      </w:pPr>
      <w:r w:rsidRPr="00F4606C">
        <w:rPr>
          <w:sz w:val="18"/>
          <w:szCs w:val="18"/>
          <w:u w:val="single"/>
        </w:rPr>
        <w:t>**</w:t>
      </w:r>
      <w:r w:rsidR="00B16136">
        <w:rPr>
          <w:sz w:val="18"/>
          <w:szCs w:val="18"/>
          <w:u w:val="single"/>
        </w:rPr>
        <w:t>*</w:t>
      </w:r>
      <w:r w:rsidRPr="00F4606C">
        <w:rPr>
          <w:sz w:val="18"/>
          <w:szCs w:val="18"/>
          <w:u w:val="single"/>
        </w:rPr>
        <w:t xml:space="preserve">Amount equals:  Other taxable Australian income (10,000 x 15%) + </w:t>
      </w:r>
      <w:r w:rsidR="0034236F">
        <w:rPr>
          <w:sz w:val="18"/>
          <w:szCs w:val="18"/>
          <w:u w:val="single"/>
        </w:rPr>
        <w:t>Capital gains discount method – Taxable Australian property less NCMI capital gain (grossed up) (8,000 x 15%)</w:t>
      </w:r>
    </w:p>
    <w:p w14:paraId="38799206" w14:textId="77777777" w:rsidR="00115458" w:rsidRPr="00F4606C" w:rsidRDefault="00115458" w:rsidP="00F4606C">
      <w:pPr>
        <w:spacing w:after="0" w:line="240" w:lineRule="auto"/>
        <w:rPr>
          <w:u w:val="single"/>
        </w:rPr>
      </w:pPr>
    </w:p>
    <w:p w14:paraId="61413C27" w14:textId="77777777" w:rsidR="00D50A89" w:rsidRDefault="00D50A89" w:rsidP="00F4606C">
      <w:pPr>
        <w:spacing w:after="0" w:line="240" w:lineRule="auto"/>
        <w:rPr>
          <w:rFonts w:cs="Arial"/>
          <w:b/>
          <w:smallCaps/>
        </w:rPr>
      </w:pPr>
    </w:p>
    <w:p w14:paraId="2AE3C5E6" w14:textId="1B81BF3E" w:rsidR="00115458" w:rsidRPr="00AA677F" w:rsidRDefault="00115458" w:rsidP="00F4606C">
      <w:pPr>
        <w:spacing w:after="0" w:line="240" w:lineRule="auto"/>
        <w:rPr>
          <w:rFonts w:cs="Arial"/>
          <w:b/>
          <w:smallCaps/>
        </w:rPr>
      </w:pPr>
      <w:r w:rsidRPr="00AA677F">
        <w:rPr>
          <w:rFonts w:cs="Arial"/>
          <w:b/>
          <w:smallCaps/>
        </w:rPr>
        <w:t xml:space="preserve">supplementary income account data record </w:t>
      </w:r>
      <w:r w:rsidRPr="00AA677F">
        <w:rPr>
          <w:rFonts w:cs="Arial"/>
          <w:smallCaps/>
        </w:rPr>
        <w:t>(extract non-resident)</w:t>
      </w:r>
    </w:p>
    <w:p w14:paraId="7F2BDA99" w14:textId="77777777" w:rsidR="00115458" w:rsidRPr="00AA677F" w:rsidRDefault="00115458" w:rsidP="00F4606C">
      <w:pPr>
        <w:spacing w:after="0" w:line="240" w:lineRule="auto"/>
        <w:rPr>
          <w:rFonts w:cs="Arial"/>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AA677F" w14:paraId="3D941B90"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06E1BD0" w14:textId="77777777" w:rsidR="00115458" w:rsidRPr="00AA677F" w:rsidRDefault="00115458" w:rsidP="00F4606C">
            <w:pPr>
              <w:spacing w:after="0" w:line="240" w:lineRule="auto"/>
              <w:rPr>
                <w:rFonts w:cs="Arial"/>
              </w:rPr>
            </w:pPr>
            <w:r w:rsidRPr="00F4606C">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B2DDAB2" w14:textId="77777777" w:rsidR="00115458" w:rsidRPr="00AA677F" w:rsidRDefault="00115458" w:rsidP="00F4606C">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92BBA3B" w14:textId="77777777" w:rsidR="00115458" w:rsidRPr="00AA677F" w:rsidRDefault="00115458" w:rsidP="00F4606C">
            <w:pPr>
              <w:spacing w:after="0" w:line="240" w:lineRule="auto"/>
              <w:rPr>
                <w:rFonts w:cs="Arial"/>
              </w:rPr>
            </w:pPr>
            <w:r w:rsidRPr="00F4606C">
              <w:rPr>
                <w:rFonts w:cs="Arial"/>
                <w:b/>
                <w:bCs/>
              </w:rPr>
              <w:t>Content</w:t>
            </w:r>
          </w:p>
        </w:tc>
      </w:tr>
      <w:tr w:rsidR="00115458" w:rsidRPr="00AA677F" w14:paraId="7035632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F22AA4" w14:textId="77777777" w:rsidR="00115458" w:rsidRPr="00AA677F" w:rsidRDefault="00115458" w:rsidP="00F4606C">
            <w:pPr>
              <w:spacing w:after="0" w:line="240" w:lineRule="auto"/>
              <w:rPr>
                <w:rFonts w:cs="Arial"/>
              </w:rPr>
            </w:pPr>
            <w:r w:rsidRPr="00F4606C">
              <w:rPr>
                <w:rFonts w:cs="Arial"/>
              </w:rPr>
              <w:t>9.110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65AD2C8" w14:textId="77777777" w:rsidR="00115458" w:rsidRPr="00AA677F" w:rsidRDefault="00115458" w:rsidP="00F4606C">
            <w:pPr>
              <w:spacing w:after="0" w:line="240" w:lineRule="auto"/>
              <w:rPr>
                <w:rFonts w:cs="Arial"/>
              </w:rPr>
            </w:pPr>
            <w:r w:rsidRPr="00F4606C">
              <w:rPr>
                <w:rFonts w:cs="Arial"/>
              </w:rPr>
              <w:t>Supplementary income payment type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553093" w14:textId="77777777" w:rsidR="00115458" w:rsidRPr="00AA677F" w:rsidRDefault="00115458" w:rsidP="00F4606C">
            <w:pPr>
              <w:spacing w:after="0" w:line="240" w:lineRule="auto"/>
              <w:rPr>
                <w:rFonts w:cs="Arial"/>
              </w:rPr>
            </w:pPr>
            <w:r w:rsidRPr="00F4606C">
              <w:rPr>
                <w:rFonts w:cs="Arial"/>
              </w:rPr>
              <w:t>AMT</w:t>
            </w:r>
          </w:p>
        </w:tc>
      </w:tr>
      <w:tr w:rsidR="00115458" w:rsidRPr="00AA677F" w14:paraId="64BB0F6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298A49" w14:textId="77777777" w:rsidR="00115458" w:rsidRPr="00AA677F" w:rsidRDefault="00115458" w:rsidP="00F4606C">
            <w:pPr>
              <w:spacing w:after="0" w:line="240" w:lineRule="auto"/>
              <w:rPr>
                <w:rFonts w:cs="Arial"/>
              </w:rPr>
            </w:pPr>
            <w:r w:rsidRPr="00F4606C">
              <w:rPr>
                <w:rFonts w:cs="Arial"/>
              </w:rPr>
              <w:t>9.111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3AAF880" w14:textId="77777777" w:rsidR="00115458" w:rsidRPr="00AA677F" w:rsidRDefault="00115458" w:rsidP="00F4606C">
            <w:pPr>
              <w:spacing w:after="0" w:line="240" w:lineRule="auto"/>
              <w:rPr>
                <w:rFonts w:cs="Arial"/>
              </w:rPr>
            </w:pPr>
            <w:r w:rsidRPr="00F4606C">
              <w:rPr>
                <w:rFonts w:cs="Arial"/>
              </w:rPr>
              <w:t>Sequence number of DACCSUPP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10C0225" w14:textId="77777777" w:rsidR="00115458" w:rsidRPr="00AA677F" w:rsidRDefault="00115458" w:rsidP="00F4606C">
            <w:pPr>
              <w:spacing w:after="0" w:line="240" w:lineRule="auto"/>
              <w:rPr>
                <w:rFonts w:cs="Arial"/>
              </w:rPr>
            </w:pPr>
            <w:r w:rsidRPr="00F4606C">
              <w:rPr>
                <w:rFonts w:cs="Arial"/>
              </w:rPr>
              <w:t>01</w:t>
            </w:r>
          </w:p>
        </w:tc>
      </w:tr>
      <w:tr w:rsidR="00115458" w:rsidRPr="00AA677F" w14:paraId="767F5632"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74A7A3E" w14:textId="77777777" w:rsidR="00115458" w:rsidRPr="00AA677F" w:rsidRDefault="00115458" w:rsidP="00F4606C">
            <w:pPr>
              <w:spacing w:after="0" w:line="240" w:lineRule="auto"/>
              <w:rPr>
                <w:rFonts w:cs="Arial"/>
              </w:rPr>
            </w:pPr>
            <w:r w:rsidRPr="00F4606C">
              <w:rPr>
                <w:rFonts w:cs="Arial"/>
              </w:rPr>
              <w:t>9.119</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7F409395" w14:textId="77777777" w:rsidR="00115458" w:rsidRPr="00AA677F" w:rsidRDefault="00115458" w:rsidP="00F4606C">
            <w:pPr>
              <w:spacing w:after="0" w:line="240" w:lineRule="auto"/>
              <w:rPr>
                <w:rFonts w:cs="Arial"/>
              </w:rPr>
            </w:pPr>
            <w:r w:rsidRPr="00F4606C">
              <w:rPr>
                <w:rFonts w:cs="Arial"/>
              </w:rPr>
              <w:t>Unfranked distributions from trusts (cents)</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6B6AAD18" w14:textId="77777777" w:rsidR="00115458" w:rsidRPr="00AA677F" w:rsidRDefault="00115458" w:rsidP="00F4606C">
            <w:pPr>
              <w:spacing w:after="0" w:line="240" w:lineRule="auto"/>
              <w:rPr>
                <w:rFonts w:cs="Arial"/>
              </w:rPr>
            </w:pPr>
            <w:r w:rsidRPr="00F4606C">
              <w:rPr>
                <w:rFonts w:cs="Arial"/>
              </w:rPr>
              <w:t>000000500000</w:t>
            </w:r>
          </w:p>
        </w:tc>
      </w:tr>
      <w:tr w:rsidR="00115458" w:rsidRPr="00AA677F" w14:paraId="55D1B7EF"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AAC56" w14:textId="77777777" w:rsidR="00115458" w:rsidRPr="00AA677F" w:rsidRDefault="00115458" w:rsidP="00F4606C">
            <w:pPr>
              <w:spacing w:after="0" w:line="240" w:lineRule="auto"/>
              <w:rPr>
                <w:rFonts w:cs="Arial"/>
              </w:rPr>
            </w:pPr>
            <w:r w:rsidRPr="00F4606C">
              <w:rPr>
                <w:rFonts w:cs="Arial"/>
              </w:rPr>
              <w:t>9.120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20F92" w14:textId="77777777" w:rsidR="00115458" w:rsidRPr="00AA677F" w:rsidRDefault="00115458" w:rsidP="00F4606C">
            <w:pPr>
              <w:spacing w:after="0" w:line="240" w:lineRule="auto"/>
              <w:rPr>
                <w:rFonts w:cs="Arial"/>
              </w:rPr>
            </w:pPr>
            <w:r w:rsidRPr="00F4606C">
              <w:rPr>
                <w:rFonts w:cs="Arial"/>
              </w:rPr>
              <w:t>Franked distributions from trusts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C33F2" w14:textId="77777777" w:rsidR="00115458" w:rsidRPr="00AA677F" w:rsidRDefault="00115458" w:rsidP="00F4606C">
            <w:pPr>
              <w:spacing w:after="0" w:line="240" w:lineRule="auto"/>
              <w:rPr>
                <w:rFonts w:cs="Arial"/>
              </w:rPr>
            </w:pPr>
            <w:r w:rsidRPr="00F4606C">
              <w:rPr>
                <w:rFonts w:cs="Arial"/>
              </w:rPr>
              <w:t>000001000000</w:t>
            </w:r>
          </w:p>
        </w:tc>
      </w:tr>
      <w:tr w:rsidR="00115458" w:rsidRPr="00AA677F" w14:paraId="3B3CD5BA"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A30AD" w14:textId="77777777" w:rsidR="00115458" w:rsidRPr="00F4606C" w:rsidRDefault="00115458" w:rsidP="00F4606C">
            <w:pPr>
              <w:spacing w:after="0" w:line="240" w:lineRule="auto"/>
              <w:rPr>
                <w:rFonts w:cs="Arial"/>
              </w:rPr>
            </w:pPr>
            <w:r w:rsidRPr="00F4606C">
              <w:rPr>
                <w:rFonts w:cs="Arial"/>
              </w:rPr>
              <w:t>9.123</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A496A" w14:textId="77777777" w:rsidR="00115458" w:rsidRPr="00F4606C" w:rsidRDefault="00115458" w:rsidP="00F4606C">
            <w:pPr>
              <w:spacing w:after="0" w:line="240" w:lineRule="auto"/>
              <w:rPr>
                <w:rFonts w:cs="Arial"/>
              </w:rPr>
            </w:pPr>
            <w:r w:rsidRPr="00F4606C">
              <w:rPr>
                <w:rFonts w:cs="Arial"/>
              </w:rPr>
              <w:t>Capital Gains discount method – Taxable Australian property</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F6F46" w14:textId="77777777" w:rsidR="00115458" w:rsidRPr="00F4606C" w:rsidRDefault="00115458" w:rsidP="00F4606C">
            <w:pPr>
              <w:spacing w:after="0" w:line="240" w:lineRule="auto"/>
              <w:rPr>
                <w:rFonts w:cs="Arial"/>
              </w:rPr>
            </w:pPr>
            <w:r w:rsidRPr="00F4606C">
              <w:rPr>
                <w:rFonts w:cs="Arial"/>
              </w:rPr>
              <w:t>000000500000</w:t>
            </w:r>
          </w:p>
        </w:tc>
      </w:tr>
      <w:tr w:rsidR="00115458" w:rsidRPr="00AA677F" w14:paraId="50315640"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01FCE" w14:textId="77777777" w:rsidR="00115458" w:rsidRPr="00F4606C" w:rsidRDefault="00115458" w:rsidP="00F4606C">
            <w:pPr>
              <w:spacing w:after="0" w:line="240" w:lineRule="auto"/>
              <w:rPr>
                <w:rFonts w:cs="Arial"/>
              </w:rPr>
            </w:pPr>
            <w:r w:rsidRPr="00F4606C">
              <w:rPr>
                <w:rFonts w:cs="Arial"/>
              </w:rPr>
              <w:t>9.136</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0F681" w14:textId="77777777" w:rsidR="00115458" w:rsidRPr="00F4606C" w:rsidRDefault="00115458" w:rsidP="00F4606C">
            <w:pPr>
              <w:spacing w:after="0" w:line="240" w:lineRule="auto"/>
              <w:rPr>
                <w:rFonts w:cs="Arial"/>
              </w:rPr>
            </w:pPr>
            <w:r w:rsidRPr="00F4606C">
              <w:rPr>
                <w:rFonts w:cs="Arial"/>
              </w:rPr>
              <w:t>NCMI – Non-primary production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D9671" w14:textId="77777777" w:rsidR="00115458" w:rsidRPr="00F4606C" w:rsidRDefault="00115458" w:rsidP="00F4606C">
            <w:pPr>
              <w:spacing w:after="0" w:line="240" w:lineRule="auto"/>
              <w:rPr>
                <w:rFonts w:cs="Arial"/>
              </w:rPr>
            </w:pPr>
            <w:r w:rsidRPr="00F4606C">
              <w:rPr>
                <w:rFonts w:cs="Arial"/>
              </w:rPr>
              <w:t>000000050000</w:t>
            </w:r>
          </w:p>
        </w:tc>
      </w:tr>
      <w:tr w:rsidR="00115458" w:rsidRPr="00AA677F" w14:paraId="6961617B"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6AFFE" w14:textId="77777777" w:rsidR="00115458" w:rsidRPr="00F4606C" w:rsidRDefault="00115458" w:rsidP="00F4606C">
            <w:pPr>
              <w:spacing w:after="0" w:line="240" w:lineRule="auto"/>
              <w:rPr>
                <w:rFonts w:cs="Arial"/>
              </w:rPr>
            </w:pPr>
            <w:r w:rsidRPr="00F4606C">
              <w:rPr>
                <w:rFonts w:cs="Arial"/>
              </w:rPr>
              <w:t>9.138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A5579" w14:textId="77777777" w:rsidR="00115458" w:rsidRPr="00F4606C" w:rsidRDefault="00115458" w:rsidP="00F4606C">
            <w:pPr>
              <w:spacing w:after="0" w:line="240" w:lineRule="auto"/>
              <w:rPr>
                <w:rFonts w:cs="Arial"/>
              </w:rPr>
            </w:pPr>
            <w:r w:rsidRPr="00F4606C">
              <w:rPr>
                <w:rFonts w:cs="Arial"/>
              </w:rPr>
              <w:t>Excluded from NCMI – Non-primary production</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DF79F" w14:textId="77777777" w:rsidR="00115458" w:rsidRPr="00F4606C" w:rsidRDefault="00115458" w:rsidP="00F4606C">
            <w:pPr>
              <w:spacing w:after="0" w:line="240" w:lineRule="auto"/>
              <w:rPr>
                <w:rFonts w:cs="Arial"/>
              </w:rPr>
            </w:pPr>
            <w:r w:rsidRPr="00F4606C">
              <w:rPr>
                <w:rFonts w:cs="Arial"/>
              </w:rPr>
              <w:t>000000005000</w:t>
            </w:r>
          </w:p>
        </w:tc>
      </w:tr>
      <w:tr w:rsidR="00115458" w:rsidRPr="00AA677F" w14:paraId="3480BE5F"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599E7" w14:textId="77777777" w:rsidR="00115458" w:rsidRPr="00F4606C" w:rsidRDefault="00115458" w:rsidP="00F4606C">
            <w:pPr>
              <w:spacing w:after="0" w:line="240" w:lineRule="auto"/>
              <w:rPr>
                <w:rFonts w:cs="Arial"/>
              </w:rPr>
            </w:pPr>
            <w:r w:rsidRPr="00F4606C">
              <w:rPr>
                <w:rFonts w:cs="Arial"/>
              </w:rPr>
              <w:t>9.140</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E142D" w14:textId="77777777" w:rsidR="00115458" w:rsidRPr="00F4606C" w:rsidRDefault="00115458" w:rsidP="00F4606C">
            <w:pPr>
              <w:spacing w:after="0" w:line="240" w:lineRule="auto"/>
              <w:rPr>
                <w:rFonts w:cs="Arial"/>
              </w:rPr>
            </w:pPr>
            <w:r w:rsidRPr="00F4606C">
              <w:rPr>
                <w:rFonts w:cs="Arial"/>
              </w:rPr>
              <w:t>NCMI Capital gains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8D359" w14:textId="77777777" w:rsidR="00115458" w:rsidRPr="00F4606C" w:rsidRDefault="00115458" w:rsidP="00F4606C">
            <w:pPr>
              <w:spacing w:after="0" w:line="240" w:lineRule="auto"/>
              <w:rPr>
                <w:rFonts w:cs="Arial"/>
              </w:rPr>
            </w:pPr>
            <w:r w:rsidRPr="00F4606C">
              <w:rPr>
                <w:rFonts w:cs="Arial"/>
              </w:rPr>
              <w:t>000000100000</w:t>
            </w:r>
          </w:p>
        </w:tc>
      </w:tr>
    </w:tbl>
    <w:p w14:paraId="4A140F76" w14:textId="789CDB62" w:rsidR="00115458" w:rsidRPr="004D0793" w:rsidRDefault="00115458" w:rsidP="00F4606C">
      <w:pPr>
        <w:spacing w:after="0" w:line="240" w:lineRule="auto"/>
        <w:rPr>
          <w:rFonts w:cs="Arial"/>
          <w:sz w:val="18"/>
          <w:szCs w:val="18"/>
        </w:rPr>
      </w:pPr>
      <w:r w:rsidRPr="0028338D">
        <w:rPr>
          <w:iCs/>
          <w:color w:val="000000"/>
          <w:sz w:val="18"/>
          <w:szCs w:val="18"/>
        </w:rPr>
        <w:t>An</w:t>
      </w:r>
      <w:r w:rsidRPr="004D0793">
        <w:rPr>
          <w:i/>
          <w:color w:val="000000"/>
          <w:sz w:val="18"/>
          <w:szCs w:val="18"/>
        </w:rPr>
        <w:t xml:space="preserve"> Investor data record </w:t>
      </w:r>
      <w:r w:rsidRPr="004D0793">
        <w:rPr>
          <w:color w:val="000000"/>
          <w:sz w:val="18"/>
          <w:szCs w:val="18"/>
        </w:rPr>
        <w:t xml:space="preserve">is required following the </w:t>
      </w:r>
      <w:r w:rsidRPr="004D0793">
        <w:rPr>
          <w:rFonts w:cs="Arial"/>
          <w:i/>
          <w:sz w:val="18"/>
          <w:szCs w:val="18"/>
        </w:rPr>
        <w:t>Supplementary income account data record</w:t>
      </w:r>
    </w:p>
    <w:bookmarkEnd w:id="1662"/>
    <w:p w14:paraId="7EA2109C" w14:textId="77777777" w:rsidR="00115458" w:rsidRPr="004D0793" w:rsidRDefault="00115458" w:rsidP="00115458">
      <w:pPr>
        <w:rPr>
          <w:sz w:val="18"/>
          <w:szCs w:val="18"/>
          <w:u w:val="single"/>
        </w:rPr>
      </w:pPr>
    </w:p>
    <w:p w14:paraId="2A641C58" w14:textId="4312B79A" w:rsidR="00115458" w:rsidRPr="004A5DA4" w:rsidRDefault="00115458" w:rsidP="000A08A4">
      <w:pPr>
        <w:keepNext/>
        <w:spacing w:after="0" w:line="240" w:lineRule="auto"/>
        <w:outlineLvl w:val="3"/>
        <w:rPr>
          <w:rFonts w:cs="Arial"/>
          <w:b/>
        </w:rPr>
      </w:pPr>
      <w:r w:rsidRPr="004A5DA4">
        <w:rPr>
          <w:rFonts w:cs="Arial"/>
          <w:b/>
        </w:rPr>
        <w:t>Example 7.</w:t>
      </w:r>
      <w:r w:rsidR="00CF1761">
        <w:rPr>
          <w:rFonts w:cs="Arial"/>
          <w:b/>
        </w:rPr>
        <w:t>6</w:t>
      </w:r>
      <w:r w:rsidRPr="004A5DA4">
        <w:rPr>
          <w:rFonts w:cs="Arial"/>
          <w:b/>
        </w:rPr>
        <w:t xml:space="preserve"> – Stapled securities (dividend payments and trust distribution and no NCMI)</w:t>
      </w:r>
    </w:p>
    <w:p w14:paraId="0C6FA5DD" w14:textId="77777777" w:rsidR="000A08A4" w:rsidRPr="00F4606C" w:rsidRDefault="000A08A4" w:rsidP="00891524"/>
    <w:p w14:paraId="5DA0368E" w14:textId="3DBC8750" w:rsidR="00115458" w:rsidRDefault="00115458" w:rsidP="000A08A4">
      <w:pPr>
        <w:keepNext/>
        <w:spacing w:after="0" w:line="240" w:lineRule="auto"/>
        <w:outlineLvl w:val="3"/>
        <w:rPr>
          <w:rFonts w:cs="Arial"/>
        </w:rPr>
      </w:pPr>
      <w:r w:rsidRPr="000A08A4">
        <w:rPr>
          <w:rFonts w:cs="Arial"/>
        </w:rPr>
        <w:t xml:space="preserve">When reporting stapled securities in the AIIR, for example dividend payments and trust distributions, they must be reported in separate </w:t>
      </w:r>
      <w:r w:rsidRPr="000A08A4">
        <w:rPr>
          <w:rFonts w:cs="Arial"/>
          <w:i/>
        </w:rPr>
        <w:t>Investment account data records</w:t>
      </w:r>
      <w:r w:rsidRPr="000A08A4">
        <w:rPr>
          <w:rFonts w:cs="Arial"/>
        </w:rPr>
        <w:t xml:space="preserve">, each followed by an </w:t>
      </w:r>
      <w:r w:rsidRPr="000A08A4">
        <w:rPr>
          <w:rFonts w:cs="Arial"/>
          <w:i/>
        </w:rPr>
        <w:t>Investor data record</w:t>
      </w:r>
      <w:r w:rsidRPr="000A08A4">
        <w:rPr>
          <w:rFonts w:cs="Arial"/>
        </w:rPr>
        <w:t xml:space="preserve">. A </w:t>
      </w:r>
      <w:r w:rsidRPr="000A08A4">
        <w:rPr>
          <w:rFonts w:cs="Arial"/>
          <w:i/>
        </w:rPr>
        <w:t xml:space="preserve">Supplementary income account data record </w:t>
      </w:r>
      <w:r w:rsidRPr="000A08A4">
        <w:rPr>
          <w:rFonts w:cs="Arial"/>
        </w:rPr>
        <w:t>must also be provided when reporting trust distributions.</w:t>
      </w:r>
    </w:p>
    <w:p w14:paraId="049FD1A5" w14:textId="77777777" w:rsidR="000A08A4" w:rsidRPr="000A08A4" w:rsidRDefault="000A08A4" w:rsidP="00891524"/>
    <w:p w14:paraId="6659D693" w14:textId="21D7C70C" w:rsidR="00115458" w:rsidRDefault="00115458" w:rsidP="000A08A4">
      <w:pPr>
        <w:keepNext/>
        <w:spacing w:after="0" w:line="240" w:lineRule="auto"/>
        <w:rPr>
          <w:rFonts w:cs="Arial"/>
        </w:rPr>
      </w:pPr>
      <w:r w:rsidRPr="000A08A4">
        <w:rPr>
          <w:rFonts w:cs="Arial"/>
        </w:rPr>
        <w:t>Forestwade Group Trust is reporting stapled securities (dividends and trust distribution) for a resident investor.</w:t>
      </w:r>
    </w:p>
    <w:p w14:paraId="6DFBDE50" w14:textId="77777777" w:rsidR="000A08A4" w:rsidRPr="000A08A4" w:rsidRDefault="000A08A4" w:rsidP="00F4606C">
      <w:pPr>
        <w:keepNext/>
        <w:spacing w:after="0" w:line="240" w:lineRule="auto"/>
        <w:rPr>
          <w:rFonts w:cs="Arial"/>
        </w:rPr>
      </w:pPr>
    </w:p>
    <w:p w14:paraId="1F89C24F" w14:textId="77777777" w:rsidR="00115458" w:rsidRPr="000A08A4" w:rsidRDefault="00115458" w:rsidP="006A5E27">
      <w:pPr>
        <w:spacing w:after="0" w:line="240" w:lineRule="auto"/>
        <w:rPr>
          <w:rFonts w:cs="Arial"/>
        </w:rPr>
      </w:pPr>
      <w:r w:rsidRPr="000A08A4">
        <w:rPr>
          <w:rFonts w:cs="Arial"/>
        </w:rPr>
        <w:t>Dividend payments:</w:t>
      </w:r>
    </w:p>
    <w:p w14:paraId="02F022AD"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Unfranked dividends (non-CFI) $1,000.00</w:t>
      </w:r>
    </w:p>
    <w:p w14:paraId="516EEF62"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Unfranked dividends (CFI) $500.00</w:t>
      </w:r>
    </w:p>
    <w:p w14:paraId="27E266B6"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Franked dividends $1,000.00</w:t>
      </w:r>
    </w:p>
    <w:p w14:paraId="338B1202"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Franking credits $429.00</w:t>
      </w:r>
    </w:p>
    <w:p w14:paraId="793EB1E9" w14:textId="77777777" w:rsidR="00115458" w:rsidRPr="000A08A4" w:rsidRDefault="00115458" w:rsidP="006A5E27">
      <w:pPr>
        <w:spacing w:after="0" w:line="240" w:lineRule="auto"/>
        <w:rPr>
          <w:rFonts w:cs="Arial"/>
        </w:rPr>
      </w:pPr>
    </w:p>
    <w:p w14:paraId="753C3A04" w14:textId="77777777" w:rsidR="00115458" w:rsidRPr="000A08A4" w:rsidRDefault="00115458" w:rsidP="006A5E27">
      <w:pPr>
        <w:spacing w:after="0" w:line="240" w:lineRule="auto"/>
        <w:rPr>
          <w:rFonts w:cs="Arial"/>
        </w:rPr>
      </w:pPr>
      <w:r w:rsidRPr="000A08A4">
        <w:rPr>
          <w:rFonts w:cs="Arial"/>
        </w:rPr>
        <w:t>Trust distribution:</w:t>
      </w:r>
    </w:p>
    <w:p w14:paraId="228AADC1"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A partially franked dividend of $4,000.00 that was franked to 80%. The franked amount was $3,200.00, the unfranked amount was $800.00 (non-CFI) and the franking credit was $1,371.00</w:t>
      </w:r>
    </w:p>
    <w:p w14:paraId="3D389A28" w14:textId="77777777" w:rsidR="00115458" w:rsidRPr="00F4606C" w:rsidRDefault="00115458" w:rsidP="001601AF">
      <w:pPr>
        <w:pStyle w:val="Bullet1"/>
        <w:numPr>
          <w:ilvl w:val="0"/>
          <w:numId w:val="63"/>
        </w:numPr>
        <w:spacing w:before="0" w:after="0"/>
        <w:rPr>
          <w:rFonts w:asciiTheme="minorHAnsi" w:hAnsiTheme="minorHAnsi" w:cs="Arial"/>
          <w:sz w:val="20"/>
          <w:szCs w:val="20"/>
        </w:rPr>
      </w:pPr>
      <w:r w:rsidRPr="00F4606C">
        <w:rPr>
          <w:rFonts w:asciiTheme="minorHAnsi" w:hAnsiTheme="minorHAnsi" w:cs="Arial"/>
          <w:sz w:val="20"/>
          <w:szCs w:val="20"/>
        </w:rPr>
        <w:t>An unfranked distribution of $2,000.00 that was made up of an unfranked dividend (non-CFI) of $2,000.00</w:t>
      </w:r>
    </w:p>
    <w:p w14:paraId="3F7ED097" w14:textId="77777777" w:rsidR="00115458" w:rsidRPr="00DB1D67" w:rsidRDefault="00115458" w:rsidP="00115458">
      <w:pPr>
        <w:rPr>
          <w:rFonts w:cs="Arial"/>
          <w:b/>
          <w:smallCaps/>
        </w:rPr>
      </w:pPr>
    </w:p>
    <w:p w14:paraId="7F150572" w14:textId="77777777" w:rsidR="00115458" w:rsidRPr="00DB1D67" w:rsidRDefault="00115458" w:rsidP="00115458">
      <w:pPr>
        <w:rPr>
          <w:rFonts w:cs="Arial"/>
          <w:smallCaps/>
        </w:rPr>
      </w:pPr>
      <w:r w:rsidRPr="00DB1D67">
        <w:rPr>
          <w:rFonts w:cs="Arial"/>
          <w:b/>
          <w:smallCaps/>
        </w:rPr>
        <w:t xml:space="preserve">investment account data record 1 </w:t>
      </w:r>
      <w:r w:rsidRPr="00DB1D67">
        <w:rPr>
          <w:rFonts w:cs="Arial"/>
          <w:smallCaps/>
        </w:rPr>
        <w:t>(extract)</w:t>
      </w: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22BD0816"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73CC6848" w14:textId="77777777" w:rsidR="00115458" w:rsidRPr="000A08A4" w:rsidRDefault="00115458" w:rsidP="00856E9F">
            <w:pPr>
              <w:spacing w:after="0" w:line="240" w:lineRule="auto"/>
              <w:rPr>
                <w:rFonts w:cs="Arial"/>
              </w:rPr>
            </w:pPr>
            <w:r w:rsidRPr="006A5E27">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3C992E3" w14:textId="77777777" w:rsidR="00115458" w:rsidRPr="000A08A4" w:rsidRDefault="00115458" w:rsidP="00856E9F">
            <w:pPr>
              <w:spacing w:after="0" w:line="240" w:lineRule="auto"/>
              <w:rPr>
                <w:rFonts w:cs="Arial"/>
              </w:rPr>
            </w:pPr>
            <w:r w:rsidRPr="00F4606C">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714C456" w14:textId="77777777" w:rsidR="00115458" w:rsidRPr="000A08A4" w:rsidRDefault="00115458" w:rsidP="00856E9F">
            <w:pPr>
              <w:spacing w:after="0" w:line="240" w:lineRule="auto"/>
              <w:rPr>
                <w:rFonts w:cs="Arial"/>
              </w:rPr>
            </w:pPr>
            <w:r w:rsidRPr="006A5E27">
              <w:rPr>
                <w:rFonts w:cs="Arial"/>
                <w:b/>
                <w:bCs/>
              </w:rPr>
              <w:t>Content</w:t>
            </w:r>
          </w:p>
        </w:tc>
      </w:tr>
      <w:tr w:rsidR="00115458" w:rsidRPr="000A08A4" w14:paraId="1996DA20"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EBFC99" w14:textId="77777777" w:rsidR="00115458" w:rsidRPr="000A08A4" w:rsidRDefault="00115458" w:rsidP="00F4606C">
            <w:pPr>
              <w:spacing w:after="0" w:line="240" w:lineRule="auto"/>
              <w:rPr>
                <w:rFonts w:cs="Arial"/>
              </w:rPr>
            </w:pPr>
            <w:r w:rsidRPr="006A5E27">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04653CC" w14:textId="77777777" w:rsidR="00115458" w:rsidRPr="000A08A4" w:rsidRDefault="00115458" w:rsidP="00F4606C">
            <w:pPr>
              <w:spacing w:after="0" w:line="240" w:lineRule="auto"/>
              <w:rPr>
                <w:rFonts w:cs="Arial"/>
              </w:rPr>
            </w:pPr>
            <w:r w:rsidRPr="00F4606C">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098742" w14:textId="77777777" w:rsidR="00115458" w:rsidRPr="000A08A4" w:rsidRDefault="00115458" w:rsidP="00F4606C">
            <w:pPr>
              <w:spacing w:after="0" w:line="240" w:lineRule="auto"/>
              <w:rPr>
                <w:rFonts w:cs="Arial"/>
              </w:rPr>
            </w:pPr>
            <w:r w:rsidRPr="006A5E27">
              <w:rPr>
                <w:rFonts w:cs="Arial"/>
              </w:rPr>
              <w:t>01</w:t>
            </w:r>
          </w:p>
        </w:tc>
      </w:tr>
      <w:tr w:rsidR="00115458" w:rsidRPr="000A08A4" w14:paraId="44FCAE9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3ACDB9" w14:textId="77777777" w:rsidR="00115458" w:rsidRPr="000A08A4" w:rsidRDefault="00115458" w:rsidP="00F4606C">
            <w:pPr>
              <w:spacing w:after="0" w:line="240" w:lineRule="auto"/>
              <w:rPr>
                <w:rFonts w:cs="Arial"/>
              </w:rPr>
            </w:pPr>
            <w:r w:rsidRPr="00F4606C">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9F312B7" w14:textId="77777777" w:rsidR="00115458" w:rsidRPr="000A08A4" w:rsidRDefault="00115458" w:rsidP="00F4606C">
            <w:pPr>
              <w:spacing w:after="0" w:line="240" w:lineRule="auto"/>
              <w:rPr>
                <w:rFonts w:cs="Arial"/>
              </w:rPr>
            </w:pPr>
            <w:r w:rsidRPr="00F4606C">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D21CE85" w14:textId="77777777" w:rsidR="00115458" w:rsidRPr="000A08A4" w:rsidRDefault="00115458" w:rsidP="00F4606C">
            <w:pPr>
              <w:spacing w:after="0" w:line="240" w:lineRule="auto"/>
              <w:rPr>
                <w:rFonts w:cs="Arial"/>
              </w:rPr>
            </w:pPr>
            <w:r w:rsidRPr="00F4606C">
              <w:rPr>
                <w:rFonts w:cs="Arial"/>
              </w:rPr>
              <w:t>963963444</w:t>
            </w:r>
          </w:p>
        </w:tc>
      </w:tr>
      <w:tr w:rsidR="00115458" w:rsidRPr="000A08A4" w14:paraId="6164639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C1BA08" w14:textId="77777777" w:rsidR="00115458" w:rsidRPr="000A08A4" w:rsidRDefault="00115458" w:rsidP="00F4606C">
            <w:pPr>
              <w:spacing w:after="0" w:line="240" w:lineRule="auto"/>
              <w:rPr>
                <w:rFonts w:cs="Arial"/>
              </w:rPr>
            </w:pPr>
            <w:r w:rsidRPr="00F4606C">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F0A9814" w14:textId="77777777" w:rsidR="00115458" w:rsidRPr="000A08A4" w:rsidRDefault="00115458" w:rsidP="00F4606C">
            <w:pPr>
              <w:spacing w:after="0" w:line="240" w:lineRule="auto"/>
              <w:rPr>
                <w:rFonts w:cs="Arial"/>
              </w:rPr>
            </w:pPr>
            <w:r w:rsidRPr="00F4606C">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4790291" w14:textId="77777777" w:rsidR="00115458" w:rsidRPr="000A08A4" w:rsidRDefault="00115458" w:rsidP="00F4606C">
            <w:pPr>
              <w:spacing w:after="0" w:line="240" w:lineRule="auto"/>
              <w:rPr>
                <w:rFonts w:cs="Arial"/>
              </w:rPr>
            </w:pPr>
            <w:r w:rsidRPr="00F4606C">
              <w:rPr>
                <w:rFonts w:cs="Arial"/>
              </w:rPr>
              <w:t>45546</w:t>
            </w:r>
          </w:p>
        </w:tc>
      </w:tr>
      <w:tr w:rsidR="00115458" w:rsidRPr="000A08A4" w14:paraId="37DBEB2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4CAB48" w14:textId="77777777" w:rsidR="00115458" w:rsidRPr="000A08A4" w:rsidRDefault="00115458" w:rsidP="00F4606C">
            <w:pPr>
              <w:spacing w:after="0" w:line="240" w:lineRule="auto"/>
              <w:rPr>
                <w:rFonts w:cs="Arial"/>
              </w:rPr>
            </w:pPr>
            <w:r w:rsidRPr="00F4606C">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53E1CB" w14:textId="77777777" w:rsidR="00115458" w:rsidRPr="000A08A4" w:rsidRDefault="00115458" w:rsidP="00F4606C">
            <w:pPr>
              <w:spacing w:after="0" w:line="240" w:lineRule="auto"/>
              <w:rPr>
                <w:rFonts w:cs="Arial"/>
              </w:rPr>
            </w:pPr>
            <w:r w:rsidRPr="00F4606C">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09ED28" w14:textId="3FB3B62D" w:rsidR="00115458" w:rsidRPr="000A08A4" w:rsidRDefault="00115458" w:rsidP="00F4606C">
            <w:pPr>
              <w:spacing w:after="0" w:line="240" w:lineRule="auto"/>
              <w:rPr>
                <w:rFonts w:cs="Arial"/>
              </w:rPr>
            </w:pPr>
            <w:r w:rsidRPr="00F4606C">
              <w:rPr>
                <w:rFonts w:cs="Arial"/>
              </w:rPr>
              <w:t>3006202</w:t>
            </w:r>
            <w:r w:rsidR="00D227A8">
              <w:rPr>
                <w:rFonts w:cs="Arial"/>
              </w:rPr>
              <w:t>6</w:t>
            </w:r>
          </w:p>
        </w:tc>
      </w:tr>
      <w:tr w:rsidR="00115458" w:rsidRPr="000A08A4" w14:paraId="563BC2A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D905EC" w14:textId="77777777" w:rsidR="00115458" w:rsidRPr="000A08A4" w:rsidRDefault="00115458" w:rsidP="00F4606C">
            <w:pPr>
              <w:spacing w:after="0" w:line="240" w:lineRule="auto"/>
              <w:rPr>
                <w:rFonts w:cs="Arial"/>
              </w:rPr>
            </w:pPr>
            <w:r w:rsidRPr="00F4606C">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2C4DE8A" w14:textId="77777777" w:rsidR="00115458" w:rsidRPr="000A08A4" w:rsidRDefault="00115458" w:rsidP="00F4606C">
            <w:pPr>
              <w:spacing w:after="0" w:line="240" w:lineRule="auto"/>
              <w:rPr>
                <w:rFonts w:cs="Arial"/>
              </w:rPr>
            </w:pPr>
            <w:r w:rsidRPr="00F4606C">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59A29A1" w14:textId="77777777" w:rsidR="00115458" w:rsidRPr="000A08A4" w:rsidRDefault="00115458" w:rsidP="00F4606C">
            <w:pPr>
              <w:spacing w:after="0" w:line="240" w:lineRule="auto"/>
              <w:rPr>
                <w:rFonts w:cs="Arial"/>
              </w:rPr>
            </w:pPr>
            <w:r w:rsidRPr="00F4606C">
              <w:rPr>
                <w:rFonts w:cs="Arial"/>
              </w:rPr>
              <w:t>6</w:t>
            </w:r>
          </w:p>
        </w:tc>
      </w:tr>
      <w:tr w:rsidR="00115458" w:rsidRPr="000A08A4" w14:paraId="27EE37F4"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A67CB8" w14:textId="77777777" w:rsidR="00115458" w:rsidRPr="000A08A4" w:rsidRDefault="00115458" w:rsidP="00F4606C">
            <w:pPr>
              <w:spacing w:after="0" w:line="240" w:lineRule="auto"/>
              <w:rPr>
                <w:rFonts w:cs="Arial"/>
              </w:rPr>
            </w:pPr>
            <w:r w:rsidRPr="00F4606C">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70B7DB5" w14:textId="77777777" w:rsidR="00115458" w:rsidRPr="000A08A4" w:rsidRDefault="00115458" w:rsidP="00F4606C">
            <w:pPr>
              <w:spacing w:after="0" w:line="240" w:lineRule="auto"/>
              <w:rPr>
                <w:rFonts w:cs="Arial"/>
              </w:rPr>
            </w:pPr>
            <w:r w:rsidRPr="00F4606C">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E23A94" w14:textId="77777777" w:rsidR="00115458" w:rsidRPr="000A08A4" w:rsidRDefault="00115458" w:rsidP="00F4606C">
            <w:pPr>
              <w:spacing w:after="0" w:line="240" w:lineRule="auto"/>
              <w:rPr>
                <w:rFonts w:cs="Arial"/>
              </w:rPr>
            </w:pPr>
            <w:r w:rsidRPr="00F4606C">
              <w:rPr>
                <w:rFonts w:cs="Arial"/>
              </w:rPr>
              <w:t>DIV</w:t>
            </w:r>
          </w:p>
        </w:tc>
      </w:tr>
      <w:tr w:rsidR="00115458" w:rsidRPr="000A08A4" w14:paraId="0B5F0B6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E54C9A" w14:textId="77777777" w:rsidR="00115458" w:rsidRPr="000A08A4" w:rsidRDefault="00115458" w:rsidP="00F4606C">
            <w:pPr>
              <w:spacing w:after="0" w:line="240" w:lineRule="auto"/>
              <w:rPr>
                <w:rFonts w:cs="Arial"/>
              </w:rPr>
            </w:pPr>
            <w:r w:rsidRPr="00F4606C">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B89C4B" w14:textId="77777777" w:rsidR="00115458" w:rsidRPr="000A08A4" w:rsidRDefault="00115458" w:rsidP="00F4606C">
            <w:pPr>
              <w:spacing w:after="0" w:line="240" w:lineRule="auto"/>
              <w:rPr>
                <w:rFonts w:cs="Arial"/>
              </w:rPr>
            </w:pPr>
            <w:r w:rsidRPr="00F4606C">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850B5E6" w14:textId="77777777" w:rsidR="00115458" w:rsidRPr="000A08A4" w:rsidRDefault="00115458" w:rsidP="00F4606C">
            <w:pPr>
              <w:spacing w:after="0" w:line="240" w:lineRule="auto"/>
              <w:rPr>
                <w:rFonts w:cs="Arial"/>
              </w:rPr>
            </w:pPr>
            <w:r w:rsidRPr="00F4606C">
              <w:rPr>
                <w:rFonts w:cs="Arial"/>
              </w:rPr>
              <w:t>000000100000</w:t>
            </w:r>
          </w:p>
        </w:tc>
      </w:tr>
      <w:tr w:rsidR="00115458" w:rsidRPr="000A08A4" w14:paraId="380AB8D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462A64" w14:textId="77777777" w:rsidR="00115458" w:rsidRPr="000A08A4" w:rsidRDefault="00115458" w:rsidP="00F4606C">
            <w:pPr>
              <w:spacing w:after="0" w:line="240" w:lineRule="auto"/>
              <w:rPr>
                <w:rFonts w:cs="Arial"/>
              </w:rPr>
            </w:pPr>
            <w:r w:rsidRPr="00F4606C">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D51759" w14:textId="77777777" w:rsidR="00115458" w:rsidRPr="000A08A4" w:rsidRDefault="00115458" w:rsidP="00F4606C">
            <w:pPr>
              <w:spacing w:after="0" w:line="240" w:lineRule="auto"/>
              <w:rPr>
                <w:rFonts w:cs="Arial"/>
              </w:rPr>
            </w:pPr>
            <w:r w:rsidRPr="00F4606C">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7ED5CB8" w14:textId="77777777" w:rsidR="00115458" w:rsidRPr="000A08A4" w:rsidRDefault="00115458" w:rsidP="00F4606C">
            <w:pPr>
              <w:spacing w:after="0" w:line="240" w:lineRule="auto"/>
              <w:rPr>
                <w:rFonts w:cs="Arial"/>
              </w:rPr>
            </w:pPr>
            <w:r w:rsidRPr="00F4606C">
              <w:rPr>
                <w:rFonts w:cs="Arial"/>
              </w:rPr>
              <w:t>000000050000</w:t>
            </w:r>
          </w:p>
        </w:tc>
      </w:tr>
      <w:tr w:rsidR="00115458" w:rsidRPr="000A08A4" w14:paraId="12B812C0"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E61DA37" w14:textId="77777777" w:rsidR="00115458" w:rsidRPr="000A08A4" w:rsidRDefault="00115458" w:rsidP="006A5E27">
            <w:pPr>
              <w:spacing w:after="0" w:line="240" w:lineRule="auto"/>
              <w:rPr>
                <w:rFonts w:cs="Arial"/>
              </w:rPr>
            </w:pPr>
            <w:r w:rsidRPr="006A5E27">
              <w:rPr>
                <w:rFonts w:cs="Arial"/>
              </w:rPr>
              <w:t>9.82</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5AFD15BE" w14:textId="77777777" w:rsidR="00115458" w:rsidRPr="000A08A4" w:rsidRDefault="00115458" w:rsidP="006A5E27">
            <w:pPr>
              <w:spacing w:after="0" w:line="240" w:lineRule="auto"/>
              <w:rPr>
                <w:rFonts w:cs="Arial"/>
              </w:rPr>
            </w:pPr>
            <w:r w:rsidRPr="006A5E27">
              <w:rPr>
                <w:rFonts w:cs="Arial"/>
              </w:rPr>
              <w:t>Franked dividends (cents)</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3A3808D8" w14:textId="77777777" w:rsidR="00115458" w:rsidRPr="000A08A4" w:rsidRDefault="00115458" w:rsidP="006A5E27">
            <w:pPr>
              <w:spacing w:after="0" w:line="240" w:lineRule="auto"/>
              <w:rPr>
                <w:rFonts w:cs="Arial"/>
              </w:rPr>
            </w:pPr>
            <w:r w:rsidRPr="006A5E27">
              <w:rPr>
                <w:rFonts w:cs="Arial"/>
              </w:rPr>
              <w:t>000000100000</w:t>
            </w:r>
          </w:p>
        </w:tc>
      </w:tr>
      <w:tr w:rsidR="00115458" w:rsidRPr="000A08A4" w14:paraId="674E3267"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AB3FFC8" w14:textId="77777777" w:rsidR="00115458" w:rsidRPr="000A08A4" w:rsidRDefault="00115458" w:rsidP="006A5E27">
            <w:pPr>
              <w:spacing w:after="0" w:line="240" w:lineRule="auto"/>
              <w:rPr>
                <w:rFonts w:cs="Arial"/>
              </w:rPr>
            </w:pPr>
            <w:r w:rsidRPr="006A5E27">
              <w:rPr>
                <w:rFonts w:cs="Arial"/>
              </w:rPr>
              <w:t>9.83</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6685FB1" w14:textId="77777777" w:rsidR="00115458" w:rsidRPr="000A08A4" w:rsidRDefault="00115458" w:rsidP="006A5E27">
            <w:pPr>
              <w:spacing w:after="0" w:line="240" w:lineRule="auto"/>
              <w:rPr>
                <w:rFonts w:cs="Arial"/>
              </w:rPr>
            </w:pPr>
            <w:r w:rsidRPr="006A5E27">
              <w:rPr>
                <w:rFonts w:cs="Arial"/>
              </w:rPr>
              <w:t>Franking credit (cents)</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D2BE072" w14:textId="77777777" w:rsidR="00115458" w:rsidRPr="000A08A4" w:rsidRDefault="00115458" w:rsidP="006A5E27">
            <w:pPr>
              <w:spacing w:after="0" w:line="240" w:lineRule="auto"/>
              <w:rPr>
                <w:rFonts w:cs="Arial"/>
              </w:rPr>
            </w:pPr>
            <w:r w:rsidRPr="006A5E27">
              <w:rPr>
                <w:rFonts w:cs="Arial"/>
              </w:rPr>
              <w:t>000000042900</w:t>
            </w:r>
          </w:p>
        </w:tc>
      </w:tr>
    </w:tbl>
    <w:p w14:paraId="3DF09413" w14:textId="77777777" w:rsidR="00115458" w:rsidRPr="004D0793" w:rsidRDefault="00115458" w:rsidP="006A5E27">
      <w:pPr>
        <w:spacing w:after="0" w:line="240" w:lineRule="auto"/>
        <w:rPr>
          <w:rFonts w:cs="Arial"/>
          <w:sz w:val="18"/>
          <w:szCs w:val="18"/>
        </w:rPr>
      </w:pPr>
      <w:r w:rsidRPr="0028338D">
        <w:rPr>
          <w:iCs/>
          <w:color w:val="000000"/>
          <w:sz w:val="18"/>
          <w:szCs w:val="18"/>
        </w:rPr>
        <w:t>An</w:t>
      </w:r>
      <w:r w:rsidRPr="004D0793">
        <w:rPr>
          <w:i/>
          <w:color w:val="000000"/>
          <w:sz w:val="18"/>
          <w:szCs w:val="18"/>
        </w:rPr>
        <w:t xml:space="preserve"> Investor data record </w:t>
      </w:r>
      <w:r w:rsidRPr="004D0793">
        <w:rPr>
          <w:color w:val="000000"/>
          <w:sz w:val="18"/>
          <w:szCs w:val="18"/>
        </w:rPr>
        <w:t xml:space="preserve">is required following the </w:t>
      </w:r>
      <w:r w:rsidRPr="004D0793">
        <w:rPr>
          <w:rFonts w:cs="Arial"/>
          <w:i/>
          <w:sz w:val="18"/>
          <w:szCs w:val="18"/>
        </w:rPr>
        <w:t>Supplementary income account data record</w:t>
      </w:r>
    </w:p>
    <w:p w14:paraId="516D8401" w14:textId="77777777" w:rsidR="00115458" w:rsidRPr="000A08A4" w:rsidRDefault="00115458" w:rsidP="006A5E27">
      <w:pPr>
        <w:spacing w:after="0" w:line="240" w:lineRule="auto"/>
        <w:rPr>
          <w:rFonts w:cs="Arial"/>
        </w:rPr>
      </w:pPr>
    </w:p>
    <w:p w14:paraId="716DF1CD" w14:textId="77777777" w:rsidR="00115458" w:rsidRPr="000A08A4" w:rsidRDefault="00115458" w:rsidP="006A5E27">
      <w:pPr>
        <w:spacing w:after="0" w:line="240" w:lineRule="auto"/>
        <w:rPr>
          <w:rFonts w:cs="Arial"/>
          <w:smallCaps/>
        </w:rPr>
      </w:pPr>
      <w:r w:rsidRPr="000A08A4">
        <w:rPr>
          <w:rFonts w:cs="Arial"/>
          <w:b/>
          <w:smallCaps/>
        </w:rPr>
        <w:t xml:space="preserve">investment account data record 2 </w:t>
      </w:r>
      <w:r w:rsidRPr="000A08A4">
        <w:rPr>
          <w:rFonts w:cs="Arial"/>
          <w:smallCaps/>
        </w:rPr>
        <w:t>(extract)</w:t>
      </w:r>
    </w:p>
    <w:p w14:paraId="21E244B4" w14:textId="77777777" w:rsidR="00115458" w:rsidRPr="000A08A4" w:rsidRDefault="00115458" w:rsidP="006A5E27">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48A58802"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072715B" w14:textId="77777777" w:rsidR="00115458" w:rsidRPr="000A08A4" w:rsidRDefault="00115458" w:rsidP="006A5E27">
            <w:pPr>
              <w:spacing w:after="0" w:line="240" w:lineRule="auto"/>
              <w:rPr>
                <w:rFonts w:cs="Arial"/>
              </w:rPr>
            </w:pPr>
            <w:r w:rsidRPr="006A5E27">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17359DE" w14:textId="77777777" w:rsidR="00115458" w:rsidRPr="000A08A4" w:rsidRDefault="00115458" w:rsidP="006A5E27">
            <w:pPr>
              <w:spacing w:after="0" w:line="240" w:lineRule="auto"/>
              <w:rPr>
                <w:rFonts w:cs="Arial"/>
              </w:rPr>
            </w:pPr>
            <w:r w:rsidRPr="006A5E27">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14B8121" w14:textId="77777777" w:rsidR="00115458" w:rsidRPr="000A08A4" w:rsidRDefault="00115458" w:rsidP="006A5E27">
            <w:pPr>
              <w:spacing w:after="0" w:line="240" w:lineRule="auto"/>
              <w:rPr>
                <w:rFonts w:cs="Arial"/>
              </w:rPr>
            </w:pPr>
            <w:r w:rsidRPr="006A5E27">
              <w:rPr>
                <w:rFonts w:cs="Arial"/>
                <w:b/>
                <w:bCs/>
              </w:rPr>
              <w:t>Content</w:t>
            </w:r>
          </w:p>
        </w:tc>
      </w:tr>
      <w:tr w:rsidR="00115458" w:rsidRPr="000A08A4" w14:paraId="0BE53D6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5F9756" w14:textId="77777777" w:rsidR="00115458" w:rsidRPr="000A08A4" w:rsidRDefault="00115458" w:rsidP="006A5E27">
            <w:pPr>
              <w:spacing w:after="0" w:line="240" w:lineRule="auto"/>
              <w:rPr>
                <w:rFonts w:cs="Arial"/>
              </w:rPr>
            </w:pPr>
            <w:r w:rsidRPr="006A5E27">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D7EAF" w14:textId="77777777" w:rsidR="00115458" w:rsidRPr="000A08A4" w:rsidRDefault="00115458" w:rsidP="006A5E27">
            <w:pPr>
              <w:spacing w:after="0" w:line="240" w:lineRule="auto"/>
              <w:rPr>
                <w:rFonts w:cs="Arial"/>
              </w:rPr>
            </w:pPr>
            <w:r w:rsidRPr="006A5E27">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131BB25" w14:textId="77777777" w:rsidR="00115458" w:rsidRPr="000A08A4" w:rsidRDefault="00115458" w:rsidP="006A5E27">
            <w:pPr>
              <w:spacing w:after="0" w:line="240" w:lineRule="auto"/>
              <w:rPr>
                <w:rFonts w:cs="Arial"/>
              </w:rPr>
            </w:pPr>
            <w:r w:rsidRPr="006A5E27">
              <w:rPr>
                <w:rFonts w:cs="Arial"/>
              </w:rPr>
              <w:t>02</w:t>
            </w:r>
          </w:p>
        </w:tc>
      </w:tr>
      <w:tr w:rsidR="00115458" w:rsidRPr="000A08A4" w14:paraId="22D67DF0"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726745" w14:textId="77777777" w:rsidR="00115458" w:rsidRPr="000A08A4" w:rsidRDefault="00115458" w:rsidP="006A5E27">
            <w:pPr>
              <w:spacing w:after="0" w:line="240" w:lineRule="auto"/>
              <w:rPr>
                <w:rFonts w:cs="Arial"/>
              </w:rPr>
            </w:pPr>
            <w:r w:rsidRPr="006A5E27">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3F0B8C0" w14:textId="77777777" w:rsidR="00115458" w:rsidRPr="000A08A4" w:rsidRDefault="00115458" w:rsidP="006A5E27">
            <w:pPr>
              <w:spacing w:after="0" w:line="240" w:lineRule="auto"/>
              <w:rPr>
                <w:rFonts w:cs="Arial"/>
              </w:rPr>
            </w:pPr>
            <w:r w:rsidRPr="006A5E27">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4EC932A" w14:textId="77777777" w:rsidR="00115458" w:rsidRPr="000A08A4" w:rsidRDefault="00115458" w:rsidP="006A5E27">
            <w:pPr>
              <w:spacing w:after="0" w:line="240" w:lineRule="auto"/>
              <w:rPr>
                <w:rFonts w:cs="Arial"/>
              </w:rPr>
            </w:pPr>
            <w:r w:rsidRPr="006A5E27">
              <w:rPr>
                <w:rFonts w:cs="Arial"/>
              </w:rPr>
              <w:t>963963444</w:t>
            </w:r>
          </w:p>
        </w:tc>
      </w:tr>
      <w:tr w:rsidR="00115458" w:rsidRPr="000A08A4" w14:paraId="66BBBD5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AA2533" w14:textId="77777777" w:rsidR="00115458" w:rsidRPr="000A08A4" w:rsidRDefault="00115458" w:rsidP="006A5E27">
            <w:pPr>
              <w:spacing w:after="0" w:line="240" w:lineRule="auto"/>
              <w:rPr>
                <w:rFonts w:cs="Arial"/>
              </w:rPr>
            </w:pPr>
            <w:r w:rsidRPr="006A5E27">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F61D42B" w14:textId="77777777" w:rsidR="00115458" w:rsidRPr="000A08A4" w:rsidRDefault="00115458" w:rsidP="006A5E27">
            <w:pPr>
              <w:spacing w:after="0" w:line="240" w:lineRule="auto"/>
              <w:rPr>
                <w:rFonts w:cs="Arial"/>
              </w:rPr>
            </w:pPr>
            <w:r w:rsidRPr="006A5E27">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71549C4" w14:textId="77777777" w:rsidR="00115458" w:rsidRPr="000A08A4" w:rsidRDefault="00115458" w:rsidP="006A5E27">
            <w:pPr>
              <w:spacing w:after="0" w:line="240" w:lineRule="auto"/>
              <w:rPr>
                <w:rFonts w:cs="Arial"/>
              </w:rPr>
            </w:pPr>
            <w:r w:rsidRPr="006A5E27">
              <w:rPr>
                <w:rFonts w:cs="Arial"/>
              </w:rPr>
              <w:t>45546</w:t>
            </w:r>
          </w:p>
        </w:tc>
      </w:tr>
      <w:tr w:rsidR="00115458" w:rsidRPr="000A08A4" w14:paraId="1C49505C" w14:textId="77777777" w:rsidTr="000C1365">
        <w:trPr>
          <w:trHeight w:val="270"/>
        </w:trPr>
        <w:tc>
          <w:tcPr>
            <w:tcW w:w="59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B5C9ED5" w14:textId="77777777" w:rsidR="00115458" w:rsidRPr="000A08A4" w:rsidRDefault="00115458" w:rsidP="006A5E27">
            <w:pPr>
              <w:spacing w:after="0" w:line="240" w:lineRule="auto"/>
              <w:rPr>
                <w:rFonts w:cs="Arial"/>
              </w:rPr>
            </w:pPr>
            <w:r w:rsidRPr="006A5E27">
              <w:rPr>
                <w:rFonts w:cs="Arial"/>
              </w:rPr>
              <w:t>9.70</w:t>
            </w:r>
          </w:p>
        </w:tc>
        <w:tc>
          <w:tcPr>
            <w:tcW w:w="28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B46297F" w14:textId="77777777" w:rsidR="00115458" w:rsidRPr="000A08A4" w:rsidRDefault="00115458" w:rsidP="006A5E27">
            <w:pPr>
              <w:spacing w:after="0" w:line="240" w:lineRule="auto"/>
              <w:rPr>
                <w:rFonts w:cs="Arial"/>
              </w:rPr>
            </w:pPr>
            <w:r w:rsidRPr="006A5E27">
              <w:rPr>
                <w:rFonts w:cs="Arial"/>
              </w:rPr>
              <w:t>Date of payment (DDMMCCYY)</w:t>
            </w:r>
          </w:p>
        </w:tc>
        <w:tc>
          <w:tcPr>
            <w:tcW w:w="1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DB2B7FE" w14:textId="64D960F1" w:rsidR="00115458" w:rsidRPr="000A08A4" w:rsidRDefault="00115458" w:rsidP="006A5E27">
            <w:pPr>
              <w:spacing w:after="0" w:line="240" w:lineRule="auto"/>
              <w:rPr>
                <w:rFonts w:cs="Arial"/>
              </w:rPr>
            </w:pPr>
            <w:r w:rsidRPr="006A5E27">
              <w:rPr>
                <w:rFonts w:cs="Arial"/>
              </w:rPr>
              <w:t>3006202</w:t>
            </w:r>
            <w:r w:rsidR="00D227A8">
              <w:rPr>
                <w:rFonts w:cs="Arial"/>
              </w:rPr>
              <w:t>6</w:t>
            </w:r>
          </w:p>
        </w:tc>
      </w:tr>
      <w:tr w:rsidR="00115458" w:rsidRPr="000A08A4" w14:paraId="7E057D29" w14:textId="77777777" w:rsidTr="000C1365">
        <w:trPr>
          <w:trHeight w:val="270"/>
        </w:trPr>
        <w:tc>
          <w:tcPr>
            <w:tcW w:w="5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9C9F08" w14:textId="77777777" w:rsidR="00115458" w:rsidRPr="000A08A4" w:rsidRDefault="00115458" w:rsidP="006A5E27">
            <w:pPr>
              <w:spacing w:after="0" w:line="240" w:lineRule="auto"/>
              <w:rPr>
                <w:rFonts w:cs="Arial"/>
              </w:rPr>
            </w:pPr>
            <w:r w:rsidRPr="006A5E27">
              <w:rPr>
                <w:rFonts w:cs="Arial"/>
              </w:rPr>
              <w:t>9.71</w:t>
            </w:r>
          </w:p>
        </w:tc>
        <w:tc>
          <w:tcPr>
            <w:tcW w:w="283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A8DC5ED" w14:textId="77777777" w:rsidR="00115458" w:rsidRPr="000A08A4" w:rsidRDefault="00115458" w:rsidP="006A5E27">
            <w:pPr>
              <w:spacing w:after="0" w:line="240" w:lineRule="auto"/>
              <w:rPr>
                <w:rFonts w:cs="Arial"/>
              </w:rPr>
            </w:pPr>
            <w:r w:rsidRPr="006A5E27">
              <w:rPr>
                <w:rFonts w:cs="Arial"/>
              </w:rPr>
              <w:t>Type of investment</w:t>
            </w:r>
          </w:p>
        </w:tc>
        <w:tc>
          <w:tcPr>
            <w:tcW w:w="157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BEF1500" w14:textId="77777777" w:rsidR="00115458" w:rsidRPr="000A08A4" w:rsidRDefault="00115458" w:rsidP="006A5E27">
            <w:pPr>
              <w:spacing w:after="0" w:line="240" w:lineRule="auto"/>
              <w:rPr>
                <w:rFonts w:cs="Arial"/>
              </w:rPr>
            </w:pPr>
            <w:r w:rsidRPr="006A5E27">
              <w:rPr>
                <w:rFonts w:cs="Arial"/>
              </w:rPr>
              <w:t>5</w:t>
            </w:r>
          </w:p>
        </w:tc>
      </w:tr>
      <w:tr w:rsidR="00115458" w:rsidRPr="000A08A4" w14:paraId="615A978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9F77C5" w14:textId="77777777" w:rsidR="00115458" w:rsidRPr="000A08A4" w:rsidRDefault="00115458" w:rsidP="006A5E27">
            <w:pPr>
              <w:spacing w:after="0" w:line="240" w:lineRule="auto"/>
              <w:rPr>
                <w:rFonts w:cs="Arial"/>
              </w:rPr>
            </w:pPr>
            <w:r w:rsidRPr="006A5E27">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7C28D5F" w14:textId="77777777" w:rsidR="00115458" w:rsidRPr="000A08A4" w:rsidRDefault="00115458" w:rsidP="006A5E27">
            <w:pPr>
              <w:spacing w:after="0" w:line="240" w:lineRule="auto"/>
              <w:rPr>
                <w:rFonts w:cs="Arial"/>
              </w:rPr>
            </w:pPr>
            <w:r w:rsidRPr="006A5E27">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DB62FF5" w14:textId="77777777" w:rsidR="00115458" w:rsidRPr="000A08A4" w:rsidRDefault="00115458" w:rsidP="006A5E27">
            <w:pPr>
              <w:spacing w:after="0" w:line="240" w:lineRule="auto"/>
              <w:rPr>
                <w:rFonts w:cs="Arial"/>
              </w:rPr>
            </w:pPr>
            <w:r w:rsidRPr="006A5E27">
              <w:rPr>
                <w:rFonts w:cs="Arial"/>
              </w:rPr>
              <w:t>UTD</w:t>
            </w:r>
          </w:p>
        </w:tc>
      </w:tr>
      <w:tr w:rsidR="00115458" w:rsidRPr="000A08A4" w14:paraId="7B38E16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74FC59" w14:textId="77777777" w:rsidR="00115458" w:rsidRPr="000A08A4" w:rsidRDefault="00115458" w:rsidP="006A5E27">
            <w:pPr>
              <w:spacing w:after="0" w:line="240" w:lineRule="auto"/>
              <w:rPr>
                <w:rFonts w:cs="Arial"/>
              </w:rPr>
            </w:pPr>
            <w:r w:rsidRPr="006A5E27">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201D367" w14:textId="77777777" w:rsidR="00115458" w:rsidRPr="000A08A4" w:rsidRDefault="00115458" w:rsidP="006A5E27">
            <w:pPr>
              <w:spacing w:after="0" w:line="240" w:lineRule="auto"/>
              <w:rPr>
                <w:rFonts w:cs="Arial"/>
              </w:rPr>
            </w:pPr>
            <w:r w:rsidRPr="006A5E27">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B17CDA5" w14:textId="77777777" w:rsidR="00115458" w:rsidRPr="000A08A4" w:rsidRDefault="00115458" w:rsidP="006A5E27">
            <w:pPr>
              <w:spacing w:after="0" w:line="240" w:lineRule="auto"/>
              <w:rPr>
                <w:rFonts w:cs="Arial"/>
              </w:rPr>
            </w:pPr>
            <w:r w:rsidRPr="006A5E27">
              <w:rPr>
                <w:rFonts w:cs="Arial"/>
              </w:rPr>
              <w:t>000000280000</w:t>
            </w:r>
          </w:p>
        </w:tc>
      </w:tr>
      <w:tr w:rsidR="00115458" w:rsidRPr="000A08A4" w14:paraId="3E561D5D"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2BE836" w14:textId="77777777" w:rsidR="00115458" w:rsidRPr="000A08A4" w:rsidRDefault="00115458" w:rsidP="006A5E27">
            <w:pPr>
              <w:spacing w:after="0" w:line="240" w:lineRule="auto"/>
              <w:rPr>
                <w:rFonts w:cs="Arial"/>
              </w:rPr>
            </w:pPr>
            <w:r w:rsidRPr="006A5E27">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7837A9" w14:textId="77777777" w:rsidR="00115458" w:rsidRPr="000A08A4" w:rsidRDefault="00115458" w:rsidP="006A5E27">
            <w:pPr>
              <w:spacing w:after="0" w:line="240" w:lineRule="auto"/>
              <w:rPr>
                <w:rFonts w:cs="Arial"/>
              </w:rPr>
            </w:pPr>
            <w:r w:rsidRPr="006A5E27">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1FC1249" w14:textId="77777777" w:rsidR="00115458" w:rsidRPr="000A08A4" w:rsidRDefault="00115458" w:rsidP="006A5E27">
            <w:pPr>
              <w:spacing w:after="0" w:line="240" w:lineRule="auto"/>
              <w:rPr>
                <w:rFonts w:cs="Arial"/>
              </w:rPr>
            </w:pPr>
            <w:r w:rsidRPr="006A5E27">
              <w:rPr>
                <w:rFonts w:cs="Arial"/>
              </w:rPr>
              <w:t>000000000000</w:t>
            </w:r>
          </w:p>
        </w:tc>
      </w:tr>
      <w:tr w:rsidR="00115458" w:rsidRPr="000A08A4" w14:paraId="5787AD6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13E06" w14:textId="77777777" w:rsidR="00115458" w:rsidRPr="000A08A4" w:rsidRDefault="00115458" w:rsidP="006A5E27">
            <w:pPr>
              <w:spacing w:after="0" w:line="240" w:lineRule="auto"/>
              <w:rPr>
                <w:rFonts w:cs="Arial"/>
              </w:rPr>
            </w:pPr>
            <w:r w:rsidRPr="006A5E27">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2A5305E" w14:textId="77777777" w:rsidR="00115458" w:rsidRPr="000A08A4" w:rsidRDefault="00115458" w:rsidP="006A5E27">
            <w:pPr>
              <w:spacing w:after="0" w:line="240" w:lineRule="auto"/>
              <w:rPr>
                <w:rFonts w:cs="Arial"/>
              </w:rPr>
            </w:pPr>
            <w:r w:rsidRPr="006A5E27">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63D44DD" w14:textId="77777777" w:rsidR="00115458" w:rsidRPr="000A08A4" w:rsidRDefault="00115458" w:rsidP="006A5E27">
            <w:pPr>
              <w:spacing w:after="0" w:line="240" w:lineRule="auto"/>
              <w:rPr>
                <w:rFonts w:cs="Arial"/>
              </w:rPr>
            </w:pPr>
            <w:r w:rsidRPr="006A5E27">
              <w:rPr>
                <w:rFonts w:cs="Arial"/>
              </w:rPr>
              <w:t>000000320000</w:t>
            </w:r>
          </w:p>
        </w:tc>
      </w:tr>
      <w:tr w:rsidR="00115458" w:rsidRPr="000A08A4" w14:paraId="31070219"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13F71A" w14:textId="77777777" w:rsidR="00115458" w:rsidRPr="000A08A4" w:rsidRDefault="00115458" w:rsidP="006A5E27">
            <w:pPr>
              <w:spacing w:after="0" w:line="240" w:lineRule="auto"/>
              <w:rPr>
                <w:rFonts w:cs="Arial"/>
              </w:rPr>
            </w:pPr>
            <w:r w:rsidRPr="006A5E27">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FB5A25" w14:textId="77777777" w:rsidR="00115458" w:rsidRPr="000A08A4" w:rsidRDefault="00115458" w:rsidP="006A5E27">
            <w:pPr>
              <w:spacing w:after="0" w:line="240" w:lineRule="auto"/>
              <w:rPr>
                <w:rFonts w:cs="Arial"/>
              </w:rPr>
            </w:pPr>
            <w:r w:rsidRPr="006A5E27">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BDEBAD" w14:textId="77777777" w:rsidR="00115458" w:rsidRPr="000A08A4" w:rsidRDefault="00115458" w:rsidP="006A5E27">
            <w:pPr>
              <w:spacing w:after="0" w:line="240" w:lineRule="auto"/>
              <w:rPr>
                <w:rFonts w:cs="Arial"/>
              </w:rPr>
            </w:pPr>
            <w:r w:rsidRPr="006A5E27">
              <w:rPr>
                <w:rFonts w:cs="Arial"/>
              </w:rPr>
              <w:t>000000137100</w:t>
            </w:r>
          </w:p>
        </w:tc>
      </w:tr>
      <w:tr w:rsidR="00115458" w:rsidRPr="000A08A4" w14:paraId="48EA06D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E84009" w14:textId="77777777" w:rsidR="00115458" w:rsidRPr="000A08A4" w:rsidRDefault="00115458" w:rsidP="006A5E27">
            <w:pPr>
              <w:spacing w:after="0" w:line="240" w:lineRule="auto"/>
              <w:rPr>
                <w:rFonts w:cs="Arial"/>
              </w:rPr>
            </w:pPr>
            <w:r w:rsidRPr="006A5E27">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CED9A00" w14:textId="77777777" w:rsidR="00115458" w:rsidRPr="000A08A4" w:rsidRDefault="00115458" w:rsidP="006A5E27">
            <w:pPr>
              <w:spacing w:after="0" w:line="240" w:lineRule="auto"/>
              <w:rPr>
                <w:rFonts w:cs="Arial"/>
              </w:rPr>
            </w:pPr>
            <w:r w:rsidRPr="006A5E27">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239A7E0" w14:textId="77777777" w:rsidR="00115458" w:rsidRPr="000A08A4" w:rsidRDefault="00115458" w:rsidP="006A5E27">
            <w:pPr>
              <w:spacing w:after="0" w:line="240" w:lineRule="auto"/>
              <w:rPr>
                <w:rFonts w:cs="Arial"/>
              </w:rPr>
            </w:pPr>
            <w:r w:rsidRPr="006A5E27">
              <w:rPr>
                <w:rFonts w:cs="Arial"/>
              </w:rPr>
              <w:t>000000280000</w:t>
            </w:r>
          </w:p>
        </w:tc>
      </w:tr>
    </w:tbl>
    <w:p w14:paraId="5515C82A" w14:textId="77777777" w:rsidR="00115458" w:rsidRPr="000A08A4" w:rsidRDefault="00115458" w:rsidP="006A5E27">
      <w:pPr>
        <w:spacing w:after="0" w:line="240" w:lineRule="auto"/>
        <w:rPr>
          <w:rFonts w:cs="Arial"/>
          <w:b/>
          <w:smallCaps/>
        </w:rPr>
      </w:pPr>
    </w:p>
    <w:p w14:paraId="3FACCD79" w14:textId="77777777" w:rsidR="00115458" w:rsidRPr="000A08A4" w:rsidRDefault="00115458" w:rsidP="006A5E27">
      <w:pPr>
        <w:spacing w:after="0" w:line="240" w:lineRule="auto"/>
        <w:rPr>
          <w:rFonts w:cs="Arial"/>
          <w:b/>
          <w:smallCaps/>
        </w:rPr>
      </w:pPr>
      <w:r w:rsidRPr="000A08A4">
        <w:rPr>
          <w:rFonts w:cs="Arial"/>
          <w:b/>
          <w:smallCaps/>
        </w:rPr>
        <w:t xml:space="preserve">supplementary income account data record </w:t>
      </w:r>
      <w:r w:rsidRPr="000A08A4">
        <w:rPr>
          <w:rFonts w:cs="Arial"/>
          <w:smallCaps/>
        </w:rPr>
        <w:t>(extract)</w:t>
      </w:r>
    </w:p>
    <w:p w14:paraId="6353691B" w14:textId="77777777" w:rsidR="00115458" w:rsidRPr="000A08A4" w:rsidRDefault="00115458" w:rsidP="006A5E27">
      <w:pPr>
        <w:spacing w:after="0" w:line="240" w:lineRule="auto"/>
        <w:rPr>
          <w:rFonts w:cs="Arial"/>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0A08A4" w14:paraId="60F17FAE"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11F41BF6" w14:textId="77777777" w:rsidR="00115458" w:rsidRPr="000A08A4" w:rsidRDefault="00115458" w:rsidP="006A5E27">
            <w:pPr>
              <w:spacing w:after="0" w:line="240" w:lineRule="auto"/>
              <w:rPr>
                <w:rFonts w:cs="Arial"/>
              </w:rPr>
            </w:pPr>
            <w:r w:rsidRPr="006A5E27">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CE1561A" w14:textId="77777777" w:rsidR="00115458" w:rsidRPr="000A08A4" w:rsidRDefault="00115458" w:rsidP="006A5E27">
            <w:pPr>
              <w:spacing w:after="0" w:line="240" w:lineRule="auto"/>
              <w:rPr>
                <w:rFonts w:cs="Arial"/>
              </w:rPr>
            </w:pPr>
            <w:r w:rsidRPr="006A5E27">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BB103F4" w14:textId="77777777" w:rsidR="00115458" w:rsidRPr="000A08A4" w:rsidRDefault="00115458" w:rsidP="006A5E27">
            <w:pPr>
              <w:spacing w:after="0" w:line="240" w:lineRule="auto"/>
              <w:rPr>
                <w:rFonts w:cs="Arial"/>
              </w:rPr>
            </w:pPr>
            <w:r w:rsidRPr="006A5E27">
              <w:rPr>
                <w:rFonts w:cs="Arial"/>
                <w:b/>
                <w:bCs/>
              </w:rPr>
              <w:t>Content</w:t>
            </w:r>
          </w:p>
        </w:tc>
      </w:tr>
      <w:tr w:rsidR="00115458" w:rsidRPr="000A08A4" w14:paraId="4663504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C2076" w14:textId="77777777" w:rsidR="00115458" w:rsidRPr="000A08A4" w:rsidRDefault="00115458" w:rsidP="006A5E27">
            <w:pPr>
              <w:spacing w:after="0" w:line="240" w:lineRule="auto"/>
              <w:rPr>
                <w:rFonts w:cs="Arial"/>
              </w:rPr>
            </w:pPr>
            <w:r w:rsidRPr="006A5E27">
              <w:rPr>
                <w:rFonts w:cs="Arial"/>
              </w:rPr>
              <w:t>9.110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B361812" w14:textId="77777777" w:rsidR="00115458" w:rsidRPr="000A08A4" w:rsidRDefault="00115458" w:rsidP="006A5E27">
            <w:pPr>
              <w:spacing w:after="0" w:line="240" w:lineRule="auto"/>
              <w:rPr>
                <w:rFonts w:cs="Arial"/>
              </w:rPr>
            </w:pPr>
            <w:r w:rsidRPr="006A5E27">
              <w:rPr>
                <w:rFonts w:cs="Arial"/>
              </w:rPr>
              <w:t>Supplementary income payment type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5465624" w14:textId="77777777" w:rsidR="00115458" w:rsidRPr="000A08A4" w:rsidRDefault="00115458" w:rsidP="006A5E27">
            <w:pPr>
              <w:spacing w:after="0" w:line="240" w:lineRule="auto"/>
              <w:rPr>
                <w:rFonts w:cs="Arial"/>
              </w:rPr>
            </w:pPr>
            <w:r w:rsidRPr="006A5E27">
              <w:rPr>
                <w:rFonts w:cs="Arial"/>
              </w:rPr>
              <w:t>UTD</w:t>
            </w:r>
          </w:p>
        </w:tc>
      </w:tr>
      <w:tr w:rsidR="00115458" w:rsidRPr="000A08A4" w14:paraId="4B3D4F8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0AE21E" w14:textId="77777777" w:rsidR="00115458" w:rsidRPr="000A08A4" w:rsidRDefault="00115458" w:rsidP="006A5E27">
            <w:pPr>
              <w:spacing w:after="0" w:line="240" w:lineRule="auto"/>
              <w:rPr>
                <w:rFonts w:cs="Arial"/>
              </w:rPr>
            </w:pPr>
            <w:r w:rsidRPr="006A5E27">
              <w:rPr>
                <w:rFonts w:cs="Arial"/>
              </w:rPr>
              <w:t>9.111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91998E" w14:textId="77777777" w:rsidR="00115458" w:rsidRPr="000A08A4" w:rsidRDefault="00115458" w:rsidP="006A5E27">
            <w:pPr>
              <w:spacing w:after="0" w:line="240" w:lineRule="auto"/>
              <w:rPr>
                <w:rFonts w:cs="Arial"/>
              </w:rPr>
            </w:pPr>
            <w:r w:rsidRPr="006A5E27">
              <w:rPr>
                <w:rFonts w:cs="Arial"/>
              </w:rPr>
              <w:t>Sequence number of DACCSUPP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BBC8B6B" w14:textId="77777777" w:rsidR="00115458" w:rsidRPr="000A08A4" w:rsidRDefault="00115458" w:rsidP="006A5E27">
            <w:pPr>
              <w:spacing w:after="0" w:line="240" w:lineRule="auto"/>
              <w:rPr>
                <w:rFonts w:cs="Arial"/>
              </w:rPr>
            </w:pPr>
            <w:r w:rsidRPr="006A5E27">
              <w:rPr>
                <w:rFonts w:cs="Arial"/>
              </w:rPr>
              <w:t>01</w:t>
            </w:r>
          </w:p>
        </w:tc>
      </w:tr>
      <w:tr w:rsidR="00115458" w:rsidRPr="000A08A4" w14:paraId="16D4DF9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1FD438" w14:textId="77777777" w:rsidR="00115458" w:rsidRPr="000A08A4" w:rsidRDefault="00115458" w:rsidP="006A5E27">
            <w:pPr>
              <w:spacing w:after="0" w:line="240" w:lineRule="auto"/>
              <w:rPr>
                <w:rFonts w:cs="Arial"/>
              </w:rPr>
            </w:pPr>
            <w:r w:rsidRPr="006A5E27">
              <w:rPr>
                <w:rFonts w:cs="Arial"/>
              </w:rPr>
              <w:t>9.119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21D1F58" w14:textId="77777777" w:rsidR="00115458" w:rsidRPr="000A08A4" w:rsidRDefault="00115458" w:rsidP="006A5E27">
            <w:pPr>
              <w:spacing w:after="0" w:line="240" w:lineRule="auto"/>
              <w:rPr>
                <w:rFonts w:cs="Arial"/>
              </w:rPr>
            </w:pPr>
            <w:r w:rsidRPr="006A5E27">
              <w:rPr>
                <w:rFonts w:cs="Arial"/>
              </w:rPr>
              <w:t>Unfranked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24832E2" w14:textId="77777777" w:rsidR="00115458" w:rsidRPr="000A08A4" w:rsidRDefault="00115458" w:rsidP="006A5E27">
            <w:pPr>
              <w:spacing w:after="0" w:line="240" w:lineRule="auto"/>
              <w:rPr>
                <w:rFonts w:cs="Arial"/>
              </w:rPr>
            </w:pPr>
            <w:r w:rsidRPr="006A5E27">
              <w:rPr>
                <w:rFonts w:cs="Arial"/>
              </w:rPr>
              <w:t>000000280000</w:t>
            </w:r>
          </w:p>
        </w:tc>
      </w:tr>
      <w:tr w:rsidR="00115458" w:rsidRPr="000A08A4" w14:paraId="60B5B52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3A73B" w14:textId="77777777" w:rsidR="00115458" w:rsidRPr="000A08A4" w:rsidRDefault="00115458" w:rsidP="006A5E27">
            <w:pPr>
              <w:spacing w:after="0" w:line="240" w:lineRule="auto"/>
              <w:rPr>
                <w:rFonts w:cs="Arial"/>
              </w:rPr>
            </w:pPr>
            <w:r w:rsidRPr="006A5E27">
              <w:rPr>
                <w:rFonts w:cs="Arial"/>
              </w:rPr>
              <w:t>9.120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E8385C8" w14:textId="77777777" w:rsidR="00115458" w:rsidRPr="000A08A4" w:rsidRDefault="00115458" w:rsidP="006A5E27">
            <w:pPr>
              <w:spacing w:after="0" w:line="240" w:lineRule="auto"/>
              <w:rPr>
                <w:rFonts w:cs="Arial"/>
              </w:rPr>
            </w:pPr>
            <w:r w:rsidRPr="006A5E27">
              <w:rPr>
                <w:rFonts w:cs="Arial"/>
              </w:rPr>
              <w:t>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6B03387" w14:textId="77777777" w:rsidR="00115458" w:rsidRPr="000A08A4" w:rsidRDefault="00115458" w:rsidP="006A5E27">
            <w:pPr>
              <w:spacing w:after="0" w:line="240" w:lineRule="auto"/>
              <w:rPr>
                <w:rFonts w:cs="Arial"/>
              </w:rPr>
            </w:pPr>
            <w:r w:rsidRPr="006A5E27">
              <w:rPr>
                <w:rFonts w:cs="Arial"/>
              </w:rPr>
              <w:t>000000457100</w:t>
            </w:r>
          </w:p>
        </w:tc>
      </w:tr>
    </w:tbl>
    <w:p w14:paraId="35F2B331" w14:textId="77777777" w:rsidR="00115458" w:rsidRPr="0028338D" w:rsidRDefault="00115458" w:rsidP="006A5E27">
      <w:pPr>
        <w:spacing w:after="0" w:line="240" w:lineRule="auto"/>
        <w:rPr>
          <w:i/>
          <w:color w:val="000000"/>
          <w:sz w:val="18"/>
        </w:rPr>
      </w:pPr>
      <w:r w:rsidRPr="0028338D">
        <w:rPr>
          <w:iCs/>
          <w:color w:val="000000"/>
          <w:sz w:val="18"/>
        </w:rPr>
        <w:t>An</w:t>
      </w:r>
      <w:r w:rsidRPr="0028338D">
        <w:rPr>
          <w:i/>
          <w:color w:val="000000"/>
          <w:sz w:val="18"/>
        </w:rPr>
        <w:t xml:space="preserve"> Investor data record is required following the Supplementary income account data record </w:t>
      </w:r>
    </w:p>
    <w:p w14:paraId="3AD13079" w14:textId="07CF9970" w:rsidR="00115458" w:rsidRPr="005309FC" w:rsidRDefault="00115458" w:rsidP="00115458">
      <w:pPr>
        <w:pStyle w:val="Heading2"/>
      </w:pPr>
      <w:bookmarkStart w:id="1663" w:name="_Toc448311528"/>
      <w:bookmarkStart w:id="1664" w:name="_Toc232191353"/>
      <w:r w:rsidRPr="005309FC">
        <w:t xml:space="preserve">What can be included in a </w:t>
      </w:r>
      <w:bookmarkEnd w:id="1663"/>
      <w:r w:rsidR="004A5DA4">
        <w:t>t</w:t>
      </w:r>
      <w:r w:rsidRPr="005309FC">
        <w:t xml:space="preserve">rust </w:t>
      </w:r>
      <w:r w:rsidR="004A5DA4">
        <w:t>d</w:t>
      </w:r>
      <w:r w:rsidRPr="005309FC">
        <w:t>istribution</w:t>
      </w:r>
      <w:bookmarkEnd w:id="1664"/>
      <w:r>
        <w:t xml:space="preserve"> </w:t>
      </w:r>
    </w:p>
    <w:p w14:paraId="063D6B5A" w14:textId="77777777" w:rsidR="00115458" w:rsidRPr="004A5DA4" w:rsidRDefault="00115458" w:rsidP="004A5DA4">
      <w:pPr>
        <w:spacing w:after="0" w:line="240" w:lineRule="auto"/>
        <w:rPr>
          <w:rFonts w:cs="Arial"/>
        </w:rPr>
      </w:pPr>
      <w:r w:rsidRPr="004A5DA4">
        <w:rPr>
          <w:rFonts w:cs="Arial"/>
        </w:rPr>
        <w:t>As well as assessable net Australian income, distributions can include:</w:t>
      </w:r>
    </w:p>
    <w:p w14:paraId="7D4C038E" w14:textId="77777777" w:rsidR="00115458" w:rsidRPr="004A5DA4" w:rsidRDefault="00115458" w:rsidP="004A5DA4">
      <w:pPr>
        <w:spacing w:after="0" w:line="240" w:lineRule="auto"/>
        <w:rPr>
          <w:rFonts w:cs="Arial"/>
        </w:rPr>
      </w:pPr>
    </w:p>
    <w:p w14:paraId="683150B3" w14:textId="77777777" w:rsidR="00115458" w:rsidRPr="004A5DA4" w:rsidRDefault="00115458" w:rsidP="001601AF">
      <w:pPr>
        <w:pStyle w:val="ListParagraph"/>
        <w:numPr>
          <w:ilvl w:val="1"/>
          <w:numId w:val="36"/>
        </w:numPr>
        <w:spacing w:after="0" w:line="240" w:lineRule="auto"/>
        <w:rPr>
          <w:rFonts w:cs="Arial"/>
        </w:rPr>
      </w:pPr>
      <w:r w:rsidRPr="004A5DA4">
        <w:rPr>
          <w:rFonts w:cs="Arial"/>
        </w:rPr>
        <w:t>capital gains</w:t>
      </w:r>
    </w:p>
    <w:p w14:paraId="46F1D571" w14:textId="77777777" w:rsidR="00115458" w:rsidRPr="004A5DA4" w:rsidRDefault="00115458" w:rsidP="001601AF">
      <w:pPr>
        <w:pStyle w:val="ListParagraph"/>
        <w:numPr>
          <w:ilvl w:val="1"/>
          <w:numId w:val="36"/>
        </w:numPr>
        <w:spacing w:after="0" w:line="240" w:lineRule="auto"/>
        <w:rPr>
          <w:rFonts w:cs="Arial"/>
        </w:rPr>
      </w:pPr>
      <w:r w:rsidRPr="004A5DA4">
        <w:rPr>
          <w:rFonts w:cs="Arial"/>
        </w:rPr>
        <w:t>foreign source income</w:t>
      </w:r>
    </w:p>
    <w:p w14:paraId="469637E7" w14:textId="77777777" w:rsidR="00115458" w:rsidRPr="004A5DA4" w:rsidRDefault="00115458" w:rsidP="001601AF">
      <w:pPr>
        <w:pStyle w:val="ListParagraph"/>
        <w:numPr>
          <w:ilvl w:val="1"/>
          <w:numId w:val="36"/>
        </w:numPr>
        <w:spacing w:after="0" w:line="240" w:lineRule="auto"/>
        <w:rPr>
          <w:rFonts w:cs="Arial"/>
        </w:rPr>
      </w:pPr>
      <w:r w:rsidRPr="004A5DA4">
        <w:rPr>
          <w:rFonts w:cs="Arial"/>
        </w:rPr>
        <w:t xml:space="preserve">foreign tax credits </w:t>
      </w:r>
    </w:p>
    <w:p w14:paraId="0BEB6952" w14:textId="77777777" w:rsidR="00115458" w:rsidRPr="004A5DA4" w:rsidRDefault="00115458" w:rsidP="001601AF">
      <w:pPr>
        <w:pStyle w:val="ListParagraph"/>
        <w:numPr>
          <w:ilvl w:val="1"/>
          <w:numId w:val="36"/>
        </w:numPr>
        <w:spacing w:after="0" w:line="240" w:lineRule="auto"/>
        <w:rPr>
          <w:rFonts w:cs="Arial"/>
        </w:rPr>
      </w:pPr>
      <w:r w:rsidRPr="004A5DA4">
        <w:rPr>
          <w:rFonts w:cs="Arial"/>
        </w:rPr>
        <w:t>tax exempted, tax-free and tax-deferred amounts. Tax exempted and tax-deferred amounts are not reported by AMITs but may be included in calculating cost base adjustments.</w:t>
      </w:r>
    </w:p>
    <w:p w14:paraId="61341E71" w14:textId="77777777" w:rsidR="00115458" w:rsidRPr="004A5DA4" w:rsidRDefault="00115458" w:rsidP="004A5DA4">
      <w:pPr>
        <w:spacing w:after="0" w:line="240" w:lineRule="auto"/>
        <w:rPr>
          <w:rFonts w:cs="Arial"/>
        </w:rPr>
      </w:pPr>
      <w:r w:rsidRPr="004A5DA4">
        <w:rPr>
          <w:rFonts w:cs="Arial"/>
        </w:rPr>
        <w:t xml:space="preserve"> </w:t>
      </w:r>
    </w:p>
    <w:p w14:paraId="2780C2F9" w14:textId="395E8DDB" w:rsidR="00115458" w:rsidRDefault="00115458" w:rsidP="00D50A89">
      <w:pPr>
        <w:spacing w:after="0" w:line="240" w:lineRule="auto"/>
        <w:rPr>
          <w:rFonts w:cs="Arial"/>
        </w:rPr>
      </w:pPr>
      <w:r w:rsidRPr="004A5DA4">
        <w:rPr>
          <w:rFonts w:cs="Arial"/>
        </w:rPr>
        <w:t>Generally an expense should first be offset against the income item that best represents the expense incurred. If the expense exceeds the income then the balance should be offset against other income items on a reasonable basis. Should the expense exceed all income items, then any excess can be offset against a capital gain (if any). If the expense cannot be matched against an item of income, for example, an administrative expense in managing the investment, then the expense should be apportioned against all income items on a reasonable basis.</w:t>
      </w:r>
    </w:p>
    <w:p w14:paraId="7B74D7A8" w14:textId="77777777" w:rsidR="00D50A89" w:rsidRPr="004A5DA4" w:rsidRDefault="00D50A89" w:rsidP="00D50A89">
      <w:pPr>
        <w:spacing w:after="0" w:line="240" w:lineRule="auto"/>
        <w:rPr>
          <w:rFonts w:cs="Arial"/>
        </w:rPr>
      </w:pPr>
    </w:p>
    <w:p w14:paraId="11C48FD8" w14:textId="61B8EAF8" w:rsidR="00115458" w:rsidRDefault="00115458" w:rsidP="00D50A89">
      <w:pPr>
        <w:pStyle w:val="Heading3"/>
        <w:spacing w:before="0" w:after="0" w:line="240" w:lineRule="auto"/>
      </w:pPr>
      <w:bookmarkStart w:id="1665" w:name="_Toc232191354"/>
      <w:r w:rsidRPr="00DB1D67">
        <w:t>Distributions from corporate unit trusts and public trading trusts</w:t>
      </w:r>
      <w:bookmarkEnd w:id="1665"/>
    </w:p>
    <w:p w14:paraId="0E1B1107" w14:textId="77777777" w:rsidR="00D50A89" w:rsidRPr="00D50A89" w:rsidRDefault="00D50A89" w:rsidP="0023547A">
      <w:pPr>
        <w:spacing w:after="0" w:line="240" w:lineRule="auto"/>
      </w:pPr>
    </w:p>
    <w:p w14:paraId="3CCF0C96" w14:textId="77777777" w:rsidR="00115458" w:rsidRPr="00DB1D67" w:rsidRDefault="00115458" w:rsidP="004A5DA4">
      <w:pPr>
        <w:spacing w:after="0" w:line="240" w:lineRule="auto"/>
        <w:rPr>
          <w:rFonts w:cs="Arial"/>
        </w:rPr>
      </w:pPr>
      <w:r w:rsidRPr="03DFB423">
        <w:rPr>
          <w:rFonts w:cs="Arial"/>
        </w:rPr>
        <w:t xml:space="preserve">Corporate unit trusts and public trading trusts, whose distributions to investors are treated as dividends for income tax purposes, should report these amounts at the appropriate dividend amount fields and report </w:t>
      </w:r>
      <w:r w:rsidRPr="03DFB423">
        <w:rPr>
          <w:rFonts w:cs="Arial"/>
          <w:b/>
          <w:bCs/>
        </w:rPr>
        <w:t xml:space="preserve">DIV </w:t>
      </w:r>
      <w:r w:rsidRPr="03DFB423">
        <w:rPr>
          <w:rFonts w:cs="Arial"/>
        </w:rPr>
        <w:t xml:space="preserve">(not AMT or UTD) at the </w:t>
      </w:r>
      <w:r w:rsidRPr="03DFB423">
        <w:rPr>
          <w:rFonts w:cs="Arial"/>
          <w:i/>
          <w:iCs/>
        </w:rPr>
        <w:t>Type of payment</w:t>
      </w:r>
      <w:r w:rsidRPr="03DFB423">
        <w:rPr>
          <w:rFonts w:cs="Arial"/>
        </w:rPr>
        <w:t xml:space="preserve"> (9.72) field.</w:t>
      </w:r>
    </w:p>
    <w:p w14:paraId="6E22BC64" w14:textId="77777777" w:rsidR="00115458" w:rsidRPr="004A5DA4" w:rsidRDefault="00115458" w:rsidP="00115458">
      <w:pPr>
        <w:pStyle w:val="Heading3"/>
        <w:rPr>
          <w:b w:val="0"/>
          <w:bCs/>
        </w:rPr>
      </w:pPr>
      <w:bookmarkStart w:id="1666" w:name="_Toc232191355"/>
      <w:r w:rsidRPr="004A5DA4">
        <w:rPr>
          <w:rStyle w:val="Heading3Char"/>
          <w:b/>
          <w:bCs/>
          <w:iCs/>
        </w:rPr>
        <w:t>Negative amounts cannot be reported in the AIIR</w:t>
      </w:r>
      <w:bookmarkEnd w:id="1666"/>
    </w:p>
    <w:p w14:paraId="45A249BB" w14:textId="77777777" w:rsidR="00115458" w:rsidRDefault="00115458" w:rsidP="004A5DA4">
      <w:pPr>
        <w:spacing w:after="0" w:line="240" w:lineRule="auto"/>
        <w:rPr>
          <w:rFonts w:cs="Arial"/>
        </w:rPr>
      </w:pPr>
      <w:r w:rsidRPr="00DB1D67">
        <w:rPr>
          <w:rFonts w:cs="Arial"/>
        </w:rPr>
        <w:t>If the trust</w:t>
      </w:r>
      <w:r>
        <w:rPr>
          <w:rFonts w:cs="Arial"/>
        </w:rPr>
        <w:t>’s net position is a loss, regardless of whether they are of an income or capital nature, the loss cannot be transferred or distributed to investors. They are effectively ‘quarantined’ or trapped in the trust to be carried forward indefinitely to offset against future net income or net capital gains.</w:t>
      </w:r>
      <w:r w:rsidRPr="00DB1D67">
        <w:rPr>
          <w:rFonts w:cs="Arial"/>
        </w:rPr>
        <w:t xml:space="preserve"> </w:t>
      </w:r>
    </w:p>
    <w:p w14:paraId="7DF35915" w14:textId="77777777" w:rsidR="00115458" w:rsidRPr="00DB1D67" w:rsidRDefault="00115458" w:rsidP="004A5DA4">
      <w:pPr>
        <w:spacing w:after="0" w:line="240" w:lineRule="auto"/>
        <w:rPr>
          <w:rFonts w:cs="Arial"/>
        </w:rPr>
      </w:pPr>
    </w:p>
    <w:p w14:paraId="7BAD65C6" w14:textId="5FBB4A23" w:rsidR="00115458" w:rsidRDefault="00115458" w:rsidP="00D50A89">
      <w:pPr>
        <w:spacing w:after="0" w:line="240" w:lineRule="auto"/>
        <w:rPr>
          <w:rFonts w:cs="Arial"/>
        </w:rPr>
      </w:pPr>
      <w:hyperlink w:anchor="_4._Investor_and" w:history="1">
        <w:r w:rsidRPr="00F81771">
          <w:rPr>
            <w:rStyle w:val="Hyperlink"/>
            <w:rFonts w:cs="Arial"/>
          </w:rPr>
          <w:t>Section 4</w:t>
        </w:r>
      </w:hyperlink>
      <w:r>
        <w:rPr>
          <w:rStyle w:val="Hyperlink"/>
          <w:rFonts w:cs="Arial"/>
        </w:rPr>
        <w:t xml:space="preserve"> – Investor and account reporting </w:t>
      </w:r>
      <w:r w:rsidRPr="00DB1D67">
        <w:rPr>
          <w:rFonts w:cs="Arial"/>
        </w:rPr>
        <w:t>identifies the investment income fields</w:t>
      </w:r>
      <w:r>
        <w:rPr>
          <w:rFonts w:cs="Arial"/>
        </w:rPr>
        <w:t xml:space="preserve"> </w:t>
      </w:r>
      <w:r w:rsidRPr="00DB1D67">
        <w:rPr>
          <w:rFonts w:cs="Arial"/>
        </w:rPr>
        <w:t xml:space="preserve">that are reported </w:t>
      </w:r>
      <w:r>
        <w:rPr>
          <w:rFonts w:cs="Arial"/>
        </w:rPr>
        <w:t xml:space="preserve">by trusts i.e. </w:t>
      </w:r>
      <w:r>
        <w:rPr>
          <w:rFonts w:cs="Arial"/>
          <w:b/>
          <w:bCs/>
        </w:rPr>
        <w:t xml:space="preserve">AMT </w:t>
      </w:r>
      <w:r>
        <w:rPr>
          <w:rFonts w:cs="Arial"/>
        </w:rPr>
        <w:t xml:space="preserve">and </w:t>
      </w:r>
      <w:r w:rsidRPr="00F2044C">
        <w:rPr>
          <w:rFonts w:cs="Arial"/>
          <w:b/>
        </w:rPr>
        <w:t>UTD</w:t>
      </w:r>
      <w:r w:rsidRPr="00DB1D67">
        <w:rPr>
          <w:rFonts w:cs="Arial"/>
        </w:rPr>
        <w:t xml:space="preserve"> payment type. Although repayments of principal can be part of the distribution made to clients, this principal amount is not investment income and should not be reported in the AIIR.</w:t>
      </w:r>
    </w:p>
    <w:p w14:paraId="2F181BE6" w14:textId="77777777" w:rsidR="00D50A89" w:rsidRPr="00DB1D67" w:rsidRDefault="00D50A89" w:rsidP="00D50A89">
      <w:pPr>
        <w:spacing w:after="0" w:line="240" w:lineRule="auto"/>
        <w:rPr>
          <w:rFonts w:cs="Arial"/>
        </w:rPr>
      </w:pPr>
    </w:p>
    <w:p w14:paraId="475FC3A7" w14:textId="77777777" w:rsidR="00115458" w:rsidRDefault="00115458" w:rsidP="0023547A">
      <w:pPr>
        <w:pStyle w:val="Heading2"/>
        <w:spacing w:before="0" w:after="0" w:line="240" w:lineRule="auto"/>
      </w:pPr>
      <w:bookmarkStart w:id="1667" w:name="_Toc448311530"/>
      <w:bookmarkStart w:id="1668" w:name="_Toc232191356"/>
      <w:r>
        <w:t>General Information</w:t>
      </w:r>
      <w:bookmarkEnd w:id="1668"/>
      <w:r>
        <w:t xml:space="preserve"> </w:t>
      </w:r>
      <w:bookmarkEnd w:id="1667"/>
    </w:p>
    <w:p w14:paraId="028F8DAB" w14:textId="77777777" w:rsidR="00D50A89" w:rsidRDefault="00D50A89" w:rsidP="00891524">
      <w:bookmarkStart w:id="1669" w:name="_Toc448311531"/>
    </w:p>
    <w:p w14:paraId="3FE1B46F" w14:textId="392604B6" w:rsidR="00115458" w:rsidRPr="00DB1D67" w:rsidRDefault="00115458" w:rsidP="0023547A">
      <w:pPr>
        <w:pStyle w:val="Heading3"/>
        <w:spacing w:before="0" w:after="0" w:line="240" w:lineRule="auto"/>
      </w:pPr>
      <w:bookmarkStart w:id="1670" w:name="_Toc232191357"/>
      <w:r w:rsidRPr="00DB1D67">
        <w:t>Mandatory requirement</w:t>
      </w:r>
      <w:bookmarkEnd w:id="1669"/>
      <w:r>
        <w:t>s</w:t>
      </w:r>
      <w:bookmarkEnd w:id="1670"/>
      <w:r w:rsidRPr="00DB1D67">
        <w:t xml:space="preserve"> </w:t>
      </w:r>
    </w:p>
    <w:p w14:paraId="3A73574E" w14:textId="77777777" w:rsidR="00D50A89" w:rsidRDefault="00D50A89" w:rsidP="00D50A89">
      <w:pPr>
        <w:spacing w:after="0" w:line="240" w:lineRule="auto"/>
        <w:rPr>
          <w:rFonts w:cs="Arial"/>
        </w:rPr>
      </w:pPr>
    </w:p>
    <w:p w14:paraId="50D3ED33" w14:textId="1519CF95" w:rsidR="00115458" w:rsidRDefault="00115458" w:rsidP="00D50A89">
      <w:pPr>
        <w:spacing w:after="0" w:line="240" w:lineRule="auto"/>
        <w:rPr>
          <w:rFonts w:cs="Arial"/>
        </w:rPr>
      </w:pPr>
      <w:r w:rsidRPr="004A5DA4">
        <w:rPr>
          <w:rFonts w:cs="Arial"/>
        </w:rPr>
        <w:t>All AIIRs that include trust distributions must report:</w:t>
      </w:r>
    </w:p>
    <w:p w14:paraId="1A3D3609" w14:textId="77777777" w:rsidR="00D50A89" w:rsidRPr="004A5DA4" w:rsidRDefault="00D50A89" w:rsidP="00D50A89">
      <w:pPr>
        <w:spacing w:after="0" w:line="240" w:lineRule="auto"/>
        <w:rPr>
          <w:rFonts w:cs="Arial"/>
        </w:rPr>
      </w:pPr>
    </w:p>
    <w:p w14:paraId="3DE088D4" w14:textId="77777777" w:rsidR="00115458" w:rsidRPr="004A5DA4" w:rsidRDefault="00115458" w:rsidP="00D50A89">
      <w:pPr>
        <w:pStyle w:val="Bullet1"/>
        <w:numPr>
          <w:ilvl w:val="0"/>
          <w:numId w:val="64"/>
        </w:numPr>
        <w:spacing w:before="0" w:after="0"/>
        <w:rPr>
          <w:rFonts w:asciiTheme="minorHAnsi" w:hAnsiTheme="minorHAnsi" w:cs="Arial"/>
          <w:sz w:val="20"/>
          <w:szCs w:val="20"/>
        </w:rPr>
      </w:pPr>
      <w:r w:rsidRPr="004A5DA4">
        <w:rPr>
          <w:rFonts w:asciiTheme="minorHAnsi" w:hAnsiTheme="minorHAnsi" w:cs="Arial"/>
          <w:sz w:val="20"/>
          <w:szCs w:val="20"/>
        </w:rPr>
        <w:t xml:space="preserve">an </w:t>
      </w:r>
      <w:r w:rsidRPr="004A5DA4">
        <w:rPr>
          <w:rFonts w:asciiTheme="minorHAnsi" w:hAnsiTheme="minorHAnsi" w:cs="Arial"/>
          <w:i/>
          <w:sz w:val="20"/>
          <w:szCs w:val="20"/>
        </w:rPr>
        <w:t>Investment account data record</w:t>
      </w:r>
      <w:r w:rsidRPr="004A5DA4">
        <w:rPr>
          <w:rFonts w:asciiTheme="minorHAnsi" w:hAnsiTheme="minorHAnsi" w:cs="Arial"/>
          <w:sz w:val="20"/>
          <w:szCs w:val="20"/>
        </w:rPr>
        <w:t xml:space="preserve"> and</w:t>
      </w:r>
    </w:p>
    <w:p w14:paraId="69EDEFC6" w14:textId="77777777" w:rsidR="00115458" w:rsidRPr="004A5DA4" w:rsidRDefault="00115458" w:rsidP="00D50A89">
      <w:pPr>
        <w:pStyle w:val="Bullet1"/>
        <w:numPr>
          <w:ilvl w:val="0"/>
          <w:numId w:val="64"/>
        </w:numPr>
        <w:spacing w:before="0" w:after="0"/>
        <w:rPr>
          <w:rFonts w:asciiTheme="minorHAnsi" w:hAnsiTheme="minorHAnsi" w:cs="Arial"/>
          <w:sz w:val="20"/>
          <w:szCs w:val="20"/>
        </w:rPr>
      </w:pPr>
      <w:r w:rsidRPr="004A5DA4">
        <w:rPr>
          <w:rFonts w:asciiTheme="minorHAnsi" w:hAnsiTheme="minorHAnsi" w:cs="Arial"/>
          <w:sz w:val="20"/>
          <w:szCs w:val="20"/>
        </w:rPr>
        <w:t>a</w:t>
      </w:r>
      <w:r w:rsidRPr="004A5DA4">
        <w:rPr>
          <w:rFonts w:asciiTheme="minorHAnsi" w:hAnsiTheme="minorHAnsi" w:cs="Arial"/>
          <w:i/>
          <w:sz w:val="20"/>
          <w:szCs w:val="20"/>
        </w:rPr>
        <w:t xml:space="preserve"> </w:t>
      </w:r>
      <w:r w:rsidRPr="004A5DA4">
        <w:rPr>
          <w:rFonts w:asciiTheme="minorHAnsi" w:hAnsiTheme="minorHAnsi" w:cs="Arial"/>
          <w:sz w:val="20"/>
          <w:szCs w:val="20"/>
        </w:rPr>
        <w:t>Supplementary</w:t>
      </w:r>
      <w:r w:rsidRPr="004A5DA4">
        <w:rPr>
          <w:rFonts w:asciiTheme="minorHAnsi" w:hAnsiTheme="minorHAnsi" w:cs="Arial"/>
          <w:i/>
          <w:sz w:val="20"/>
          <w:szCs w:val="20"/>
        </w:rPr>
        <w:t xml:space="preserve"> income account data record</w:t>
      </w:r>
    </w:p>
    <w:p w14:paraId="68147910" w14:textId="77777777" w:rsidR="00115458" w:rsidRPr="004A5DA4" w:rsidRDefault="00115458" w:rsidP="00D50A89">
      <w:pPr>
        <w:pStyle w:val="Bullet1"/>
        <w:spacing w:before="0" w:after="0"/>
        <w:rPr>
          <w:rFonts w:asciiTheme="minorHAnsi" w:hAnsiTheme="minorHAnsi" w:cs="Arial"/>
          <w:sz w:val="20"/>
          <w:szCs w:val="20"/>
        </w:rPr>
      </w:pPr>
    </w:p>
    <w:p w14:paraId="7475377F" w14:textId="77777777" w:rsidR="00115458" w:rsidRPr="004A5DA4" w:rsidRDefault="00115458" w:rsidP="00D50A89">
      <w:pPr>
        <w:spacing w:after="0" w:line="240" w:lineRule="auto"/>
        <w:rPr>
          <w:rFonts w:cs="Arial"/>
        </w:rPr>
      </w:pPr>
      <w:r w:rsidRPr="004A5DA4">
        <w:rPr>
          <w:rFonts w:cs="Arial"/>
        </w:rPr>
        <w:t xml:space="preserve">Details of the various taxable net income and other components of the trust distribution (non-AMIT) are identified by setting the </w:t>
      </w:r>
      <w:r w:rsidRPr="004A5DA4">
        <w:rPr>
          <w:rFonts w:cs="Arial"/>
          <w:i/>
          <w:iCs/>
        </w:rPr>
        <w:t xml:space="preserve">Type of payment </w:t>
      </w:r>
      <w:r w:rsidRPr="004A5DA4">
        <w:rPr>
          <w:rFonts w:cs="Arial"/>
        </w:rPr>
        <w:t xml:space="preserve">(9.72) field to </w:t>
      </w:r>
      <w:r w:rsidRPr="004A5DA4">
        <w:rPr>
          <w:rFonts w:cs="Arial"/>
          <w:b/>
        </w:rPr>
        <w:t>UTD</w:t>
      </w:r>
      <w:r w:rsidRPr="004A5DA4">
        <w:rPr>
          <w:rFonts w:cs="Arial"/>
        </w:rPr>
        <w:t xml:space="preserve"> in the </w:t>
      </w:r>
      <w:r w:rsidRPr="004A5DA4">
        <w:rPr>
          <w:rFonts w:cs="Arial"/>
          <w:i/>
          <w:iCs/>
        </w:rPr>
        <w:t>Investment account data record</w:t>
      </w:r>
      <w:r w:rsidRPr="004A5DA4">
        <w:rPr>
          <w:rFonts w:cs="Arial"/>
        </w:rPr>
        <w:t xml:space="preserve">. Failure to do so is likely to result in discrepancies between amounts reported in the AIIR and amounts declared in investor’s tax returns. </w:t>
      </w:r>
    </w:p>
    <w:p w14:paraId="4FDEF76D" w14:textId="77777777" w:rsidR="00115458" w:rsidRPr="004A5DA4" w:rsidRDefault="00115458" w:rsidP="00D50A89">
      <w:pPr>
        <w:spacing w:after="0" w:line="240" w:lineRule="auto"/>
        <w:rPr>
          <w:rFonts w:cs="Arial"/>
        </w:rPr>
      </w:pPr>
    </w:p>
    <w:p w14:paraId="37C6E6D7" w14:textId="77777777" w:rsidR="00115458" w:rsidRPr="004A5DA4" w:rsidRDefault="00115458" w:rsidP="00D50A89">
      <w:pPr>
        <w:spacing w:after="0" w:line="240" w:lineRule="auto"/>
        <w:rPr>
          <w:rFonts w:cs="Arial"/>
        </w:rPr>
      </w:pPr>
      <w:r w:rsidRPr="004A5DA4">
        <w:rPr>
          <w:rFonts w:cs="Arial"/>
          <w:b/>
        </w:rPr>
        <w:t>Section 8</w:t>
      </w:r>
      <w:r w:rsidRPr="004A5DA4">
        <w:rPr>
          <w:rFonts w:cs="Arial"/>
        </w:rPr>
        <w:t xml:space="preserve"> contains additional information on the alignment between the AIIR, ITR, AMMA and SDS. In </w:t>
      </w:r>
      <w:hyperlink w:anchor="AppendixB" w:history="1">
        <w:r w:rsidRPr="004A5DA4">
          <w:rPr>
            <w:rStyle w:val="Hyperlink"/>
            <w:rFonts w:cs="Arial"/>
          </w:rPr>
          <w:t>Section 13 Appendix B</w:t>
        </w:r>
      </w:hyperlink>
      <w:r w:rsidRPr="004A5DA4">
        <w:rPr>
          <w:rFonts w:cs="Arial"/>
        </w:rPr>
        <w:t xml:space="preserve"> shows the relationship between AIIR account data fields and the ITR. </w:t>
      </w:r>
    </w:p>
    <w:p w14:paraId="6492A291" w14:textId="77777777" w:rsidR="00115458" w:rsidRDefault="00115458" w:rsidP="0023547A">
      <w:pPr>
        <w:spacing w:after="0" w:line="240" w:lineRule="auto"/>
        <w:rPr>
          <w:rFonts w:cs="Arial"/>
          <w:b/>
          <w:bCs/>
        </w:rPr>
      </w:pPr>
    </w:p>
    <w:p w14:paraId="3D95A3CD" w14:textId="77777777" w:rsidR="00D50A89" w:rsidRPr="004A5DA4" w:rsidRDefault="00D50A89" w:rsidP="00D50A89">
      <w:pPr>
        <w:spacing w:after="0" w:line="240" w:lineRule="auto"/>
        <w:rPr>
          <w:rFonts w:cs="Arial"/>
        </w:rPr>
      </w:pPr>
      <w:bookmarkStart w:id="1671" w:name="_Toc448311532"/>
    </w:p>
    <w:p w14:paraId="6873740F" w14:textId="5BF530D5" w:rsidR="00115458" w:rsidRPr="00891524" w:rsidRDefault="00115458" w:rsidP="00D50A89">
      <w:pPr>
        <w:pStyle w:val="Heading4"/>
        <w:spacing w:before="0" w:after="0" w:line="240" w:lineRule="auto"/>
        <w:rPr>
          <w:sz w:val="22"/>
          <w:szCs w:val="22"/>
        </w:rPr>
      </w:pPr>
      <w:r w:rsidRPr="00891524">
        <w:rPr>
          <w:sz w:val="22"/>
          <w:szCs w:val="22"/>
        </w:rPr>
        <w:t>Investment body identity data record fields</w:t>
      </w:r>
    </w:p>
    <w:p w14:paraId="685F4ACC" w14:textId="77777777" w:rsidR="00D50A89" w:rsidRPr="004B532C" w:rsidRDefault="00D50A89" w:rsidP="00891524"/>
    <w:p w14:paraId="3038460E" w14:textId="77777777" w:rsidR="00115458" w:rsidRPr="004A5DA4" w:rsidRDefault="00115458" w:rsidP="00D50A89">
      <w:pPr>
        <w:spacing w:after="0" w:line="240" w:lineRule="auto"/>
        <w:rPr>
          <w:b/>
        </w:rPr>
      </w:pPr>
      <w:r w:rsidRPr="004A5DA4">
        <w:rPr>
          <w:b/>
        </w:rPr>
        <w:t>Investment body entity sub-type code (9.49)</w:t>
      </w:r>
    </w:p>
    <w:p w14:paraId="5E67D2E0" w14:textId="77777777" w:rsidR="00B962D8" w:rsidRDefault="00115458" w:rsidP="004A5DA4">
      <w:pPr>
        <w:spacing w:after="0" w:line="240" w:lineRule="auto"/>
        <w:rPr>
          <w:rFonts w:cs="Arial"/>
        </w:rPr>
      </w:pPr>
      <w:r w:rsidRPr="004A5DA4">
        <w:rPr>
          <w:rFonts w:cs="Arial"/>
        </w:rPr>
        <w:t xml:space="preserve">Although all investment bodies are required to complete the </w:t>
      </w:r>
      <w:r w:rsidRPr="004A5DA4">
        <w:rPr>
          <w:rFonts w:cs="Arial"/>
          <w:i/>
        </w:rPr>
        <w:t xml:space="preserve">Investment body entity type code </w:t>
      </w:r>
      <w:r w:rsidRPr="004A5DA4">
        <w:rPr>
          <w:rFonts w:cs="Arial"/>
        </w:rPr>
        <w:t xml:space="preserve">(9.48) field, trusts are also required to complete the </w:t>
      </w:r>
      <w:r w:rsidRPr="004A5DA4">
        <w:rPr>
          <w:rFonts w:cs="Arial"/>
          <w:i/>
        </w:rPr>
        <w:t xml:space="preserve">Investment body entity sub-type code </w:t>
      </w:r>
      <w:r w:rsidRPr="004A5DA4">
        <w:rPr>
          <w:rFonts w:cs="Arial"/>
        </w:rPr>
        <w:t>(9.49) field. Valid sub-type codes are:</w:t>
      </w:r>
    </w:p>
    <w:p w14:paraId="7A39904C" w14:textId="77777777" w:rsidR="00F03729" w:rsidRDefault="00F03729" w:rsidP="004A5DA4">
      <w:pPr>
        <w:spacing w:after="0" w:line="240" w:lineRule="auto"/>
        <w:rPr>
          <w:rFonts w:cs="Arial"/>
        </w:rPr>
      </w:pPr>
    </w:p>
    <w:p w14:paraId="7098FF3A" w14:textId="77777777" w:rsidR="00F53D1E" w:rsidRPr="00B61D89" w:rsidRDefault="00F53D1E" w:rsidP="00B61D89">
      <w:pPr>
        <w:pStyle w:val="Bullet1"/>
        <w:numPr>
          <w:ilvl w:val="0"/>
          <w:numId w:val="80"/>
        </w:numPr>
        <w:spacing w:before="0" w:after="0"/>
        <w:rPr>
          <w:rFonts w:asciiTheme="minorHAnsi" w:hAnsiTheme="minorHAnsi" w:cs="Arial"/>
          <w:b/>
          <w:sz w:val="20"/>
          <w:szCs w:val="20"/>
        </w:rPr>
      </w:pPr>
      <w:r w:rsidRPr="00B61D89">
        <w:rPr>
          <w:rFonts w:asciiTheme="minorHAnsi" w:hAnsiTheme="minorHAnsi" w:cs="Arial"/>
          <w:b/>
          <w:sz w:val="20"/>
          <w:szCs w:val="20"/>
        </w:rPr>
        <w:t xml:space="preserve">AMI – </w:t>
      </w:r>
      <w:r w:rsidRPr="00242D46">
        <w:rPr>
          <w:rFonts w:asciiTheme="minorHAnsi" w:hAnsiTheme="minorHAnsi" w:cs="Arial"/>
          <w:bCs/>
          <w:sz w:val="20"/>
          <w:szCs w:val="20"/>
        </w:rPr>
        <w:t>Attribution Managed Investment Trust</w:t>
      </w:r>
    </w:p>
    <w:p w14:paraId="79E4626C" w14:textId="58767344" w:rsidR="00115458" w:rsidRPr="00B61D89" w:rsidRDefault="00F53D1E" w:rsidP="00B61D89">
      <w:pPr>
        <w:pStyle w:val="Bullet1"/>
        <w:numPr>
          <w:ilvl w:val="0"/>
          <w:numId w:val="80"/>
        </w:numPr>
        <w:spacing w:before="0" w:after="0"/>
        <w:rPr>
          <w:rFonts w:asciiTheme="minorHAnsi" w:hAnsiTheme="minorHAnsi" w:cs="Arial"/>
          <w:b/>
          <w:sz w:val="20"/>
          <w:szCs w:val="20"/>
        </w:rPr>
      </w:pPr>
      <w:r w:rsidRPr="00B61D89">
        <w:rPr>
          <w:rFonts w:asciiTheme="minorHAnsi" w:hAnsiTheme="minorHAnsi" w:cs="Arial"/>
          <w:b/>
          <w:sz w:val="20"/>
          <w:szCs w:val="20"/>
        </w:rPr>
        <w:t xml:space="preserve">CSF – </w:t>
      </w:r>
      <w:r w:rsidRPr="00242D46">
        <w:rPr>
          <w:rFonts w:asciiTheme="minorHAnsi" w:hAnsiTheme="minorHAnsi" w:cs="Arial"/>
          <w:bCs/>
          <w:sz w:val="20"/>
          <w:szCs w:val="20"/>
        </w:rPr>
        <w:t>Attribution CCIV sub-fund trust</w:t>
      </w:r>
    </w:p>
    <w:p w14:paraId="49A0B32F" w14:textId="77777777" w:rsidR="00115458" w:rsidRPr="004A5DA4" w:rsidRDefault="00115458" w:rsidP="001601AF">
      <w:pPr>
        <w:pStyle w:val="Bullet1"/>
        <w:numPr>
          <w:ilvl w:val="0"/>
          <w:numId w:val="80"/>
        </w:numPr>
        <w:spacing w:before="0" w:after="0"/>
        <w:rPr>
          <w:rFonts w:asciiTheme="minorHAnsi" w:hAnsiTheme="minorHAnsi" w:cs="Arial"/>
          <w:sz w:val="20"/>
          <w:szCs w:val="20"/>
        </w:rPr>
      </w:pPr>
      <w:bookmarkStart w:id="1672" w:name="d7_049"/>
      <w:bookmarkEnd w:id="1672"/>
      <w:r w:rsidRPr="004A5DA4">
        <w:rPr>
          <w:rFonts w:asciiTheme="minorHAnsi" w:hAnsiTheme="minorHAnsi" w:cs="Arial"/>
          <w:b/>
          <w:sz w:val="20"/>
          <w:szCs w:val="20"/>
        </w:rPr>
        <w:t>IDP</w:t>
      </w:r>
      <w:r w:rsidRPr="004A5DA4">
        <w:rPr>
          <w:rFonts w:asciiTheme="minorHAnsi" w:hAnsiTheme="minorHAnsi" w:cs="Arial"/>
          <w:sz w:val="20"/>
          <w:szCs w:val="20"/>
        </w:rPr>
        <w:t xml:space="preserve"> – Investor directed portfolio service</w:t>
      </w:r>
    </w:p>
    <w:p w14:paraId="0197E935" w14:textId="178E1907" w:rsidR="0067396D" w:rsidRPr="004A5DA4" w:rsidRDefault="0067396D" w:rsidP="001601AF">
      <w:pPr>
        <w:pStyle w:val="Bullet1"/>
        <w:numPr>
          <w:ilvl w:val="0"/>
          <w:numId w:val="80"/>
        </w:numPr>
        <w:spacing w:before="0" w:after="0"/>
        <w:rPr>
          <w:rFonts w:asciiTheme="minorHAnsi" w:hAnsiTheme="minorHAnsi" w:cs="Arial"/>
          <w:sz w:val="20"/>
          <w:szCs w:val="20"/>
        </w:rPr>
      </w:pPr>
      <w:r>
        <w:rPr>
          <w:rFonts w:asciiTheme="minorHAnsi" w:hAnsiTheme="minorHAnsi" w:cs="Arial"/>
          <w:b/>
          <w:sz w:val="20"/>
          <w:szCs w:val="20"/>
        </w:rPr>
        <w:t>NCF</w:t>
      </w:r>
      <w:r>
        <w:rPr>
          <w:rFonts w:asciiTheme="minorHAnsi" w:hAnsiTheme="minorHAnsi" w:cs="Arial"/>
          <w:bCs/>
          <w:sz w:val="20"/>
          <w:szCs w:val="20"/>
        </w:rPr>
        <w:t xml:space="preserve"> – CCIV sub-fund trust that is not an Attribution CCIV sub-fund trust</w:t>
      </w:r>
    </w:p>
    <w:p w14:paraId="3506E5EC" w14:textId="77777777" w:rsidR="00115458" w:rsidRPr="004A5DA4" w:rsidRDefault="00115458" w:rsidP="001601AF">
      <w:pPr>
        <w:pStyle w:val="Bullet1"/>
        <w:numPr>
          <w:ilvl w:val="0"/>
          <w:numId w:val="80"/>
        </w:numPr>
        <w:spacing w:before="0" w:after="0"/>
        <w:rPr>
          <w:rFonts w:asciiTheme="minorHAnsi" w:hAnsiTheme="minorHAnsi" w:cs="Arial"/>
          <w:sz w:val="20"/>
          <w:szCs w:val="20"/>
        </w:rPr>
      </w:pPr>
      <w:r w:rsidRPr="004A5DA4">
        <w:rPr>
          <w:rFonts w:asciiTheme="minorHAnsi" w:hAnsiTheme="minorHAnsi" w:cs="Arial"/>
          <w:b/>
          <w:sz w:val="20"/>
          <w:szCs w:val="20"/>
        </w:rPr>
        <w:t>NMT</w:t>
      </w:r>
      <w:r w:rsidRPr="004A5DA4">
        <w:rPr>
          <w:rFonts w:asciiTheme="minorHAnsi" w:hAnsiTheme="minorHAnsi" w:cs="Arial"/>
          <w:sz w:val="20"/>
          <w:szCs w:val="20"/>
        </w:rPr>
        <w:t xml:space="preserve"> – Managed investment trust that is not an AMIT </w:t>
      </w:r>
    </w:p>
    <w:p w14:paraId="64AF4C06" w14:textId="77777777" w:rsidR="00115458" w:rsidRPr="004A5DA4" w:rsidRDefault="00115458" w:rsidP="001601AF">
      <w:pPr>
        <w:pStyle w:val="Bullet1"/>
        <w:numPr>
          <w:ilvl w:val="0"/>
          <w:numId w:val="80"/>
        </w:numPr>
        <w:spacing w:before="0" w:after="0"/>
        <w:rPr>
          <w:rFonts w:asciiTheme="minorHAnsi" w:hAnsiTheme="minorHAnsi" w:cs="Arial"/>
          <w:sz w:val="20"/>
          <w:szCs w:val="20"/>
        </w:rPr>
      </w:pPr>
      <w:r w:rsidRPr="004A5DA4">
        <w:rPr>
          <w:rFonts w:asciiTheme="minorHAnsi" w:hAnsiTheme="minorHAnsi" w:cs="Arial"/>
          <w:b/>
          <w:sz w:val="20"/>
          <w:szCs w:val="20"/>
        </w:rPr>
        <w:t>NOM</w:t>
      </w:r>
      <w:r w:rsidRPr="004A5DA4">
        <w:rPr>
          <w:rFonts w:asciiTheme="minorHAnsi" w:hAnsiTheme="minorHAnsi" w:cs="Arial"/>
          <w:sz w:val="20"/>
          <w:szCs w:val="20"/>
        </w:rPr>
        <w:t xml:space="preserve"> – Nominee – bare trust other than an Investor directed portfolio service</w:t>
      </w:r>
    </w:p>
    <w:p w14:paraId="34047259" w14:textId="77777777" w:rsidR="00115458" w:rsidRPr="004A5DA4" w:rsidRDefault="00115458" w:rsidP="001601AF">
      <w:pPr>
        <w:pStyle w:val="Bullet1"/>
        <w:numPr>
          <w:ilvl w:val="0"/>
          <w:numId w:val="80"/>
        </w:numPr>
        <w:spacing w:before="0" w:after="0"/>
        <w:rPr>
          <w:rFonts w:asciiTheme="minorHAnsi" w:hAnsiTheme="minorHAnsi" w:cs="Arial"/>
          <w:sz w:val="20"/>
          <w:szCs w:val="20"/>
        </w:rPr>
      </w:pPr>
      <w:r w:rsidRPr="004A5DA4">
        <w:rPr>
          <w:rFonts w:asciiTheme="minorHAnsi" w:hAnsiTheme="minorHAnsi" w:cs="Arial"/>
          <w:b/>
          <w:sz w:val="20"/>
          <w:szCs w:val="20"/>
        </w:rPr>
        <w:t>TOT</w:t>
      </w:r>
      <w:r w:rsidRPr="004A5DA4">
        <w:rPr>
          <w:rFonts w:asciiTheme="minorHAnsi" w:hAnsiTheme="minorHAnsi" w:cs="Arial"/>
          <w:sz w:val="20"/>
          <w:szCs w:val="20"/>
        </w:rPr>
        <w:t xml:space="preserve"> – Other trusts </w:t>
      </w:r>
    </w:p>
    <w:p w14:paraId="29A396F3" w14:textId="77777777" w:rsidR="00115458" w:rsidRDefault="00115458" w:rsidP="00115458">
      <w:pPr>
        <w:pStyle w:val="Heading3"/>
      </w:pPr>
      <w:bookmarkStart w:id="1673" w:name="_Toc232191358"/>
      <w:r>
        <w:t>Conditional requirements</w:t>
      </w:r>
      <w:bookmarkEnd w:id="1673"/>
    </w:p>
    <w:p w14:paraId="03E2C139" w14:textId="77777777" w:rsidR="00115458" w:rsidRPr="0023547A" w:rsidRDefault="00115458" w:rsidP="00115458">
      <w:pPr>
        <w:pStyle w:val="Maintext"/>
        <w:rPr>
          <w:rFonts w:asciiTheme="minorHAnsi" w:hAnsiTheme="minorHAnsi"/>
          <w:sz w:val="20"/>
          <w:szCs w:val="20"/>
        </w:rPr>
      </w:pPr>
      <w:r w:rsidRPr="0023547A">
        <w:rPr>
          <w:rFonts w:asciiTheme="minorHAnsi" w:hAnsiTheme="minorHAnsi"/>
          <w:sz w:val="20"/>
          <w:szCs w:val="20"/>
        </w:rPr>
        <w:t>Additional information has been provided for fields that may require more explanation than the information provided in the specifications.</w:t>
      </w:r>
    </w:p>
    <w:p w14:paraId="2D1B4C20" w14:textId="77777777" w:rsidR="00115458" w:rsidRPr="00891524" w:rsidRDefault="00115458" w:rsidP="00115458">
      <w:pPr>
        <w:pStyle w:val="Heading4"/>
        <w:rPr>
          <w:sz w:val="22"/>
          <w:szCs w:val="22"/>
        </w:rPr>
      </w:pPr>
      <w:r w:rsidRPr="00891524">
        <w:rPr>
          <w:sz w:val="22"/>
          <w:szCs w:val="22"/>
        </w:rPr>
        <w:t>Investment account data record fields</w:t>
      </w:r>
    </w:p>
    <w:p w14:paraId="0B4425BE" w14:textId="77777777" w:rsidR="00115458" w:rsidRPr="004A5DA4" w:rsidRDefault="00115458" w:rsidP="00115458">
      <w:pPr>
        <w:pStyle w:val="Maintext"/>
        <w:rPr>
          <w:rFonts w:asciiTheme="minorHAnsi" w:hAnsiTheme="minorHAnsi"/>
          <w:sz w:val="20"/>
          <w:szCs w:val="20"/>
        </w:rPr>
      </w:pPr>
      <w:r w:rsidRPr="004A5DA4">
        <w:rPr>
          <w:rStyle w:val="Hyperlink"/>
          <w:rFonts w:asciiTheme="minorHAnsi" w:hAnsiTheme="minorHAnsi" w:cs="Arial"/>
          <w:b/>
          <w:bCs/>
          <w:color w:val="000000" w:themeColor="text1"/>
          <w:szCs w:val="20"/>
          <w:u w:val="none"/>
        </w:rPr>
        <w:t>Non-resident withholding amount deducted</w:t>
      </w:r>
      <w:r w:rsidRPr="004A5DA4">
        <w:rPr>
          <w:rFonts w:asciiTheme="minorHAnsi" w:hAnsiTheme="minorHAnsi"/>
          <w:sz w:val="20"/>
          <w:szCs w:val="20"/>
        </w:rPr>
        <w:t xml:space="preserve"> </w:t>
      </w:r>
      <w:r w:rsidRPr="004A5DA4">
        <w:rPr>
          <w:rFonts w:asciiTheme="minorHAnsi" w:hAnsiTheme="minorHAnsi"/>
          <w:b/>
          <w:sz w:val="20"/>
          <w:szCs w:val="20"/>
        </w:rPr>
        <w:t>(9.76)</w:t>
      </w:r>
      <w:r w:rsidRPr="004A5DA4">
        <w:rPr>
          <w:rFonts w:asciiTheme="minorHAnsi" w:hAnsiTheme="minorHAnsi"/>
          <w:sz w:val="20"/>
          <w:szCs w:val="20"/>
        </w:rPr>
        <w:t xml:space="preserve"> </w:t>
      </w:r>
    </w:p>
    <w:p w14:paraId="5068B3C1" w14:textId="77777777" w:rsidR="00115458" w:rsidRPr="004A5DA4" w:rsidRDefault="00115458" w:rsidP="004A5DA4">
      <w:pPr>
        <w:pStyle w:val="Maintext"/>
        <w:rPr>
          <w:rFonts w:asciiTheme="minorHAnsi" w:hAnsiTheme="minorHAnsi"/>
          <w:sz w:val="20"/>
          <w:szCs w:val="20"/>
        </w:rPr>
      </w:pPr>
      <w:r w:rsidRPr="004A5DA4">
        <w:rPr>
          <w:rFonts w:asciiTheme="minorHAnsi" w:hAnsiTheme="minorHAnsi"/>
          <w:sz w:val="20"/>
          <w:szCs w:val="20"/>
        </w:rPr>
        <w:t>This is the amount withheld, net of non-resident withholding amount refunded.  Reported at this field are amounts withheld from:</w:t>
      </w:r>
    </w:p>
    <w:p w14:paraId="5BC4C2C3" w14:textId="77777777" w:rsidR="00115458" w:rsidRPr="004A5DA4" w:rsidRDefault="00115458" w:rsidP="004A5DA4">
      <w:pPr>
        <w:pStyle w:val="Maintext"/>
        <w:rPr>
          <w:rFonts w:asciiTheme="minorHAnsi" w:hAnsiTheme="minorHAnsi"/>
          <w:sz w:val="20"/>
          <w:szCs w:val="20"/>
        </w:rPr>
      </w:pPr>
    </w:p>
    <w:p w14:paraId="26708FE7" w14:textId="77777777" w:rsidR="00115458" w:rsidRPr="004A5DA4" w:rsidRDefault="00115458" w:rsidP="001601AF">
      <w:pPr>
        <w:pStyle w:val="Maintext"/>
        <w:numPr>
          <w:ilvl w:val="0"/>
          <w:numId w:val="55"/>
        </w:numPr>
        <w:rPr>
          <w:rFonts w:asciiTheme="minorHAnsi" w:hAnsiTheme="minorHAnsi"/>
          <w:sz w:val="20"/>
          <w:szCs w:val="20"/>
        </w:rPr>
      </w:pPr>
      <w:r w:rsidRPr="004A5DA4">
        <w:rPr>
          <w:rFonts w:asciiTheme="minorHAnsi" w:hAnsiTheme="minorHAnsi"/>
          <w:sz w:val="20"/>
          <w:szCs w:val="20"/>
        </w:rPr>
        <w:t>Dividend, interest and royalties, and</w:t>
      </w:r>
    </w:p>
    <w:p w14:paraId="474D5B52" w14:textId="77777777" w:rsidR="00115458" w:rsidRPr="004A5DA4" w:rsidRDefault="00115458" w:rsidP="001601AF">
      <w:pPr>
        <w:pStyle w:val="Maintext"/>
        <w:numPr>
          <w:ilvl w:val="0"/>
          <w:numId w:val="55"/>
        </w:numPr>
        <w:rPr>
          <w:rFonts w:asciiTheme="minorHAnsi" w:hAnsiTheme="minorHAnsi"/>
          <w:sz w:val="20"/>
          <w:szCs w:val="20"/>
        </w:rPr>
      </w:pPr>
      <w:r w:rsidRPr="004A5DA4">
        <w:rPr>
          <w:rFonts w:asciiTheme="minorHAnsi" w:hAnsiTheme="minorHAnsi"/>
          <w:sz w:val="20"/>
          <w:szCs w:val="20"/>
        </w:rPr>
        <w:t xml:space="preserve">NCMI and Excluded NCMI amounts </w:t>
      </w:r>
    </w:p>
    <w:p w14:paraId="75B64D55" w14:textId="0C877B83" w:rsidR="00F472CD" w:rsidRPr="004A5DA4" w:rsidRDefault="00F472CD" w:rsidP="001601AF">
      <w:pPr>
        <w:pStyle w:val="Maintext"/>
        <w:numPr>
          <w:ilvl w:val="0"/>
          <w:numId w:val="55"/>
        </w:numPr>
        <w:rPr>
          <w:rFonts w:asciiTheme="minorHAnsi" w:hAnsiTheme="minorHAnsi"/>
          <w:sz w:val="20"/>
          <w:szCs w:val="20"/>
        </w:rPr>
      </w:pPr>
      <w:r>
        <w:rPr>
          <w:rFonts w:asciiTheme="minorHAnsi" w:hAnsiTheme="minorHAnsi"/>
          <w:sz w:val="20"/>
          <w:szCs w:val="20"/>
        </w:rPr>
        <w:t>BTR Excluded from NCMI amounts</w:t>
      </w:r>
    </w:p>
    <w:p w14:paraId="7DB540C9" w14:textId="77777777" w:rsidR="00115458" w:rsidRPr="004A5DA4" w:rsidRDefault="00115458" w:rsidP="001601AF">
      <w:pPr>
        <w:pStyle w:val="Maintext"/>
        <w:numPr>
          <w:ilvl w:val="0"/>
          <w:numId w:val="55"/>
        </w:numPr>
        <w:rPr>
          <w:rFonts w:asciiTheme="minorHAnsi" w:hAnsiTheme="minorHAnsi"/>
          <w:sz w:val="20"/>
          <w:szCs w:val="20"/>
        </w:rPr>
      </w:pPr>
      <w:r w:rsidRPr="004A5DA4">
        <w:rPr>
          <w:rFonts w:asciiTheme="minorHAnsi" w:hAnsiTheme="minorHAnsi" w:cs="Arial"/>
          <w:sz w:val="20"/>
          <w:szCs w:val="20"/>
        </w:rPr>
        <w:t>Foreign superannuation / pension funds</w:t>
      </w:r>
    </w:p>
    <w:p w14:paraId="2D8363B8" w14:textId="77777777" w:rsidR="00115458" w:rsidRDefault="00115458" w:rsidP="00115458">
      <w:pPr>
        <w:pStyle w:val="Maintext"/>
      </w:pPr>
    </w:p>
    <w:p w14:paraId="249557B2" w14:textId="77777777" w:rsidR="00115458" w:rsidRPr="004A5DA4" w:rsidRDefault="00115458" w:rsidP="004A5DA4">
      <w:pPr>
        <w:pStyle w:val="Maintext"/>
        <w:rPr>
          <w:rStyle w:val="Hyperlink"/>
          <w:rFonts w:asciiTheme="minorHAnsi" w:hAnsiTheme="minorHAnsi" w:cs="Arial"/>
          <w:color w:val="000000" w:themeColor="text1"/>
          <w:szCs w:val="20"/>
          <w:u w:val="none"/>
        </w:rPr>
      </w:pPr>
      <w:r w:rsidRPr="004A5DA4">
        <w:rPr>
          <w:rStyle w:val="Hyperlink"/>
          <w:rFonts w:asciiTheme="minorHAnsi" w:hAnsiTheme="minorHAnsi" w:cs="Arial"/>
          <w:b/>
          <w:bCs/>
          <w:color w:val="000000" w:themeColor="text1"/>
          <w:szCs w:val="20"/>
          <w:u w:val="none"/>
        </w:rPr>
        <w:t xml:space="preserve">Other taxable Australian income (9.84) </w:t>
      </w:r>
    </w:p>
    <w:p w14:paraId="13D71F4C" w14:textId="0D359F8F" w:rsidR="00D50A89" w:rsidRPr="004A5DA4" w:rsidRDefault="00115458" w:rsidP="004A5DA4">
      <w:pPr>
        <w:pStyle w:val="Maintext"/>
        <w:rPr>
          <w:rStyle w:val="Hyperlink"/>
          <w:rFonts w:asciiTheme="minorHAnsi" w:hAnsiTheme="minorHAnsi"/>
          <w:color w:val="000000" w:themeColor="text1"/>
          <w:szCs w:val="22"/>
          <w:u w:val="none"/>
        </w:rPr>
      </w:pPr>
      <w:r w:rsidRPr="004A5DA4">
        <w:rPr>
          <w:rStyle w:val="Hyperlink"/>
          <w:rFonts w:asciiTheme="minorHAnsi" w:hAnsiTheme="minorHAnsi" w:cs="Arial"/>
          <w:color w:val="000000" w:themeColor="text1"/>
          <w:szCs w:val="22"/>
          <w:u w:val="none"/>
        </w:rPr>
        <w:t>This field includes all other taxable Australian income other than interest, unfranked dividends, franked dividends, franked distributions from trust, franking credits and capital gains which are all reported separately in the AIIR. T</w:t>
      </w:r>
      <w:r w:rsidRPr="004A5DA4">
        <w:rPr>
          <w:rStyle w:val="Hyperlink"/>
          <w:rFonts w:asciiTheme="minorHAnsi" w:hAnsiTheme="minorHAnsi"/>
          <w:color w:val="000000" w:themeColor="text1"/>
          <w:u w:val="none"/>
        </w:rPr>
        <w:t>his field must be used in the calculation for non-primary production income</w:t>
      </w:r>
      <w:r w:rsidRPr="004A5DA4">
        <w:rPr>
          <w:rStyle w:val="Hyperlink"/>
          <w:rFonts w:asciiTheme="minorHAnsi" w:hAnsiTheme="minorHAnsi"/>
          <w:color w:val="000000" w:themeColor="text1"/>
          <w:szCs w:val="22"/>
          <w:u w:val="none"/>
        </w:rPr>
        <w:t xml:space="preserve">.  </w:t>
      </w:r>
    </w:p>
    <w:p w14:paraId="3846D5C5" w14:textId="77777777" w:rsidR="00115458" w:rsidRPr="00BE6C02" w:rsidRDefault="00115458" w:rsidP="002B0123">
      <w:pPr>
        <w:pStyle w:val="Maintext"/>
        <w:rPr>
          <w:rFonts w:cs="Arial"/>
          <w:sz w:val="24"/>
        </w:rPr>
      </w:pPr>
    </w:p>
    <w:p w14:paraId="1083C594" w14:textId="77777777" w:rsidR="00115458" w:rsidRPr="002B0123" w:rsidRDefault="00115458" w:rsidP="001601AF">
      <w:pPr>
        <w:pStyle w:val="ListParagraph"/>
        <w:numPr>
          <w:ilvl w:val="0"/>
          <w:numId w:val="56"/>
        </w:numPr>
        <w:spacing w:after="0" w:line="240" w:lineRule="auto"/>
        <w:ind w:left="714" w:hanging="357"/>
        <w:rPr>
          <w:rFonts w:cs="Arial"/>
        </w:rPr>
      </w:pPr>
      <w:r w:rsidRPr="002B0123">
        <w:rPr>
          <w:rFonts w:cs="Arial"/>
        </w:rPr>
        <w:t>Do not include NCMI Non-primary production income and Excluded from NCMI Non-primary income amounts at this field.</w:t>
      </w:r>
    </w:p>
    <w:p w14:paraId="2A3F7E88" w14:textId="77777777" w:rsidR="00115458" w:rsidRPr="002B0123" w:rsidRDefault="00115458" w:rsidP="001601AF">
      <w:pPr>
        <w:pStyle w:val="ListParagraph"/>
        <w:numPr>
          <w:ilvl w:val="0"/>
          <w:numId w:val="56"/>
        </w:numPr>
        <w:spacing w:after="0" w:line="240" w:lineRule="auto"/>
        <w:ind w:left="714" w:hanging="357"/>
        <w:rPr>
          <w:rFonts w:cs="Arial"/>
        </w:rPr>
      </w:pPr>
      <w:r w:rsidRPr="002B0123">
        <w:rPr>
          <w:rFonts w:cs="Arial"/>
        </w:rPr>
        <w:t xml:space="preserve">If you currently include royalties at this field then you may continue to do so or you can report it separately at </w:t>
      </w:r>
      <w:r w:rsidRPr="002B0123">
        <w:rPr>
          <w:rFonts w:cs="Arial"/>
          <w:i/>
        </w:rPr>
        <w:t xml:space="preserve">Royalties </w:t>
      </w:r>
      <w:r w:rsidRPr="002B0123">
        <w:rPr>
          <w:rFonts w:cs="Arial"/>
        </w:rPr>
        <w:t>(9.135) field. Do not report royalties at both fields.</w:t>
      </w:r>
    </w:p>
    <w:p w14:paraId="60E5F0FC" w14:textId="77777777" w:rsidR="00115458" w:rsidRDefault="00115458" w:rsidP="00115458"/>
    <w:p w14:paraId="705ADB9F" w14:textId="77777777" w:rsidR="00115458" w:rsidRDefault="00115458" w:rsidP="002B0123">
      <w:pPr>
        <w:tabs>
          <w:tab w:val="left" w:pos="550"/>
        </w:tabs>
        <w:spacing w:after="0" w:line="240" w:lineRule="auto"/>
        <w:rPr>
          <w:rFonts w:cs="Arial"/>
        </w:rPr>
      </w:pPr>
      <w:r w:rsidRPr="00CE252F">
        <w:rPr>
          <w:rFonts w:cs="Arial"/>
          <w:b/>
          <w:bCs/>
          <w:iCs/>
        </w:rPr>
        <w:t>Non-primary production income</w:t>
      </w:r>
      <w:r w:rsidRPr="00DB1D67">
        <w:rPr>
          <w:rFonts w:cs="Arial"/>
          <w:bCs/>
          <w:iCs/>
        </w:rPr>
        <w:t xml:space="preserve"> </w:t>
      </w:r>
      <w:r w:rsidRPr="00CE252F">
        <w:rPr>
          <w:rFonts w:cs="Arial"/>
          <w:b/>
        </w:rPr>
        <w:t>(</w:t>
      </w:r>
      <w:r>
        <w:rPr>
          <w:rFonts w:cs="Arial"/>
          <w:b/>
        </w:rPr>
        <w:t>9.85</w:t>
      </w:r>
      <w:r w:rsidRPr="00CE252F">
        <w:rPr>
          <w:rFonts w:cs="Arial"/>
          <w:b/>
        </w:rPr>
        <w:t>)</w:t>
      </w:r>
    </w:p>
    <w:p w14:paraId="68A84810" w14:textId="77777777" w:rsidR="00115458" w:rsidRPr="002B0123" w:rsidRDefault="00115458" w:rsidP="002B0123">
      <w:pPr>
        <w:tabs>
          <w:tab w:val="left" w:pos="550"/>
        </w:tabs>
        <w:spacing w:after="0" w:line="240" w:lineRule="auto"/>
        <w:rPr>
          <w:rFonts w:cs="Arial"/>
        </w:rPr>
      </w:pPr>
      <w:r w:rsidRPr="002B0123">
        <w:rPr>
          <w:rFonts w:cs="Arial"/>
        </w:rPr>
        <w:t xml:space="preserve">The amount reported here is the sum of the amounts reported at the following fields:  </w:t>
      </w:r>
    </w:p>
    <w:p w14:paraId="1AE17DD5" w14:textId="77777777" w:rsidR="00115458" w:rsidRPr="002B0123" w:rsidRDefault="00115458" w:rsidP="002B0123">
      <w:pPr>
        <w:tabs>
          <w:tab w:val="left" w:pos="550"/>
        </w:tabs>
        <w:spacing w:after="0" w:line="240" w:lineRule="auto"/>
        <w:rPr>
          <w:rFonts w:cs="Arial"/>
        </w:rPr>
      </w:pPr>
    </w:p>
    <w:p w14:paraId="57A51D0F"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Interest (9.79)</w:t>
      </w:r>
    </w:p>
    <w:p w14:paraId="7458A9A1"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Interest exempt from withholding (9.122)</w:t>
      </w:r>
    </w:p>
    <w:p w14:paraId="087075E2"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 xml:space="preserve">Unfranked distributions from trusts (9.119) </w:t>
      </w:r>
    </w:p>
    <w:p w14:paraId="5D672442"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Other taxable Australian income (9.84)</w:t>
      </w:r>
    </w:p>
    <w:p w14:paraId="58E6EAEA"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NCMI – Non-primary production (9.136)</w:t>
      </w:r>
    </w:p>
    <w:p w14:paraId="2DCF0546" w14:textId="77777777" w:rsidR="00115458" w:rsidRPr="002B0123" w:rsidRDefault="00115458" w:rsidP="001601AF">
      <w:pPr>
        <w:pStyle w:val="Bullet1"/>
        <w:numPr>
          <w:ilvl w:val="0"/>
          <w:numId w:val="65"/>
        </w:numPr>
        <w:spacing w:before="0" w:after="0"/>
        <w:rPr>
          <w:rFonts w:asciiTheme="minorHAnsi" w:hAnsiTheme="minorHAnsi" w:cs="Arial"/>
          <w:sz w:val="20"/>
          <w:szCs w:val="20"/>
        </w:rPr>
      </w:pPr>
      <w:r w:rsidRPr="002B0123">
        <w:rPr>
          <w:rFonts w:asciiTheme="minorHAnsi" w:hAnsiTheme="minorHAnsi" w:cs="Arial"/>
          <w:sz w:val="20"/>
          <w:szCs w:val="20"/>
        </w:rPr>
        <w:t>Excluded from NCMI – Non-primary production (9.138)</w:t>
      </w:r>
    </w:p>
    <w:p w14:paraId="7A0A2857" w14:textId="77777777" w:rsidR="00115458" w:rsidRPr="002B0123" w:rsidRDefault="00115458" w:rsidP="002B0123">
      <w:pPr>
        <w:pStyle w:val="Bullet1"/>
        <w:spacing w:before="0" w:after="0"/>
        <w:rPr>
          <w:rFonts w:asciiTheme="minorHAnsi" w:hAnsiTheme="minorHAnsi" w:cs="Arial"/>
          <w:b/>
          <w:bCs/>
          <w:sz w:val="20"/>
          <w:szCs w:val="20"/>
        </w:rPr>
      </w:pPr>
      <w:r w:rsidRPr="002B0123">
        <w:rPr>
          <w:rFonts w:asciiTheme="minorHAnsi" w:hAnsiTheme="minorHAnsi" w:cs="Arial"/>
          <w:b/>
          <w:bCs/>
          <w:sz w:val="20"/>
          <w:szCs w:val="20"/>
        </w:rPr>
        <w:t>Less</w:t>
      </w:r>
    </w:p>
    <w:p w14:paraId="72BA909B" w14:textId="77777777" w:rsidR="00115458" w:rsidRPr="002B0123" w:rsidRDefault="00115458" w:rsidP="001601AF">
      <w:pPr>
        <w:pStyle w:val="Bullet1"/>
        <w:numPr>
          <w:ilvl w:val="0"/>
          <w:numId w:val="66"/>
        </w:numPr>
        <w:spacing w:before="0" w:after="0"/>
        <w:rPr>
          <w:rFonts w:asciiTheme="minorHAnsi" w:hAnsiTheme="minorHAnsi" w:cs="Arial"/>
          <w:sz w:val="20"/>
          <w:szCs w:val="20"/>
        </w:rPr>
      </w:pPr>
      <w:r w:rsidRPr="002B0123">
        <w:rPr>
          <w:rFonts w:asciiTheme="minorHAnsi" w:hAnsiTheme="minorHAnsi" w:cs="Arial"/>
          <w:sz w:val="20"/>
          <w:szCs w:val="20"/>
        </w:rPr>
        <w:t>Other allowable trust deductions field (9.98) (for non-AMITs only i.e. UTD payment type)</w:t>
      </w:r>
    </w:p>
    <w:p w14:paraId="18CFA697" w14:textId="77777777" w:rsidR="00D50A89" w:rsidRDefault="00D50A89" w:rsidP="002B0123">
      <w:pPr>
        <w:pStyle w:val="Maintext"/>
        <w:rPr>
          <w:rFonts w:asciiTheme="minorHAnsi" w:hAnsiTheme="minorHAnsi"/>
          <w:b/>
          <w:sz w:val="20"/>
          <w:szCs w:val="20"/>
        </w:rPr>
      </w:pPr>
    </w:p>
    <w:p w14:paraId="18041D19" w14:textId="6AC1686A" w:rsidR="00115458" w:rsidRPr="002B0123" w:rsidRDefault="00115458" w:rsidP="002B0123">
      <w:pPr>
        <w:pStyle w:val="Maintext"/>
        <w:rPr>
          <w:rFonts w:asciiTheme="minorHAnsi" w:hAnsiTheme="minorHAnsi"/>
          <w:b/>
          <w:sz w:val="20"/>
          <w:szCs w:val="20"/>
        </w:rPr>
      </w:pPr>
      <w:r w:rsidRPr="002B0123">
        <w:rPr>
          <w:rFonts w:asciiTheme="minorHAnsi" w:hAnsiTheme="minorHAnsi"/>
          <w:b/>
          <w:sz w:val="20"/>
          <w:szCs w:val="20"/>
        </w:rPr>
        <w:t xml:space="preserve">Deductions relating to </w:t>
      </w:r>
      <w:r w:rsidRPr="002B0123">
        <w:rPr>
          <w:rFonts w:asciiTheme="minorHAnsi" w:hAnsiTheme="minorHAnsi"/>
          <w:b/>
          <w:color w:val="000000"/>
          <w:sz w:val="20"/>
          <w:szCs w:val="20"/>
        </w:rPr>
        <w:t>non-primary production</w:t>
      </w:r>
      <w:r w:rsidRPr="002B0123">
        <w:rPr>
          <w:rFonts w:asciiTheme="minorHAnsi" w:hAnsiTheme="minorHAnsi"/>
          <w:b/>
          <w:sz w:val="20"/>
          <w:szCs w:val="20"/>
        </w:rPr>
        <w:t xml:space="preserve"> distributions (9.86)</w:t>
      </w:r>
    </w:p>
    <w:p w14:paraId="70DD133C" w14:textId="77777777" w:rsidR="00115458" w:rsidRPr="002B0123" w:rsidRDefault="00115458" w:rsidP="002B0123">
      <w:pPr>
        <w:spacing w:after="0" w:line="240" w:lineRule="auto"/>
        <w:rPr>
          <w:b/>
        </w:rPr>
      </w:pPr>
      <w:r w:rsidRPr="002B0123">
        <w:t>Only report deductions that are specific to the investor not the trust at this field.</w:t>
      </w:r>
    </w:p>
    <w:p w14:paraId="6C37C5C0" w14:textId="77777777" w:rsidR="00115458" w:rsidRPr="002B0123" w:rsidRDefault="00115458" w:rsidP="002B0123">
      <w:pPr>
        <w:spacing w:after="0" w:line="240" w:lineRule="auto"/>
        <w:rPr>
          <w:b/>
        </w:rPr>
      </w:pPr>
    </w:p>
    <w:p w14:paraId="32AA58C0" w14:textId="77777777" w:rsidR="00115458" w:rsidRPr="002B0123" w:rsidRDefault="00115458" w:rsidP="002B0123">
      <w:pPr>
        <w:spacing w:after="0" w:line="240" w:lineRule="auto"/>
      </w:pPr>
      <w:r w:rsidRPr="002B0123">
        <w:rPr>
          <w:b/>
        </w:rPr>
        <w:t>Exploration credits (9.107)</w:t>
      </w:r>
    </w:p>
    <w:p w14:paraId="4C1B9D48" w14:textId="77777777" w:rsidR="00115458" w:rsidRPr="002B0123" w:rsidRDefault="00115458" w:rsidP="002B0123">
      <w:pPr>
        <w:spacing w:after="0" w:line="240" w:lineRule="auto"/>
      </w:pPr>
      <w:r w:rsidRPr="002B0123">
        <w:t xml:space="preserve">Report amounts at this field that are part of a trust attribution/distribution. </w:t>
      </w:r>
    </w:p>
    <w:p w14:paraId="5A6DC3B2" w14:textId="77777777" w:rsidR="00115458" w:rsidRPr="002B0123" w:rsidRDefault="00115458" w:rsidP="002B0123">
      <w:pPr>
        <w:spacing w:after="0" w:line="240" w:lineRule="auto"/>
      </w:pPr>
    </w:p>
    <w:p w14:paraId="3FF97D20" w14:textId="77777777" w:rsidR="00115458" w:rsidRPr="002B0123" w:rsidRDefault="00115458" w:rsidP="002B0123">
      <w:pPr>
        <w:spacing w:after="0" w:line="240" w:lineRule="auto"/>
        <w:rPr>
          <w:b/>
        </w:rPr>
      </w:pPr>
      <w:r w:rsidRPr="002B0123">
        <w:rPr>
          <w:b/>
        </w:rPr>
        <w:t>Listed investment company capital gain deduction (9.108)</w:t>
      </w:r>
    </w:p>
    <w:p w14:paraId="0954C314" w14:textId="341BFBD3" w:rsidR="00B97D81" w:rsidRPr="00EF1374" w:rsidRDefault="00115458" w:rsidP="00106F68">
      <w:r w:rsidRPr="002B0123">
        <w:rPr>
          <w:rFonts w:eastAsia="ヒラギノ角ゴ Pro W3"/>
        </w:rPr>
        <w:t xml:space="preserve">This field captures the CGT discount amount attributable to a capital gain at the time the LIC pays a dividend. If you currently deduct the CGT discount amount from the non-primary production income components then you should continue to do so and report the deducted amount at this field. </w:t>
      </w:r>
    </w:p>
    <w:p w14:paraId="6F113FE1" w14:textId="74929C76" w:rsidR="009B3FE1" w:rsidRPr="00106F68" w:rsidRDefault="00B97D81" w:rsidP="003F0E65">
      <w:pPr>
        <w:pStyle w:val="Heading4"/>
        <w:rPr>
          <w:sz w:val="22"/>
          <w:szCs w:val="22"/>
        </w:rPr>
      </w:pPr>
      <w:r w:rsidRPr="00106F68">
        <w:rPr>
          <w:sz w:val="22"/>
          <w:szCs w:val="22"/>
        </w:rPr>
        <w:t>Supplementary income account data record fields</w:t>
      </w:r>
    </w:p>
    <w:p w14:paraId="74380CAF" w14:textId="77777777" w:rsidR="00115458" w:rsidRPr="002B0123" w:rsidRDefault="00115458" w:rsidP="002B0123">
      <w:pPr>
        <w:spacing w:after="0" w:line="240" w:lineRule="auto"/>
      </w:pPr>
      <w:r w:rsidRPr="002B0123">
        <w:rPr>
          <w:b/>
        </w:rPr>
        <w:t>Managed investment trust fund payments</w:t>
      </w:r>
      <w:r w:rsidRPr="002B0123">
        <w:rPr>
          <w:rFonts w:cs="Arial"/>
          <w:b/>
        </w:rPr>
        <w:t xml:space="preserve"> (9.105)</w:t>
      </w:r>
    </w:p>
    <w:p w14:paraId="254B91BB" w14:textId="77777777" w:rsidR="00115458" w:rsidRPr="002B0123" w:rsidRDefault="00115458" w:rsidP="002B0123">
      <w:pPr>
        <w:spacing w:after="0" w:line="240" w:lineRule="auto"/>
      </w:pPr>
      <w:r w:rsidRPr="002B0123">
        <w:t>Report the fund payment amount at this field.  Broadly, a fund payment consists of the MIT’s net income from Australian sources but excludes:</w:t>
      </w:r>
    </w:p>
    <w:p w14:paraId="5F228C06" w14:textId="77777777" w:rsidR="00115458" w:rsidRPr="002B0123" w:rsidRDefault="00115458" w:rsidP="002B0123">
      <w:pPr>
        <w:spacing w:after="0" w:line="240" w:lineRule="auto"/>
      </w:pPr>
    </w:p>
    <w:p w14:paraId="4B629AE5" w14:textId="77777777" w:rsidR="00115458" w:rsidRPr="002B0123" w:rsidRDefault="00115458" w:rsidP="001601AF">
      <w:pPr>
        <w:pStyle w:val="Bullet1"/>
        <w:numPr>
          <w:ilvl w:val="0"/>
          <w:numId w:val="66"/>
        </w:numPr>
        <w:spacing w:before="0" w:after="0"/>
        <w:rPr>
          <w:rFonts w:asciiTheme="minorHAnsi" w:hAnsiTheme="minorHAnsi" w:cs="Arial"/>
          <w:sz w:val="20"/>
          <w:szCs w:val="20"/>
        </w:rPr>
      </w:pPr>
      <w:r w:rsidRPr="002B0123">
        <w:rPr>
          <w:rFonts w:asciiTheme="minorHAnsi" w:hAnsiTheme="minorHAnsi" w:cs="Arial"/>
          <w:sz w:val="20"/>
          <w:szCs w:val="20"/>
        </w:rPr>
        <w:t>Dividends, interest and royalties on the basis they are subject to withholding tax under separate provisions</w:t>
      </w:r>
    </w:p>
    <w:p w14:paraId="20DD1F6E" w14:textId="77777777" w:rsidR="00115458" w:rsidRPr="002B0123" w:rsidRDefault="00115458" w:rsidP="001601AF">
      <w:pPr>
        <w:pStyle w:val="Bullet1"/>
        <w:numPr>
          <w:ilvl w:val="0"/>
          <w:numId w:val="66"/>
        </w:numPr>
        <w:spacing w:before="0" w:after="0"/>
        <w:rPr>
          <w:rFonts w:asciiTheme="minorHAnsi" w:hAnsiTheme="minorHAnsi" w:cs="Arial"/>
          <w:sz w:val="20"/>
          <w:szCs w:val="20"/>
        </w:rPr>
      </w:pPr>
      <w:r w:rsidRPr="002B0123">
        <w:rPr>
          <w:rFonts w:asciiTheme="minorHAnsi" w:hAnsiTheme="minorHAnsi" w:cs="Arial"/>
          <w:sz w:val="20"/>
          <w:szCs w:val="20"/>
        </w:rPr>
        <w:t>Capital gains or capital losses from CGT events that happen in relation to CGT assets that are not taxable Australian property</w:t>
      </w:r>
    </w:p>
    <w:p w14:paraId="5E0B8970" w14:textId="77777777" w:rsidR="00115458" w:rsidRPr="002B0123" w:rsidRDefault="00115458" w:rsidP="002B0123">
      <w:pPr>
        <w:spacing w:after="0" w:line="240" w:lineRule="auto"/>
      </w:pPr>
    </w:p>
    <w:p w14:paraId="7BA47CA7" w14:textId="77777777" w:rsidR="00115458" w:rsidRPr="002B0123" w:rsidRDefault="00115458" w:rsidP="002B0123">
      <w:pPr>
        <w:spacing w:after="0" w:line="240" w:lineRule="auto"/>
        <w:rPr>
          <w:rFonts w:cs="Arial"/>
          <w:b/>
        </w:rPr>
      </w:pPr>
      <w:r w:rsidRPr="002B0123">
        <w:t xml:space="preserve">Do not include NCMI or Excluded from NCMI amounts at this field.    </w:t>
      </w:r>
    </w:p>
    <w:p w14:paraId="704F133E" w14:textId="77777777" w:rsidR="00115458" w:rsidRPr="002B0123" w:rsidRDefault="00115458" w:rsidP="002B0123">
      <w:pPr>
        <w:spacing w:after="0" w:line="240" w:lineRule="auto"/>
        <w:rPr>
          <w:b/>
          <w:noProof/>
        </w:rPr>
      </w:pPr>
    </w:p>
    <w:p w14:paraId="24A2260A" w14:textId="77777777" w:rsidR="00115458" w:rsidRPr="002B0123" w:rsidRDefault="00115458" w:rsidP="002B0123">
      <w:pPr>
        <w:spacing w:after="0" w:line="240" w:lineRule="auto"/>
      </w:pPr>
      <w:r w:rsidRPr="002B0123">
        <w:rPr>
          <w:b/>
        </w:rPr>
        <w:t>Amounts withheld from managed investment trust fund payments (9.106)</w:t>
      </w:r>
    </w:p>
    <w:p w14:paraId="7B9A127D" w14:textId="77777777" w:rsidR="00115458" w:rsidRPr="002B0123" w:rsidRDefault="00115458" w:rsidP="002B0123">
      <w:pPr>
        <w:spacing w:after="0" w:line="240" w:lineRule="auto"/>
      </w:pPr>
      <w:r w:rsidRPr="002B0123">
        <w:t xml:space="preserve">Report the tax withheld from fund payment amounts, including amounts withheld from actual and deemed payments.  </w:t>
      </w:r>
    </w:p>
    <w:p w14:paraId="60C442D7" w14:textId="77777777" w:rsidR="00115458" w:rsidRPr="002B0123" w:rsidRDefault="00115458" w:rsidP="002B0123">
      <w:pPr>
        <w:spacing w:after="0" w:line="240" w:lineRule="auto"/>
        <w:rPr>
          <w:rFonts w:cs="Arial"/>
          <w:b/>
        </w:rPr>
      </w:pPr>
      <w:r w:rsidRPr="002B0123">
        <w:rPr>
          <w:rFonts w:cs="Arial"/>
        </w:rPr>
        <w:t xml:space="preserve">Do not include amounts withheld from NCMI or excluded from NCMI at this field.  </w:t>
      </w:r>
    </w:p>
    <w:p w14:paraId="64450EA4" w14:textId="77777777" w:rsidR="00115458" w:rsidRPr="002B0123" w:rsidRDefault="00115458" w:rsidP="002B0123">
      <w:pPr>
        <w:pStyle w:val="Maintext"/>
        <w:rPr>
          <w:rFonts w:asciiTheme="minorHAnsi" w:hAnsiTheme="minorHAnsi"/>
          <w:sz w:val="20"/>
          <w:szCs w:val="20"/>
        </w:rPr>
      </w:pPr>
    </w:p>
    <w:p w14:paraId="484F8FEE" w14:textId="77777777" w:rsidR="00115458" w:rsidRPr="002B0123" w:rsidRDefault="00115458" w:rsidP="002B0123">
      <w:pPr>
        <w:pStyle w:val="Bullet1"/>
        <w:spacing w:before="0" w:after="0"/>
        <w:rPr>
          <w:rFonts w:asciiTheme="minorHAnsi" w:hAnsiTheme="minorHAnsi" w:cs="Arial"/>
          <w:b/>
          <w:sz w:val="20"/>
          <w:szCs w:val="20"/>
        </w:rPr>
      </w:pPr>
      <w:r w:rsidRPr="002B0123">
        <w:rPr>
          <w:rFonts w:asciiTheme="minorHAnsi" w:hAnsiTheme="minorHAnsi"/>
          <w:b/>
          <w:sz w:val="20"/>
          <w:szCs w:val="20"/>
        </w:rPr>
        <w:t>Deductions relating to distribution of primary production income (9.115)</w:t>
      </w:r>
      <w:r w:rsidRPr="002B0123">
        <w:rPr>
          <w:rFonts w:asciiTheme="minorHAnsi" w:hAnsiTheme="minorHAnsi" w:cs="Arial"/>
          <w:b/>
          <w:sz w:val="20"/>
          <w:szCs w:val="20"/>
        </w:rPr>
        <w:t xml:space="preserve"> </w:t>
      </w:r>
    </w:p>
    <w:p w14:paraId="2F517BF2" w14:textId="77777777" w:rsidR="00115458" w:rsidRPr="002B0123" w:rsidRDefault="00115458" w:rsidP="002B0123">
      <w:pPr>
        <w:spacing w:after="0" w:line="240" w:lineRule="auto"/>
      </w:pPr>
      <w:r w:rsidRPr="002B0123">
        <w:t xml:space="preserve">At this field only report deductions that are specific to the investor, not the trust. The allowable deductions incurred by the investor that are payable from the investment account to the trust out of the trust distribution and are related to the share of primary production income or primary loss from a trust, for example, management fees. </w:t>
      </w:r>
    </w:p>
    <w:p w14:paraId="640CCEA0" w14:textId="77777777" w:rsidR="00115458" w:rsidRPr="002B0123" w:rsidRDefault="00115458" w:rsidP="002B0123">
      <w:pPr>
        <w:spacing w:after="0" w:line="240" w:lineRule="auto"/>
        <w:rPr>
          <w:rFonts w:cs="Arial"/>
          <w:b/>
        </w:rPr>
      </w:pPr>
    </w:p>
    <w:p w14:paraId="5A5FB68D" w14:textId="77777777" w:rsidR="00115458" w:rsidRPr="002B0123" w:rsidRDefault="00115458" w:rsidP="002B0123">
      <w:pPr>
        <w:spacing w:after="0" w:line="240" w:lineRule="auto"/>
        <w:rPr>
          <w:rFonts w:cs="Arial"/>
          <w:b/>
        </w:rPr>
      </w:pPr>
      <w:r w:rsidRPr="002B0123">
        <w:rPr>
          <w:b/>
        </w:rPr>
        <w:t>Net foreign rent (9.118)</w:t>
      </w:r>
      <w:r w:rsidRPr="002B0123">
        <w:rPr>
          <w:rFonts w:cs="Arial"/>
          <w:b/>
        </w:rPr>
        <w:t xml:space="preserve"> </w:t>
      </w:r>
    </w:p>
    <w:p w14:paraId="24EB24AD" w14:textId="77777777" w:rsidR="00115458" w:rsidRPr="002B0123" w:rsidRDefault="00115458" w:rsidP="002B0123">
      <w:pPr>
        <w:spacing w:after="0" w:line="240" w:lineRule="auto"/>
      </w:pPr>
      <w:r w:rsidRPr="002B0123">
        <w:rPr>
          <w:rFonts w:cs="Arial"/>
        </w:rPr>
        <w:t xml:space="preserve">The </w:t>
      </w:r>
      <w:r w:rsidRPr="002B0123">
        <w:rPr>
          <w:i/>
        </w:rPr>
        <w:t>Net Foreign Rent</w:t>
      </w:r>
      <w:r w:rsidRPr="002B0123">
        <w:t xml:space="preserve"> field is a component of the </w:t>
      </w:r>
      <w:r w:rsidRPr="002B0123">
        <w:rPr>
          <w:i/>
        </w:rPr>
        <w:t xml:space="preserve">Assessable foreign source income </w:t>
      </w:r>
      <w:r w:rsidRPr="002B0123">
        <w:t xml:space="preserve">field. If the amount reported at this field is greater than zero then include this amount as part of the amount reported at the </w:t>
      </w:r>
      <w:r w:rsidRPr="002B0123">
        <w:rPr>
          <w:i/>
        </w:rPr>
        <w:t xml:space="preserve">Assessable foreign source income </w:t>
      </w:r>
      <w:r w:rsidRPr="002B0123">
        <w:t xml:space="preserve">field. Do not include in </w:t>
      </w:r>
      <w:r w:rsidRPr="002B0123">
        <w:rPr>
          <w:i/>
        </w:rPr>
        <w:t>Other net foreign source income</w:t>
      </w:r>
      <w:r w:rsidRPr="002B0123">
        <w:t xml:space="preserve"> (9.92).</w:t>
      </w:r>
    </w:p>
    <w:p w14:paraId="6BEAD870" w14:textId="77777777" w:rsidR="00115458" w:rsidRPr="002B0123" w:rsidRDefault="00115458" w:rsidP="002B0123">
      <w:pPr>
        <w:spacing w:after="0" w:line="240" w:lineRule="auto"/>
        <w:rPr>
          <w:b/>
        </w:rPr>
      </w:pPr>
    </w:p>
    <w:p w14:paraId="2B7E277E" w14:textId="77777777" w:rsidR="00115458" w:rsidRPr="002B0123" w:rsidRDefault="00115458" w:rsidP="002B0123">
      <w:pPr>
        <w:spacing w:after="0" w:line="240" w:lineRule="auto"/>
        <w:rPr>
          <w:rFonts w:cs="Arial"/>
          <w:bCs/>
          <w:iCs/>
        </w:rPr>
      </w:pPr>
      <w:r w:rsidRPr="002B0123">
        <w:rPr>
          <w:rFonts w:cs="Arial"/>
          <w:b/>
          <w:bCs/>
          <w:iCs/>
        </w:rPr>
        <w:t>Unfranked distributions from trusts (9.119)</w:t>
      </w:r>
      <w:r w:rsidRPr="002B0123">
        <w:rPr>
          <w:rFonts w:cs="Arial"/>
          <w:bCs/>
          <w:iCs/>
        </w:rPr>
        <w:t xml:space="preserve"> </w:t>
      </w:r>
    </w:p>
    <w:p w14:paraId="21BDC858" w14:textId="77777777" w:rsidR="00115458" w:rsidRPr="002B0123" w:rsidRDefault="00115458" w:rsidP="002B0123">
      <w:pPr>
        <w:spacing w:after="0" w:line="240" w:lineRule="auto"/>
        <w:rPr>
          <w:rFonts w:cs="Arial"/>
        </w:rPr>
      </w:pPr>
      <w:r w:rsidRPr="002B0123">
        <w:rPr>
          <w:rFonts w:cs="Arial"/>
        </w:rPr>
        <w:t xml:space="preserve">The amount reported at this field equals the amount of the dividend distribution that is unfranked. We have coined the term ‘unfranked distribution’ to describe the amount of dividends received that are not part of a franked distribution. </w:t>
      </w:r>
    </w:p>
    <w:p w14:paraId="08BB9AF5" w14:textId="77777777" w:rsidR="00115458" w:rsidRPr="002B0123" w:rsidRDefault="00115458" w:rsidP="002B0123">
      <w:pPr>
        <w:spacing w:after="0" w:line="240" w:lineRule="auto"/>
        <w:rPr>
          <w:rFonts w:cs="Arial"/>
        </w:rPr>
      </w:pPr>
    </w:p>
    <w:p w14:paraId="1605D2C0" w14:textId="5A7005A0" w:rsidR="00115458" w:rsidRPr="002B0123" w:rsidRDefault="00115458" w:rsidP="002B0123">
      <w:pPr>
        <w:spacing w:after="0" w:line="240" w:lineRule="auto"/>
        <w:rPr>
          <w:rFonts w:cs="Arial"/>
        </w:rPr>
      </w:pPr>
      <w:r w:rsidRPr="002B0123">
        <w:rPr>
          <w:rFonts w:cs="Arial"/>
        </w:rPr>
        <w:t xml:space="preserve">This field will be the sum of amounts reported at </w:t>
      </w:r>
      <w:r w:rsidRPr="002B0123">
        <w:rPr>
          <w:rFonts w:cs="Arial"/>
          <w:i/>
        </w:rPr>
        <w:t xml:space="preserve">Unfranked dividends not declared to be conduit foreign income </w:t>
      </w:r>
      <w:r w:rsidRPr="002B0123">
        <w:rPr>
          <w:rFonts w:cs="Arial"/>
        </w:rPr>
        <w:t xml:space="preserve">(9.80) and </w:t>
      </w:r>
      <w:r w:rsidRPr="002B0123">
        <w:rPr>
          <w:rFonts w:cs="Arial"/>
          <w:i/>
        </w:rPr>
        <w:t xml:space="preserve">Unfranked dividends declared to be conduit foreign income </w:t>
      </w:r>
      <w:r w:rsidRPr="002B0123">
        <w:rPr>
          <w:rFonts w:cs="Arial"/>
        </w:rPr>
        <w:t>(9.81) unless your systems have been set up to trace and report franked distributions.</w:t>
      </w:r>
    </w:p>
    <w:p w14:paraId="41E8FE82" w14:textId="77777777" w:rsidR="00D50A89" w:rsidRDefault="00D50A89" w:rsidP="002B0123">
      <w:pPr>
        <w:spacing w:after="0" w:line="240" w:lineRule="auto"/>
        <w:rPr>
          <w:rFonts w:cs="Arial"/>
          <w:b/>
          <w:bCs/>
          <w:iCs/>
        </w:rPr>
      </w:pPr>
    </w:p>
    <w:p w14:paraId="7872DECC" w14:textId="64D45C62" w:rsidR="00115458" w:rsidRPr="002B0123" w:rsidRDefault="00115458" w:rsidP="002B0123">
      <w:pPr>
        <w:spacing w:after="0" w:line="240" w:lineRule="auto"/>
        <w:rPr>
          <w:rFonts w:cs="Arial"/>
          <w:bCs/>
          <w:iCs/>
        </w:rPr>
      </w:pPr>
      <w:r w:rsidRPr="002B0123">
        <w:rPr>
          <w:rFonts w:cs="Arial"/>
          <w:b/>
          <w:bCs/>
          <w:iCs/>
        </w:rPr>
        <w:t>Franked distributions from trusts (9.120)</w:t>
      </w:r>
      <w:r w:rsidRPr="002B0123">
        <w:rPr>
          <w:rFonts w:cs="Arial"/>
          <w:bCs/>
          <w:iCs/>
        </w:rPr>
        <w:t xml:space="preserve"> </w:t>
      </w:r>
    </w:p>
    <w:p w14:paraId="69DA2A26" w14:textId="77777777" w:rsidR="00115458" w:rsidRPr="002B0123" w:rsidRDefault="00115458" w:rsidP="002B0123">
      <w:pPr>
        <w:spacing w:after="0" w:line="240" w:lineRule="auto"/>
        <w:rPr>
          <w:rFonts w:cs="Arial"/>
        </w:rPr>
      </w:pPr>
      <w:r w:rsidRPr="002B0123">
        <w:rPr>
          <w:rFonts w:cs="Arial"/>
        </w:rPr>
        <w:t xml:space="preserve">The amount reported at this field equals the amount of franked distributions from trusts and the franking credit.  This field will be the sum of </w:t>
      </w:r>
      <w:r w:rsidRPr="002B0123">
        <w:rPr>
          <w:rFonts w:cs="Arial"/>
          <w:i/>
        </w:rPr>
        <w:t>Franked dividends</w:t>
      </w:r>
      <w:r w:rsidRPr="002B0123">
        <w:rPr>
          <w:rFonts w:cs="Arial"/>
        </w:rPr>
        <w:t xml:space="preserve"> (9.82) and </w:t>
      </w:r>
      <w:r w:rsidRPr="002B0123">
        <w:rPr>
          <w:rFonts w:cs="Arial"/>
          <w:i/>
        </w:rPr>
        <w:t xml:space="preserve">Franking credit </w:t>
      </w:r>
      <w:r w:rsidRPr="002B0123">
        <w:rPr>
          <w:rFonts w:cs="Arial"/>
        </w:rPr>
        <w:t>(9.83) unless your systems have been set up to trace and report franked distributions.</w:t>
      </w:r>
    </w:p>
    <w:p w14:paraId="718FDF53" w14:textId="77777777" w:rsidR="00115458" w:rsidRPr="002B0123" w:rsidRDefault="00115458" w:rsidP="002B0123">
      <w:pPr>
        <w:spacing w:after="0" w:line="240" w:lineRule="auto"/>
        <w:rPr>
          <w:rFonts w:cs="Arial"/>
        </w:rPr>
      </w:pPr>
    </w:p>
    <w:p w14:paraId="37776618" w14:textId="7CCCA2DB" w:rsidR="00115458" w:rsidRDefault="00115458" w:rsidP="002B0123">
      <w:pPr>
        <w:spacing w:after="0" w:line="240" w:lineRule="auto"/>
      </w:pPr>
      <w:r w:rsidRPr="002B0123">
        <w:t xml:space="preserve">For the purpose of the examples below, mandatory fields and those not relevant to the specific circumstances of the example have not been included. </w:t>
      </w:r>
    </w:p>
    <w:p w14:paraId="5190ABD6" w14:textId="77777777" w:rsidR="002B0123" w:rsidRPr="002B0123" w:rsidRDefault="002B0123" w:rsidP="002B0123">
      <w:pPr>
        <w:spacing w:after="0" w:line="240" w:lineRule="auto"/>
      </w:pPr>
    </w:p>
    <w:p w14:paraId="7A9472C5" w14:textId="6135F198" w:rsidR="00115458" w:rsidRDefault="00115458" w:rsidP="002B0123">
      <w:pPr>
        <w:keepNext/>
        <w:spacing w:after="0" w:line="240" w:lineRule="auto"/>
        <w:outlineLvl w:val="3"/>
        <w:rPr>
          <w:rFonts w:cs="Arial"/>
          <w:b/>
        </w:rPr>
      </w:pPr>
      <w:r w:rsidRPr="00DB1D67">
        <w:rPr>
          <w:rFonts w:cs="Arial"/>
          <w:b/>
        </w:rPr>
        <w:t xml:space="preserve">Example </w:t>
      </w:r>
      <w:r>
        <w:rPr>
          <w:rFonts w:cs="Arial"/>
          <w:b/>
        </w:rPr>
        <w:t>7</w:t>
      </w:r>
      <w:r w:rsidRPr="00DB1D67">
        <w:rPr>
          <w:rFonts w:cs="Arial"/>
          <w:b/>
        </w:rPr>
        <w:t>.</w:t>
      </w:r>
      <w:r w:rsidR="00D365CA">
        <w:rPr>
          <w:rFonts w:cs="Arial"/>
          <w:b/>
        </w:rPr>
        <w:t>7</w:t>
      </w:r>
      <w:r w:rsidRPr="00DB1D67">
        <w:rPr>
          <w:rFonts w:cs="Arial"/>
          <w:b/>
        </w:rPr>
        <w:t xml:space="preserve"> – Non-primary production income and a fully franked distribution </w:t>
      </w:r>
    </w:p>
    <w:p w14:paraId="57C60FF5" w14:textId="77777777" w:rsidR="002B0123" w:rsidRPr="002B0123" w:rsidRDefault="002B0123" w:rsidP="00106F68"/>
    <w:p w14:paraId="2C03D76B" w14:textId="77777777" w:rsidR="00115458" w:rsidRPr="002B0123" w:rsidRDefault="00115458" w:rsidP="002B0123">
      <w:pPr>
        <w:spacing w:after="0" w:line="240" w:lineRule="auto"/>
        <w:rPr>
          <w:rFonts w:cs="Arial"/>
        </w:rPr>
      </w:pPr>
      <w:r w:rsidRPr="002B0123">
        <w:rPr>
          <w:rFonts w:cs="Arial"/>
        </w:rPr>
        <w:t>Azzopardi Infrastructure Trust is reporting the following distribution for resident investor Melody Johannson:</w:t>
      </w:r>
    </w:p>
    <w:p w14:paraId="2A6BF46C" w14:textId="77777777" w:rsidR="00115458" w:rsidRPr="002B0123" w:rsidRDefault="00115458" w:rsidP="002B0123">
      <w:pPr>
        <w:spacing w:after="0" w:line="240" w:lineRule="auto"/>
        <w:rPr>
          <w:rFonts w:cs="Arial"/>
        </w:rPr>
      </w:pPr>
    </w:p>
    <w:p w14:paraId="0A8C90D4"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 xml:space="preserve">Interest of $8,279.00 </w:t>
      </w:r>
    </w:p>
    <w:p w14:paraId="4D9CD454"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Other taxable Australian income of $4,620.00</w:t>
      </w:r>
    </w:p>
    <w:p w14:paraId="148A8704"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Unfranked distribution non-CFI dividend of $7,000.00</w:t>
      </w:r>
    </w:p>
    <w:p w14:paraId="216A5888"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Other allowable trust deductions of $1,810.00</w:t>
      </w:r>
    </w:p>
    <w:p w14:paraId="07D3161A"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Franked dividends of $10,150.00 with a franking credit of $4,350.00.</w:t>
      </w:r>
    </w:p>
    <w:p w14:paraId="48039BDE" w14:textId="77777777" w:rsidR="00115458" w:rsidRPr="002B0123" w:rsidRDefault="00115458" w:rsidP="001601AF">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NCMI – Non-primary production income of $2,360.00</w:t>
      </w:r>
    </w:p>
    <w:p w14:paraId="20AA0526" w14:textId="2F8A8601" w:rsidR="00106F68" w:rsidRDefault="00115458" w:rsidP="00106F68">
      <w:pPr>
        <w:pStyle w:val="Bullet1"/>
        <w:numPr>
          <w:ilvl w:val="0"/>
          <w:numId w:val="67"/>
        </w:numPr>
        <w:spacing w:before="0" w:after="0"/>
        <w:rPr>
          <w:rFonts w:asciiTheme="minorHAnsi" w:hAnsiTheme="minorHAnsi" w:cs="Arial"/>
          <w:sz w:val="20"/>
          <w:szCs w:val="20"/>
        </w:rPr>
      </w:pPr>
      <w:r w:rsidRPr="002B0123">
        <w:rPr>
          <w:rFonts w:asciiTheme="minorHAnsi" w:hAnsiTheme="minorHAnsi" w:cs="Arial"/>
          <w:sz w:val="20"/>
          <w:szCs w:val="20"/>
        </w:rPr>
        <w:t>Excluded from NCMI – Non-primary production income of $1,120.00</w:t>
      </w:r>
    </w:p>
    <w:p w14:paraId="1F3AAF8E" w14:textId="77777777" w:rsidR="00106F68" w:rsidRPr="00106F68" w:rsidRDefault="00106F68" w:rsidP="00106F68">
      <w:pPr>
        <w:pStyle w:val="Bullet1"/>
        <w:spacing w:before="0" w:after="0"/>
        <w:ind w:left="1080"/>
        <w:rPr>
          <w:rFonts w:asciiTheme="minorHAnsi" w:hAnsiTheme="minorHAnsi" w:cs="Arial"/>
          <w:sz w:val="20"/>
          <w:szCs w:val="20"/>
        </w:rPr>
      </w:pPr>
    </w:p>
    <w:p w14:paraId="2B4D94F5" w14:textId="77777777" w:rsidR="00115458" w:rsidRPr="002B0123" w:rsidRDefault="00115458" w:rsidP="002B0123">
      <w:pPr>
        <w:spacing w:after="0" w:line="240" w:lineRule="auto"/>
        <w:rPr>
          <w:rFonts w:cs="Arial"/>
        </w:rPr>
      </w:pPr>
    </w:p>
    <w:p w14:paraId="3A1CD977" w14:textId="77777777" w:rsidR="0028338D" w:rsidRDefault="0028338D" w:rsidP="002B0123">
      <w:pPr>
        <w:spacing w:after="0" w:line="240" w:lineRule="auto"/>
        <w:rPr>
          <w:rFonts w:cs="Arial"/>
          <w:b/>
          <w:smallCaps/>
        </w:rPr>
      </w:pPr>
    </w:p>
    <w:p w14:paraId="5A583B97" w14:textId="0342F0CF" w:rsidR="00115458" w:rsidRPr="00DB1D67" w:rsidRDefault="00115458" w:rsidP="002B0123">
      <w:pPr>
        <w:spacing w:after="0" w:line="240" w:lineRule="auto"/>
        <w:rPr>
          <w:rFonts w:cs="Arial"/>
          <w:smallCaps/>
        </w:rPr>
      </w:pPr>
      <w:r w:rsidRPr="00DB1D67">
        <w:rPr>
          <w:rFonts w:cs="Arial"/>
          <w:b/>
          <w:smallCaps/>
        </w:rPr>
        <w:t xml:space="preserve">investment account data record </w:t>
      </w:r>
      <w:r w:rsidRPr="00DB1D67">
        <w:rPr>
          <w:rFonts w:cs="Arial"/>
          <w:smallCaps/>
        </w:rPr>
        <w:t>(extract)</w:t>
      </w:r>
    </w:p>
    <w:p w14:paraId="05F2FFBA" w14:textId="77777777" w:rsidR="00115458" w:rsidRPr="00DB1D67" w:rsidRDefault="00115458" w:rsidP="00115458">
      <w:pPr>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2B0123" w14:paraId="13A30D82"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56493D50" w14:textId="77777777" w:rsidR="00115458" w:rsidRPr="002B0123" w:rsidRDefault="00115458" w:rsidP="002B0123">
            <w:pPr>
              <w:spacing w:after="0" w:line="240" w:lineRule="auto"/>
              <w:rPr>
                <w:rFonts w:cs="Arial"/>
              </w:rPr>
            </w:pPr>
            <w:r w:rsidRPr="002B0123">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52C20F7C" w14:textId="77777777" w:rsidR="00115458" w:rsidRPr="002B0123" w:rsidRDefault="00115458" w:rsidP="002B0123">
            <w:pPr>
              <w:spacing w:after="0" w:line="240" w:lineRule="auto"/>
              <w:rPr>
                <w:rFonts w:cs="Arial"/>
              </w:rPr>
            </w:pPr>
            <w:r w:rsidRPr="002B0123">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9D8F7B0" w14:textId="77777777" w:rsidR="00115458" w:rsidRPr="002B0123" w:rsidRDefault="00115458" w:rsidP="002B0123">
            <w:pPr>
              <w:spacing w:after="0" w:line="240" w:lineRule="auto"/>
              <w:rPr>
                <w:rFonts w:cs="Arial"/>
              </w:rPr>
            </w:pPr>
            <w:r w:rsidRPr="002B0123">
              <w:rPr>
                <w:rFonts w:cs="Arial"/>
                <w:b/>
                <w:bCs/>
              </w:rPr>
              <w:t>Content</w:t>
            </w:r>
          </w:p>
        </w:tc>
      </w:tr>
      <w:tr w:rsidR="00115458" w:rsidRPr="002B0123" w14:paraId="6BDC262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49DD5C" w14:textId="77777777" w:rsidR="00115458" w:rsidRPr="002B0123" w:rsidRDefault="00115458" w:rsidP="002B0123">
            <w:pPr>
              <w:spacing w:after="0" w:line="240" w:lineRule="auto"/>
              <w:rPr>
                <w:rFonts w:cs="Arial"/>
              </w:rPr>
            </w:pPr>
            <w:r w:rsidRPr="002B0123">
              <w:rPr>
                <w:rFonts w:cs="Arial"/>
              </w:rPr>
              <w:t>9.67</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BE07E9" w14:textId="77777777" w:rsidR="00115458" w:rsidRPr="002B0123" w:rsidRDefault="00115458" w:rsidP="002B0123">
            <w:pPr>
              <w:spacing w:after="0" w:line="240" w:lineRule="auto"/>
              <w:rPr>
                <w:rFonts w:cs="Arial"/>
              </w:rPr>
            </w:pPr>
            <w:r w:rsidRPr="002B0123">
              <w:rPr>
                <w:rFonts w:cs="Arial"/>
              </w:rPr>
              <w:t>Account name</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A42484A" w14:textId="77777777" w:rsidR="00115458" w:rsidRPr="002B0123" w:rsidRDefault="00115458" w:rsidP="002B0123">
            <w:pPr>
              <w:spacing w:after="0" w:line="240" w:lineRule="auto"/>
              <w:rPr>
                <w:rFonts w:cs="Arial"/>
              </w:rPr>
            </w:pPr>
            <w:r w:rsidRPr="002B0123">
              <w:rPr>
                <w:rFonts w:cs="Arial"/>
              </w:rPr>
              <w:t>MELODY JOHANNSON</w:t>
            </w:r>
          </w:p>
        </w:tc>
      </w:tr>
      <w:tr w:rsidR="00115458" w:rsidRPr="002B0123" w14:paraId="1956CD8C"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AFCBBA" w14:textId="77777777" w:rsidR="00115458" w:rsidRPr="002B0123" w:rsidRDefault="00115458" w:rsidP="002B0123">
            <w:pPr>
              <w:spacing w:after="0" w:line="240" w:lineRule="auto"/>
              <w:rPr>
                <w:rFonts w:cs="Arial"/>
              </w:rPr>
            </w:pPr>
            <w:r w:rsidRPr="002B0123">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E2795A2" w14:textId="77777777" w:rsidR="00115458" w:rsidRPr="002B0123" w:rsidRDefault="00115458" w:rsidP="002B0123">
            <w:pPr>
              <w:spacing w:after="0" w:line="240" w:lineRule="auto"/>
              <w:rPr>
                <w:rFonts w:cs="Arial"/>
              </w:rPr>
            </w:pPr>
            <w:r w:rsidRPr="002B0123">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43374" w14:textId="14BD1E6C" w:rsidR="00115458" w:rsidRPr="002B0123" w:rsidRDefault="00115458" w:rsidP="002B0123">
            <w:pPr>
              <w:spacing w:after="0" w:line="240" w:lineRule="auto"/>
              <w:rPr>
                <w:rFonts w:cs="Arial"/>
              </w:rPr>
            </w:pPr>
            <w:r w:rsidRPr="002B0123">
              <w:rPr>
                <w:rFonts w:cs="Arial"/>
              </w:rPr>
              <w:t>3006202</w:t>
            </w:r>
            <w:r w:rsidR="00A03042">
              <w:rPr>
                <w:rFonts w:cs="Arial"/>
              </w:rPr>
              <w:t>6</w:t>
            </w:r>
          </w:p>
        </w:tc>
      </w:tr>
      <w:tr w:rsidR="00115458" w:rsidRPr="002B0123" w14:paraId="441319A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8369F" w14:textId="77777777" w:rsidR="00115458" w:rsidRPr="002B0123" w:rsidRDefault="00115458" w:rsidP="002B0123">
            <w:pPr>
              <w:spacing w:after="0" w:line="240" w:lineRule="auto"/>
              <w:rPr>
                <w:rFonts w:cs="Arial"/>
              </w:rPr>
            </w:pPr>
            <w:r w:rsidRPr="002B0123">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5F44588" w14:textId="77777777" w:rsidR="00115458" w:rsidRPr="002B0123" w:rsidRDefault="00115458" w:rsidP="002B0123">
            <w:pPr>
              <w:spacing w:after="0" w:line="240" w:lineRule="auto"/>
              <w:rPr>
                <w:rFonts w:cs="Arial"/>
              </w:rPr>
            </w:pPr>
            <w:r w:rsidRPr="002B0123">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71C4F17" w14:textId="77777777" w:rsidR="00115458" w:rsidRPr="002B0123" w:rsidRDefault="00115458" w:rsidP="002B0123">
            <w:pPr>
              <w:spacing w:after="0" w:line="240" w:lineRule="auto"/>
              <w:rPr>
                <w:rFonts w:cs="Arial"/>
              </w:rPr>
            </w:pPr>
            <w:r w:rsidRPr="002B0123">
              <w:rPr>
                <w:rFonts w:cs="Arial"/>
              </w:rPr>
              <w:t>5</w:t>
            </w:r>
          </w:p>
        </w:tc>
      </w:tr>
      <w:tr w:rsidR="00115458" w:rsidRPr="002B0123" w14:paraId="2B8CBDC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CBA52F" w14:textId="77777777" w:rsidR="00115458" w:rsidRPr="002B0123" w:rsidRDefault="00115458" w:rsidP="002B0123">
            <w:pPr>
              <w:spacing w:after="0" w:line="240" w:lineRule="auto"/>
              <w:rPr>
                <w:rFonts w:cs="Arial"/>
              </w:rPr>
            </w:pPr>
            <w:r w:rsidRPr="002B0123">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E8CD889" w14:textId="77777777" w:rsidR="00115458" w:rsidRPr="002B0123" w:rsidRDefault="00115458" w:rsidP="002B0123">
            <w:pPr>
              <w:spacing w:after="0" w:line="240" w:lineRule="auto"/>
              <w:rPr>
                <w:rFonts w:cs="Arial"/>
              </w:rPr>
            </w:pPr>
            <w:r w:rsidRPr="002B0123">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C5BDF27" w14:textId="77777777" w:rsidR="00115458" w:rsidRPr="002B0123" w:rsidRDefault="00115458" w:rsidP="002B0123">
            <w:pPr>
              <w:spacing w:after="0" w:line="240" w:lineRule="auto"/>
              <w:rPr>
                <w:rFonts w:cs="Arial"/>
              </w:rPr>
            </w:pPr>
            <w:r w:rsidRPr="002B0123">
              <w:rPr>
                <w:rFonts w:cs="Arial"/>
              </w:rPr>
              <w:t>UTD</w:t>
            </w:r>
          </w:p>
        </w:tc>
      </w:tr>
      <w:tr w:rsidR="00115458" w:rsidRPr="002B0123" w14:paraId="23CA518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93044" w14:textId="77777777" w:rsidR="00115458" w:rsidRPr="002B0123" w:rsidRDefault="00115458" w:rsidP="002B0123">
            <w:pPr>
              <w:spacing w:after="0" w:line="240" w:lineRule="auto"/>
              <w:rPr>
                <w:rFonts w:cs="Arial"/>
              </w:rPr>
            </w:pPr>
            <w:r w:rsidRPr="002B0123">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59D8AA6" w14:textId="77777777" w:rsidR="00115458" w:rsidRPr="002B0123" w:rsidRDefault="00115458" w:rsidP="002B0123">
            <w:pPr>
              <w:spacing w:after="0" w:line="240" w:lineRule="auto"/>
              <w:rPr>
                <w:rFonts w:cs="Arial"/>
              </w:rPr>
            </w:pPr>
            <w:r w:rsidRPr="002B0123">
              <w:rPr>
                <w:rFonts w:cs="Arial"/>
              </w:rPr>
              <w:t>Interest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7DCFC5C" w14:textId="77777777" w:rsidR="00115458" w:rsidRPr="002B0123" w:rsidRDefault="00115458" w:rsidP="002B0123">
            <w:pPr>
              <w:spacing w:after="0" w:line="240" w:lineRule="auto"/>
              <w:rPr>
                <w:rFonts w:cs="Arial"/>
              </w:rPr>
            </w:pPr>
            <w:r w:rsidRPr="002B0123">
              <w:rPr>
                <w:rFonts w:cs="Arial"/>
              </w:rPr>
              <w:t>000000827900</w:t>
            </w:r>
          </w:p>
        </w:tc>
      </w:tr>
      <w:tr w:rsidR="00115458" w:rsidRPr="002B0123" w14:paraId="5869510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A593E9" w14:textId="77777777" w:rsidR="00115458" w:rsidRPr="002B0123" w:rsidRDefault="00115458" w:rsidP="002B0123">
            <w:pPr>
              <w:spacing w:after="0" w:line="240" w:lineRule="auto"/>
              <w:rPr>
                <w:rFonts w:cs="Arial"/>
              </w:rPr>
            </w:pPr>
            <w:r w:rsidRPr="002B0123">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2282784" w14:textId="77777777" w:rsidR="00115458" w:rsidRPr="002B0123" w:rsidRDefault="00115458" w:rsidP="002B0123">
            <w:pPr>
              <w:spacing w:after="0" w:line="240" w:lineRule="auto"/>
              <w:rPr>
                <w:rFonts w:cs="Arial"/>
              </w:rPr>
            </w:pPr>
            <w:r w:rsidRPr="002B0123">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980AC92" w14:textId="77777777" w:rsidR="00115458" w:rsidRPr="002B0123" w:rsidRDefault="00115458" w:rsidP="002B0123">
            <w:pPr>
              <w:spacing w:after="0" w:line="240" w:lineRule="auto"/>
              <w:rPr>
                <w:rFonts w:cs="Arial"/>
              </w:rPr>
            </w:pPr>
            <w:r w:rsidRPr="002B0123">
              <w:rPr>
                <w:rFonts w:cs="Arial"/>
              </w:rPr>
              <w:t>000000700000</w:t>
            </w:r>
          </w:p>
        </w:tc>
      </w:tr>
      <w:tr w:rsidR="00115458" w:rsidRPr="002B0123" w14:paraId="11343F2C"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565A46" w14:textId="77777777" w:rsidR="00115458" w:rsidRPr="002B0123" w:rsidRDefault="00115458" w:rsidP="002B0123">
            <w:pPr>
              <w:spacing w:after="0" w:line="240" w:lineRule="auto"/>
              <w:rPr>
                <w:rFonts w:cs="Arial"/>
              </w:rPr>
            </w:pPr>
            <w:r w:rsidRPr="002B0123">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AD21C61" w14:textId="77777777" w:rsidR="00115458" w:rsidRPr="002B0123" w:rsidRDefault="00115458" w:rsidP="002B0123">
            <w:pPr>
              <w:spacing w:after="0" w:line="240" w:lineRule="auto"/>
              <w:rPr>
                <w:rFonts w:cs="Arial"/>
              </w:rPr>
            </w:pPr>
            <w:r w:rsidRPr="002B0123">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9976CC4" w14:textId="77777777" w:rsidR="00115458" w:rsidRPr="002B0123" w:rsidRDefault="00115458" w:rsidP="002B0123">
            <w:pPr>
              <w:spacing w:after="0" w:line="240" w:lineRule="auto"/>
              <w:rPr>
                <w:rFonts w:cs="Arial"/>
              </w:rPr>
            </w:pPr>
            <w:r w:rsidRPr="002B0123">
              <w:rPr>
                <w:rFonts w:cs="Arial"/>
              </w:rPr>
              <w:t>000000000000</w:t>
            </w:r>
          </w:p>
        </w:tc>
      </w:tr>
      <w:tr w:rsidR="00115458" w:rsidRPr="002B0123" w14:paraId="5862675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6835A8" w14:textId="77777777" w:rsidR="00115458" w:rsidRPr="002B0123" w:rsidRDefault="00115458" w:rsidP="002B0123">
            <w:pPr>
              <w:spacing w:after="0" w:line="240" w:lineRule="auto"/>
              <w:rPr>
                <w:rFonts w:cs="Arial"/>
              </w:rPr>
            </w:pPr>
            <w:r w:rsidRPr="002B0123">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DF2A1F" w14:textId="77777777" w:rsidR="00115458" w:rsidRPr="002B0123" w:rsidRDefault="00115458" w:rsidP="002B0123">
            <w:pPr>
              <w:spacing w:after="0" w:line="240" w:lineRule="auto"/>
              <w:rPr>
                <w:rFonts w:cs="Arial"/>
              </w:rPr>
            </w:pPr>
            <w:r w:rsidRPr="002B0123">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05FDB06" w14:textId="77777777" w:rsidR="00115458" w:rsidRPr="002B0123" w:rsidRDefault="00115458" w:rsidP="002B0123">
            <w:pPr>
              <w:spacing w:after="0" w:line="240" w:lineRule="auto"/>
              <w:rPr>
                <w:rFonts w:cs="Arial"/>
              </w:rPr>
            </w:pPr>
            <w:r w:rsidRPr="002B0123">
              <w:rPr>
                <w:rFonts w:cs="Arial"/>
              </w:rPr>
              <w:t>000001015000</w:t>
            </w:r>
          </w:p>
        </w:tc>
      </w:tr>
      <w:tr w:rsidR="00115458" w:rsidRPr="002B0123" w14:paraId="1BB33FB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47A75" w14:textId="77777777" w:rsidR="00115458" w:rsidRPr="002B0123" w:rsidRDefault="00115458" w:rsidP="002B0123">
            <w:pPr>
              <w:spacing w:after="0" w:line="240" w:lineRule="auto"/>
              <w:rPr>
                <w:rFonts w:cs="Arial"/>
              </w:rPr>
            </w:pPr>
            <w:r w:rsidRPr="002B0123">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7AB744" w14:textId="77777777" w:rsidR="00115458" w:rsidRPr="002B0123" w:rsidRDefault="00115458" w:rsidP="002B0123">
            <w:pPr>
              <w:spacing w:after="0" w:line="240" w:lineRule="auto"/>
              <w:rPr>
                <w:rFonts w:cs="Arial"/>
              </w:rPr>
            </w:pPr>
            <w:r w:rsidRPr="002B0123">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AD58098" w14:textId="77777777" w:rsidR="00115458" w:rsidRPr="002B0123" w:rsidRDefault="00115458" w:rsidP="002B0123">
            <w:pPr>
              <w:spacing w:after="0" w:line="240" w:lineRule="auto"/>
              <w:rPr>
                <w:rFonts w:cs="Arial"/>
              </w:rPr>
            </w:pPr>
            <w:r w:rsidRPr="002B0123">
              <w:rPr>
                <w:rFonts w:cs="Arial"/>
              </w:rPr>
              <w:t>000000435000</w:t>
            </w:r>
          </w:p>
        </w:tc>
      </w:tr>
      <w:tr w:rsidR="00115458" w:rsidRPr="002B0123" w14:paraId="78376AE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9FB93A" w14:textId="77777777" w:rsidR="00115458" w:rsidRPr="002B0123" w:rsidRDefault="00115458" w:rsidP="002B0123">
            <w:pPr>
              <w:spacing w:after="0" w:line="240" w:lineRule="auto"/>
              <w:rPr>
                <w:rFonts w:cs="Arial"/>
              </w:rPr>
            </w:pPr>
            <w:r w:rsidRPr="002B0123">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91C1EE" w14:textId="77777777" w:rsidR="00115458" w:rsidRPr="002B0123" w:rsidRDefault="00115458" w:rsidP="002B0123">
            <w:pPr>
              <w:spacing w:after="0" w:line="240" w:lineRule="auto"/>
              <w:rPr>
                <w:rFonts w:cs="Arial"/>
              </w:rPr>
            </w:pPr>
            <w:r w:rsidRPr="002B0123">
              <w:rPr>
                <w:rFonts w:cs="Arial"/>
              </w:rPr>
              <w:t>Other taxable Australian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AC9BBD4" w14:textId="77777777" w:rsidR="00115458" w:rsidRPr="002B0123" w:rsidRDefault="00115458" w:rsidP="002B0123">
            <w:pPr>
              <w:spacing w:after="0" w:line="240" w:lineRule="auto"/>
              <w:rPr>
                <w:rFonts w:cs="Arial"/>
              </w:rPr>
            </w:pPr>
            <w:r w:rsidRPr="002B0123">
              <w:rPr>
                <w:rFonts w:cs="Arial"/>
              </w:rPr>
              <w:t>000000462000</w:t>
            </w:r>
          </w:p>
        </w:tc>
      </w:tr>
      <w:tr w:rsidR="00115458" w:rsidRPr="002B0123" w14:paraId="3FDA3D0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0E5880" w14:textId="77777777" w:rsidR="00115458" w:rsidRPr="002B0123" w:rsidRDefault="00115458" w:rsidP="002B0123">
            <w:pPr>
              <w:spacing w:after="0" w:line="240" w:lineRule="auto"/>
              <w:rPr>
                <w:rFonts w:cs="Arial"/>
              </w:rPr>
            </w:pPr>
            <w:r w:rsidRPr="002B0123">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E65DBC7" w14:textId="77777777" w:rsidR="00115458" w:rsidRPr="002B0123" w:rsidRDefault="00115458" w:rsidP="002B0123">
            <w:pPr>
              <w:spacing w:after="0" w:line="240" w:lineRule="auto"/>
              <w:rPr>
                <w:rFonts w:cs="Arial"/>
              </w:rPr>
            </w:pPr>
            <w:r w:rsidRPr="002B0123">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4AD1A64" w14:textId="77777777" w:rsidR="00115458" w:rsidRPr="002B0123" w:rsidRDefault="00115458" w:rsidP="002B0123">
            <w:pPr>
              <w:spacing w:after="0" w:line="240" w:lineRule="auto"/>
              <w:rPr>
                <w:rFonts w:cs="Arial"/>
              </w:rPr>
            </w:pPr>
            <w:r w:rsidRPr="002B0123">
              <w:rPr>
                <w:rFonts w:cs="Arial"/>
              </w:rPr>
              <w:t>000002156900</w:t>
            </w:r>
          </w:p>
        </w:tc>
      </w:tr>
      <w:tr w:rsidR="00115458" w:rsidRPr="002B0123" w14:paraId="20CBC09C"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648E89" w14:textId="77777777" w:rsidR="00115458" w:rsidRPr="002B0123" w:rsidRDefault="00115458" w:rsidP="002B0123">
            <w:pPr>
              <w:spacing w:after="0" w:line="240" w:lineRule="auto"/>
              <w:rPr>
                <w:rFonts w:cs="Arial"/>
              </w:rPr>
            </w:pPr>
            <w:r w:rsidRPr="002B0123">
              <w:rPr>
                <w:rFonts w:cs="Arial"/>
              </w:rPr>
              <w:t>9.98</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CF8CE" w14:textId="77777777" w:rsidR="00115458" w:rsidRPr="002B0123" w:rsidRDefault="00115458" w:rsidP="002B0123">
            <w:pPr>
              <w:spacing w:after="0" w:line="240" w:lineRule="auto"/>
              <w:rPr>
                <w:rFonts w:cs="Arial"/>
              </w:rPr>
            </w:pPr>
            <w:r w:rsidRPr="002B0123">
              <w:rPr>
                <w:rFonts w:cs="Arial"/>
              </w:rPr>
              <w:t>Other allowable trust deductions (cents)</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1EB47" w14:textId="77777777" w:rsidR="00115458" w:rsidRPr="002B0123" w:rsidRDefault="00115458" w:rsidP="002B0123">
            <w:pPr>
              <w:spacing w:after="0" w:line="240" w:lineRule="auto"/>
              <w:rPr>
                <w:rFonts w:cs="Arial"/>
              </w:rPr>
            </w:pPr>
            <w:r w:rsidRPr="002B0123">
              <w:rPr>
                <w:rFonts w:cs="Arial"/>
              </w:rPr>
              <w:t>000000181000</w:t>
            </w:r>
          </w:p>
        </w:tc>
      </w:tr>
    </w:tbl>
    <w:p w14:paraId="43A8F4E4" w14:textId="77777777" w:rsidR="00115458" w:rsidRPr="002B0123" w:rsidRDefault="00115458" w:rsidP="002B0123">
      <w:pPr>
        <w:spacing w:after="0" w:line="240" w:lineRule="auto"/>
        <w:rPr>
          <w:rFonts w:cs="Arial"/>
        </w:rPr>
      </w:pPr>
    </w:p>
    <w:p w14:paraId="43C7AEF6" w14:textId="77777777" w:rsidR="00115458" w:rsidRPr="002B0123" w:rsidRDefault="00115458" w:rsidP="002B0123">
      <w:pPr>
        <w:spacing w:after="0" w:line="240" w:lineRule="auto"/>
        <w:rPr>
          <w:rFonts w:cs="Arial"/>
          <w:b/>
          <w:smallCaps/>
        </w:rPr>
      </w:pPr>
      <w:r w:rsidRPr="002B0123">
        <w:rPr>
          <w:rFonts w:cs="Arial"/>
          <w:b/>
          <w:smallCaps/>
        </w:rPr>
        <w:t xml:space="preserve">supplementary income account data record </w:t>
      </w:r>
      <w:r w:rsidRPr="002B0123">
        <w:rPr>
          <w:rFonts w:cs="Arial"/>
          <w:smallCaps/>
        </w:rPr>
        <w:t>(extract)</w:t>
      </w:r>
    </w:p>
    <w:p w14:paraId="5E8FEEEE" w14:textId="77777777" w:rsidR="00115458" w:rsidRPr="002B0123" w:rsidRDefault="00115458" w:rsidP="002B0123">
      <w:pPr>
        <w:spacing w:after="0" w:line="240" w:lineRule="auto"/>
        <w:rPr>
          <w:rFonts w:cs="Arial"/>
        </w:rPr>
      </w:pPr>
    </w:p>
    <w:tbl>
      <w:tblPr>
        <w:tblW w:w="921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5160"/>
        <w:gridCol w:w="2827"/>
      </w:tblGrid>
      <w:tr w:rsidR="00115458" w:rsidRPr="002B0123" w14:paraId="0DD8A375" w14:textId="77777777" w:rsidTr="000C1365">
        <w:trPr>
          <w:cantSplit/>
          <w:trHeight w:val="495"/>
          <w:tblHeader/>
        </w:trPr>
        <w:tc>
          <w:tcPr>
            <w:tcW w:w="590" w:type="pct"/>
            <w:shd w:val="clear" w:color="auto" w:fill="B3B3B3"/>
            <w:tcMar>
              <w:top w:w="0" w:type="dxa"/>
              <w:left w:w="108" w:type="dxa"/>
              <w:bottom w:w="0" w:type="dxa"/>
              <w:right w:w="108" w:type="dxa"/>
            </w:tcMar>
            <w:vAlign w:val="center"/>
          </w:tcPr>
          <w:p w14:paraId="52CDF8F3" w14:textId="77777777" w:rsidR="00115458" w:rsidRPr="002B0123" w:rsidRDefault="00115458" w:rsidP="002B0123">
            <w:pPr>
              <w:spacing w:after="0" w:line="240" w:lineRule="auto"/>
              <w:rPr>
                <w:rFonts w:cs="Arial"/>
              </w:rPr>
            </w:pPr>
            <w:r w:rsidRPr="002B0123">
              <w:rPr>
                <w:rFonts w:cs="Arial"/>
                <w:b/>
                <w:bCs/>
              </w:rPr>
              <w:t>Reference number</w:t>
            </w:r>
          </w:p>
        </w:tc>
        <w:tc>
          <w:tcPr>
            <w:tcW w:w="2838" w:type="pct"/>
            <w:shd w:val="clear" w:color="auto" w:fill="B3B3B3"/>
            <w:tcMar>
              <w:top w:w="0" w:type="dxa"/>
              <w:left w:w="108" w:type="dxa"/>
              <w:bottom w:w="0" w:type="dxa"/>
              <w:right w:w="108" w:type="dxa"/>
            </w:tcMar>
            <w:vAlign w:val="center"/>
          </w:tcPr>
          <w:p w14:paraId="42D46FF9" w14:textId="77777777" w:rsidR="00115458" w:rsidRPr="002B0123" w:rsidRDefault="00115458" w:rsidP="002B0123">
            <w:pPr>
              <w:spacing w:after="0" w:line="240" w:lineRule="auto"/>
              <w:rPr>
                <w:rFonts w:cs="Arial"/>
              </w:rPr>
            </w:pPr>
            <w:r w:rsidRPr="002B0123">
              <w:rPr>
                <w:rFonts w:cs="Arial"/>
                <w:b/>
                <w:bCs/>
              </w:rPr>
              <w:t>Field name</w:t>
            </w:r>
          </w:p>
        </w:tc>
        <w:tc>
          <w:tcPr>
            <w:tcW w:w="1572" w:type="pct"/>
            <w:shd w:val="clear" w:color="auto" w:fill="B3B3B3"/>
            <w:tcMar>
              <w:top w:w="0" w:type="dxa"/>
              <w:left w:w="108" w:type="dxa"/>
              <w:bottom w:w="0" w:type="dxa"/>
              <w:right w:w="108" w:type="dxa"/>
            </w:tcMar>
            <w:vAlign w:val="center"/>
          </w:tcPr>
          <w:p w14:paraId="6AD87A4C" w14:textId="77777777" w:rsidR="00115458" w:rsidRPr="002B0123" w:rsidRDefault="00115458" w:rsidP="002B0123">
            <w:pPr>
              <w:spacing w:after="0" w:line="240" w:lineRule="auto"/>
              <w:rPr>
                <w:rFonts w:cs="Arial"/>
              </w:rPr>
            </w:pPr>
            <w:r w:rsidRPr="002B0123">
              <w:rPr>
                <w:rFonts w:cs="Arial"/>
                <w:b/>
                <w:bCs/>
              </w:rPr>
              <w:t>Content</w:t>
            </w:r>
          </w:p>
        </w:tc>
      </w:tr>
      <w:tr w:rsidR="00115458" w:rsidRPr="002B0123" w14:paraId="7011F082" w14:textId="77777777" w:rsidTr="000C1365">
        <w:trPr>
          <w:cantSplit/>
          <w:trHeight w:val="270"/>
        </w:trPr>
        <w:tc>
          <w:tcPr>
            <w:tcW w:w="590" w:type="pct"/>
            <w:tcMar>
              <w:top w:w="0" w:type="dxa"/>
              <w:left w:w="108" w:type="dxa"/>
              <w:bottom w:w="0" w:type="dxa"/>
              <w:right w:w="108" w:type="dxa"/>
            </w:tcMar>
            <w:vAlign w:val="center"/>
          </w:tcPr>
          <w:p w14:paraId="4B037E12" w14:textId="77777777" w:rsidR="00115458" w:rsidRPr="002B0123" w:rsidRDefault="00115458" w:rsidP="002B0123">
            <w:pPr>
              <w:spacing w:after="0" w:line="240" w:lineRule="auto"/>
              <w:rPr>
                <w:rFonts w:cs="Arial"/>
              </w:rPr>
            </w:pPr>
            <w:r w:rsidRPr="002B0123">
              <w:rPr>
                <w:rFonts w:cs="Arial"/>
              </w:rPr>
              <w:t>9.119</w:t>
            </w:r>
          </w:p>
        </w:tc>
        <w:tc>
          <w:tcPr>
            <w:tcW w:w="2838" w:type="pct"/>
            <w:tcMar>
              <w:top w:w="0" w:type="dxa"/>
              <w:left w:w="108" w:type="dxa"/>
              <w:bottom w:w="0" w:type="dxa"/>
              <w:right w:w="108" w:type="dxa"/>
            </w:tcMar>
            <w:vAlign w:val="center"/>
          </w:tcPr>
          <w:p w14:paraId="600845B7" w14:textId="77777777" w:rsidR="00115458" w:rsidRPr="002B0123" w:rsidRDefault="00115458" w:rsidP="002B0123">
            <w:pPr>
              <w:spacing w:after="0" w:line="240" w:lineRule="auto"/>
              <w:rPr>
                <w:rFonts w:cs="Arial"/>
              </w:rPr>
            </w:pPr>
            <w:r w:rsidRPr="002B0123">
              <w:rPr>
                <w:rFonts w:cs="Arial"/>
              </w:rPr>
              <w:t>Unfranked distributions from trusts (cents)</w:t>
            </w:r>
          </w:p>
        </w:tc>
        <w:tc>
          <w:tcPr>
            <w:tcW w:w="1572" w:type="pct"/>
            <w:tcMar>
              <w:top w:w="0" w:type="dxa"/>
              <w:left w:w="108" w:type="dxa"/>
              <w:bottom w:w="0" w:type="dxa"/>
              <w:right w:w="108" w:type="dxa"/>
            </w:tcMar>
            <w:vAlign w:val="center"/>
          </w:tcPr>
          <w:p w14:paraId="38675AC4" w14:textId="77777777" w:rsidR="00115458" w:rsidRPr="002B0123" w:rsidRDefault="00115458" w:rsidP="002B0123">
            <w:pPr>
              <w:spacing w:after="0" w:line="240" w:lineRule="auto"/>
              <w:rPr>
                <w:rFonts w:cs="Arial"/>
              </w:rPr>
            </w:pPr>
            <w:r w:rsidRPr="002B0123">
              <w:rPr>
                <w:rFonts w:cs="Arial"/>
              </w:rPr>
              <w:t>000000700000</w:t>
            </w:r>
          </w:p>
        </w:tc>
      </w:tr>
      <w:tr w:rsidR="00115458" w:rsidRPr="002B0123" w14:paraId="158D5361" w14:textId="77777777" w:rsidTr="000C1365">
        <w:trPr>
          <w:cantSplit/>
          <w:trHeight w:val="270"/>
        </w:trPr>
        <w:tc>
          <w:tcPr>
            <w:tcW w:w="590" w:type="pct"/>
            <w:tcMar>
              <w:top w:w="0" w:type="dxa"/>
              <w:left w:w="108" w:type="dxa"/>
              <w:bottom w:w="0" w:type="dxa"/>
              <w:right w:w="108" w:type="dxa"/>
            </w:tcMar>
            <w:vAlign w:val="center"/>
          </w:tcPr>
          <w:p w14:paraId="7B44AD39" w14:textId="77777777" w:rsidR="00115458" w:rsidRPr="002B0123" w:rsidRDefault="00115458" w:rsidP="002B0123">
            <w:pPr>
              <w:spacing w:after="0" w:line="240" w:lineRule="auto"/>
              <w:rPr>
                <w:rFonts w:cs="Arial"/>
              </w:rPr>
            </w:pPr>
            <w:r w:rsidRPr="002B0123">
              <w:rPr>
                <w:rFonts w:cs="Arial"/>
              </w:rPr>
              <w:t>9.120</w:t>
            </w:r>
          </w:p>
        </w:tc>
        <w:tc>
          <w:tcPr>
            <w:tcW w:w="2838" w:type="pct"/>
            <w:tcMar>
              <w:top w:w="0" w:type="dxa"/>
              <w:left w:w="108" w:type="dxa"/>
              <w:bottom w:w="0" w:type="dxa"/>
              <w:right w:w="108" w:type="dxa"/>
            </w:tcMar>
            <w:vAlign w:val="center"/>
          </w:tcPr>
          <w:p w14:paraId="14B6699B" w14:textId="77777777" w:rsidR="00115458" w:rsidRPr="002B0123" w:rsidRDefault="00115458" w:rsidP="002B0123">
            <w:pPr>
              <w:spacing w:after="0" w:line="240" w:lineRule="auto"/>
              <w:rPr>
                <w:rFonts w:cs="Arial"/>
              </w:rPr>
            </w:pPr>
            <w:r w:rsidRPr="002B0123">
              <w:rPr>
                <w:rFonts w:cs="Arial"/>
              </w:rPr>
              <w:t>Franked distributions from trusts (cents)</w:t>
            </w:r>
          </w:p>
        </w:tc>
        <w:tc>
          <w:tcPr>
            <w:tcW w:w="1572" w:type="pct"/>
            <w:tcMar>
              <w:top w:w="0" w:type="dxa"/>
              <w:left w:w="108" w:type="dxa"/>
              <w:bottom w:w="0" w:type="dxa"/>
              <w:right w:w="108" w:type="dxa"/>
            </w:tcMar>
            <w:vAlign w:val="center"/>
          </w:tcPr>
          <w:p w14:paraId="34FE2990" w14:textId="77777777" w:rsidR="00115458" w:rsidRPr="002B0123" w:rsidRDefault="00115458" w:rsidP="002B0123">
            <w:pPr>
              <w:spacing w:after="0" w:line="240" w:lineRule="auto"/>
              <w:rPr>
                <w:rFonts w:cs="Arial"/>
              </w:rPr>
            </w:pPr>
            <w:r w:rsidRPr="002B0123">
              <w:rPr>
                <w:rFonts w:cs="Arial"/>
              </w:rPr>
              <w:t>000001450000</w:t>
            </w:r>
          </w:p>
        </w:tc>
      </w:tr>
      <w:tr w:rsidR="00115458" w:rsidRPr="002B0123" w14:paraId="496C68A5" w14:textId="77777777" w:rsidTr="000C1365">
        <w:trPr>
          <w:cantSplit/>
          <w:trHeight w:val="270"/>
        </w:trPr>
        <w:tc>
          <w:tcPr>
            <w:tcW w:w="590" w:type="pct"/>
            <w:tcMar>
              <w:top w:w="0" w:type="dxa"/>
              <w:left w:w="108" w:type="dxa"/>
              <w:bottom w:w="0" w:type="dxa"/>
              <w:right w:w="108" w:type="dxa"/>
            </w:tcMar>
            <w:vAlign w:val="center"/>
          </w:tcPr>
          <w:p w14:paraId="69C47073" w14:textId="77777777" w:rsidR="00115458" w:rsidRPr="002B0123" w:rsidRDefault="00115458" w:rsidP="002B0123">
            <w:pPr>
              <w:spacing w:after="0" w:line="240" w:lineRule="auto"/>
              <w:rPr>
                <w:rFonts w:cs="Arial"/>
              </w:rPr>
            </w:pPr>
            <w:r w:rsidRPr="002B0123">
              <w:rPr>
                <w:rFonts w:cs="Arial"/>
              </w:rPr>
              <w:t>9.122</w:t>
            </w:r>
          </w:p>
        </w:tc>
        <w:tc>
          <w:tcPr>
            <w:tcW w:w="2838" w:type="pct"/>
            <w:tcMar>
              <w:top w:w="0" w:type="dxa"/>
              <w:left w:w="108" w:type="dxa"/>
              <w:bottom w:w="0" w:type="dxa"/>
              <w:right w:w="108" w:type="dxa"/>
            </w:tcMar>
            <w:vAlign w:val="center"/>
          </w:tcPr>
          <w:p w14:paraId="301ADF2B" w14:textId="77777777" w:rsidR="00115458" w:rsidRPr="002B0123" w:rsidRDefault="00115458" w:rsidP="002B0123">
            <w:pPr>
              <w:spacing w:after="0" w:line="240" w:lineRule="auto"/>
              <w:rPr>
                <w:rFonts w:cs="Arial"/>
              </w:rPr>
            </w:pPr>
            <w:r w:rsidRPr="002B0123">
              <w:rPr>
                <w:rFonts w:cs="Arial"/>
              </w:rPr>
              <w:t>Interest exempt from withholding</w:t>
            </w:r>
          </w:p>
        </w:tc>
        <w:tc>
          <w:tcPr>
            <w:tcW w:w="1572" w:type="pct"/>
            <w:tcMar>
              <w:top w:w="0" w:type="dxa"/>
              <w:left w:w="108" w:type="dxa"/>
              <w:bottom w:w="0" w:type="dxa"/>
              <w:right w:w="108" w:type="dxa"/>
            </w:tcMar>
            <w:vAlign w:val="center"/>
          </w:tcPr>
          <w:p w14:paraId="11F043F9" w14:textId="77777777" w:rsidR="00115458" w:rsidRPr="002B0123" w:rsidRDefault="00115458" w:rsidP="002B0123">
            <w:pPr>
              <w:spacing w:after="0" w:line="240" w:lineRule="auto"/>
              <w:rPr>
                <w:rFonts w:cs="Arial"/>
              </w:rPr>
            </w:pPr>
            <w:r w:rsidRPr="002B0123">
              <w:rPr>
                <w:rFonts w:cs="Arial"/>
              </w:rPr>
              <w:t>000000000000</w:t>
            </w:r>
          </w:p>
        </w:tc>
      </w:tr>
      <w:tr w:rsidR="00115458" w:rsidRPr="002B0123" w14:paraId="24BAA959" w14:textId="77777777" w:rsidTr="000C1365">
        <w:trPr>
          <w:cantSplit/>
          <w:trHeight w:val="270"/>
        </w:trPr>
        <w:tc>
          <w:tcPr>
            <w:tcW w:w="590" w:type="pct"/>
            <w:tcMar>
              <w:top w:w="0" w:type="dxa"/>
              <w:left w:w="108" w:type="dxa"/>
              <w:bottom w:w="0" w:type="dxa"/>
              <w:right w:w="108" w:type="dxa"/>
            </w:tcMar>
            <w:vAlign w:val="center"/>
          </w:tcPr>
          <w:p w14:paraId="5EF75CD4" w14:textId="77777777" w:rsidR="00115458" w:rsidRPr="002B0123" w:rsidRDefault="00115458" w:rsidP="002B0123">
            <w:pPr>
              <w:spacing w:after="0" w:line="240" w:lineRule="auto"/>
              <w:rPr>
                <w:rFonts w:cs="Arial"/>
              </w:rPr>
            </w:pPr>
            <w:r w:rsidRPr="002B0123">
              <w:rPr>
                <w:rFonts w:cs="Arial"/>
              </w:rPr>
              <w:t>9.136</w:t>
            </w:r>
          </w:p>
        </w:tc>
        <w:tc>
          <w:tcPr>
            <w:tcW w:w="2838" w:type="pct"/>
            <w:tcMar>
              <w:top w:w="0" w:type="dxa"/>
              <w:left w:w="108" w:type="dxa"/>
              <w:bottom w:w="0" w:type="dxa"/>
              <w:right w:w="108" w:type="dxa"/>
            </w:tcMar>
            <w:vAlign w:val="center"/>
          </w:tcPr>
          <w:p w14:paraId="52B11784" w14:textId="77777777" w:rsidR="00115458" w:rsidRPr="002B0123" w:rsidRDefault="00115458" w:rsidP="002B0123">
            <w:pPr>
              <w:spacing w:after="0" w:line="240" w:lineRule="auto"/>
              <w:rPr>
                <w:rFonts w:cs="Arial"/>
              </w:rPr>
            </w:pPr>
            <w:r w:rsidRPr="002B0123">
              <w:rPr>
                <w:rFonts w:cs="Arial"/>
              </w:rPr>
              <w:t>NCMI – Non-primary production</w:t>
            </w:r>
          </w:p>
        </w:tc>
        <w:tc>
          <w:tcPr>
            <w:tcW w:w="1572" w:type="pct"/>
            <w:tcMar>
              <w:top w:w="0" w:type="dxa"/>
              <w:left w:w="108" w:type="dxa"/>
              <w:bottom w:w="0" w:type="dxa"/>
              <w:right w:w="108" w:type="dxa"/>
            </w:tcMar>
            <w:vAlign w:val="center"/>
          </w:tcPr>
          <w:p w14:paraId="6EE00F5F" w14:textId="77777777" w:rsidR="00115458" w:rsidRPr="002B0123" w:rsidRDefault="00115458" w:rsidP="002B0123">
            <w:pPr>
              <w:spacing w:after="0" w:line="240" w:lineRule="auto"/>
              <w:rPr>
                <w:rFonts w:cs="Arial"/>
              </w:rPr>
            </w:pPr>
            <w:r w:rsidRPr="002B0123">
              <w:rPr>
                <w:rFonts w:cs="Arial"/>
              </w:rPr>
              <w:t>000000236000</w:t>
            </w:r>
          </w:p>
        </w:tc>
      </w:tr>
      <w:tr w:rsidR="00115458" w:rsidRPr="002B0123" w14:paraId="07018225" w14:textId="77777777" w:rsidTr="000C1365">
        <w:trPr>
          <w:cantSplit/>
          <w:trHeight w:val="270"/>
        </w:trPr>
        <w:tc>
          <w:tcPr>
            <w:tcW w:w="590" w:type="pct"/>
            <w:tcMar>
              <w:top w:w="0" w:type="dxa"/>
              <w:left w:w="108" w:type="dxa"/>
              <w:bottom w:w="0" w:type="dxa"/>
              <w:right w:w="108" w:type="dxa"/>
            </w:tcMar>
            <w:vAlign w:val="center"/>
          </w:tcPr>
          <w:p w14:paraId="27FF7C4C" w14:textId="77777777" w:rsidR="00115458" w:rsidRPr="002B0123" w:rsidRDefault="00115458" w:rsidP="002B0123">
            <w:pPr>
              <w:spacing w:after="0" w:line="240" w:lineRule="auto"/>
              <w:rPr>
                <w:rFonts w:cs="Arial"/>
              </w:rPr>
            </w:pPr>
            <w:r w:rsidRPr="002B0123">
              <w:rPr>
                <w:rFonts w:cs="Arial"/>
              </w:rPr>
              <w:t>9.138</w:t>
            </w:r>
          </w:p>
        </w:tc>
        <w:tc>
          <w:tcPr>
            <w:tcW w:w="2838" w:type="pct"/>
            <w:tcMar>
              <w:top w:w="0" w:type="dxa"/>
              <w:left w:w="108" w:type="dxa"/>
              <w:bottom w:w="0" w:type="dxa"/>
              <w:right w:w="108" w:type="dxa"/>
            </w:tcMar>
            <w:vAlign w:val="center"/>
          </w:tcPr>
          <w:p w14:paraId="0F503598" w14:textId="77777777" w:rsidR="00115458" w:rsidRPr="002B0123" w:rsidRDefault="00115458" w:rsidP="002B0123">
            <w:pPr>
              <w:spacing w:after="0" w:line="240" w:lineRule="auto"/>
              <w:rPr>
                <w:rFonts w:cs="Arial"/>
              </w:rPr>
            </w:pPr>
            <w:r w:rsidRPr="002B0123">
              <w:rPr>
                <w:rFonts w:cs="Arial"/>
              </w:rPr>
              <w:t>Excluded from NCMI – Non-primary production</w:t>
            </w:r>
          </w:p>
        </w:tc>
        <w:tc>
          <w:tcPr>
            <w:tcW w:w="1572" w:type="pct"/>
            <w:tcMar>
              <w:top w:w="0" w:type="dxa"/>
              <w:left w:w="108" w:type="dxa"/>
              <w:bottom w:w="0" w:type="dxa"/>
              <w:right w:w="108" w:type="dxa"/>
            </w:tcMar>
            <w:vAlign w:val="center"/>
          </w:tcPr>
          <w:p w14:paraId="1324D4B9" w14:textId="77777777" w:rsidR="00115458" w:rsidRPr="002B0123" w:rsidRDefault="00115458" w:rsidP="002B0123">
            <w:pPr>
              <w:spacing w:after="0" w:line="240" w:lineRule="auto"/>
              <w:rPr>
                <w:rFonts w:cs="Arial"/>
              </w:rPr>
            </w:pPr>
            <w:r w:rsidRPr="002B0123">
              <w:rPr>
                <w:rFonts w:cs="Arial"/>
              </w:rPr>
              <w:t>000000112000</w:t>
            </w:r>
          </w:p>
        </w:tc>
      </w:tr>
    </w:tbl>
    <w:p w14:paraId="5FEA7D1D" w14:textId="06243CF2" w:rsidR="00115458" w:rsidRPr="0028338D" w:rsidRDefault="0028338D" w:rsidP="002B0123">
      <w:pPr>
        <w:spacing w:after="0" w:line="240" w:lineRule="auto"/>
        <w:rPr>
          <w:rFonts w:cs="Arial"/>
          <w:sz w:val="18"/>
          <w:szCs w:val="18"/>
        </w:rPr>
      </w:pPr>
      <w:r w:rsidRPr="0028338D">
        <w:rPr>
          <w:rFonts w:cs="Arial"/>
          <w:sz w:val="18"/>
          <w:szCs w:val="18"/>
        </w:rPr>
        <w:t>An</w:t>
      </w:r>
      <w:r>
        <w:rPr>
          <w:rFonts w:cs="Arial"/>
          <w:sz w:val="18"/>
          <w:szCs w:val="18"/>
        </w:rPr>
        <w:t xml:space="preserve"> </w:t>
      </w:r>
      <w:r w:rsidR="00115458" w:rsidRPr="0028338D">
        <w:rPr>
          <w:rFonts w:cs="Arial"/>
          <w:i/>
          <w:sz w:val="18"/>
          <w:szCs w:val="18"/>
        </w:rPr>
        <w:t>Investor data record</w:t>
      </w:r>
      <w:r w:rsidR="00115458" w:rsidRPr="0028338D">
        <w:rPr>
          <w:rFonts w:cs="Arial"/>
          <w:sz w:val="18"/>
          <w:szCs w:val="18"/>
        </w:rPr>
        <w:t xml:space="preserve"> is required following the </w:t>
      </w:r>
      <w:r w:rsidR="00115458" w:rsidRPr="0028338D">
        <w:rPr>
          <w:rFonts w:cs="Arial"/>
          <w:i/>
          <w:sz w:val="18"/>
          <w:szCs w:val="18"/>
        </w:rPr>
        <w:t xml:space="preserve">Supplementary income account data record </w:t>
      </w:r>
    </w:p>
    <w:p w14:paraId="41CE99CD" w14:textId="77777777" w:rsidR="00115458" w:rsidRPr="002B0123" w:rsidRDefault="00115458" w:rsidP="002B0123">
      <w:pPr>
        <w:spacing w:after="0" w:line="240" w:lineRule="auto"/>
        <w:rPr>
          <w:b/>
        </w:rPr>
      </w:pPr>
    </w:p>
    <w:p w14:paraId="2DEF2644" w14:textId="77777777" w:rsidR="00115458" w:rsidRPr="002B0123" w:rsidRDefault="00115458" w:rsidP="002B0123">
      <w:pPr>
        <w:spacing w:after="0" w:line="240" w:lineRule="auto"/>
        <w:rPr>
          <w:b/>
        </w:rPr>
      </w:pPr>
      <w:r w:rsidRPr="002B0123">
        <w:rPr>
          <w:b/>
        </w:rPr>
        <w:t>Gross cash distribution (9.121)</w:t>
      </w:r>
    </w:p>
    <w:p w14:paraId="4A9BBB8B" w14:textId="77777777" w:rsidR="00115458" w:rsidRPr="002B0123" w:rsidRDefault="00115458" w:rsidP="002B0123">
      <w:pPr>
        <w:pStyle w:val="Maintext"/>
        <w:rPr>
          <w:rFonts w:asciiTheme="minorHAnsi" w:hAnsiTheme="minorHAnsi"/>
          <w:sz w:val="20"/>
          <w:szCs w:val="20"/>
        </w:rPr>
      </w:pPr>
      <w:r w:rsidRPr="002B0123">
        <w:rPr>
          <w:rFonts w:asciiTheme="minorHAnsi" w:hAnsiTheme="minorHAnsi"/>
          <w:sz w:val="20"/>
          <w:szCs w:val="20"/>
        </w:rPr>
        <w:t>This is the gross cash distribution amount paid to the investment account. For example, this is the amount before reinvestment is considered or management fees paid. This amount was previously reported on the SDS and is now included on the AMMA and the AIIR for greater alignment.</w:t>
      </w:r>
    </w:p>
    <w:p w14:paraId="5376B037" w14:textId="77777777" w:rsidR="00115458" w:rsidRPr="002B0123" w:rsidRDefault="00115458" w:rsidP="002B0123">
      <w:pPr>
        <w:spacing w:after="0" w:line="240" w:lineRule="auto"/>
      </w:pPr>
    </w:p>
    <w:p w14:paraId="0B531D54" w14:textId="77777777" w:rsidR="00115458" w:rsidRPr="002B0123" w:rsidRDefault="00115458" w:rsidP="002B0123">
      <w:pPr>
        <w:spacing w:after="0" w:line="240" w:lineRule="auto"/>
        <w:rPr>
          <w:b/>
        </w:rPr>
      </w:pPr>
      <w:r w:rsidRPr="002B0123">
        <w:rPr>
          <w:b/>
        </w:rPr>
        <w:t>Interest exempt from withholding (9.122)</w:t>
      </w:r>
    </w:p>
    <w:p w14:paraId="0E98CFD9" w14:textId="6AE25CF7" w:rsidR="00115458" w:rsidRPr="002B0123" w:rsidRDefault="00115458" w:rsidP="14B1A632">
      <w:pPr>
        <w:pStyle w:val="Maintext"/>
        <w:rPr>
          <w:rFonts w:asciiTheme="minorHAnsi" w:hAnsiTheme="minorHAnsi"/>
          <w:sz w:val="20"/>
          <w:szCs w:val="20"/>
        </w:rPr>
      </w:pPr>
      <w:r w:rsidRPr="14B1A632">
        <w:rPr>
          <w:rFonts w:asciiTheme="minorHAnsi" w:hAnsiTheme="minorHAnsi"/>
          <w:sz w:val="20"/>
          <w:szCs w:val="20"/>
        </w:rPr>
        <w:t xml:space="preserve">This is the amount of Australian source interest paid to a non-resident that is not subject to withholding.  It is not included in amounts reported at the </w:t>
      </w:r>
      <w:r w:rsidRPr="14B1A632">
        <w:rPr>
          <w:rFonts w:asciiTheme="minorHAnsi" w:hAnsiTheme="minorHAnsi"/>
          <w:i/>
          <w:iCs/>
          <w:sz w:val="20"/>
          <w:szCs w:val="20"/>
        </w:rPr>
        <w:t>Interest</w:t>
      </w:r>
      <w:r w:rsidRPr="14B1A632">
        <w:rPr>
          <w:rFonts w:asciiTheme="minorHAnsi" w:hAnsiTheme="minorHAnsi"/>
          <w:sz w:val="20"/>
          <w:szCs w:val="20"/>
        </w:rPr>
        <w:t xml:space="preserve"> (9.</w:t>
      </w:r>
      <w:r w:rsidR="03CC2BC3" w:rsidRPr="14B1A632">
        <w:rPr>
          <w:rFonts w:asciiTheme="minorHAnsi" w:hAnsiTheme="minorHAnsi"/>
          <w:sz w:val="20"/>
          <w:szCs w:val="20"/>
        </w:rPr>
        <w:t>7</w:t>
      </w:r>
      <w:r w:rsidRPr="14B1A632">
        <w:rPr>
          <w:rFonts w:asciiTheme="minorHAnsi" w:hAnsiTheme="minorHAnsi"/>
          <w:sz w:val="20"/>
          <w:szCs w:val="20"/>
        </w:rPr>
        <w:t>9) field but is included in the calculation of non-primary production income.</w:t>
      </w:r>
    </w:p>
    <w:p w14:paraId="176A7161" w14:textId="77777777" w:rsidR="00115458" w:rsidRPr="002B0123" w:rsidRDefault="00115458" w:rsidP="002B0123">
      <w:pPr>
        <w:spacing w:after="0" w:line="240" w:lineRule="auto"/>
        <w:rPr>
          <w:b/>
        </w:rPr>
      </w:pPr>
    </w:p>
    <w:p w14:paraId="698C5CE5" w14:textId="77777777" w:rsidR="00115458" w:rsidRPr="002B0123" w:rsidRDefault="00115458" w:rsidP="002B0123">
      <w:pPr>
        <w:spacing w:after="0" w:line="240" w:lineRule="auto"/>
        <w:rPr>
          <w:b/>
        </w:rPr>
      </w:pPr>
      <w:r w:rsidRPr="002B0123">
        <w:rPr>
          <w:b/>
        </w:rPr>
        <w:t>Non-assessable non-exempt amount (9.127)</w:t>
      </w:r>
    </w:p>
    <w:p w14:paraId="48D4A20B" w14:textId="77777777" w:rsidR="00115458" w:rsidRPr="002B0123" w:rsidRDefault="00115458" w:rsidP="002B0123">
      <w:pPr>
        <w:pStyle w:val="Maintext"/>
        <w:rPr>
          <w:rFonts w:asciiTheme="minorHAnsi" w:hAnsiTheme="minorHAnsi"/>
          <w:sz w:val="20"/>
          <w:szCs w:val="20"/>
        </w:rPr>
      </w:pPr>
      <w:r w:rsidRPr="002B0123">
        <w:rPr>
          <w:rFonts w:asciiTheme="minorHAnsi" w:hAnsiTheme="minorHAnsi"/>
          <w:sz w:val="20"/>
          <w:szCs w:val="20"/>
        </w:rPr>
        <w:t>This is the total amount of non-assessable non-exempt income paid, credited to the investor.</w:t>
      </w:r>
    </w:p>
    <w:p w14:paraId="20596C92" w14:textId="77777777" w:rsidR="00115458" w:rsidRPr="002B0123" w:rsidRDefault="00115458" w:rsidP="002B0123">
      <w:pPr>
        <w:spacing w:after="0" w:line="240" w:lineRule="auto"/>
      </w:pPr>
      <w:r w:rsidRPr="002B0123">
        <w:t>This Includes Non-Assessable Non-Exempt income referrable to a sovereign entity that is attributable or distributed through trusts.</w:t>
      </w:r>
    </w:p>
    <w:p w14:paraId="21A6D816" w14:textId="77777777" w:rsidR="00115458" w:rsidRPr="002B0123" w:rsidRDefault="00115458" w:rsidP="002B0123">
      <w:pPr>
        <w:spacing w:after="0" w:line="240" w:lineRule="auto"/>
        <w:rPr>
          <w:b/>
        </w:rPr>
      </w:pPr>
    </w:p>
    <w:p w14:paraId="18BC7C91" w14:textId="77777777" w:rsidR="00115458" w:rsidRPr="002B0123" w:rsidRDefault="00115458" w:rsidP="002B0123">
      <w:pPr>
        <w:spacing w:after="0" w:line="240" w:lineRule="auto"/>
      </w:pPr>
      <w:r w:rsidRPr="002B0123">
        <w:rPr>
          <w:b/>
        </w:rPr>
        <w:t>Other income</w:t>
      </w:r>
      <w:r w:rsidRPr="002B0123">
        <w:t xml:space="preserve"> </w:t>
      </w:r>
      <w:r w:rsidRPr="002B0123">
        <w:rPr>
          <w:b/>
        </w:rPr>
        <w:t>(9.130)</w:t>
      </w:r>
    </w:p>
    <w:p w14:paraId="12037F79" w14:textId="77777777" w:rsidR="00115458" w:rsidRPr="002B0123" w:rsidRDefault="00115458" w:rsidP="002B0123">
      <w:pPr>
        <w:pStyle w:val="Maintext"/>
        <w:rPr>
          <w:rFonts w:asciiTheme="minorHAnsi" w:hAnsiTheme="minorHAnsi" w:cs="Arial"/>
          <w:sz w:val="20"/>
          <w:szCs w:val="20"/>
          <w:lang w:val="en-US"/>
        </w:rPr>
      </w:pPr>
      <w:r w:rsidRPr="002B0123">
        <w:rPr>
          <w:rFonts w:asciiTheme="minorHAnsi" w:hAnsiTheme="minorHAnsi"/>
          <w:sz w:val="20"/>
          <w:szCs w:val="20"/>
        </w:rPr>
        <w:t xml:space="preserve">This is other income received via the trust but that is not itself a trust distribution. For example, only report rebated commissions that have been rebated directly by the fund to the investor on instructions from the financial planner. Income already reported separately at other fields, such as </w:t>
      </w:r>
      <w:r w:rsidRPr="002B0123">
        <w:rPr>
          <w:rFonts w:asciiTheme="minorHAnsi" w:hAnsiTheme="minorHAnsi" w:cs="Arial"/>
          <w:i/>
          <w:sz w:val="20"/>
          <w:szCs w:val="20"/>
          <w:lang w:val="en-US"/>
        </w:rPr>
        <w:t>Other taxable Australian income</w:t>
      </w:r>
      <w:r w:rsidRPr="002B0123">
        <w:rPr>
          <w:rFonts w:asciiTheme="minorHAnsi" w:hAnsiTheme="minorHAnsi" w:cs="Arial"/>
          <w:sz w:val="20"/>
          <w:szCs w:val="20"/>
          <w:lang w:val="en-US"/>
        </w:rPr>
        <w:t xml:space="preserve"> (9.84) field, should not be reported at this field.  Amounts reported at this field would be included at item 24V in the ITR and not as part of a trust distribution.</w:t>
      </w:r>
    </w:p>
    <w:p w14:paraId="2B3E12A9" w14:textId="77777777" w:rsidR="00115458" w:rsidRPr="002B0123" w:rsidRDefault="00115458" w:rsidP="002B0123">
      <w:pPr>
        <w:pStyle w:val="Maintext"/>
        <w:rPr>
          <w:rFonts w:asciiTheme="minorHAnsi" w:hAnsiTheme="minorHAnsi" w:cs="Arial"/>
          <w:sz w:val="20"/>
          <w:szCs w:val="20"/>
          <w:lang w:val="en-US"/>
        </w:rPr>
      </w:pPr>
    </w:p>
    <w:p w14:paraId="075E9EBC" w14:textId="77777777" w:rsidR="00115458" w:rsidRPr="002B0123" w:rsidRDefault="00115458" w:rsidP="002B0123">
      <w:pPr>
        <w:pStyle w:val="Maintext"/>
        <w:rPr>
          <w:rFonts w:asciiTheme="minorHAnsi" w:hAnsiTheme="minorHAnsi"/>
          <w:sz w:val="20"/>
          <w:szCs w:val="20"/>
        </w:rPr>
      </w:pPr>
      <w:r w:rsidRPr="002B0123">
        <w:rPr>
          <w:rFonts w:asciiTheme="minorHAnsi" w:hAnsiTheme="minorHAnsi" w:cs="Arial"/>
          <w:sz w:val="20"/>
          <w:szCs w:val="20"/>
          <w:lang w:val="en-US"/>
        </w:rPr>
        <w:t>Do not include amounts of NCMI or Excluded from NCMI at this field.</w:t>
      </w:r>
    </w:p>
    <w:p w14:paraId="53FC54C2" w14:textId="77777777" w:rsidR="00115458" w:rsidRPr="002B0123" w:rsidRDefault="00115458" w:rsidP="002B0123">
      <w:pPr>
        <w:spacing w:after="0" w:line="240" w:lineRule="auto"/>
        <w:rPr>
          <w:b/>
          <w:iCs/>
        </w:rPr>
      </w:pPr>
      <w:r w:rsidRPr="002B0123">
        <w:rPr>
          <w:iCs/>
        </w:rPr>
        <w:t xml:space="preserve">   </w:t>
      </w:r>
    </w:p>
    <w:p w14:paraId="124C74BD" w14:textId="77777777" w:rsidR="00115458" w:rsidRPr="002B0123" w:rsidRDefault="00115458" w:rsidP="002B0123">
      <w:pPr>
        <w:spacing w:after="0" w:line="240" w:lineRule="auto"/>
        <w:rPr>
          <w:b/>
        </w:rPr>
      </w:pPr>
      <w:r w:rsidRPr="002B0123">
        <w:rPr>
          <w:b/>
        </w:rPr>
        <w:t>Royalties (9.135)</w:t>
      </w:r>
    </w:p>
    <w:p w14:paraId="1A273D78" w14:textId="77777777" w:rsidR="00115458" w:rsidRPr="002B0123" w:rsidRDefault="00115458" w:rsidP="002B0123">
      <w:pPr>
        <w:spacing w:after="0" w:line="240" w:lineRule="auto"/>
      </w:pPr>
      <w:r w:rsidRPr="002B0123">
        <w:rPr>
          <w:rFonts w:cs="Arial"/>
        </w:rPr>
        <w:t xml:space="preserve">The amount of royalties paid, credited or attributed (for AMITS) to the investment account. If you currently include royalties at </w:t>
      </w:r>
      <w:r w:rsidRPr="002B0123">
        <w:rPr>
          <w:rFonts w:cs="Arial"/>
          <w:i/>
          <w:iCs/>
        </w:rPr>
        <w:t>Other taxable Australian income</w:t>
      </w:r>
      <w:r w:rsidRPr="002B0123">
        <w:rPr>
          <w:rFonts w:cs="Arial"/>
        </w:rPr>
        <w:t xml:space="preserve"> (9.84) field then you may continue to do so otherwise you can report it separately at </w:t>
      </w:r>
      <w:r w:rsidRPr="002B0123">
        <w:rPr>
          <w:rFonts w:cs="Arial"/>
          <w:i/>
          <w:iCs/>
        </w:rPr>
        <w:t xml:space="preserve">Royalties </w:t>
      </w:r>
      <w:r w:rsidRPr="002B0123">
        <w:rPr>
          <w:rFonts w:cs="Arial"/>
        </w:rPr>
        <w:t>(9.135) field. Do not report this amount in both fields.</w:t>
      </w:r>
      <w:bookmarkEnd w:id="1671"/>
      <w:r w:rsidRPr="002B0123">
        <w:t xml:space="preserve"> </w:t>
      </w:r>
    </w:p>
    <w:p w14:paraId="6E6DF105" w14:textId="77777777" w:rsidR="00115458" w:rsidRDefault="00115458" w:rsidP="00115458">
      <w:pPr>
        <w:pStyle w:val="Heading2"/>
      </w:pPr>
      <w:bookmarkStart w:id="1674" w:name="_Toc232191359"/>
      <w:r>
        <w:t>Specific information</w:t>
      </w:r>
      <w:bookmarkEnd w:id="1674"/>
    </w:p>
    <w:p w14:paraId="0AC43126" w14:textId="77777777" w:rsidR="00115458" w:rsidRPr="00DB1D67" w:rsidRDefault="00115458" w:rsidP="00115458">
      <w:pPr>
        <w:pStyle w:val="Heading3"/>
      </w:pPr>
      <w:bookmarkStart w:id="1675" w:name="_Toc448311534"/>
      <w:bookmarkStart w:id="1676" w:name="_Toc232191360"/>
      <w:r w:rsidRPr="00DB1D67">
        <w:t xml:space="preserve">Capital </w:t>
      </w:r>
      <w:r>
        <w:t>g</w:t>
      </w:r>
      <w:r w:rsidRPr="00DB1D67">
        <w:t xml:space="preserve">ains </w:t>
      </w:r>
      <w:r>
        <w:t>distributions</w:t>
      </w:r>
      <w:bookmarkEnd w:id="1676"/>
      <w:r w:rsidRPr="00DB1D67">
        <w:t xml:space="preserve"> </w:t>
      </w:r>
      <w:bookmarkEnd w:id="1675"/>
    </w:p>
    <w:p w14:paraId="29C4DDAA" w14:textId="77777777" w:rsidR="00985D0E" w:rsidRDefault="00115458" w:rsidP="00985D0E">
      <w:pPr>
        <w:spacing w:after="0" w:line="240" w:lineRule="auto"/>
        <w:rPr>
          <w:rFonts w:cs="Arial"/>
        </w:rPr>
      </w:pPr>
      <w:r>
        <w:rPr>
          <w:rFonts w:cs="Arial"/>
        </w:rPr>
        <w:t>I</w:t>
      </w:r>
      <w:r w:rsidRPr="00DB1D67">
        <w:rPr>
          <w:rFonts w:cs="Arial"/>
        </w:rPr>
        <w:t>nvestor</w:t>
      </w:r>
      <w:r>
        <w:rPr>
          <w:rFonts w:cs="Arial"/>
        </w:rPr>
        <w:t>s</w:t>
      </w:r>
      <w:r w:rsidRPr="00DB1D67">
        <w:rPr>
          <w:rFonts w:cs="Arial"/>
        </w:rPr>
        <w:t xml:space="preserve"> can receive a</w:t>
      </w:r>
      <w:r>
        <w:rPr>
          <w:rFonts w:cs="Arial"/>
        </w:rPr>
        <w:t>n attribution /</w:t>
      </w:r>
      <w:r w:rsidRPr="00DB1D67">
        <w:rPr>
          <w:rFonts w:cs="Arial"/>
        </w:rPr>
        <w:t xml:space="preserve">distribution calculated by using more than one capital gain method and it can include income from Australian and foreign sources. </w:t>
      </w:r>
      <w:r>
        <w:rPr>
          <w:rFonts w:cs="Arial"/>
        </w:rPr>
        <w:t xml:space="preserve"> </w:t>
      </w:r>
    </w:p>
    <w:p w14:paraId="239E3AAD" w14:textId="71CB929F" w:rsidR="00115458" w:rsidRDefault="00115458" w:rsidP="00985D0E">
      <w:pPr>
        <w:spacing w:after="0" w:line="240" w:lineRule="auto"/>
        <w:rPr>
          <w:rFonts w:cs="Arial"/>
        </w:rPr>
      </w:pPr>
      <w:r>
        <w:rPr>
          <w:rFonts w:cs="Arial"/>
        </w:rPr>
        <w:t xml:space="preserve"> </w:t>
      </w:r>
    </w:p>
    <w:p w14:paraId="083DB759" w14:textId="77777777" w:rsidR="00115458" w:rsidRDefault="00115458" w:rsidP="00985D0E">
      <w:pPr>
        <w:pStyle w:val="Heading4"/>
        <w:spacing w:before="0" w:after="0" w:line="240" w:lineRule="auto"/>
      </w:pPr>
      <w:r>
        <w:t>Capital gains distributions are reported using the following fields:</w:t>
      </w:r>
    </w:p>
    <w:p w14:paraId="5D7E3789" w14:textId="77777777" w:rsidR="00985D0E" w:rsidRDefault="00985D0E" w:rsidP="00985D0E">
      <w:pPr>
        <w:spacing w:after="0" w:line="240" w:lineRule="auto"/>
        <w:rPr>
          <w:b/>
        </w:rPr>
      </w:pPr>
    </w:p>
    <w:p w14:paraId="42AF8329" w14:textId="4F4D2481" w:rsidR="00115458" w:rsidRDefault="00115458" w:rsidP="00985D0E">
      <w:pPr>
        <w:spacing w:after="0" w:line="240" w:lineRule="auto"/>
      </w:pPr>
      <w:r w:rsidRPr="00A50CBF">
        <w:rPr>
          <w:b/>
        </w:rPr>
        <w:t>CGT concession amount or AMIT CGT gross up amount</w:t>
      </w:r>
      <w:r>
        <w:rPr>
          <w:b/>
        </w:rPr>
        <w:t xml:space="preserve"> (9.87) </w:t>
      </w:r>
    </w:p>
    <w:p w14:paraId="62478DB7" w14:textId="77777777" w:rsidR="00115458" w:rsidRDefault="00115458" w:rsidP="00985D0E">
      <w:pPr>
        <w:spacing w:after="0" w:line="240" w:lineRule="auto"/>
      </w:pPr>
      <w:r>
        <w:t>T</w:t>
      </w:r>
      <w:r w:rsidRPr="00A50CBF">
        <w:t xml:space="preserve">his </w:t>
      </w:r>
      <w:r>
        <w:t xml:space="preserve">is the CGT discount amount of non-assessable Australian and foreign source capital gains included in the attribution / distribution to the investor. It can also include certain distributed amounts relating to trust capital gains against which trust losses have been applied. </w:t>
      </w:r>
    </w:p>
    <w:p w14:paraId="6E148CCE" w14:textId="77777777" w:rsidR="00115458" w:rsidRDefault="00115458" w:rsidP="00115458"/>
    <w:p w14:paraId="256AA72F" w14:textId="77777777" w:rsidR="00115458" w:rsidRPr="00985D0E" w:rsidRDefault="00115458" w:rsidP="00985D0E">
      <w:pPr>
        <w:spacing w:after="0" w:line="240" w:lineRule="auto"/>
        <w:rPr>
          <w:b/>
        </w:rPr>
      </w:pPr>
      <w:r w:rsidRPr="00985D0E">
        <w:rPr>
          <w:b/>
        </w:rPr>
        <w:t xml:space="preserve">Net capital gain (9.88) </w:t>
      </w:r>
    </w:p>
    <w:p w14:paraId="079C82BB" w14:textId="77777777" w:rsidR="00115458" w:rsidRPr="00985D0E" w:rsidRDefault="00115458" w:rsidP="00985D0E">
      <w:pPr>
        <w:spacing w:after="0" w:line="240" w:lineRule="auto"/>
      </w:pPr>
      <w:r w:rsidRPr="00985D0E">
        <w:t>This amount is the sum of the amounts reported at the following fields:</w:t>
      </w:r>
    </w:p>
    <w:p w14:paraId="1A4FEC72" w14:textId="77777777" w:rsidR="00115458" w:rsidRPr="00985D0E" w:rsidRDefault="00115458" w:rsidP="00985D0E">
      <w:pPr>
        <w:spacing w:after="0" w:line="240" w:lineRule="auto"/>
        <w:rPr>
          <w:rFonts w:cs="Arial"/>
        </w:rPr>
      </w:pPr>
    </w:p>
    <w:p w14:paraId="072E80D9" w14:textId="77777777" w:rsidR="00115458" w:rsidRPr="00985D0E" w:rsidRDefault="00115458" w:rsidP="001601AF">
      <w:pPr>
        <w:pStyle w:val="Bullet1"/>
        <w:numPr>
          <w:ilvl w:val="0"/>
          <w:numId w:val="81"/>
        </w:numPr>
        <w:spacing w:before="0" w:after="0"/>
        <w:rPr>
          <w:rFonts w:asciiTheme="minorHAnsi" w:hAnsiTheme="minorHAnsi" w:cs="Arial"/>
          <w:sz w:val="20"/>
          <w:szCs w:val="20"/>
        </w:rPr>
      </w:pPr>
      <w:r w:rsidRPr="00985D0E">
        <w:rPr>
          <w:rFonts w:asciiTheme="minorHAnsi" w:hAnsiTheme="minorHAnsi" w:cs="Arial"/>
          <w:i/>
          <w:sz w:val="20"/>
          <w:szCs w:val="20"/>
        </w:rPr>
        <w:t>Capital gains discount method - Taxable Australian property</w:t>
      </w:r>
      <w:r w:rsidRPr="00985D0E">
        <w:rPr>
          <w:rFonts w:asciiTheme="minorHAnsi" w:hAnsiTheme="minorHAnsi" w:cs="Arial"/>
          <w:sz w:val="20"/>
          <w:szCs w:val="20"/>
        </w:rPr>
        <w:t xml:space="preserve"> (9.123)</w:t>
      </w:r>
    </w:p>
    <w:p w14:paraId="1E11B77C" w14:textId="77777777" w:rsidR="00115458" w:rsidRPr="00985D0E" w:rsidRDefault="00115458" w:rsidP="001601AF">
      <w:pPr>
        <w:pStyle w:val="Bullet1"/>
        <w:numPr>
          <w:ilvl w:val="0"/>
          <w:numId w:val="81"/>
        </w:numPr>
        <w:spacing w:before="0" w:after="0"/>
        <w:rPr>
          <w:rFonts w:asciiTheme="minorHAnsi" w:hAnsiTheme="minorHAnsi" w:cs="Arial"/>
          <w:sz w:val="20"/>
          <w:szCs w:val="20"/>
        </w:rPr>
      </w:pPr>
      <w:r w:rsidRPr="00985D0E">
        <w:rPr>
          <w:rFonts w:asciiTheme="minorHAnsi" w:hAnsiTheme="minorHAnsi" w:cs="Arial"/>
          <w:i/>
          <w:sz w:val="20"/>
          <w:szCs w:val="20"/>
        </w:rPr>
        <w:t>Capital gains discount method – Non-taxable Australia property</w:t>
      </w:r>
      <w:r w:rsidRPr="00985D0E">
        <w:rPr>
          <w:rFonts w:asciiTheme="minorHAnsi" w:hAnsiTheme="minorHAnsi" w:cs="Arial"/>
          <w:sz w:val="20"/>
          <w:szCs w:val="20"/>
        </w:rPr>
        <w:t xml:space="preserve"> (9.124)</w:t>
      </w:r>
    </w:p>
    <w:p w14:paraId="28B8E1CC" w14:textId="77777777" w:rsidR="00115458" w:rsidRPr="00985D0E" w:rsidRDefault="00115458" w:rsidP="001601AF">
      <w:pPr>
        <w:pStyle w:val="Bullet1"/>
        <w:numPr>
          <w:ilvl w:val="0"/>
          <w:numId w:val="81"/>
        </w:numPr>
        <w:spacing w:before="0" w:after="0"/>
        <w:rPr>
          <w:rFonts w:asciiTheme="minorHAnsi" w:hAnsiTheme="minorHAnsi" w:cs="Arial"/>
          <w:sz w:val="20"/>
          <w:szCs w:val="20"/>
        </w:rPr>
      </w:pPr>
      <w:r w:rsidRPr="00985D0E">
        <w:rPr>
          <w:rFonts w:asciiTheme="minorHAnsi" w:hAnsiTheme="minorHAnsi" w:cs="Arial"/>
          <w:i/>
          <w:sz w:val="20"/>
          <w:szCs w:val="20"/>
        </w:rPr>
        <w:t>Capital gains other - Taxable Australian property</w:t>
      </w:r>
      <w:r w:rsidRPr="00985D0E">
        <w:rPr>
          <w:rFonts w:asciiTheme="minorHAnsi" w:hAnsiTheme="minorHAnsi" w:cs="Arial"/>
          <w:sz w:val="20"/>
          <w:szCs w:val="20"/>
        </w:rPr>
        <w:t xml:space="preserve"> (9.125)</w:t>
      </w:r>
    </w:p>
    <w:p w14:paraId="57BB091A" w14:textId="77777777" w:rsidR="00115458" w:rsidRPr="00985D0E" w:rsidRDefault="00115458" w:rsidP="001601AF">
      <w:pPr>
        <w:pStyle w:val="Bullet1"/>
        <w:numPr>
          <w:ilvl w:val="0"/>
          <w:numId w:val="81"/>
        </w:numPr>
        <w:spacing w:before="0" w:after="0"/>
        <w:rPr>
          <w:rFonts w:asciiTheme="minorHAnsi" w:hAnsiTheme="minorHAnsi" w:cs="Arial"/>
          <w:sz w:val="20"/>
          <w:szCs w:val="20"/>
        </w:rPr>
      </w:pPr>
      <w:r w:rsidRPr="00985D0E">
        <w:rPr>
          <w:rFonts w:asciiTheme="minorHAnsi" w:hAnsiTheme="minorHAnsi" w:cs="Arial"/>
          <w:i/>
          <w:sz w:val="20"/>
          <w:szCs w:val="20"/>
        </w:rPr>
        <w:t>Capital gains other – Non-taxable Australian property</w:t>
      </w:r>
      <w:r w:rsidRPr="00985D0E">
        <w:rPr>
          <w:rFonts w:asciiTheme="minorHAnsi" w:hAnsiTheme="minorHAnsi" w:cs="Arial"/>
          <w:sz w:val="20"/>
          <w:szCs w:val="20"/>
        </w:rPr>
        <w:t xml:space="preserve"> (9.126)</w:t>
      </w:r>
    </w:p>
    <w:p w14:paraId="3D591AEA" w14:textId="77777777" w:rsidR="00115458" w:rsidRPr="00985D0E" w:rsidRDefault="00115458" w:rsidP="00985D0E">
      <w:pPr>
        <w:spacing w:after="0" w:line="240" w:lineRule="auto"/>
        <w:rPr>
          <w:rFonts w:cs="Arial"/>
        </w:rPr>
      </w:pPr>
    </w:p>
    <w:p w14:paraId="6202635E" w14:textId="77777777" w:rsidR="00F94DFB" w:rsidRDefault="00F94DFB" w:rsidP="00985D0E">
      <w:pPr>
        <w:spacing w:after="0" w:line="240" w:lineRule="auto"/>
        <w:rPr>
          <w:b/>
        </w:rPr>
      </w:pPr>
    </w:p>
    <w:p w14:paraId="1E6A4F23" w14:textId="50D6F85A" w:rsidR="00115458" w:rsidRPr="00985D0E" w:rsidRDefault="00115458" w:rsidP="00985D0E">
      <w:pPr>
        <w:spacing w:after="0" w:line="240" w:lineRule="auto"/>
        <w:rPr>
          <w:b/>
        </w:rPr>
      </w:pPr>
      <w:r w:rsidRPr="00985D0E">
        <w:rPr>
          <w:b/>
        </w:rPr>
        <w:t xml:space="preserve">Total current year capital gains (9.89) </w:t>
      </w:r>
    </w:p>
    <w:p w14:paraId="6F6ABA2B" w14:textId="77777777" w:rsidR="00115458" w:rsidRPr="00985D0E" w:rsidRDefault="00115458" w:rsidP="00985D0E">
      <w:pPr>
        <w:spacing w:after="0" w:line="240" w:lineRule="auto"/>
        <w:rPr>
          <w:rFonts w:cs="Arial"/>
          <w:bCs/>
          <w:iCs/>
        </w:rPr>
      </w:pPr>
      <w:r w:rsidRPr="00985D0E">
        <w:rPr>
          <w:rFonts w:cs="Arial"/>
          <w:bCs/>
          <w:iCs/>
        </w:rPr>
        <w:t>This amount should be greater than or equal to the sum of the following:</w:t>
      </w:r>
    </w:p>
    <w:p w14:paraId="6C74F642" w14:textId="77777777" w:rsidR="00115458" w:rsidRPr="00985D0E" w:rsidRDefault="00115458" w:rsidP="00985D0E">
      <w:pPr>
        <w:spacing w:after="0" w:line="240" w:lineRule="auto"/>
        <w:rPr>
          <w:rFonts w:cs="Arial"/>
          <w:bCs/>
          <w:iCs/>
        </w:rPr>
      </w:pPr>
    </w:p>
    <w:p w14:paraId="5E183EE1" w14:textId="77777777" w:rsidR="00115458" w:rsidRPr="00985D0E" w:rsidRDefault="00115458" w:rsidP="001601AF">
      <w:pPr>
        <w:pStyle w:val="Bullet1"/>
        <w:numPr>
          <w:ilvl w:val="0"/>
          <w:numId w:val="82"/>
        </w:numPr>
        <w:spacing w:before="0" w:after="0"/>
        <w:rPr>
          <w:rFonts w:asciiTheme="minorHAnsi" w:hAnsiTheme="minorHAnsi" w:cs="Arial"/>
          <w:sz w:val="20"/>
          <w:szCs w:val="20"/>
        </w:rPr>
      </w:pPr>
      <w:r w:rsidRPr="00985D0E">
        <w:rPr>
          <w:rFonts w:asciiTheme="minorHAnsi" w:hAnsiTheme="minorHAnsi" w:cs="Arial"/>
          <w:i/>
          <w:sz w:val="20"/>
          <w:szCs w:val="20"/>
        </w:rPr>
        <w:t>Capital gains discount method - Taxable Australian property</w:t>
      </w:r>
      <w:r w:rsidRPr="00985D0E">
        <w:rPr>
          <w:rFonts w:asciiTheme="minorHAnsi" w:hAnsiTheme="minorHAnsi" w:cs="Arial"/>
          <w:sz w:val="20"/>
          <w:szCs w:val="20"/>
        </w:rPr>
        <w:t xml:space="preserve"> (grossed up amount*) (9.123)</w:t>
      </w:r>
    </w:p>
    <w:p w14:paraId="63313625" w14:textId="77777777" w:rsidR="00115458" w:rsidRPr="00985D0E" w:rsidRDefault="00115458" w:rsidP="001601AF">
      <w:pPr>
        <w:pStyle w:val="Bullet1"/>
        <w:numPr>
          <w:ilvl w:val="0"/>
          <w:numId w:val="82"/>
        </w:numPr>
        <w:spacing w:before="0" w:after="0"/>
        <w:rPr>
          <w:rFonts w:asciiTheme="minorHAnsi" w:hAnsiTheme="minorHAnsi" w:cs="Arial"/>
          <w:sz w:val="20"/>
          <w:szCs w:val="20"/>
        </w:rPr>
      </w:pPr>
      <w:r w:rsidRPr="00985D0E">
        <w:rPr>
          <w:rFonts w:asciiTheme="minorHAnsi" w:hAnsiTheme="minorHAnsi" w:cs="Arial"/>
          <w:i/>
          <w:sz w:val="20"/>
          <w:szCs w:val="20"/>
        </w:rPr>
        <w:t>Capital gains discount method – Non-taxable Australian property</w:t>
      </w:r>
      <w:r w:rsidRPr="00985D0E">
        <w:rPr>
          <w:rFonts w:asciiTheme="minorHAnsi" w:hAnsiTheme="minorHAnsi" w:cs="Arial"/>
          <w:sz w:val="20"/>
          <w:szCs w:val="20"/>
        </w:rPr>
        <w:t xml:space="preserve"> (grossed up amount*) (9.124)</w:t>
      </w:r>
    </w:p>
    <w:p w14:paraId="71F725AB" w14:textId="77777777" w:rsidR="00115458" w:rsidRPr="00985D0E" w:rsidRDefault="00115458" w:rsidP="001601AF">
      <w:pPr>
        <w:pStyle w:val="Bullet1"/>
        <w:numPr>
          <w:ilvl w:val="0"/>
          <w:numId w:val="82"/>
        </w:numPr>
        <w:spacing w:before="0" w:after="0"/>
        <w:rPr>
          <w:rFonts w:asciiTheme="minorHAnsi" w:hAnsiTheme="minorHAnsi" w:cs="Arial"/>
          <w:sz w:val="20"/>
          <w:szCs w:val="20"/>
        </w:rPr>
      </w:pPr>
      <w:r w:rsidRPr="00985D0E">
        <w:rPr>
          <w:rFonts w:asciiTheme="minorHAnsi" w:hAnsiTheme="minorHAnsi" w:cs="Arial"/>
          <w:i/>
          <w:sz w:val="20"/>
          <w:szCs w:val="20"/>
        </w:rPr>
        <w:t>Capital gains other – Taxable Australian property</w:t>
      </w:r>
      <w:r w:rsidRPr="00985D0E">
        <w:rPr>
          <w:rFonts w:asciiTheme="minorHAnsi" w:hAnsiTheme="minorHAnsi" w:cs="Arial"/>
          <w:sz w:val="20"/>
          <w:szCs w:val="20"/>
        </w:rPr>
        <w:t xml:space="preserve"> (9.125)</w:t>
      </w:r>
    </w:p>
    <w:p w14:paraId="316D1778" w14:textId="77777777" w:rsidR="00115458" w:rsidRPr="00985D0E" w:rsidRDefault="00115458" w:rsidP="001601AF">
      <w:pPr>
        <w:pStyle w:val="Bullet1"/>
        <w:numPr>
          <w:ilvl w:val="0"/>
          <w:numId w:val="82"/>
        </w:numPr>
        <w:spacing w:before="0" w:after="0"/>
        <w:rPr>
          <w:rFonts w:asciiTheme="minorHAnsi" w:hAnsiTheme="minorHAnsi" w:cs="Arial"/>
          <w:sz w:val="20"/>
          <w:szCs w:val="20"/>
        </w:rPr>
      </w:pPr>
      <w:r w:rsidRPr="00985D0E">
        <w:rPr>
          <w:rFonts w:asciiTheme="minorHAnsi" w:hAnsiTheme="minorHAnsi" w:cs="Arial"/>
          <w:i/>
          <w:sz w:val="20"/>
          <w:szCs w:val="20"/>
        </w:rPr>
        <w:t>Capital gains other – Non-Taxable Australian property</w:t>
      </w:r>
      <w:r w:rsidRPr="00985D0E">
        <w:rPr>
          <w:rFonts w:asciiTheme="minorHAnsi" w:hAnsiTheme="minorHAnsi" w:cs="Arial"/>
          <w:sz w:val="20"/>
          <w:szCs w:val="20"/>
        </w:rPr>
        <w:t xml:space="preserve"> (9.126)</w:t>
      </w:r>
    </w:p>
    <w:p w14:paraId="412A244B" w14:textId="77777777" w:rsidR="00115458" w:rsidRPr="00985D0E" w:rsidRDefault="00115458" w:rsidP="00985D0E">
      <w:pPr>
        <w:spacing w:after="0" w:line="240" w:lineRule="auto"/>
        <w:rPr>
          <w:rFonts w:cs="Arial"/>
        </w:rPr>
      </w:pPr>
    </w:p>
    <w:p w14:paraId="08BF38F3" w14:textId="77777777" w:rsidR="00115458" w:rsidRPr="00985D0E" w:rsidRDefault="00115458" w:rsidP="00985D0E">
      <w:pPr>
        <w:spacing w:after="0" w:line="240" w:lineRule="auto"/>
        <w:rPr>
          <w:rFonts w:cs="Arial"/>
        </w:rPr>
      </w:pPr>
      <w:r w:rsidRPr="00985D0E">
        <w:rPr>
          <w:rFonts w:cs="Arial"/>
        </w:rPr>
        <w:t xml:space="preserve">*Grossed up amount – this is the capital gain amount before any discount is applied. For example: A $2,000 capital gain, from Taxable Australian property, is referred to as the grossed up amount. After applying a 50% discount the amount reported at </w:t>
      </w:r>
      <w:r w:rsidRPr="00985D0E">
        <w:rPr>
          <w:rFonts w:cs="Arial"/>
          <w:i/>
        </w:rPr>
        <w:t>Capital gains discount method - Taxable Australian property</w:t>
      </w:r>
      <w:r w:rsidRPr="00985D0E">
        <w:rPr>
          <w:rFonts w:cs="Arial"/>
        </w:rPr>
        <w:t xml:space="preserve"> (9.123) field is $1,000.</w:t>
      </w:r>
    </w:p>
    <w:p w14:paraId="2AF884BE" w14:textId="77777777" w:rsidR="00115458" w:rsidRPr="00985D0E" w:rsidRDefault="00115458" w:rsidP="00985D0E">
      <w:pPr>
        <w:spacing w:after="0" w:line="240" w:lineRule="auto"/>
        <w:rPr>
          <w:rFonts w:cs="Arial"/>
        </w:rPr>
      </w:pPr>
    </w:p>
    <w:p w14:paraId="1B0924EC" w14:textId="77777777" w:rsidR="00115458" w:rsidRPr="00985D0E" w:rsidRDefault="00115458" w:rsidP="00985D0E">
      <w:pPr>
        <w:spacing w:after="0" w:line="240" w:lineRule="auto"/>
        <w:rPr>
          <w:rFonts w:cs="Arial"/>
          <w:bCs/>
          <w:iCs/>
        </w:rPr>
      </w:pPr>
      <w:r w:rsidRPr="00985D0E">
        <w:rPr>
          <w:rFonts w:cs="Arial"/>
          <w:b/>
          <w:bCs/>
        </w:rPr>
        <w:t>Taxable foreign capital gains</w:t>
      </w:r>
      <w:r w:rsidRPr="00985D0E">
        <w:rPr>
          <w:rFonts w:cs="Arial"/>
          <w:bCs/>
          <w:iCs/>
        </w:rPr>
        <w:t xml:space="preserve"> </w:t>
      </w:r>
      <w:r w:rsidRPr="00985D0E">
        <w:rPr>
          <w:rFonts w:cs="Arial"/>
          <w:b/>
          <w:bCs/>
          <w:iCs/>
        </w:rPr>
        <w:t>(9.90)</w:t>
      </w:r>
    </w:p>
    <w:p w14:paraId="48DA388B" w14:textId="77777777" w:rsidR="00115458" w:rsidRPr="00985D0E" w:rsidRDefault="00115458" w:rsidP="00985D0E">
      <w:pPr>
        <w:spacing w:after="0" w:line="240" w:lineRule="auto"/>
        <w:rPr>
          <w:rFonts w:cs="Arial"/>
          <w:bCs/>
        </w:rPr>
      </w:pPr>
      <w:r w:rsidRPr="00985D0E">
        <w:rPr>
          <w:rFonts w:cs="Arial"/>
          <w:bCs/>
          <w:iCs/>
        </w:rPr>
        <w:t xml:space="preserve">This is the foreign capital gain component, of the attribution / distribution, that is deemed to be foreign income.  </w:t>
      </w:r>
      <w:r w:rsidRPr="00985D0E">
        <w:rPr>
          <w:rFonts w:cs="Arial"/>
          <w:bCs/>
        </w:rPr>
        <w:t xml:space="preserve">Although this amount is also a component of the other separately reported capital gain fields there is a requirement to also report these amounts separately for foreign income tax offset calculations.   </w:t>
      </w:r>
    </w:p>
    <w:p w14:paraId="76B7F8EC" w14:textId="77777777" w:rsidR="00115458" w:rsidRPr="00985D0E" w:rsidRDefault="00115458" w:rsidP="00985D0E">
      <w:pPr>
        <w:spacing w:after="0" w:line="240" w:lineRule="auto"/>
        <w:rPr>
          <w:rFonts w:cs="Arial"/>
        </w:rPr>
      </w:pPr>
    </w:p>
    <w:p w14:paraId="0AD55A11" w14:textId="77777777" w:rsidR="00115458" w:rsidRPr="00985D0E" w:rsidRDefault="00115458" w:rsidP="00985D0E">
      <w:pPr>
        <w:spacing w:after="0" w:line="240" w:lineRule="auto"/>
        <w:rPr>
          <w:b/>
        </w:rPr>
      </w:pPr>
      <w:r w:rsidRPr="00985D0E">
        <w:rPr>
          <w:b/>
        </w:rPr>
        <w:t>Capital gains discount and Capital gains other method</w:t>
      </w:r>
    </w:p>
    <w:p w14:paraId="35ECFA0B" w14:textId="77777777" w:rsidR="00115458" w:rsidRPr="00985D0E" w:rsidRDefault="00115458" w:rsidP="00985D0E">
      <w:pPr>
        <w:spacing w:after="0" w:line="240" w:lineRule="auto"/>
        <w:rPr>
          <w:b/>
        </w:rPr>
      </w:pPr>
    </w:p>
    <w:p w14:paraId="5F4156DB" w14:textId="77777777" w:rsidR="00115458" w:rsidRPr="00985D0E" w:rsidRDefault="00115458" w:rsidP="001601AF">
      <w:pPr>
        <w:pStyle w:val="ListParagraph"/>
        <w:numPr>
          <w:ilvl w:val="0"/>
          <w:numId w:val="57"/>
        </w:numPr>
        <w:spacing w:after="0" w:line="240" w:lineRule="auto"/>
        <w:rPr>
          <w:rFonts w:cs="Arial"/>
          <w:b/>
        </w:rPr>
      </w:pPr>
      <w:r w:rsidRPr="00985D0E">
        <w:rPr>
          <w:rFonts w:cs="Arial"/>
          <w:b/>
        </w:rPr>
        <w:t xml:space="preserve">Capital Gains discount method – Taxable Australian property (9.123) / Capital gains discount method – Non-Taxable Australian property (9.124) </w:t>
      </w:r>
    </w:p>
    <w:p w14:paraId="68ADE7BF" w14:textId="77777777" w:rsidR="00115458" w:rsidRPr="00985D0E" w:rsidRDefault="00115458" w:rsidP="00985D0E">
      <w:pPr>
        <w:pStyle w:val="ListParagraph"/>
        <w:spacing w:after="0" w:line="240" w:lineRule="auto"/>
        <w:rPr>
          <w:rFonts w:cs="Arial"/>
          <w:bCs/>
          <w:iCs/>
        </w:rPr>
      </w:pPr>
      <w:r w:rsidRPr="00985D0E">
        <w:rPr>
          <w:rFonts w:cs="Arial"/>
        </w:rPr>
        <w:t xml:space="preserve">Report the amount at these fields after the discount has been applied. These amounts are also used in the calculations for </w:t>
      </w:r>
      <w:r w:rsidRPr="00985D0E">
        <w:rPr>
          <w:rFonts w:cs="Arial"/>
          <w:i/>
        </w:rPr>
        <w:t>Net capital gain</w:t>
      </w:r>
      <w:r w:rsidRPr="00985D0E">
        <w:rPr>
          <w:rFonts w:cs="Arial"/>
        </w:rPr>
        <w:t xml:space="preserve"> (9.88) and </w:t>
      </w:r>
      <w:r w:rsidRPr="00985D0E">
        <w:rPr>
          <w:rFonts w:cs="Arial"/>
          <w:i/>
        </w:rPr>
        <w:t>Total current year capital gains</w:t>
      </w:r>
      <w:r w:rsidRPr="00985D0E">
        <w:rPr>
          <w:rFonts w:cs="Arial"/>
        </w:rPr>
        <w:t xml:space="preserve"> (9.89) fields.  However, these amounts are “grossed up” before reporting at the </w:t>
      </w:r>
      <w:r w:rsidRPr="00985D0E">
        <w:rPr>
          <w:rFonts w:cs="Arial"/>
          <w:bCs/>
          <w:iCs/>
        </w:rPr>
        <w:t>T</w:t>
      </w:r>
      <w:r w:rsidRPr="00985D0E">
        <w:rPr>
          <w:rFonts w:cs="Arial"/>
          <w:bCs/>
          <w:i/>
        </w:rPr>
        <w:t>otal current year capital gain</w:t>
      </w:r>
      <w:r w:rsidRPr="00985D0E">
        <w:rPr>
          <w:rFonts w:cs="Arial"/>
          <w:bCs/>
          <w:iCs/>
        </w:rPr>
        <w:t xml:space="preserve"> (9.89) field. </w:t>
      </w:r>
    </w:p>
    <w:p w14:paraId="72A08292" w14:textId="77777777" w:rsidR="00115458" w:rsidRPr="00985D0E" w:rsidRDefault="00115458" w:rsidP="00985D0E">
      <w:pPr>
        <w:pStyle w:val="ListParagraph"/>
        <w:spacing w:after="0" w:line="240" w:lineRule="auto"/>
        <w:rPr>
          <w:rFonts w:cs="Arial"/>
          <w:b/>
        </w:rPr>
      </w:pPr>
    </w:p>
    <w:p w14:paraId="12BE025E" w14:textId="77777777" w:rsidR="00115458" w:rsidRPr="00985D0E" w:rsidRDefault="00115458" w:rsidP="00985D0E">
      <w:pPr>
        <w:pStyle w:val="ListParagraph"/>
        <w:spacing w:after="0" w:line="240" w:lineRule="auto"/>
        <w:rPr>
          <w:rFonts w:cs="Arial"/>
          <w:bCs/>
          <w:iCs/>
          <w:lang w:eastAsia="en-AU"/>
        </w:rPr>
      </w:pPr>
      <w:r w:rsidRPr="00985D0E">
        <w:rPr>
          <w:rFonts w:cs="Arial"/>
          <w:bCs/>
          <w:iCs/>
          <w:lang w:eastAsia="en-AU"/>
        </w:rPr>
        <w:t>Although capital gains from affordable housing disposals are included in determining capital gain amounts reported in the AIIR, and an individual investor may be entitled to an additional capital gain discount, the additional discount is not calculated and reported in the AIIR.</w:t>
      </w:r>
    </w:p>
    <w:p w14:paraId="1E6D9635" w14:textId="77777777" w:rsidR="00115458" w:rsidRPr="00985D0E" w:rsidRDefault="00115458" w:rsidP="00985D0E">
      <w:pPr>
        <w:pStyle w:val="ListParagraph"/>
        <w:spacing w:after="0" w:line="240" w:lineRule="auto"/>
        <w:rPr>
          <w:rFonts w:cs="Arial"/>
          <w:color w:val="FF0000"/>
        </w:rPr>
      </w:pPr>
    </w:p>
    <w:p w14:paraId="6D2842B9" w14:textId="77777777" w:rsidR="00115458" w:rsidRPr="00985D0E" w:rsidRDefault="00115458" w:rsidP="001601AF">
      <w:pPr>
        <w:pStyle w:val="ListParagraph"/>
        <w:numPr>
          <w:ilvl w:val="0"/>
          <w:numId w:val="57"/>
        </w:numPr>
        <w:spacing w:after="0" w:line="240" w:lineRule="auto"/>
        <w:rPr>
          <w:rFonts w:cs="Arial"/>
          <w:b/>
        </w:rPr>
      </w:pPr>
      <w:bookmarkStart w:id="1677" w:name="_Toc448311535"/>
      <w:r w:rsidRPr="00985D0E">
        <w:rPr>
          <w:rFonts w:cs="Arial"/>
          <w:b/>
        </w:rPr>
        <w:t xml:space="preserve">Capital gains other – Taxable Australian property (9.125) / Capital gains other – Non-Taxable Australian property (9.126) </w:t>
      </w:r>
    </w:p>
    <w:p w14:paraId="3C949A62" w14:textId="77777777" w:rsidR="00115458" w:rsidRPr="00985D0E" w:rsidRDefault="00115458" w:rsidP="00985D0E">
      <w:pPr>
        <w:pStyle w:val="ListParagraph"/>
        <w:spacing w:after="0" w:line="240" w:lineRule="auto"/>
        <w:rPr>
          <w:rFonts w:cs="Arial"/>
        </w:rPr>
      </w:pPr>
      <w:r w:rsidRPr="00985D0E">
        <w:rPr>
          <w:rFonts w:cs="Arial"/>
        </w:rPr>
        <w:t>Report capital gains calculated via the other method at these fields.  These amounts are also used in the calculation for Net capital gain (9.88) and Total current year capital gains (9.89) fields.</w:t>
      </w:r>
    </w:p>
    <w:p w14:paraId="2BF38016" w14:textId="77777777" w:rsidR="00115458" w:rsidRPr="00985D0E" w:rsidRDefault="00115458" w:rsidP="00985D0E">
      <w:pPr>
        <w:pStyle w:val="ListParagraph"/>
        <w:spacing w:after="0" w:line="240" w:lineRule="auto"/>
        <w:rPr>
          <w:rFonts w:cs="Arial"/>
        </w:rPr>
      </w:pPr>
    </w:p>
    <w:p w14:paraId="3785A7B5" w14:textId="77777777" w:rsidR="00115458" w:rsidRPr="00985D0E" w:rsidRDefault="00115458" w:rsidP="00985D0E">
      <w:pPr>
        <w:pStyle w:val="ListParagraph"/>
        <w:spacing w:after="0" w:line="240" w:lineRule="auto"/>
        <w:rPr>
          <w:rFonts w:cs="Arial"/>
        </w:rPr>
      </w:pPr>
      <w:r w:rsidRPr="00985D0E">
        <w:rPr>
          <w:rFonts w:cs="Arial"/>
        </w:rPr>
        <w:t>This is the part of the capital gains from taxable Australian property or non-taxable Australian property that was calculated using the other and/or indexed method.</w:t>
      </w:r>
    </w:p>
    <w:p w14:paraId="1D7F8AD2" w14:textId="77777777" w:rsidR="00115458" w:rsidRPr="00985D0E" w:rsidRDefault="00115458" w:rsidP="00985D0E">
      <w:pPr>
        <w:spacing w:after="0" w:line="240" w:lineRule="auto"/>
        <w:ind w:left="720"/>
        <w:rPr>
          <w:rFonts w:cs="Arial"/>
          <w:i/>
          <w:iCs/>
        </w:rPr>
      </w:pPr>
      <w:r w:rsidRPr="00985D0E">
        <w:rPr>
          <w:rFonts w:cs="Arial"/>
          <w:i/>
          <w:iCs/>
        </w:rPr>
        <w:t xml:space="preserve">Include </w:t>
      </w:r>
      <w:r w:rsidRPr="00985D0E">
        <w:rPr>
          <w:rFonts w:cs="Arial"/>
          <w:b/>
          <w:bCs/>
          <w:i/>
          <w:iCs/>
        </w:rPr>
        <w:t>NCMI capital gains</w:t>
      </w:r>
      <w:r w:rsidRPr="00985D0E">
        <w:rPr>
          <w:rFonts w:cs="Arial"/>
          <w:i/>
          <w:iCs/>
        </w:rPr>
        <w:t xml:space="preserve"> and </w:t>
      </w:r>
      <w:r w:rsidRPr="00985D0E">
        <w:rPr>
          <w:rFonts w:cs="Arial"/>
          <w:b/>
          <w:bCs/>
          <w:i/>
          <w:iCs/>
        </w:rPr>
        <w:t>Excluded from NCMI capital gains amounts</w:t>
      </w:r>
      <w:r w:rsidRPr="00985D0E">
        <w:rPr>
          <w:rFonts w:cs="Arial"/>
          <w:i/>
          <w:iCs/>
        </w:rPr>
        <w:t xml:space="preserve"> in the calculation of Capital gains – discount or other method – Taxable Australian property and non-Taxable Australian property amounts.</w:t>
      </w:r>
    </w:p>
    <w:p w14:paraId="40FD5961" w14:textId="77777777" w:rsidR="00115458" w:rsidRPr="00DB1D67" w:rsidRDefault="00115458" w:rsidP="00115458">
      <w:pPr>
        <w:rPr>
          <w:rFonts w:cs="Arial"/>
          <w:bCs/>
        </w:rPr>
      </w:pPr>
    </w:p>
    <w:p w14:paraId="525AB5D4" w14:textId="0B5C5FDF" w:rsidR="00115458" w:rsidRDefault="00115458" w:rsidP="00985D0E">
      <w:pPr>
        <w:keepNext/>
        <w:spacing w:after="0" w:line="240" w:lineRule="auto"/>
        <w:outlineLvl w:val="3"/>
        <w:rPr>
          <w:rFonts w:cs="Arial"/>
          <w:b/>
          <w:bCs/>
          <w:i/>
        </w:rPr>
      </w:pPr>
      <w:r w:rsidRPr="00DB1D67">
        <w:rPr>
          <w:rFonts w:cs="Arial"/>
          <w:b/>
        </w:rPr>
        <w:t xml:space="preserve">Example </w:t>
      </w:r>
      <w:r>
        <w:rPr>
          <w:rFonts w:cs="Arial"/>
          <w:b/>
        </w:rPr>
        <w:t>7.</w:t>
      </w:r>
      <w:r w:rsidR="00E22F28">
        <w:rPr>
          <w:rFonts w:cs="Arial"/>
          <w:b/>
        </w:rPr>
        <w:t>8</w:t>
      </w:r>
      <w:r w:rsidRPr="00DB1D67">
        <w:rPr>
          <w:rFonts w:cs="Arial"/>
          <w:b/>
        </w:rPr>
        <w:t xml:space="preserve"> </w:t>
      </w:r>
      <w:r w:rsidRPr="00DB1D67">
        <w:rPr>
          <w:rFonts w:cs="Arial"/>
          <w:b/>
          <w:bCs/>
        </w:rPr>
        <w:t>–</w:t>
      </w:r>
      <w:r w:rsidRPr="00DB1D67">
        <w:rPr>
          <w:rFonts w:cs="Arial"/>
          <w:bCs/>
        </w:rPr>
        <w:t xml:space="preserve"> </w:t>
      </w:r>
      <w:r w:rsidRPr="00AE1B00">
        <w:rPr>
          <w:rFonts w:cs="Arial"/>
          <w:b/>
          <w:bCs/>
        </w:rPr>
        <w:t xml:space="preserve">Discounted method and calculation of </w:t>
      </w:r>
      <w:r w:rsidRPr="00AE1B00">
        <w:rPr>
          <w:rFonts w:cs="Arial"/>
          <w:b/>
          <w:bCs/>
          <w:i/>
        </w:rPr>
        <w:t>Total current year capital gains</w:t>
      </w:r>
    </w:p>
    <w:p w14:paraId="3EB903EF" w14:textId="77777777" w:rsidR="00242D46" w:rsidRDefault="00242D46" w:rsidP="00985D0E">
      <w:pPr>
        <w:spacing w:after="0" w:line="240" w:lineRule="auto"/>
      </w:pPr>
    </w:p>
    <w:p w14:paraId="7CFE6CD0" w14:textId="3808A544" w:rsidR="00115458" w:rsidRDefault="00115458" w:rsidP="00985D0E">
      <w:pPr>
        <w:spacing w:after="0" w:line="240" w:lineRule="auto"/>
      </w:pPr>
      <w:r>
        <w:t xml:space="preserve">When the discounted method is used the </w:t>
      </w:r>
      <w:r w:rsidRPr="00AE1B00">
        <w:rPr>
          <w:i/>
        </w:rPr>
        <w:t>Total current year capital gains</w:t>
      </w:r>
      <w:r>
        <w:t xml:space="preserve"> (9.89) amount will be greater than the </w:t>
      </w:r>
      <w:r w:rsidRPr="00AE1B00">
        <w:rPr>
          <w:i/>
        </w:rPr>
        <w:t>Net capital gain</w:t>
      </w:r>
      <w:r>
        <w:t xml:space="preserve"> (9.88) amount.</w:t>
      </w:r>
      <w:bookmarkEnd w:id="1677"/>
      <w:r w:rsidRPr="00AE1B00">
        <w:t xml:space="preserve"> </w:t>
      </w:r>
      <w:r>
        <w:t xml:space="preserve"> This is because the Total current year amount is calculated on the grossed up amount of the gain to which the discount method was applied.</w:t>
      </w:r>
    </w:p>
    <w:p w14:paraId="47A16FDB" w14:textId="77777777" w:rsidR="00115458" w:rsidRDefault="00115458" w:rsidP="00985D0E">
      <w:pPr>
        <w:spacing w:after="0" w:line="240" w:lineRule="auto"/>
      </w:pPr>
      <w:r w:rsidRPr="00AE1B00">
        <w:t xml:space="preserve"> </w:t>
      </w:r>
    </w:p>
    <w:p w14:paraId="174D0DFC" w14:textId="77777777" w:rsidR="00115458" w:rsidRDefault="00115458" w:rsidP="00985D0E">
      <w:pPr>
        <w:spacing w:after="0" w:line="240" w:lineRule="auto"/>
      </w:pPr>
      <w:r>
        <w:t xml:space="preserve">Do not include the </w:t>
      </w:r>
      <w:r w:rsidRPr="000F6012">
        <w:rPr>
          <w:i/>
        </w:rPr>
        <w:t>CGT concession amount or AMIT CGT gross up amount</w:t>
      </w:r>
      <w:r>
        <w:t xml:space="preserve"> (9.87) in the calculation of the </w:t>
      </w:r>
      <w:r w:rsidRPr="009101BB">
        <w:rPr>
          <w:i/>
        </w:rPr>
        <w:t>Total current year capital gains</w:t>
      </w:r>
      <w:r>
        <w:t xml:space="preserve"> (9.89) field.</w:t>
      </w:r>
    </w:p>
    <w:p w14:paraId="021E45D5" w14:textId="77777777" w:rsidR="00115458" w:rsidRPr="00AE1B00" w:rsidRDefault="00115458" w:rsidP="00985D0E">
      <w:pPr>
        <w:spacing w:after="0" w:line="240" w:lineRule="auto"/>
      </w:pPr>
    </w:p>
    <w:p w14:paraId="5E69A237" w14:textId="77777777" w:rsidR="00115458" w:rsidRPr="00DB1D67" w:rsidRDefault="00115458" w:rsidP="00985D0E">
      <w:pPr>
        <w:keepNext/>
        <w:spacing w:after="0" w:line="240" w:lineRule="auto"/>
        <w:rPr>
          <w:rFonts w:cs="Arial"/>
        </w:rPr>
      </w:pPr>
      <w:r w:rsidRPr="00DB1D67">
        <w:rPr>
          <w:rFonts w:cs="Arial"/>
        </w:rPr>
        <w:t>Blues Unit Trust has 10 units and 10 investors – one unit is distributed to each investor.</w:t>
      </w:r>
    </w:p>
    <w:p w14:paraId="15810DC6" w14:textId="77777777" w:rsidR="00115458" w:rsidRPr="00DB1D67" w:rsidRDefault="00115458" w:rsidP="00985D0E">
      <w:pPr>
        <w:keepNext/>
        <w:spacing w:after="0" w:line="240" w:lineRule="auto"/>
        <w:rPr>
          <w:rFonts w:cs="Arial"/>
        </w:rPr>
      </w:pPr>
      <w:r w:rsidRPr="00DB1D67">
        <w:rPr>
          <w:rFonts w:cs="Arial"/>
        </w:rPr>
        <w:t>Income available for distribution:</w:t>
      </w:r>
    </w:p>
    <w:p w14:paraId="12FA1DBA" w14:textId="77777777" w:rsidR="00115458" w:rsidRPr="00DB1D67" w:rsidRDefault="00115458" w:rsidP="00115458">
      <w:pPr>
        <w:keepNext/>
        <w:rPr>
          <w:rFonts w:cs="Arial"/>
        </w:rPr>
      </w:pPr>
    </w:p>
    <w:tbl>
      <w:tblPr>
        <w:tblW w:w="5000" w:type="pct"/>
        <w:tblCellMar>
          <w:top w:w="28" w:type="dxa"/>
          <w:left w:w="0" w:type="dxa"/>
          <w:bottom w:w="28" w:type="dxa"/>
          <w:right w:w="0" w:type="dxa"/>
        </w:tblCellMar>
        <w:tblLook w:val="0000" w:firstRow="0" w:lastRow="0" w:firstColumn="0" w:lastColumn="0" w:noHBand="0" w:noVBand="0"/>
      </w:tblPr>
      <w:tblGrid>
        <w:gridCol w:w="4806"/>
        <w:gridCol w:w="2234"/>
        <w:gridCol w:w="2238"/>
      </w:tblGrid>
      <w:tr w:rsidR="00115458" w:rsidRPr="00985D0E" w14:paraId="15EFCECE" w14:textId="77777777" w:rsidTr="000C1365">
        <w:trPr>
          <w:trHeight w:val="272"/>
        </w:trPr>
        <w:tc>
          <w:tcPr>
            <w:tcW w:w="2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0533646" w14:textId="77777777" w:rsidR="00115458" w:rsidRPr="00985D0E" w:rsidRDefault="00115458" w:rsidP="00985D0E">
            <w:pPr>
              <w:keepNext/>
              <w:spacing w:after="0" w:line="240" w:lineRule="auto"/>
              <w:rPr>
                <w:rFonts w:cs="Arial"/>
                <w:b/>
              </w:rPr>
            </w:pPr>
            <w:r w:rsidRPr="00985D0E">
              <w:rPr>
                <w:rFonts w:cs="Arial"/>
                <w:b/>
              </w:rPr>
              <w:t>Trust income</w:t>
            </w:r>
          </w:p>
        </w:tc>
        <w:tc>
          <w:tcPr>
            <w:tcW w:w="120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355DCC5" w14:textId="77777777" w:rsidR="00115458" w:rsidRPr="00985D0E" w:rsidRDefault="00115458" w:rsidP="00985D0E">
            <w:pPr>
              <w:keepNext/>
              <w:spacing w:after="0" w:line="240" w:lineRule="auto"/>
              <w:rPr>
                <w:rFonts w:cs="Arial"/>
                <w:b/>
              </w:rPr>
            </w:pPr>
            <w:r w:rsidRPr="00985D0E">
              <w:rPr>
                <w:rFonts w:cs="Arial"/>
                <w:b/>
              </w:rPr>
              <w:t>$</w:t>
            </w:r>
          </w:p>
        </w:tc>
        <w:tc>
          <w:tcPr>
            <w:tcW w:w="120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0033408" w14:textId="77777777" w:rsidR="00115458" w:rsidRPr="00985D0E" w:rsidRDefault="00115458" w:rsidP="00985D0E">
            <w:pPr>
              <w:keepNext/>
              <w:spacing w:after="0" w:line="240" w:lineRule="auto"/>
              <w:jc w:val="right"/>
              <w:rPr>
                <w:rFonts w:cs="Arial"/>
                <w:b/>
              </w:rPr>
            </w:pPr>
            <w:r w:rsidRPr="00985D0E">
              <w:rPr>
                <w:rFonts w:cs="Arial"/>
                <w:b/>
              </w:rPr>
              <w:t>$</w:t>
            </w:r>
          </w:p>
        </w:tc>
      </w:tr>
      <w:tr w:rsidR="00115458" w:rsidRPr="00985D0E" w14:paraId="05A8F290" w14:textId="77777777" w:rsidTr="000C1365">
        <w:trPr>
          <w:trHeight w:val="272"/>
        </w:trPr>
        <w:tc>
          <w:tcPr>
            <w:tcW w:w="25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F89ABD" w14:textId="77777777" w:rsidR="004A4590" w:rsidRDefault="004A4590" w:rsidP="00985D0E">
            <w:pPr>
              <w:keepNext/>
              <w:spacing w:after="0" w:line="240" w:lineRule="auto"/>
              <w:rPr>
                <w:rFonts w:cs="Arial"/>
              </w:rPr>
            </w:pPr>
          </w:p>
          <w:p w14:paraId="6ADD4331" w14:textId="2390ACB5" w:rsidR="00115458" w:rsidRPr="00985D0E" w:rsidRDefault="00115458" w:rsidP="00985D0E">
            <w:pPr>
              <w:keepNext/>
              <w:spacing w:after="0" w:line="240" w:lineRule="auto"/>
              <w:rPr>
                <w:rFonts w:cs="Arial"/>
              </w:rPr>
            </w:pPr>
            <w:r w:rsidRPr="00985D0E">
              <w:rPr>
                <w:rFonts w:cs="Arial"/>
              </w:rPr>
              <w:t>CGT concession amount or AMIT CGT gross up amount</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67939E" w14:textId="77777777" w:rsidR="00115458" w:rsidRPr="00985D0E" w:rsidRDefault="00115458" w:rsidP="00985D0E">
            <w:pPr>
              <w:keepNext/>
              <w:spacing w:after="0" w:line="240" w:lineRule="auto"/>
              <w:rPr>
                <w:rFonts w:cs="Arial"/>
              </w:rPr>
            </w:pPr>
            <w:r w:rsidRPr="00985D0E">
              <w:rPr>
                <w:rFonts w:cs="Arial"/>
              </w:rPr>
              <w:t>Gain = $4,000, Trust applies loss of $700</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96EA58" w14:textId="77777777" w:rsidR="00115458" w:rsidRPr="00985D0E" w:rsidDel="00D25DD6" w:rsidRDefault="00115458" w:rsidP="00985D0E">
            <w:pPr>
              <w:keepNext/>
              <w:spacing w:after="0" w:line="240" w:lineRule="auto"/>
              <w:jc w:val="right"/>
              <w:rPr>
                <w:rFonts w:cs="Arial"/>
              </w:rPr>
            </w:pPr>
            <w:r w:rsidRPr="00985D0E">
              <w:rPr>
                <w:rFonts w:cs="Arial"/>
              </w:rPr>
              <w:t>3,300</w:t>
            </w:r>
          </w:p>
        </w:tc>
      </w:tr>
      <w:tr w:rsidR="00115458" w:rsidRPr="00985D0E" w14:paraId="069BD42D" w14:textId="77777777" w:rsidTr="000C1365">
        <w:trPr>
          <w:trHeight w:val="272"/>
        </w:trPr>
        <w:tc>
          <w:tcPr>
            <w:tcW w:w="25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6E2174" w14:textId="77777777" w:rsidR="00115458" w:rsidRPr="00985D0E" w:rsidRDefault="00115458" w:rsidP="00985D0E">
            <w:pPr>
              <w:keepNext/>
              <w:spacing w:after="0" w:line="240" w:lineRule="auto"/>
              <w:rPr>
                <w:rFonts w:cs="Arial"/>
              </w:rPr>
            </w:pPr>
            <w:r w:rsidRPr="00985D0E">
              <w:rPr>
                <w:rFonts w:cs="Arial"/>
              </w:rPr>
              <w:t>Capital gains discounted method  – Taxable Australian property</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06403F" w14:textId="77777777" w:rsidR="00115458" w:rsidRPr="00985D0E" w:rsidRDefault="00115458" w:rsidP="00985D0E">
            <w:pPr>
              <w:keepNext/>
              <w:spacing w:after="0" w:line="240" w:lineRule="auto"/>
              <w:rPr>
                <w:rFonts w:cs="Arial"/>
              </w:rPr>
            </w:pPr>
            <w:r w:rsidRPr="00985D0E">
              <w:rPr>
                <w:rFonts w:cs="Arial"/>
              </w:rPr>
              <w:t>Total gain = $16,000</w:t>
            </w:r>
          </w:p>
          <w:p w14:paraId="1BDB9A50" w14:textId="77777777" w:rsidR="00115458" w:rsidRPr="00985D0E" w:rsidRDefault="00115458" w:rsidP="00985D0E">
            <w:pPr>
              <w:keepNext/>
              <w:spacing w:after="0" w:line="240" w:lineRule="auto"/>
              <w:rPr>
                <w:rFonts w:cs="Arial"/>
              </w:rPr>
            </w:pPr>
            <w:r w:rsidRPr="00985D0E">
              <w:rPr>
                <w:rFonts w:cs="Arial"/>
              </w:rPr>
              <w:t>50% discount applied</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BBB857" w14:textId="77777777" w:rsidR="00115458" w:rsidRPr="00985D0E" w:rsidRDefault="00115458" w:rsidP="00985D0E">
            <w:pPr>
              <w:keepNext/>
              <w:spacing w:after="0" w:line="240" w:lineRule="auto"/>
              <w:jc w:val="right"/>
              <w:rPr>
                <w:rFonts w:cs="Arial"/>
              </w:rPr>
            </w:pPr>
            <w:r w:rsidRPr="00985D0E">
              <w:rPr>
                <w:rFonts w:cs="Arial"/>
              </w:rPr>
              <w:t>8,000</w:t>
            </w:r>
          </w:p>
        </w:tc>
      </w:tr>
      <w:tr w:rsidR="00115458" w:rsidRPr="00985D0E" w14:paraId="067E74AC" w14:textId="77777777" w:rsidTr="000C1365">
        <w:trPr>
          <w:trHeight w:val="272"/>
        </w:trPr>
        <w:tc>
          <w:tcPr>
            <w:tcW w:w="25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276B69" w14:textId="77777777" w:rsidR="00115458" w:rsidRPr="00985D0E" w:rsidRDefault="00115458" w:rsidP="00985D0E">
            <w:pPr>
              <w:keepNext/>
              <w:spacing w:after="0" w:line="240" w:lineRule="auto"/>
              <w:rPr>
                <w:rFonts w:cs="Arial"/>
              </w:rPr>
            </w:pPr>
            <w:r w:rsidRPr="00985D0E">
              <w:rPr>
                <w:rFonts w:cs="Arial"/>
              </w:rPr>
              <w:t>Capital gains discounted method  – Non-Taxable Australian property</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50634D" w14:textId="77777777" w:rsidR="00115458" w:rsidRPr="00985D0E" w:rsidRDefault="00115458" w:rsidP="00985D0E">
            <w:pPr>
              <w:keepNext/>
              <w:spacing w:after="0" w:line="240" w:lineRule="auto"/>
              <w:rPr>
                <w:rFonts w:cs="Arial"/>
              </w:rPr>
            </w:pPr>
            <w:r w:rsidRPr="00985D0E">
              <w:rPr>
                <w:rFonts w:cs="Arial"/>
              </w:rPr>
              <w:t>Total gain = $2,000</w:t>
            </w:r>
          </w:p>
          <w:p w14:paraId="38FE57BE" w14:textId="77777777" w:rsidR="00115458" w:rsidRPr="00985D0E" w:rsidRDefault="00115458" w:rsidP="00985D0E">
            <w:pPr>
              <w:keepNext/>
              <w:spacing w:after="0" w:line="240" w:lineRule="auto"/>
              <w:rPr>
                <w:rFonts w:cs="Arial"/>
              </w:rPr>
            </w:pPr>
            <w:r w:rsidRPr="00985D0E">
              <w:rPr>
                <w:rFonts w:cs="Arial"/>
              </w:rPr>
              <w:t>50% discount applied</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78D48A" w14:textId="77777777" w:rsidR="00115458" w:rsidRPr="00985D0E" w:rsidRDefault="00115458" w:rsidP="00985D0E">
            <w:pPr>
              <w:keepNext/>
              <w:spacing w:after="0" w:line="240" w:lineRule="auto"/>
              <w:jc w:val="right"/>
              <w:rPr>
                <w:rFonts w:cs="Arial"/>
              </w:rPr>
            </w:pPr>
            <w:r w:rsidRPr="00985D0E">
              <w:rPr>
                <w:rFonts w:cs="Arial"/>
              </w:rPr>
              <w:t>1,000</w:t>
            </w:r>
          </w:p>
        </w:tc>
      </w:tr>
      <w:tr w:rsidR="00115458" w:rsidRPr="00985D0E" w14:paraId="1E30203A" w14:textId="77777777" w:rsidTr="000C1365">
        <w:trPr>
          <w:trHeight w:val="272"/>
        </w:trPr>
        <w:tc>
          <w:tcPr>
            <w:tcW w:w="2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4EA95A" w14:textId="77777777" w:rsidR="00115458" w:rsidRPr="00985D0E" w:rsidRDefault="00115458" w:rsidP="00985D0E">
            <w:pPr>
              <w:keepNext/>
              <w:spacing w:after="0" w:line="240" w:lineRule="auto"/>
              <w:rPr>
                <w:rFonts w:cs="Arial"/>
              </w:rPr>
            </w:pPr>
            <w:r w:rsidRPr="00985D0E">
              <w:rPr>
                <w:rFonts w:cs="Arial"/>
              </w:rPr>
              <w:t>Net capital gain</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tcPr>
          <w:p w14:paraId="30C3A462" w14:textId="77777777" w:rsidR="00115458" w:rsidRPr="00985D0E" w:rsidRDefault="00115458" w:rsidP="00985D0E">
            <w:pPr>
              <w:keepNext/>
              <w:spacing w:after="0" w:line="240" w:lineRule="auto"/>
              <w:rPr>
                <w:rFonts w:cs="Arial"/>
              </w:rPr>
            </w:pPr>
            <w:r w:rsidRPr="00985D0E">
              <w:rPr>
                <w:rFonts w:cs="Arial"/>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tcPr>
          <w:p w14:paraId="5C861067" w14:textId="77777777" w:rsidR="00115458" w:rsidRPr="00985D0E" w:rsidRDefault="00115458" w:rsidP="00985D0E">
            <w:pPr>
              <w:keepNext/>
              <w:spacing w:after="0" w:line="240" w:lineRule="auto"/>
              <w:jc w:val="right"/>
              <w:rPr>
                <w:rFonts w:cs="Arial"/>
              </w:rPr>
            </w:pPr>
            <w:r w:rsidRPr="00985D0E">
              <w:rPr>
                <w:rFonts w:cs="Arial"/>
              </w:rPr>
              <w:t>9,000</w:t>
            </w:r>
          </w:p>
        </w:tc>
      </w:tr>
      <w:tr w:rsidR="00115458" w:rsidRPr="00985D0E" w14:paraId="0170B8E7" w14:textId="77777777" w:rsidTr="000C1365">
        <w:trPr>
          <w:trHeight w:val="272"/>
        </w:trPr>
        <w:tc>
          <w:tcPr>
            <w:tcW w:w="2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511E9F" w14:textId="77777777" w:rsidR="00115458" w:rsidRPr="00985D0E" w:rsidRDefault="00115458" w:rsidP="00985D0E">
            <w:pPr>
              <w:keepNext/>
              <w:spacing w:after="0" w:line="240" w:lineRule="auto"/>
              <w:rPr>
                <w:rFonts w:cs="Arial"/>
              </w:rPr>
            </w:pPr>
            <w:r w:rsidRPr="00985D0E">
              <w:rPr>
                <w:rFonts w:cs="Arial"/>
              </w:rPr>
              <w:t>Total current year capital gains</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tcPr>
          <w:p w14:paraId="3E109387" w14:textId="77777777" w:rsidR="00115458" w:rsidRPr="00985D0E" w:rsidRDefault="00115458" w:rsidP="00985D0E">
            <w:pPr>
              <w:keepNext/>
              <w:spacing w:after="0" w:line="240" w:lineRule="auto"/>
              <w:rPr>
                <w:rFonts w:cs="Arial"/>
              </w:rPr>
            </w:pPr>
            <w:r w:rsidRPr="00985D0E">
              <w:rPr>
                <w:rFonts w:cs="Arial"/>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tcPr>
          <w:p w14:paraId="1CF86CC0" w14:textId="77777777" w:rsidR="00115458" w:rsidRPr="00985D0E" w:rsidRDefault="00115458" w:rsidP="00985D0E">
            <w:pPr>
              <w:keepNext/>
              <w:spacing w:after="0" w:line="240" w:lineRule="auto"/>
              <w:jc w:val="right"/>
              <w:rPr>
                <w:rFonts w:cs="Arial"/>
              </w:rPr>
            </w:pPr>
            <w:r w:rsidRPr="00985D0E">
              <w:rPr>
                <w:rFonts w:cs="Arial"/>
              </w:rPr>
              <w:t>18,000</w:t>
            </w:r>
          </w:p>
        </w:tc>
      </w:tr>
    </w:tbl>
    <w:p w14:paraId="5C721D67" w14:textId="77777777" w:rsidR="00115458" w:rsidRPr="00985D0E" w:rsidRDefault="00115458" w:rsidP="00985D0E">
      <w:pPr>
        <w:spacing w:after="0" w:line="240" w:lineRule="auto"/>
        <w:rPr>
          <w:rFonts w:cs="Arial"/>
        </w:rPr>
      </w:pPr>
    </w:p>
    <w:p w14:paraId="20DEEE0F" w14:textId="77777777" w:rsidR="00115458" w:rsidRPr="00985D0E" w:rsidRDefault="00115458" w:rsidP="00985D0E">
      <w:pPr>
        <w:spacing w:after="0" w:line="240" w:lineRule="auto"/>
        <w:rPr>
          <w:rFonts w:cs="Arial"/>
        </w:rPr>
      </w:pPr>
      <w:r w:rsidRPr="00985D0E">
        <w:rPr>
          <w:rFonts w:cs="Arial"/>
        </w:rPr>
        <w:t>The amount reported in the AIIR for each investor:</w:t>
      </w:r>
    </w:p>
    <w:p w14:paraId="235F7B22" w14:textId="77777777" w:rsidR="00115458" w:rsidRPr="00985D0E" w:rsidRDefault="00115458" w:rsidP="00985D0E">
      <w:pPr>
        <w:spacing w:after="0" w:line="240" w:lineRule="auto"/>
        <w:rPr>
          <w:rFonts w:cs="Arial"/>
        </w:rPr>
      </w:pPr>
    </w:p>
    <w:tbl>
      <w:tblPr>
        <w:tblW w:w="5028" w:type="pct"/>
        <w:tblCellMar>
          <w:top w:w="28" w:type="dxa"/>
          <w:bottom w:w="28" w:type="dxa"/>
        </w:tblCellMar>
        <w:tblLook w:val="0000" w:firstRow="0" w:lastRow="0" w:firstColumn="0" w:lastColumn="0" w:noHBand="0" w:noVBand="0"/>
      </w:tblPr>
      <w:tblGrid>
        <w:gridCol w:w="1227"/>
        <w:gridCol w:w="3711"/>
        <w:gridCol w:w="1292"/>
        <w:gridCol w:w="3104"/>
      </w:tblGrid>
      <w:tr w:rsidR="00115458" w:rsidRPr="00985D0E" w14:paraId="59383CFF" w14:textId="77777777" w:rsidTr="004A4590">
        <w:trPr>
          <w:cantSplit/>
          <w:tblHeader/>
        </w:trPr>
        <w:tc>
          <w:tcPr>
            <w:tcW w:w="657" w:type="pct"/>
            <w:tcBorders>
              <w:top w:val="single" w:sz="6" w:space="0" w:color="auto"/>
              <w:left w:val="single" w:sz="6" w:space="0" w:color="auto"/>
              <w:bottom w:val="single" w:sz="6" w:space="0" w:color="auto"/>
              <w:right w:val="single" w:sz="6" w:space="0" w:color="auto"/>
            </w:tcBorders>
            <w:shd w:val="clear" w:color="auto" w:fill="B3B3B3"/>
            <w:vAlign w:val="center"/>
          </w:tcPr>
          <w:p w14:paraId="21039E58" w14:textId="77777777" w:rsidR="00115458" w:rsidRPr="00985D0E" w:rsidRDefault="00115458" w:rsidP="00985D0E">
            <w:pPr>
              <w:spacing w:after="0" w:line="240" w:lineRule="auto"/>
              <w:rPr>
                <w:rFonts w:cs="Arial"/>
                <w:b/>
              </w:rPr>
            </w:pPr>
            <w:r w:rsidRPr="00985D0E">
              <w:rPr>
                <w:rFonts w:cs="Arial"/>
                <w:b/>
              </w:rPr>
              <w:t xml:space="preserve">Reference </w:t>
            </w:r>
          </w:p>
          <w:p w14:paraId="22DE6B64" w14:textId="77777777" w:rsidR="00115458" w:rsidRPr="00985D0E" w:rsidRDefault="00115458" w:rsidP="00985D0E">
            <w:pPr>
              <w:spacing w:after="0" w:line="240" w:lineRule="auto"/>
              <w:rPr>
                <w:rFonts w:cs="Arial"/>
                <w:b/>
              </w:rPr>
            </w:pPr>
            <w:r w:rsidRPr="00985D0E">
              <w:rPr>
                <w:rFonts w:cs="Arial"/>
                <w:b/>
              </w:rPr>
              <w:t>Number</w:t>
            </w:r>
          </w:p>
        </w:tc>
        <w:tc>
          <w:tcPr>
            <w:tcW w:w="1988" w:type="pct"/>
            <w:tcBorders>
              <w:top w:val="single" w:sz="6" w:space="0" w:color="auto"/>
              <w:left w:val="single" w:sz="6" w:space="0" w:color="auto"/>
              <w:bottom w:val="single" w:sz="6" w:space="0" w:color="auto"/>
              <w:right w:val="single" w:sz="6" w:space="0" w:color="auto"/>
            </w:tcBorders>
            <w:shd w:val="clear" w:color="auto" w:fill="B3B3B3"/>
            <w:vAlign w:val="center"/>
          </w:tcPr>
          <w:p w14:paraId="49CA9180" w14:textId="77777777" w:rsidR="00115458" w:rsidRPr="00985D0E" w:rsidRDefault="00115458" w:rsidP="00985D0E">
            <w:pPr>
              <w:spacing w:after="0" w:line="240" w:lineRule="auto"/>
              <w:rPr>
                <w:rFonts w:cs="Arial"/>
                <w:b/>
              </w:rPr>
            </w:pPr>
            <w:r w:rsidRPr="00985D0E">
              <w:rPr>
                <w:rFonts w:cs="Arial"/>
                <w:b/>
              </w:rPr>
              <w:t>Field name</w:t>
            </w:r>
          </w:p>
        </w:tc>
        <w:tc>
          <w:tcPr>
            <w:tcW w:w="692" w:type="pct"/>
            <w:tcBorders>
              <w:top w:val="single" w:sz="6" w:space="0" w:color="auto"/>
              <w:left w:val="single" w:sz="6" w:space="0" w:color="auto"/>
              <w:bottom w:val="single" w:sz="6" w:space="0" w:color="auto"/>
              <w:right w:val="single" w:sz="6" w:space="0" w:color="auto"/>
            </w:tcBorders>
            <w:shd w:val="clear" w:color="auto" w:fill="B3B3B3"/>
            <w:vAlign w:val="center"/>
          </w:tcPr>
          <w:p w14:paraId="7B3CC1D9" w14:textId="77777777" w:rsidR="00115458" w:rsidRPr="00985D0E" w:rsidRDefault="00115458" w:rsidP="00985D0E">
            <w:pPr>
              <w:spacing w:after="0" w:line="240" w:lineRule="auto"/>
              <w:rPr>
                <w:rFonts w:cs="Arial"/>
                <w:b/>
              </w:rPr>
            </w:pPr>
            <w:r w:rsidRPr="00985D0E">
              <w:rPr>
                <w:rFonts w:cs="Arial"/>
                <w:b/>
              </w:rPr>
              <w:t>Amount</w:t>
            </w:r>
          </w:p>
        </w:tc>
        <w:tc>
          <w:tcPr>
            <w:tcW w:w="1663" w:type="pct"/>
            <w:tcBorders>
              <w:top w:val="single" w:sz="6" w:space="0" w:color="auto"/>
              <w:left w:val="single" w:sz="6" w:space="0" w:color="auto"/>
              <w:bottom w:val="single" w:sz="6" w:space="0" w:color="auto"/>
              <w:right w:val="single" w:sz="6" w:space="0" w:color="auto"/>
            </w:tcBorders>
            <w:shd w:val="clear" w:color="auto" w:fill="B3B3B3"/>
            <w:vAlign w:val="center"/>
          </w:tcPr>
          <w:p w14:paraId="64E5A6AE" w14:textId="77777777" w:rsidR="00115458" w:rsidRPr="00985D0E" w:rsidRDefault="00115458" w:rsidP="00985D0E">
            <w:pPr>
              <w:spacing w:after="0" w:line="240" w:lineRule="auto"/>
              <w:rPr>
                <w:rFonts w:cs="Arial"/>
                <w:b/>
              </w:rPr>
            </w:pPr>
            <w:r w:rsidRPr="00985D0E">
              <w:rPr>
                <w:rFonts w:cs="Arial"/>
                <w:b/>
              </w:rPr>
              <w:t>Workings</w:t>
            </w:r>
          </w:p>
        </w:tc>
      </w:tr>
      <w:tr w:rsidR="00115458" w:rsidRPr="00985D0E" w14:paraId="0C00F79C"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5D88F008" w14:textId="77777777" w:rsidR="00115458" w:rsidRPr="00985D0E" w:rsidRDefault="00115458" w:rsidP="00985D0E">
            <w:pPr>
              <w:spacing w:after="0" w:line="240" w:lineRule="auto"/>
              <w:rPr>
                <w:rFonts w:cs="Arial"/>
              </w:rPr>
            </w:pPr>
            <w:r w:rsidRPr="00985D0E">
              <w:rPr>
                <w:rFonts w:cs="Arial"/>
              </w:rPr>
              <w:t>9.87</w:t>
            </w:r>
          </w:p>
        </w:tc>
        <w:tc>
          <w:tcPr>
            <w:tcW w:w="1988" w:type="pct"/>
            <w:tcBorders>
              <w:top w:val="single" w:sz="6" w:space="0" w:color="auto"/>
              <w:left w:val="single" w:sz="6" w:space="0" w:color="auto"/>
              <w:bottom w:val="single" w:sz="6" w:space="0" w:color="auto"/>
              <w:right w:val="single" w:sz="6" w:space="0" w:color="auto"/>
            </w:tcBorders>
            <w:vAlign w:val="center"/>
          </w:tcPr>
          <w:p w14:paraId="696D443C" w14:textId="77777777" w:rsidR="00115458" w:rsidRPr="00985D0E" w:rsidRDefault="00115458" w:rsidP="00985D0E">
            <w:pPr>
              <w:spacing w:after="0" w:line="240" w:lineRule="auto"/>
              <w:rPr>
                <w:rFonts w:cs="Arial"/>
              </w:rPr>
            </w:pPr>
            <w:r w:rsidRPr="00985D0E">
              <w:rPr>
                <w:rFonts w:cs="Arial"/>
              </w:rPr>
              <w:t>CGT concession amount or AMIT CGT gross up amount</w:t>
            </w:r>
          </w:p>
        </w:tc>
        <w:tc>
          <w:tcPr>
            <w:tcW w:w="692" w:type="pct"/>
            <w:tcBorders>
              <w:top w:val="single" w:sz="6" w:space="0" w:color="auto"/>
              <w:left w:val="single" w:sz="6" w:space="0" w:color="auto"/>
              <w:bottom w:val="single" w:sz="6" w:space="0" w:color="auto"/>
              <w:right w:val="single" w:sz="6" w:space="0" w:color="auto"/>
            </w:tcBorders>
            <w:vAlign w:val="center"/>
          </w:tcPr>
          <w:p w14:paraId="1FDFB021" w14:textId="77777777" w:rsidR="00115458" w:rsidRPr="00985D0E" w:rsidRDefault="00115458" w:rsidP="00985D0E">
            <w:pPr>
              <w:spacing w:after="0" w:line="240" w:lineRule="auto"/>
              <w:jc w:val="right"/>
              <w:rPr>
                <w:rFonts w:cs="Arial"/>
              </w:rPr>
            </w:pPr>
            <w:r w:rsidRPr="00985D0E">
              <w:rPr>
                <w:rFonts w:cs="Arial"/>
              </w:rPr>
              <w:t>$330</w:t>
            </w:r>
          </w:p>
        </w:tc>
        <w:tc>
          <w:tcPr>
            <w:tcW w:w="1663" w:type="pct"/>
            <w:tcBorders>
              <w:top w:val="single" w:sz="6" w:space="0" w:color="auto"/>
              <w:left w:val="single" w:sz="6" w:space="0" w:color="auto"/>
              <w:bottom w:val="single" w:sz="6" w:space="0" w:color="auto"/>
              <w:right w:val="single" w:sz="6" w:space="0" w:color="auto"/>
            </w:tcBorders>
            <w:vAlign w:val="center"/>
          </w:tcPr>
          <w:p w14:paraId="63749EE7" w14:textId="77777777" w:rsidR="00115458" w:rsidRPr="00985D0E" w:rsidRDefault="00115458" w:rsidP="00985D0E">
            <w:pPr>
              <w:spacing w:after="0" w:line="240" w:lineRule="auto"/>
              <w:jc w:val="right"/>
              <w:rPr>
                <w:rFonts w:cs="Arial"/>
              </w:rPr>
            </w:pPr>
            <w:r w:rsidRPr="00985D0E">
              <w:rPr>
                <w:rFonts w:cs="Arial"/>
              </w:rPr>
              <w:t>3,300/10</w:t>
            </w:r>
          </w:p>
        </w:tc>
      </w:tr>
      <w:tr w:rsidR="00115458" w:rsidRPr="00985D0E" w14:paraId="2AAFE454"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1C27E089" w14:textId="77777777" w:rsidR="00115458" w:rsidRPr="00985D0E" w:rsidRDefault="00115458" w:rsidP="00985D0E">
            <w:pPr>
              <w:spacing w:after="0" w:line="240" w:lineRule="auto"/>
              <w:rPr>
                <w:rFonts w:cs="Arial"/>
              </w:rPr>
            </w:pPr>
            <w:r w:rsidRPr="00985D0E">
              <w:rPr>
                <w:rFonts w:cs="Arial"/>
              </w:rPr>
              <w:t>9.123</w:t>
            </w:r>
          </w:p>
        </w:tc>
        <w:tc>
          <w:tcPr>
            <w:tcW w:w="1988" w:type="pct"/>
            <w:tcBorders>
              <w:top w:val="single" w:sz="6" w:space="0" w:color="auto"/>
              <w:left w:val="single" w:sz="6" w:space="0" w:color="auto"/>
              <w:bottom w:val="single" w:sz="6" w:space="0" w:color="auto"/>
              <w:right w:val="single" w:sz="6" w:space="0" w:color="auto"/>
            </w:tcBorders>
            <w:vAlign w:val="center"/>
          </w:tcPr>
          <w:p w14:paraId="40DD9879" w14:textId="77777777" w:rsidR="00115458" w:rsidRPr="00985D0E" w:rsidRDefault="00115458" w:rsidP="00985D0E">
            <w:pPr>
              <w:spacing w:after="0" w:line="240" w:lineRule="auto"/>
              <w:rPr>
                <w:rFonts w:cs="Arial"/>
              </w:rPr>
            </w:pPr>
            <w:r w:rsidRPr="00985D0E">
              <w:rPr>
                <w:rFonts w:cs="Arial"/>
              </w:rPr>
              <w:t>Capital gains discounted method – Taxable Australian property</w:t>
            </w:r>
          </w:p>
        </w:tc>
        <w:tc>
          <w:tcPr>
            <w:tcW w:w="692" w:type="pct"/>
            <w:tcBorders>
              <w:top w:val="single" w:sz="6" w:space="0" w:color="auto"/>
              <w:left w:val="single" w:sz="6" w:space="0" w:color="auto"/>
              <w:bottom w:val="single" w:sz="6" w:space="0" w:color="auto"/>
              <w:right w:val="single" w:sz="6" w:space="0" w:color="auto"/>
            </w:tcBorders>
            <w:vAlign w:val="center"/>
          </w:tcPr>
          <w:p w14:paraId="102F3659" w14:textId="77777777" w:rsidR="00115458" w:rsidRPr="00985D0E" w:rsidRDefault="00115458" w:rsidP="00985D0E">
            <w:pPr>
              <w:spacing w:after="0" w:line="240" w:lineRule="auto"/>
              <w:jc w:val="right"/>
              <w:rPr>
                <w:rFonts w:cs="Arial"/>
              </w:rPr>
            </w:pPr>
            <w:r w:rsidRPr="00985D0E">
              <w:rPr>
                <w:rFonts w:cs="Arial"/>
              </w:rPr>
              <w:t>$800</w:t>
            </w:r>
          </w:p>
        </w:tc>
        <w:tc>
          <w:tcPr>
            <w:tcW w:w="1663" w:type="pct"/>
            <w:tcBorders>
              <w:top w:val="single" w:sz="6" w:space="0" w:color="auto"/>
              <w:left w:val="single" w:sz="6" w:space="0" w:color="auto"/>
              <w:bottom w:val="single" w:sz="6" w:space="0" w:color="auto"/>
              <w:right w:val="single" w:sz="6" w:space="0" w:color="auto"/>
            </w:tcBorders>
            <w:vAlign w:val="center"/>
          </w:tcPr>
          <w:p w14:paraId="7E44A661" w14:textId="77777777" w:rsidR="00115458" w:rsidRPr="00985D0E" w:rsidRDefault="00115458" w:rsidP="00985D0E">
            <w:pPr>
              <w:spacing w:after="0" w:line="240" w:lineRule="auto"/>
              <w:jc w:val="right"/>
              <w:rPr>
                <w:rFonts w:cs="Arial"/>
              </w:rPr>
            </w:pPr>
            <w:r w:rsidRPr="00985D0E">
              <w:rPr>
                <w:rFonts w:cs="Arial"/>
              </w:rPr>
              <w:t>8,000/10</w:t>
            </w:r>
          </w:p>
        </w:tc>
      </w:tr>
      <w:tr w:rsidR="00115458" w:rsidRPr="00985D0E" w14:paraId="4F812FE5"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38D7458E" w14:textId="77777777" w:rsidR="00115458" w:rsidRPr="00985D0E" w:rsidRDefault="00115458" w:rsidP="00985D0E">
            <w:pPr>
              <w:spacing w:after="0" w:line="240" w:lineRule="auto"/>
              <w:rPr>
                <w:rFonts w:cs="Arial"/>
              </w:rPr>
            </w:pPr>
            <w:r w:rsidRPr="00985D0E">
              <w:rPr>
                <w:rFonts w:cs="Arial"/>
              </w:rPr>
              <w:t>9.124</w:t>
            </w:r>
          </w:p>
        </w:tc>
        <w:tc>
          <w:tcPr>
            <w:tcW w:w="1988" w:type="pct"/>
            <w:tcBorders>
              <w:top w:val="single" w:sz="6" w:space="0" w:color="auto"/>
              <w:left w:val="single" w:sz="6" w:space="0" w:color="auto"/>
              <w:bottom w:val="single" w:sz="6" w:space="0" w:color="auto"/>
              <w:right w:val="single" w:sz="6" w:space="0" w:color="auto"/>
            </w:tcBorders>
            <w:vAlign w:val="center"/>
          </w:tcPr>
          <w:p w14:paraId="359426AA" w14:textId="77777777" w:rsidR="00115458" w:rsidRPr="00985D0E" w:rsidRDefault="00115458" w:rsidP="00985D0E">
            <w:pPr>
              <w:spacing w:after="0" w:line="240" w:lineRule="auto"/>
              <w:rPr>
                <w:rFonts w:cs="Arial"/>
              </w:rPr>
            </w:pPr>
            <w:r w:rsidRPr="00985D0E">
              <w:rPr>
                <w:rFonts w:cs="Arial"/>
              </w:rPr>
              <w:t>Capital gains discounted method – Non-Taxable Australian property</w:t>
            </w:r>
          </w:p>
        </w:tc>
        <w:tc>
          <w:tcPr>
            <w:tcW w:w="692" w:type="pct"/>
            <w:tcBorders>
              <w:top w:val="single" w:sz="6" w:space="0" w:color="auto"/>
              <w:left w:val="single" w:sz="6" w:space="0" w:color="auto"/>
              <w:bottom w:val="single" w:sz="6" w:space="0" w:color="auto"/>
              <w:right w:val="single" w:sz="6" w:space="0" w:color="auto"/>
            </w:tcBorders>
            <w:vAlign w:val="center"/>
          </w:tcPr>
          <w:p w14:paraId="0F9C0594" w14:textId="77777777" w:rsidR="00115458" w:rsidRPr="00985D0E" w:rsidRDefault="00115458" w:rsidP="00985D0E">
            <w:pPr>
              <w:spacing w:after="0" w:line="240" w:lineRule="auto"/>
              <w:jc w:val="right"/>
              <w:rPr>
                <w:rFonts w:cs="Arial"/>
              </w:rPr>
            </w:pPr>
            <w:r w:rsidRPr="00985D0E">
              <w:rPr>
                <w:rFonts w:cs="Arial"/>
              </w:rPr>
              <w:t>$100</w:t>
            </w:r>
          </w:p>
        </w:tc>
        <w:tc>
          <w:tcPr>
            <w:tcW w:w="1663" w:type="pct"/>
            <w:tcBorders>
              <w:top w:val="single" w:sz="6" w:space="0" w:color="auto"/>
              <w:left w:val="single" w:sz="6" w:space="0" w:color="auto"/>
              <w:bottom w:val="single" w:sz="6" w:space="0" w:color="auto"/>
              <w:right w:val="single" w:sz="6" w:space="0" w:color="auto"/>
            </w:tcBorders>
            <w:vAlign w:val="center"/>
          </w:tcPr>
          <w:p w14:paraId="6F8EAC9F" w14:textId="77777777" w:rsidR="00115458" w:rsidRPr="00985D0E" w:rsidRDefault="00115458" w:rsidP="00985D0E">
            <w:pPr>
              <w:spacing w:after="0" w:line="240" w:lineRule="auto"/>
              <w:jc w:val="right"/>
              <w:rPr>
                <w:rFonts w:cs="Arial"/>
              </w:rPr>
            </w:pPr>
            <w:r w:rsidRPr="00985D0E">
              <w:rPr>
                <w:rFonts w:cs="Arial"/>
              </w:rPr>
              <w:t>1,000/10</w:t>
            </w:r>
          </w:p>
        </w:tc>
      </w:tr>
      <w:tr w:rsidR="00115458" w:rsidRPr="00985D0E" w14:paraId="4E989AE2"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2A173FD5" w14:textId="77777777" w:rsidR="00115458" w:rsidRPr="00985D0E" w:rsidRDefault="00115458" w:rsidP="00985D0E">
            <w:pPr>
              <w:spacing w:after="0" w:line="240" w:lineRule="auto"/>
              <w:rPr>
                <w:rFonts w:cs="Arial"/>
              </w:rPr>
            </w:pPr>
            <w:r w:rsidRPr="00985D0E">
              <w:rPr>
                <w:rFonts w:cs="Arial"/>
              </w:rPr>
              <w:t>9.88</w:t>
            </w:r>
          </w:p>
        </w:tc>
        <w:tc>
          <w:tcPr>
            <w:tcW w:w="1988" w:type="pct"/>
            <w:tcBorders>
              <w:top w:val="single" w:sz="6" w:space="0" w:color="auto"/>
              <w:left w:val="single" w:sz="6" w:space="0" w:color="auto"/>
              <w:bottom w:val="single" w:sz="6" w:space="0" w:color="auto"/>
              <w:right w:val="single" w:sz="6" w:space="0" w:color="auto"/>
            </w:tcBorders>
            <w:vAlign w:val="center"/>
          </w:tcPr>
          <w:p w14:paraId="58F88779" w14:textId="77777777" w:rsidR="00115458" w:rsidRPr="00985D0E" w:rsidRDefault="00115458" w:rsidP="00985D0E">
            <w:pPr>
              <w:spacing w:after="0" w:line="240" w:lineRule="auto"/>
              <w:rPr>
                <w:rFonts w:cs="Arial"/>
              </w:rPr>
            </w:pPr>
            <w:r w:rsidRPr="00985D0E">
              <w:rPr>
                <w:rFonts w:cs="Arial"/>
              </w:rPr>
              <w:t>Net capital gain</w:t>
            </w:r>
          </w:p>
        </w:tc>
        <w:tc>
          <w:tcPr>
            <w:tcW w:w="692" w:type="pct"/>
            <w:tcBorders>
              <w:top w:val="single" w:sz="6" w:space="0" w:color="auto"/>
              <w:left w:val="single" w:sz="6" w:space="0" w:color="auto"/>
              <w:bottom w:val="single" w:sz="6" w:space="0" w:color="auto"/>
              <w:right w:val="single" w:sz="6" w:space="0" w:color="auto"/>
            </w:tcBorders>
            <w:vAlign w:val="center"/>
          </w:tcPr>
          <w:p w14:paraId="51721688" w14:textId="77777777" w:rsidR="00115458" w:rsidRPr="00985D0E" w:rsidRDefault="00115458" w:rsidP="00985D0E">
            <w:pPr>
              <w:spacing w:after="0" w:line="240" w:lineRule="auto"/>
              <w:jc w:val="right"/>
              <w:rPr>
                <w:rFonts w:cs="Arial"/>
              </w:rPr>
            </w:pPr>
            <w:r w:rsidRPr="00985D0E">
              <w:rPr>
                <w:rFonts w:cs="Arial"/>
              </w:rPr>
              <w:t>$900</w:t>
            </w:r>
          </w:p>
        </w:tc>
        <w:tc>
          <w:tcPr>
            <w:tcW w:w="1663" w:type="pct"/>
            <w:tcBorders>
              <w:top w:val="single" w:sz="6" w:space="0" w:color="auto"/>
              <w:left w:val="single" w:sz="6" w:space="0" w:color="auto"/>
              <w:bottom w:val="single" w:sz="6" w:space="0" w:color="auto"/>
              <w:right w:val="single" w:sz="6" w:space="0" w:color="auto"/>
            </w:tcBorders>
            <w:vAlign w:val="center"/>
          </w:tcPr>
          <w:p w14:paraId="20D736A0" w14:textId="77777777" w:rsidR="00115458" w:rsidRPr="00985D0E" w:rsidRDefault="00115458" w:rsidP="00985D0E">
            <w:pPr>
              <w:spacing w:after="0" w:line="240" w:lineRule="auto"/>
              <w:jc w:val="right"/>
              <w:rPr>
                <w:rFonts w:cs="Arial"/>
              </w:rPr>
            </w:pPr>
            <w:r w:rsidRPr="00985D0E">
              <w:rPr>
                <w:rFonts w:cs="Arial"/>
              </w:rPr>
              <w:t>8,000+</w:t>
            </w:r>
          </w:p>
          <w:p w14:paraId="7B575C15" w14:textId="77777777" w:rsidR="00115458" w:rsidRPr="00985D0E" w:rsidRDefault="00115458" w:rsidP="00985D0E">
            <w:pPr>
              <w:spacing w:after="0" w:line="240" w:lineRule="auto"/>
              <w:jc w:val="right"/>
              <w:rPr>
                <w:rFonts w:cs="Arial"/>
              </w:rPr>
            </w:pPr>
            <w:r w:rsidRPr="00985D0E">
              <w:rPr>
                <w:rFonts w:cs="Arial"/>
              </w:rPr>
              <w:t xml:space="preserve">                               1,000=</w:t>
            </w:r>
          </w:p>
          <w:p w14:paraId="6174882A" w14:textId="77777777" w:rsidR="00115458" w:rsidRPr="00985D0E" w:rsidRDefault="00115458" w:rsidP="00985D0E">
            <w:pPr>
              <w:spacing w:after="0" w:line="240" w:lineRule="auto"/>
              <w:jc w:val="right"/>
              <w:rPr>
                <w:rFonts w:cs="Arial"/>
              </w:rPr>
            </w:pPr>
            <w:r w:rsidRPr="00985D0E">
              <w:rPr>
                <w:rFonts w:cs="Arial"/>
              </w:rPr>
              <w:t>9,000/10</w:t>
            </w:r>
          </w:p>
        </w:tc>
      </w:tr>
      <w:tr w:rsidR="00115458" w:rsidRPr="00985D0E" w14:paraId="60C8811F" w14:textId="77777777" w:rsidTr="004A4590">
        <w:trPr>
          <w:cantSplit/>
          <w:trHeight w:val="276"/>
        </w:trPr>
        <w:tc>
          <w:tcPr>
            <w:tcW w:w="657" w:type="pct"/>
            <w:tcBorders>
              <w:top w:val="single" w:sz="6" w:space="0" w:color="auto"/>
              <w:left w:val="single" w:sz="6" w:space="0" w:color="auto"/>
              <w:bottom w:val="single" w:sz="6" w:space="0" w:color="auto"/>
              <w:right w:val="single" w:sz="6" w:space="0" w:color="auto"/>
            </w:tcBorders>
            <w:vAlign w:val="center"/>
          </w:tcPr>
          <w:p w14:paraId="4F7AB1F5" w14:textId="77777777" w:rsidR="00115458" w:rsidRPr="00985D0E" w:rsidRDefault="00115458" w:rsidP="00985D0E">
            <w:pPr>
              <w:spacing w:after="0" w:line="240" w:lineRule="auto"/>
              <w:rPr>
                <w:rFonts w:cs="Arial"/>
              </w:rPr>
            </w:pPr>
            <w:r w:rsidRPr="00985D0E">
              <w:rPr>
                <w:rFonts w:cs="Arial"/>
              </w:rPr>
              <w:t>9.89</w:t>
            </w:r>
          </w:p>
        </w:tc>
        <w:tc>
          <w:tcPr>
            <w:tcW w:w="1988" w:type="pct"/>
            <w:tcBorders>
              <w:top w:val="single" w:sz="6" w:space="0" w:color="auto"/>
              <w:left w:val="single" w:sz="6" w:space="0" w:color="auto"/>
              <w:bottom w:val="single" w:sz="6" w:space="0" w:color="auto"/>
              <w:right w:val="single" w:sz="6" w:space="0" w:color="auto"/>
            </w:tcBorders>
            <w:vAlign w:val="center"/>
          </w:tcPr>
          <w:p w14:paraId="3109E663" w14:textId="77777777" w:rsidR="00115458" w:rsidRPr="00985D0E" w:rsidRDefault="00115458" w:rsidP="00985D0E">
            <w:pPr>
              <w:spacing w:after="0" w:line="240" w:lineRule="auto"/>
              <w:rPr>
                <w:rFonts w:cs="Arial"/>
              </w:rPr>
            </w:pPr>
            <w:r w:rsidRPr="00985D0E">
              <w:rPr>
                <w:rFonts w:cs="Arial"/>
              </w:rPr>
              <w:t>Total current year capital gains</w:t>
            </w:r>
          </w:p>
        </w:tc>
        <w:tc>
          <w:tcPr>
            <w:tcW w:w="692" w:type="pct"/>
            <w:tcBorders>
              <w:top w:val="single" w:sz="6" w:space="0" w:color="auto"/>
              <w:left w:val="single" w:sz="6" w:space="0" w:color="auto"/>
              <w:bottom w:val="single" w:sz="6" w:space="0" w:color="auto"/>
              <w:right w:val="single" w:sz="6" w:space="0" w:color="auto"/>
            </w:tcBorders>
            <w:vAlign w:val="center"/>
          </w:tcPr>
          <w:p w14:paraId="63D82A65" w14:textId="77777777" w:rsidR="00115458" w:rsidRPr="00985D0E" w:rsidRDefault="00115458" w:rsidP="00985D0E">
            <w:pPr>
              <w:spacing w:after="0" w:line="240" w:lineRule="auto"/>
              <w:jc w:val="right"/>
              <w:rPr>
                <w:rFonts w:cs="Arial"/>
              </w:rPr>
            </w:pPr>
            <w:r w:rsidRPr="00985D0E">
              <w:rPr>
                <w:rFonts w:cs="Arial"/>
              </w:rPr>
              <w:t>$1,800</w:t>
            </w:r>
          </w:p>
        </w:tc>
        <w:tc>
          <w:tcPr>
            <w:tcW w:w="1663" w:type="pct"/>
            <w:tcBorders>
              <w:top w:val="single" w:sz="6" w:space="0" w:color="auto"/>
              <w:left w:val="single" w:sz="6" w:space="0" w:color="auto"/>
              <w:bottom w:val="single" w:sz="6" w:space="0" w:color="auto"/>
              <w:right w:val="single" w:sz="6" w:space="0" w:color="auto"/>
            </w:tcBorders>
            <w:vAlign w:val="center"/>
          </w:tcPr>
          <w:p w14:paraId="76DF5B00" w14:textId="77777777" w:rsidR="00115458" w:rsidRPr="00985D0E" w:rsidRDefault="00115458" w:rsidP="00985D0E">
            <w:pPr>
              <w:spacing w:after="0" w:line="240" w:lineRule="auto"/>
              <w:jc w:val="right"/>
              <w:rPr>
                <w:rFonts w:cs="Arial"/>
              </w:rPr>
            </w:pPr>
            <w:r w:rsidRPr="00985D0E">
              <w:rPr>
                <w:rFonts w:cs="Arial"/>
              </w:rPr>
              <w:t xml:space="preserve"> (8,000 grossed up) 16,000+</w:t>
            </w:r>
          </w:p>
          <w:p w14:paraId="71B307EE" w14:textId="77777777" w:rsidR="00115458" w:rsidRPr="00985D0E" w:rsidRDefault="00115458" w:rsidP="00985D0E">
            <w:pPr>
              <w:spacing w:after="0" w:line="240" w:lineRule="auto"/>
              <w:jc w:val="right"/>
              <w:rPr>
                <w:rFonts w:cs="Arial"/>
              </w:rPr>
            </w:pPr>
            <w:r w:rsidRPr="00985D0E">
              <w:rPr>
                <w:rFonts w:cs="Arial"/>
              </w:rPr>
              <w:t>(1,000 grossed up) 2,000=</w:t>
            </w:r>
          </w:p>
          <w:p w14:paraId="7C443C41" w14:textId="77777777" w:rsidR="00115458" w:rsidRPr="00985D0E" w:rsidRDefault="00115458" w:rsidP="00985D0E">
            <w:pPr>
              <w:spacing w:after="0" w:line="240" w:lineRule="auto"/>
              <w:jc w:val="right"/>
              <w:rPr>
                <w:rFonts w:cs="Arial"/>
              </w:rPr>
            </w:pPr>
            <w:r w:rsidRPr="00985D0E">
              <w:rPr>
                <w:rFonts w:cs="Arial"/>
              </w:rPr>
              <w:t>18,000/10</w:t>
            </w:r>
          </w:p>
        </w:tc>
      </w:tr>
    </w:tbl>
    <w:p w14:paraId="070E77AE" w14:textId="77777777" w:rsidR="00115458" w:rsidRPr="00DB1D67" w:rsidRDefault="00115458" w:rsidP="00115458">
      <w:pPr>
        <w:rPr>
          <w:rFonts w:cs="Arial"/>
        </w:rPr>
      </w:pPr>
    </w:p>
    <w:p w14:paraId="5111F386" w14:textId="1550871C" w:rsidR="00115458" w:rsidRDefault="00115458" w:rsidP="004A4590">
      <w:pPr>
        <w:pStyle w:val="Heading3"/>
        <w:spacing w:before="0" w:after="0" w:line="240" w:lineRule="auto"/>
      </w:pPr>
      <w:bookmarkStart w:id="1678" w:name="_Toc448311537"/>
      <w:bookmarkStart w:id="1679" w:name="_Toc232191361"/>
      <w:r w:rsidRPr="00DB1D67">
        <w:t>Investor Directed Portfolio Services</w:t>
      </w:r>
      <w:bookmarkEnd w:id="1678"/>
      <w:bookmarkEnd w:id="1679"/>
    </w:p>
    <w:p w14:paraId="2C3E123B" w14:textId="77777777" w:rsidR="00242D46" w:rsidRDefault="00242D46" w:rsidP="004A4590">
      <w:pPr>
        <w:spacing w:after="0" w:line="240" w:lineRule="auto"/>
        <w:rPr>
          <w:rFonts w:cs="Arial"/>
        </w:rPr>
      </w:pPr>
    </w:p>
    <w:p w14:paraId="38B8470D" w14:textId="462C4ACA" w:rsidR="00115458" w:rsidRPr="00DB1D67" w:rsidRDefault="00115458" w:rsidP="004A4590">
      <w:pPr>
        <w:spacing w:after="0" w:line="240" w:lineRule="auto"/>
        <w:rPr>
          <w:rFonts w:cs="Arial"/>
        </w:rPr>
      </w:pPr>
      <w:r w:rsidRPr="00DB1D67">
        <w:rPr>
          <w:rFonts w:cs="Arial"/>
        </w:rPr>
        <w:t xml:space="preserve">IDPS are services for acquiring and holding investments that generally involve custody arrangements and consolidated reporting. There is often a menu of investment products available through this service including trust distributions, dividends and interest related investments.   </w:t>
      </w:r>
    </w:p>
    <w:p w14:paraId="108AA2BB" w14:textId="77777777" w:rsidR="00115458" w:rsidRPr="00DB1D67" w:rsidRDefault="00115458" w:rsidP="004A4590">
      <w:pPr>
        <w:spacing w:after="0" w:line="240" w:lineRule="auto"/>
        <w:rPr>
          <w:rFonts w:cs="Arial"/>
        </w:rPr>
      </w:pPr>
    </w:p>
    <w:p w14:paraId="31918DB7" w14:textId="77777777" w:rsidR="00115458" w:rsidRPr="00DB1D67" w:rsidRDefault="00115458" w:rsidP="004A4590">
      <w:pPr>
        <w:spacing w:after="0" w:line="240" w:lineRule="auto"/>
        <w:rPr>
          <w:rFonts w:cs="Arial"/>
        </w:rPr>
      </w:pPr>
      <w:r w:rsidRPr="00DB1D67">
        <w:rPr>
          <w:rFonts w:cs="Arial"/>
        </w:rPr>
        <w:t xml:space="preserve">These services include products typically marketed as master funds and wrap accounts. A distinguishable feature of IDPS is the investor generally makes all the investment decisions, including acquiring, holding and withdrawing from a range of investment products. The trustee of an IDPS is operating as an intermediary and supplies the trustee TFN to the investment body rather than the investor’s TFN. When supplying an AIIR, an IDPS is required to provide an </w:t>
      </w:r>
      <w:r w:rsidRPr="00DB1D67">
        <w:rPr>
          <w:rFonts w:cs="Arial"/>
          <w:i/>
        </w:rPr>
        <w:t xml:space="preserve">Investment account data record </w:t>
      </w:r>
      <w:r w:rsidRPr="00DB1D67">
        <w:rPr>
          <w:rFonts w:cs="Arial"/>
        </w:rPr>
        <w:t xml:space="preserve">(and </w:t>
      </w:r>
      <w:r w:rsidRPr="00DB1D67">
        <w:rPr>
          <w:rFonts w:cs="Arial"/>
          <w:i/>
        </w:rPr>
        <w:t xml:space="preserve">Supplementary income account data record </w:t>
      </w:r>
      <w:r w:rsidRPr="00DB1D67">
        <w:rPr>
          <w:rFonts w:cs="Arial"/>
        </w:rPr>
        <w:t xml:space="preserve">(if required)) followed by an </w:t>
      </w:r>
      <w:r w:rsidRPr="00DB1D67">
        <w:rPr>
          <w:rFonts w:cs="Arial"/>
          <w:i/>
        </w:rPr>
        <w:t>Investor data record</w:t>
      </w:r>
      <w:r w:rsidRPr="00DB1D67">
        <w:rPr>
          <w:rFonts w:cs="Arial"/>
        </w:rPr>
        <w:t xml:space="preserve"> for each investment type.  </w:t>
      </w:r>
    </w:p>
    <w:p w14:paraId="37F67EA5" w14:textId="77777777" w:rsidR="00115458" w:rsidRPr="00DB1D67" w:rsidRDefault="00115458" w:rsidP="004A4590">
      <w:pPr>
        <w:spacing w:after="0" w:line="240" w:lineRule="auto"/>
        <w:rPr>
          <w:rFonts w:cs="Arial"/>
        </w:rPr>
      </w:pPr>
    </w:p>
    <w:p w14:paraId="06655FA1" w14:textId="77777777" w:rsidR="00115458" w:rsidRDefault="00115458" w:rsidP="004A4590">
      <w:pPr>
        <w:spacing w:after="0" w:line="240" w:lineRule="auto"/>
        <w:rPr>
          <w:rFonts w:cs="Arial"/>
        </w:rPr>
      </w:pPr>
      <w:r w:rsidRPr="00DB1D67">
        <w:rPr>
          <w:rFonts w:cs="Arial"/>
        </w:rPr>
        <w:t>The following example shows the recommended way for an IDPS to lodge an AIIR on behalf of its investors</w:t>
      </w:r>
      <w:r>
        <w:rPr>
          <w:rFonts w:cs="Arial"/>
        </w:rPr>
        <w:t xml:space="preserve"> when there are distributions from different investment products, for example, trust distributions, dividend payments and interest from a term deposit.  </w:t>
      </w:r>
    </w:p>
    <w:p w14:paraId="7A12553D" w14:textId="77777777" w:rsidR="00115458" w:rsidRDefault="00115458" w:rsidP="004A4590">
      <w:pPr>
        <w:spacing w:after="0" w:line="240" w:lineRule="auto"/>
        <w:rPr>
          <w:rFonts w:cs="Arial"/>
        </w:rPr>
      </w:pPr>
    </w:p>
    <w:p w14:paraId="2C5CF661" w14:textId="77777777" w:rsidR="00115458" w:rsidRDefault="00115458" w:rsidP="004A4590">
      <w:pPr>
        <w:spacing w:after="0" w:line="240" w:lineRule="auto"/>
        <w:rPr>
          <w:rFonts w:cs="Arial"/>
        </w:rPr>
      </w:pPr>
      <w:r>
        <w:rPr>
          <w:rFonts w:cs="Arial"/>
        </w:rPr>
        <w:t xml:space="preserve">The new field, </w:t>
      </w:r>
      <w:r w:rsidRPr="001D4E3D">
        <w:rPr>
          <w:rFonts w:cs="Arial"/>
          <w:i/>
        </w:rPr>
        <w:t>Investment body entity sub-type code</w:t>
      </w:r>
      <w:r>
        <w:rPr>
          <w:rFonts w:cs="Arial"/>
        </w:rPr>
        <w:t xml:space="preserve"> (9.49) should be set to </w:t>
      </w:r>
      <w:r w:rsidRPr="001D4E3D">
        <w:rPr>
          <w:rFonts w:cs="Arial"/>
          <w:b/>
        </w:rPr>
        <w:t>IDP</w:t>
      </w:r>
      <w:r>
        <w:rPr>
          <w:rFonts w:cs="Arial"/>
          <w:b/>
        </w:rPr>
        <w:t xml:space="preserve"> </w:t>
      </w:r>
      <w:r>
        <w:rPr>
          <w:rFonts w:cs="Arial"/>
        </w:rPr>
        <w:t>for IDPS entities</w:t>
      </w:r>
      <w:r w:rsidRPr="001D4E3D">
        <w:rPr>
          <w:rFonts w:cs="Arial"/>
          <w:b/>
        </w:rPr>
        <w:t>.</w:t>
      </w:r>
    </w:p>
    <w:p w14:paraId="0564AC67" w14:textId="4B6BAED7" w:rsidR="00115458" w:rsidRPr="00DB1D67" w:rsidRDefault="00115458" w:rsidP="00115458">
      <w:pPr>
        <w:keepNext/>
        <w:spacing w:before="280" w:after="220"/>
        <w:outlineLvl w:val="3"/>
        <w:rPr>
          <w:rFonts w:cs="Arial"/>
          <w:b/>
        </w:rPr>
      </w:pPr>
      <w:bookmarkStart w:id="1680" w:name="_Toc448311538"/>
      <w:r w:rsidRPr="00DB1D67">
        <w:rPr>
          <w:rFonts w:cs="Arial"/>
          <w:b/>
        </w:rPr>
        <w:t xml:space="preserve">Example </w:t>
      </w:r>
      <w:r>
        <w:rPr>
          <w:rFonts w:cs="Arial"/>
          <w:b/>
        </w:rPr>
        <w:t>7</w:t>
      </w:r>
      <w:r w:rsidRPr="00DB1D67">
        <w:rPr>
          <w:rFonts w:cs="Arial"/>
          <w:b/>
        </w:rPr>
        <w:t>.</w:t>
      </w:r>
      <w:r w:rsidR="00E22F28">
        <w:rPr>
          <w:rFonts w:cs="Arial"/>
          <w:b/>
        </w:rPr>
        <w:t>9</w:t>
      </w:r>
      <w:r w:rsidRPr="00DB1D67">
        <w:rPr>
          <w:rFonts w:cs="Arial"/>
          <w:b/>
        </w:rPr>
        <w:t xml:space="preserve"> – IDPS reporting in the AIIR</w:t>
      </w:r>
      <w:bookmarkEnd w:id="1680"/>
    </w:p>
    <w:p w14:paraId="023691A3" w14:textId="77777777" w:rsidR="00115458" w:rsidRPr="004A4590" w:rsidRDefault="00115458" w:rsidP="004A4590">
      <w:pPr>
        <w:spacing w:after="0" w:line="240" w:lineRule="auto"/>
        <w:rPr>
          <w:rFonts w:cs="Arial"/>
        </w:rPr>
      </w:pPr>
      <w:r w:rsidRPr="004A4590">
        <w:rPr>
          <w:rFonts w:cs="Arial"/>
        </w:rPr>
        <w:t>Thirdwest Direct, an IDPS, makes the following payments to a resident investor</w:t>
      </w:r>
    </w:p>
    <w:p w14:paraId="027DBFC2" w14:textId="77777777" w:rsidR="00115458" w:rsidRPr="004A4590" w:rsidRDefault="00115458" w:rsidP="004A4590">
      <w:pPr>
        <w:spacing w:after="0" w:line="240" w:lineRule="auto"/>
        <w:rPr>
          <w:rFonts w:cs="Arial"/>
        </w:rPr>
      </w:pPr>
    </w:p>
    <w:p w14:paraId="2D322908" w14:textId="77777777" w:rsidR="00115458" w:rsidRPr="004A4590" w:rsidRDefault="00115458" w:rsidP="004A4590">
      <w:pPr>
        <w:spacing w:after="0" w:line="240" w:lineRule="auto"/>
        <w:rPr>
          <w:rFonts w:cs="Arial"/>
        </w:rPr>
      </w:pPr>
      <w:r w:rsidRPr="004A4590">
        <w:rPr>
          <w:rFonts w:cs="Arial"/>
        </w:rPr>
        <w:t>Term Deposit Interest $7,109.00 </w:t>
      </w:r>
    </w:p>
    <w:p w14:paraId="785CE12E" w14:textId="77777777" w:rsidR="00115458" w:rsidRPr="004A4590" w:rsidRDefault="00115458" w:rsidP="004A4590">
      <w:pPr>
        <w:spacing w:after="0" w:line="240" w:lineRule="auto"/>
        <w:rPr>
          <w:rFonts w:cs="Arial"/>
        </w:rPr>
      </w:pPr>
    </w:p>
    <w:p w14:paraId="1E378CA3" w14:textId="77777777" w:rsidR="00115458" w:rsidRPr="004A4590" w:rsidRDefault="00115458" w:rsidP="004A4590">
      <w:pPr>
        <w:spacing w:after="0" w:line="240" w:lineRule="auto"/>
        <w:rPr>
          <w:rFonts w:cs="Arial"/>
        </w:rPr>
      </w:pPr>
      <w:r w:rsidRPr="004A4590">
        <w:rPr>
          <w:rFonts w:cs="Arial"/>
        </w:rPr>
        <w:t>Dividend payments:</w:t>
      </w:r>
    </w:p>
    <w:p w14:paraId="2B87D686"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Unfranked dividends (non-CFI) $3,000.00</w:t>
      </w:r>
    </w:p>
    <w:p w14:paraId="153DA57A"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Unfranked dividends (CFI) $1,700.00</w:t>
      </w:r>
    </w:p>
    <w:p w14:paraId="79020824"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Franked dividends $6,000.00</w:t>
      </w:r>
    </w:p>
    <w:p w14:paraId="5DFF5093"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Franking credits $2,571.00</w:t>
      </w:r>
    </w:p>
    <w:p w14:paraId="26C30F37" w14:textId="77777777" w:rsidR="00115458" w:rsidRPr="004A4590" w:rsidRDefault="00115458" w:rsidP="004A4590">
      <w:pPr>
        <w:spacing w:after="0" w:line="240" w:lineRule="auto"/>
        <w:rPr>
          <w:rFonts w:cs="Arial"/>
        </w:rPr>
      </w:pPr>
    </w:p>
    <w:p w14:paraId="242B7578" w14:textId="77777777" w:rsidR="00115458" w:rsidRPr="004A4590" w:rsidRDefault="00115458" w:rsidP="004A4590">
      <w:pPr>
        <w:spacing w:after="0" w:line="240" w:lineRule="auto"/>
        <w:rPr>
          <w:rFonts w:cs="Arial"/>
        </w:rPr>
      </w:pPr>
      <w:r w:rsidRPr="004A4590">
        <w:rPr>
          <w:rFonts w:cs="Arial"/>
        </w:rPr>
        <w:t>Trust distribution:</w:t>
      </w:r>
    </w:p>
    <w:p w14:paraId="49CBB2EB" w14:textId="77777777" w:rsidR="00115458" w:rsidRPr="004A4590" w:rsidRDefault="00115458" w:rsidP="001601AF">
      <w:pPr>
        <w:pStyle w:val="Bullet1"/>
        <w:numPr>
          <w:ilvl w:val="0"/>
          <w:numId w:val="68"/>
        </w:numPr>
        <w:spacing w:before="0" w:after="0"/>
        <w:rPr>
          <w:rFonts w:asciiTheme="minorHAnsi" w:hAnsiTheme="minorHAnsi" w:cs="Arial"/>
          <w:sz w:val="20"/>
          <w:szCs w:val="20"/>
        </w:rPr>
      </w:pPr>
      <w:r w:rsidRPr="004A4590">
        <w:rPr>
          <w:rFonts w:asciiTheme="minorHAnsi" w:hAnsiTheme="minorHAnsi" w:cs="Arial"/>
          <w:sz w:val="20"/>
          <w:szCs w:val="20"/>
        </w:rPr>
        <w:t>A franked distribution of $3,000.00. An unfranked distribution of $8,000.00 that was made up of an unfranked dividend (non-CFI) of $3,000.00 and an unfranked dividend (CFI) of $5,000.00</w:t>
      </w:r>
    </w:p>
    <w:p w14:paraId="269BB7EA" w14:textId="77777777" w:rsidR="00115458" w:rsidRPr="004A4590" w:rsidRDefault="00115458" w:rsidP="001601AF">
      <w:pPr>
        <w:pStyle w:val="Bullet1"/>
        <w:numPr>
          <w:ilvl w:val="0"/>
          <w:numId w:val="68"/>
        </w:numPr>
        <w:spacing w:before="0" w:after="0"/>
        <w:rPr>
          <w:rFonts w:asciiTheme="minorHAnsi" w:hAnsiTheme="minorHAnsi" w:cs="Arial"/>
          <w:sz w:val="20"/>
          <w:szCs w:val="20"/>
        </w:rPr>
      </w:pPr>
      <w:r w:rsidRPr="004A4590">
        <w:rPr>
          <w:rFonts w:asciiTheme="minorHAnsi" w:hAnsiTheme="minorHAnsi" w:cs="Arial"/>
          <w:sz w:val="20"/>
          <w:szCs w:val="20"/>
        </w:rPr>
        <w:t>Interest of $890.00, other taxable Australian income of $1,200.00 and other allowable trust deductions of $2,100.00</w:t>
      </w:r>
    </w:p>
    <w:p w14:paraId="3EEB5DFB" w14:textId="77777777" w:rsidR="00115458" w:rsidRPr="004A4590" w:rsidRDefault="00115458" w:rsidP="004A4590">
      <w:pPr>
        <w:spacing w:after="0" w:line="240" w:lineRule="auto"/>
        <w:ind w:left="720"/>
        <w:rPr>
          <w:rFonts w:cs="Arial"/>
        </w:rPr>
      </w:pPr>
    </w:p>
    <w:p w14:paraId="66813515" w14:textId="77777777" w:rsidR="00115458" w:rsidRPr="004A4590" w:rsidRDefault="00115458" w:rsidP="004A4590">
      <w:pPr>
        <w:spacing w:after="0" w:line="240" w:lineRule="auto"/>
        <w:rPr>
          <w:rFonts w:cs="Arial"/>
          <w:smallCaps/>
        </w:rPr>
      </w:pPr>
      <w:r w:rsidRPr="004A4590">
        <w:rPr>
          <w:rFonts w:cs="Arial"/>
          <w:b/>
          <w:smallCaps/>
        </w:rPr>
        <w:t xml:space="preserve">investment body identity data record </w:t>
      </w:r>
      <w:r w:rsidRPr="004A4590">
        <w:rPr>
          <w:rFonts w:cs="Arial"/>
          <w:smallCaps/>
        </w:rPr>
        <w:t>(extract)</w:t>
      </w:r>
    </w:p>
    <w:p w14:paraId="05DE4ABD" w14:textId="77777777" w:rsidR="00115458" w:rsidRPr="004A4590" w:rsidRDefault="00115458" w:rsidP="004A4590">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89"/>
        <w:gridCol w:w="2798"/>
      </w:tblGrid>
      <w:tr w:rsidR="00115458" w:rsidRPr="004A4590" w14:paraId="6DCA7A4B"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BE5DB8C" w14:textId="77777777" w:rsidR="00115458" w:rsidRPr="004A4590" w:rsidRDefault="00115458" w:rsidP="004A4590">
            <w:pPr>
              <w:spacing w:after="0" w:line="240" w:lineRule="auto"/>
              <w:rPr>
                <w:rFonts w:cs="Arial"/>
              </w:rPr>
            </w:pPr>
            <w:r w:rsidRPr="004A4590">
              <w:rPr>
                <w:rFonts w:cs="Arial"/>
                <w:b/>
                <w:bCs/>
              </w:rPr>
              <w:t>Reference number</w:t>
            </w:r>
          </w:p>
        </w:tc>
        <w:tc>
          <w:tcPr>
            <w:tcW w:w="28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C246E1C" w14:textId="77777777" w:rsidR="00115458" w:rsidRPr="004A4590" w:rsidRDefault="00115458" w:rsidP="004A4590">
            <w:pPr>
              <w:spacing w:after="0" w:line="240" w:lineRule="auto"/>
              <w:rPr>
                <w:rFonts w:cs="Arial"/>
              </w:rPr>
            </w:pPr>
            <w:r w:rsidRPr="004A4590">
              <w:rPr>
                <w:rFonts w:cs="Arial"/>
                <w:b/>
                <w:bCs/>
              </w:rPr>
              <w:t>Field name</w:t>
            </w:r>
          </w:p>
        </w:tc>
        <w:tc>
          <w:tcPr>
            <w:tcW w:w="155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CA129BA"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2746619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27228" w14:textId="77777777" w:rsidR="00115458" w:rsidRPr="004A4590" w:rsidRDefault="00115458" w:rsidP="004A4590">
            <w:pPr>
              <w:spacing w:after="0" w:line="240" w:lineRule="auto"/>
              <w:rPr>
                <w:rFonts w:cs="Arial"/>
              </w:rPr>
            </w:pPr>
            <w:r w:rsidRPr="004A4590">
              <w:rPr>
                <w:rFonts w:cs="Arial"/>
              </w:rPr>
              <w:t>9.48</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DA21304" w14:textId="77777777" w:rsidR="00115458" w:rsidRPr="004A4590" w:rsidRDefault="00115458" w:rsidP="004A4590">
            <w:pPr>
              <w:spacing w:after="0" w:line="240" w:lineRule="auto"/>
              <w:rPr>
                <w:rFonts w:cs="Arial"/>
              </w:rPr>
            </w:pPr>
            <w:r w:rsidRPr="004A4590">
              <w:rPr>
                <w:rFonts w:cs="Arial"/>
              </w:rPr>
              <w:t>Investment body entity type code</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DC059EC" w14:textId="77777777" w:rsidR="00115458" w:rsidRPr="004A4590" w:rsidRDefault="00115458" w:rsidP="004A4590">
            <w:pPr>
              <w:spacing w:after="0" w:line="240" w:lineRule="auto"/>
              <w:rPr>
                <w:rFonts w:cs="Arial"/>
              </w:rPr>
            </w:pPr>
            <w:r w:rsidRPr="004A4590">
              <w:rPr>
                <w:rFonts w:cs="Arial"/>
              </w:rPr>
              <w:t>T</w:t>
            </w:r>
          </w:p>
        </w:tc>
      </w:tr>
      <w:tr w:rsidR="00115458" w:rsidRPr="004A4590" w14:paraId="5AB951E8"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19BF4E" w14:textId="77777777" w:rsidR="00115458" w:rsidRPr="004A4590" w:rsidRDefault="00115458" w:rsidP="004A4590">
            <w:pPr>
              <w:spacing w:after="0" w:line="240" w:lineRule="auto"/>
              <w:rPr>
                <w:rFonts w:cs="Arial"/>
              </w:rPr>
            </w:pPr>
            <w:r w:rsidRPr="004A4590">
              <w:rPr>
                <w:rFonts w:cs="Arial"/>
              </w:rPr>
              <w:t>9.49</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0CD060D" w14:textId="77777777" w:rsidR="00115458" w:rsidRPr="004A4590" w:rsidRDefault="00115458" w:rsidP="004A4590">
            <w:pPr>
              <w:spacing w:after="0" w:line="240" w:lineRule="auto"/>
              <w:rPr>
                <w:rFonts w:cs="Arial"/>
              </w:rPr>
            </w:pPr>
            <w:r w:rsidRPr="004A4590">
              <w:rPr>
                <w:rFonts w:cs="Arial"/>
              </w:rPr>
              <w:t>Investment body entity sub-type code</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146DFE16" w14:textId="77777777" w:rsidR="00115458" w:rsidRPr="004A4590" w:rsidRDefault="00115458" w:rsidP="004A4590">
            <w:pPr>
              <w:spacing w:after="0" w:line="240" w:lineRule="auto"/>
              <w:rPr>
                <w:rFonts w:cs="Arial"/>
              </w:rPr>
            </w:pPr>
            <w:r w:rsidRPr="004A4590">
              <w:rPr>
                <w:rFonts w:cs="Arial"/>
              </w:rPr>
              <w:t>IDP</w:t>
            </w:r>
          </w:p>
        </w:tc>
      </w:tr>
    </w:tbl>
    <w:p w14:paraId="128808CD" w14:textId="77777777" w:rsidR="00115458" w:rsidRPr="004A4590" w:rsidRDefault="00115458" w:rsidP="004A4590">
      <w:pPr>
        <w:spacing w:after="0" w:line="240" w:lineRule="auto"/>
        <w:rPr>
          <w:rFonts w:cs="Arial"/>
          <w:b/>
          <w:smallCaps/>
        </w:rPr>
      </w:pPr>
    </w:p>
    <w:p w14:paraId="07C659F2" w14:textId="77777777" w:rsidR="00115458" w:rsidRPr="004A4590" w:rsidRDefault="00115458" w:rsidP="004A4590">
      <w:pPr>
        <w:spacing w:after="0" w:line="240" w:lineRule="auto"/>
        <w:rPr>
          <w:rFonts w:cs="Arial"/>
          <w:smallCaps/>
        </w:rPr>
      </w:pPr>
      <w:r w:rsidRPr="004A4590">
        <w:rPr>
          <w:rFonts w:cs="Arial"/>
          <w:b/>
          <w:smallCaps/>
        </w:rPr>
        <w:t xml:space="preserve">investment account data record 1 </w:t>
      </w:r>
      <w:r w:rsidRPr="004A4590">
        <w:rPr>
          <w:rFonts w:cs="Arial"/>
          <w:smallCaps/>
        </w:rPr>
        <w:t>(extract)</w:t>
      </w:r>
    </w:p>
    <w:p w14:paraId="5F75589A" w14:textId="77777777" w:rsidR="00115458" w:rsidRPr="004A4590" w:rsidRDefault="00115458" w:rsidP="004A4590">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89"/>
        <w:gridCol w:w="2798"/>
      </w:tblGrid>
      <w:tr w:rsidR="00115458" w:rsidRPr="004A4590" w14:paraId="17BD097D"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33D4F4EC" w14:textId="77777777" w:rsidR="00115458" w:rsidRPr="004A4590" w:rsidRDefault="00115458" w:rsidP="004A4590">
            <w:pPr>
              <w:spacing w:after="0" w:line="240" w:lineRule="auto"/>
              <w:rPr>
                <w:rFonts w:cs="Arial"/>
              </w:rPr>
            </w:pPr>
            <w:r w:rsidRPr="004A4590">
              <w:rPr>
                <w:rFonts w:cs="Arial"/>
                <w:b/>
                <w:bCs/>
              </w:rPr>
              <w:t>Reference number</w:t>
            </w:r>
          </w:p>
        </w:tc>
        <w:tc>
          <w:tcPr>
            <w:tcW w:w="28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0BC4C792" w14:textId="77777777" w:rsidR="00115458" w:rsidRPr="004A4590" w:rsidRDefault="00115458" w:rsidP="004A4590">
            <w:pPr>
              <w:spacing w:after="0" w:line="240" w:lineRule="auto"/>
              <w:rPr>
                <w:rFonts w:cs="Arial"/>
              </w:rPr>
            </w:pPr>
            <w:r w:rsidRPr="004A4590">
              <w:rPr>
                <w:rFonts w:cs="Arial"/>
                <w:b/>
                <w:bCs/>
              </w:rPr>
              <w:t>Field name</w:t>
            </w:r>
          </w:p>
        </w:tc>
        <w:tc>
          <w:tcPr>
            <w:tcW w:w="155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1728EA9B"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1D2E805D"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21B755" w14:textId="77777777" w:rsidR="00115458" w:rsidRPr="004A4590" w:rsidRDefault="00115458" w:rsidP="004A4590">
            <w:pPr>
              <w:spacing w:after="0" w:line="240" w:lineRule="auto"/>
              <w:rPr>
                <w:rFonts w:cs="Arial"/>
              </w:rPr>
            </w:pPr>
            <w:r w:rsidRPr="004A4590">
              <w:rPr>
                <w:rFonts w:cs="Arial"/>
              </w:rPr>
              <w:t>9.62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A831731" w14:textId="77777777" w:rsidR="00115458" w:rsidRPr="004A4590" w:rsidRDefault="00115458" w:rsidP="004A4590">
            <w:pPr>
              <w:spacing w:after="0" w:line="240" w:lineRule="auto"/>
              <w:rPr>
                <w:rFonts w:cs="Arial"/>
              </w:rPr>
            </w:pPr>
            <w:r w:rsidRPr="004A4590">
              <w:rPr>
                <w:rFonts w:cs="Arial"/>
              </w:rPr>
              <w:t>Sequence number of DACCOUNT record</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621D6813" w14:textId="77777777" w:rsidR="00115458" w:rsidRPr="004A4590" w:rsidRDefault="00115458" w:rsidP="004A4590">
            <w:pPr>
              <w:spacing w:after="0" w:line="240" w:lineRule="auto"/>
              <w:rPr>
                <w:rFonts w:cs="Arial"/>
              </w:rPr>
            </w:pPr>
            <w:r w:rsidRPr="004A4590">
              <w:rPr>
                <w:rFonts w:cs="Arial"/>
              </w:rPr>
              <w:t>01</w:t>
            </w:r>
          </w:p>
        </w:tc>
      </w:tr>
      <w:tr w:rsidR="00115458" w:rsidRPr="004A4590" w14:paraId="1E880E7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F3300" w14:textId="77777777" w:rsidR="00115458" w:rsidRPr="004A4590" w:rsidRDefault="00115458" w:rsidP="004A4590">
            <w:pPr>
              <w:spacing w:after="0" w:line="240" w:lineRule="auto"/>
              <w:rPr>
                <w:rFonts w:cs="Arial"/>
              </w:rPr>
            </w:pPr>
            <w:r w:rsidRPr="004A4590">
              <w:rPr>
                <w:rFonts w:cs="Arial"/>
              </w:rPr>
              <w:t>9.63</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85437DB" w14:textId="77777777" w:rsidR="00115458" w:rsidRPr="004A4590" w:rsidRDefault="00115458" w:rsidP="004A4590">
            <w:pPr>
              <w:spacing w:after="0" w:line="240" w:lineRule="auto"/>
              <w:rPr>
                <w:rFonts w:cs="Arial"/>
              </w:rPr>
            </w:pPr>
            <w:r w:rsidRPr="004A4590">
              <w:rPr>
                <w:rFonts w:cs="Arial"/>
              </w:rPr>
              <w:t>Investment reference number</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41EF9085" w14:textId="77777777" w:rsidR="00115458" w:rsidRPr="004A4590" w:rsidRDefault="00115458" w:rsidP="004A4590">
            <w:pPr>
              <w:spacing w:after="0" w:line="240" w:lineRule="auto"/>
              <w:rPr>
                <w:rFonts w:cs="Arial"/>
              </w:rPr>
            </w:pPr>
            <w:r w:rsidRPr="004A4590">
              <w:rPr>
                <w:rFonts w:cs="Arial"/>
              </w:rPr>
              <w:t>4587221444</w:t>
            </w:r>
          </w:p>
        </w:tc>
      </w:tr>
      <w:tr w:rsidR="00115458" w:rsidRPr="004A4590" w14:paraId="511B98C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A0B8E2" w14:textId="77777777" w:rsidR="00115458" w:rsidRPr="004A4590" w:rsidRDefault="00115458" w:rsidP="004A4590">
            <w:pPr>
              <w:spacing w:after="0" w:line="240" w:lineRule="auto"/>
              <w:rPr>
                <w:rFonts w:cs="Arial"/>
              </w:rPr>
            </w:pPr>
            <w:r w:rsidRPr="004A4590">
              <w:rPr>
                <w:rFonts w:cs="Arial"/>
              </w:rPr>
              <w:t>9.64</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4E1B063" w14:textId="77777777" w:rsidR="00115458" w:rsidRPr="004A4590" w:rsidRDefault="00115458" w:rsidP="004A4590">
            <w:pPr>
              <w:spacing w:after="0" w:line="240" w:lineRule="auto"/>
              <w:rPr>
                <w:rFonts w:cs="Arial"/>
              </w:rPr>
            </w:pPr>
            <w:r w:rsidRPr="004A4590">
              <w:rPr>
                <w:rFonts w:cs="Arial"/>
              </w:rPr>
              <w:t>Account reference number</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61388A39" w14:textId="77777777" w:rsidR="00115458" w:rsidRPr="004A4590" w:rsidRDefault="00115458" w:rsidP="004A4590">
            <w:pPr>
              <w:spacing w:after="0" w:line="240" w:lineRule="auto"/>
              <w:rPr>
                <w:rFonts w:cs="Arial"/>
              </w:rPr>
            </w:pPr>
            <w:r w:rsidRPr="004A4590">
              <w:rPr>
                <w:rFonts w:cs="Arial"/>
              </w:rPr>
              <w:t>3214566977</w:t>
            </w:r>
          </w:p>
        </w:tc>
      </w:tr>
      <w:tr w:rsidR="00115458" w:rsidRPr="004A4590" w14:paraId="6D1BE9A9"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BFFB1B" w14:textId="77777777" w:rsidR="00115458" w:rsidRPr="004A4590" w:rsidRDefault="00115458" w:rsidP="004A4590">
            <w:pPr>
              <w:spacing w:after="0" w:line="240" w:lineRule="auto"/>
              <w:rPr>
                <w:rFonts w:cs="Arial"/>
              </w:rPr>
            </w:pPr>
            <w:r w:rsidRPr="004A4590">
              <w:rPr>
                <w:rFonts w:cs="Arial"/>
              </w:rPr>
              <w:t>9.70</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211103B" w14:textId="77777777" w:rsidR="00115458" w:rsidRPr="004A4590" w:rsidRDefault="00115458" w:rsidP="004A4590">
            <w:pPr>
              <w:spacing w:after="0" w:line="240" w:lineRule="auto"/>
              <w:rPr>
                <w:rFonts w:cs="Arial"/>
              </w:rPr>
            </w:pPr>
            <w:r w:rsidRPr="004A4590">
              <w:rPr>
                <w:rFonts w:cs="Arial"/>
              </w:rPr>
              <w:t>Date of payment (DDMMCCYY)</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3A85D9C" w14:textId="359D5002" w:rsidR="00115458" w:rsidRPr="004A4590" w:rsidRDefault="00115458" w:rsidP="004A4590">
            <w:pPr>
              <w:spacing w:after="0" w:line="240" w:lineRule="auto"/>
              <w:rPr>
                <w:rFonts w:cs="Arial"/>
              </w:rPr>
            </w:pPr>
            <w:r w:rsidRPr="004A4590">
              <w:rPr>
                <w:rFonts w:cs="Arial"/>
              </w:rPr>
              <w:t>3006202</w:t>
            </w:r>
            <w:r w:rsidR="008E70B4">
              <w:rPr>
                <w:rFonts w:cs="Arial"/>
              </w:rPr>
              <w:t>6</w:t>
            </w:r>
          </w:p>
        </w:tc>
      </w:tr>
      <w:tr w:rsidR="00115458" w:rsidRPr="004A4590" w14:paraId="73010D3B"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FD6E1" w14:textId="77777777" w:rsidR="00115458" w:rsidRPr="004A4590" w:rsidRDefault="00115458" w:rsidP="004A4590">
            <w:pPr>
              <w:spacing w:after="0" w:line="240" w:lineRule="auto"/>
              <w:rPr>
                <w:rFonts w:cs="Arial"/>
              </w:rPr>
            </w:pPr>
            <w:r w:rsidRPr="004A4590">
              <w:rPr>
                <w:rFonts w:cs="Arial"/>
              </w:rPr>
              <w:t>9.71</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0435187" w14:textId="77777777" w:rsidR="00115458" w:rsidRPr="004A4590" w:rsidRDefault="00115458" w:rsidP="004A4590">
            <w:pPr>
              <w:spacing w:after="0" w:line="240" w:lineRule="auto"/>
              <w:rPr>
                <w:rFonts w:cs="Arial"/>
              </w:rPr>
            </w:pPr>
            <w:r w:rsidRPr="004A4590">
              <w:rPr>
                <w:rFonts w:cs="Arial"/>
              </w:rPr>
              <w:t>Type of investment</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719B6F13" w14:textId="77777777" w:rsidR="00115458" w:rsidRPr="004A4590" w:rsidRDefault="00115458" w:rsidP="004A4590">
            <w:pPr>
              <w:spacing w:after="0" w:line="240" w:lineRule="auto"/>
              <w:rPr>
                <w:rFonts w:cs="Arial"/>
              </w:rPr>
            </w:pPr>
            <w:r w:rsidRPr="004A4590">
              <w:rPr>
                <w:rFonts w:cs="Arial"/>
              </w:rPr>
              <w:t>2</w:t>
            </w:r>
          </w:p>
        </w:tc>
      </w:tr>
      <w:tr w:rsidR="00115458" w:rsidRPr="004A4590" w14:paraId="5CA04BF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658ED7" w14:textId="77777777" w:rsidR="00115458" w:rsidRPr="004A4590" w:rsidRDefault="00115458" w:rsidP="004A4590">
            <w:pPr>
              <w:spacing w:after="0" w:line="240" w:lineRule="auto"/>
              <w:rPr>
                <w:rFonts w:cs="Arial"/>
              </w:rPr>
            </w:pPr>
            <w:r w:rsidRPr="004A4590">
              <w:rPr>
                <w:rFonts w:cs="Arial"/>
              </w:rPr>
              <w:t>9.72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5259210" w14:textId="77777777" w:rsidR="00115458" w:rsidRPr="004A4590" w:rsidRDefault="00115458" w:rsidP="004A4590">
            <w:pPr>
              <w:spacing w:after="0" w:line="240" w:lineRule="auto"/>
              <w:rPr>
                <w:rFonts w:cs="Arial"/>
              </w:rPr>
            </w:pPr>
            <w:r w:rsidRPr="004A4590">
              <w:rPr>
                <w:rFonts w:cs="Arial"/>
              </w:rPr>
              <w:t>Type of payment</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3D616659" w14:textId="77777777" w:rsidR="00115458" w:rsidRPr="004A4590" w:rsidRDefault="00115458" w:rsidP="004A4590">
            <w:pPr>
              <w:spacing w:after="0" w:line="240" w:lineRule="auto"/>
              <w:rPr>
                <w:rFonts w:cs="Arial"/>
              </w:rPr>
            </w:pPr>
            <w:r w:rsidRPr="004A4590">
              <w:rPr>
                <w:rFonts w:cs="Arial"/>
              </w:rPr>
              <w:t>TDP</w:t>
            </w:r>
          </w:p>
        </w:tc>
      </w:tr>
      <w:tr w:rsidR="00115458" w:rsidRPr="004A4590" w14:paraId="7745908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8ED7DD" w14:textId="77777777" w:rsidR="00115458" w:rsidRPr="004A4590" w:rsidRDefault="00115458" w:rsidP="004A4590">
            <w:pPr>
              <w:spacing w:after="0" w:line="240" w:lineRule="auto"/>
              <w:rPr>
                <w:rFonts w:cs="Arial"/>
              </w:rPr>
            </w:pPr>
            <w:r w:rsidRPr="004A4590">
              <w:rPr>
                <w:rFonts w:cs="Arial"/>
              </w:rPr>
              <w:t>9.79</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EFBF54D" w14:textId="77777777" w:rsidR="00115458" w:rsidRPr="004A4590" w:rsidRDefault="00115458" w:rsidP="004A4590">
            <w:pPr>
              <w:spacing w:after="0" w:line="240" w:lineRule="auto"/>
              <w:rPr>
                <w:rFonts w:cs="Arial"/>
              </w:rPr>
            </w:pPr>
            <w:r w:rsidRPr="004A4590">
              <w:rPr>
                <w:rFonts w:cs="Arial"/>
              </w:rPr>
              <w:t>Interest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2FE77C6" w14:textId="77777777" w:rsidR="00115458" w:rsidRPr="004A4590" w:rsidRDefault="00115458" w:rsidP="004A4590">
            <w:pPr>
              <w:spacing w:after="0" w:line="240" w:lineRule="auto"/>
              <w:rPr>
                <w:rFonts w:cs="Arial"/>
              </w:rPr>
            </w:pPr>
            <w:r w:rsidRPr="004A4590">
              <w:rPr>
                <w:rFonts w:cs="Arial"/>
              </w:rPr>
              <w:t>000000710900</w:t>
            </w:r>
          </w:p>
        </w:tc>
      </w:tr>
    </w:tbl>
    <w:p w14:paraId="42C5EA87" w14:textId="3A1D55AD" w:rsidR="00115458" w:rsidRPr="0028338D" w:rsidRDefault="00115458" w:rsidP="004A4590">
      <w:pPr>
        <w:spacing w:after="0" w:line="240" w:lineRule="auto"/>
        <w:rPr>
          <w:rFonts w:cs="Arial"/>
          <w:sz w:val="18"/>
          <w:szCs w:val="18"/>
        </w:rPr>
      </w:pPr>
      <w:r w:rsidRPr="0028338D">
        <w:rPr>
          <w:rFonts w:cs="Arial"/>
          <w:sz w:val="18"/>
          <w:szCs w:val="18"/>
        </w:rPr>
        <w:t xml:space="preserve">An </w:t>
      </w:r>
      <w:r w:rsidRPr="0028338D">
        <w:rPr>
          <w:rFonts w:cs="Arial"/>
          <w:i/>
          <w:sz w:val="18"/>
          <w:szCs w:val="18"/>
        </w:rPr>
        <w:t>Investor data record</w:t>
      </w:r>
      <w:r w:rsidRPr="0028338D">
        <w:rPr>
          <w:rFonts w:cs="Arial"/>
          <w:sz w:val="18"/>
          <w:szCs w:val="18"/>
        </w:rPr>
        <w:t xml:space="preserve"> is required following the </w:t>
      </w:r>
      <w:r w:rsidRPr="0028338D">
        <w:rPr>
          <w:rFonts w:cs="Arial"/>
          <w:i/>
          <w:sz w:val="18"/>
          <w:szCs w:val="18"/>
        </w:rPr>
        <w:t>Investment account data record</w:t>
      </w:r>
    </w:p>
    <w:p w14:paraId="3DC30E0A" w14:textId="77777777" w:rsidR="00115458" w:rsidRPr="004A4590" w:rsidRDefault="00115458" w:rsidP="004A4590">
      <w:pPr>
        <w:spacing w:after="0" w:line="240" w:lineRule="auto"/>
        <w:rPr>
          <w:rFonts w:cs="Arial"/>
        </w:rPr>
      </w:pPr>
    </w:p>
    <w:p w14:paraId="7EFE7D08" w14:textId="77777777" w:rsidR="00115458" w:rsidRPr="004A4590" w:rsidRDefault="00115458" w:rsidP="004A4590">
      <w:pPr>
        <w:spacing w:after="0" w:line="240" w:lineRule="auto"/>
        <w:rPr>
          <w:rFonts w:cs="Arial"/>
          <w:b/>
          <w:smallCaps/>
        </w:rPr>
      </w:pPr>
      <w:r w:rsidRPr="004A4590">
        <w:rPr>
          <w:rFonts w:cs="Arial"/>
          <w:b/>
          <w:smallCaps/>
        </w:rPr>
        <w:t xml:space="preserve">investment account data record 2 </w:t>
      </w:r>
      <w:r w:rsidRPr="004A4590">
        <w:rPr>
          <w:rFonts w:cs="Arial"/>
          <w:smallCaps/>
        </w:rPr>
        <w:t>(extract)</w:t>
      </w:r>
    </w:p>
    <w:p w14:paraId="040F8F3A" w14:textId="77777777" w:rsidR="00115458" w:rsidRPr="004A4590" w:rsidRDefault="00115458" w:rsidP="004A4590">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4A4590" w14:paraId="799DA25D"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63F64629" w14:textId="77777777" w:rsidR="00115458" w:rsidRPr="004A4590" w:rsidRDefault="00115458" w:rsidP="004A4590">
            <w:pPr>
              <w:spacing w:after="0" w:line="240" w:lineRule="auto"/>
              <w:rPr>
                <w:rFonts w:cs="Arial"/>
              </w:rPr>
            </w:pPr>
            <w:r w:rsidRPr="004A4590">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9EE8588" w14:textId="77777777" w:rsidR="00115458" w:rsidRPr="004A4590" w:rsidRDefault="00115458" w:rsidP="004A4590">
            <w:pPr>
              <w:spacing w:after="0" w:line="240" w:lineRule="auto"/>
              <w:rPr>
                <w:rFonts w:cs="Arial"/>
              </w:rPr>
            </w:pPr>
            <w:r w:rsidRPr="004A4590">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E85AF29"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4495B119"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6ACE42" w14:textId="77777777" w:rsidR="00115458" w:rsidRPr="004A4590" w:rsidRDefault="00115458" w:rsidP="004A4590">
            <w:pPr>
              <w:spacing w:after="0" w:line="240" w:lineRule="auto"/>
              <w:rPr>
                <w:rFonts w:cs="Arial"/>
              </w:rPr>
            </w:pPr>
            <w:r w:rsidRPr="004A4590">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F779936" w14:textId="77777777" w:rsidR="00115458" w:rsidRPr="004A4590" w:rsidRDefault="00115458" w:rsidP="004A4590">
            <w:pPr>
              <w:spacing w:after="0" w:line="240" w:lineRule="auto"/>
              <w:rPr>
                <w:rFonts w:cs="Arial"/>
              </w:rPr>
            </w:pPr>
            <w:r w:rsidRPr="004A4590">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3D814A" w14:textId="77777777" w:rsidR="00115458" w:rsidRPr="004A4590" w:rsidRDefault="00115458" w:rsidP="004A4590">
            <w:pPr>
              <w:spacing w:after="0" w:line="240" w:lineRule="auto"/>
              <w:rPr>
                <w:rFonts w:cs="Arial"/>
              </w:rPr>
            </w:pPr>
            <w:r w:rsidRPr="004A4590">
              <w:rPr>
                <w:rFonts w:cs="Arial"/>
              </w:rPr>
              <w:t>02</w:t>
            </w:r>
          </w:p>
        </w:tc>
      </w:tr>
      <w:tr w:rsidR="00115458" w:rsidRPr="004A4590" w14:paraId="6C0552C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7F548" w14:textId="77777777" w:rsidR="00115458" w:rsidRPr="004A4590" w:rsidRDefault="00115458" w:rsidP="004A4590">
            <w:pPr>
              <w:spacing w:after="0" w:line="240" w:lineRule="auto"/>
              <w:rPr>
                <w:rFonts w:cs="Arial"/>
              </w:rPr>
            </w:pPr>
            <w:r w:rsidRPr="004A4590">
              <w:rPr>
                <w:rFonts w:cs="Arial"/>
              </w:rPr>
              <w:t>9.63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549A5E5" w14:textId="77777777" w:rsidR="00115458" w:rsidRPr="004A4590" w:rsidRDefault="00115458" w:rsidP="004A4590">
            <w:pPr>
              <w:spacing w:after="0" w:line="240" w:lineRule="auto"/>
              <w:rPr>
                <w:rFonts w:cs="Arial"/>
              </w:rPr>
            </w:pPr>
            <w:r w:rsidRPr="004A4590">
              <w:rPr>
                <w:rFonts w:cs="Arial"/>
              </w:rPr>
              <w:t>Investment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56E1AC3" w14:textId="77777777" w:rsidR="00115458" w:rsidRPr="004A4590" w:rsidRDefault="00115458" w:rsidP="004A4590">
            <w:pPr>
              <w:spacing w:after="0" w:line="240" w:lineRule="auto"/>
              <w:rPr>
                <w:rFonts w:cs="Arial"/>
              </w:rPr>
            </w:pPr>
            <w:r w:rsidRPr="004A4590">
              <w:rPr>
                <w:rFonts w:cs="Arial"/>
              </w:rPr>
              <w:t>4587221444</w:t>
            </w:r>
          </w:p>
        </w:tc>
      </w:tr>
      <w:tr w:rsidR="00115458" w:rsidRPr="004A4590" w14:paraId="0787570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456F04" w14:textId="77777777" w:rsidR="00115458" w:rsidRPr="004A4590" w:rsidRDefault="00115458" w:rsidP="004A4590">
            <w:pPr>
              <w:spacing w:after="0" w:line="240" w:lineRule="auto"/>
              <w:rPr>
                <w:rFonts w:cs="Arial"/>
              </w:rPr>
            </w:pPr>
            <w:r w:rsidRPr="004A4590">
              <w:rPr>
                <w:rFonts w:cs="Arial"/>
              </w:rPr>
              <w:t>9.64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C0B44F" w14:textId="77777777" w:rsidR="00115458" w:rsidRPr="004A4590" w:rsidRDefault="00115458" w:rsidP="004A4590">
            <w:pPr>
              <w:spacing w:after="0" w:line="240" w:lineRule="auto"/>
              <w:rPr>
                <w:rFonts w:cs="Arial"/>
              </w:rPr>
            </w:pPr>
            <w:r w:rsidRPr="004A4590">
              <w:rPr>
                <w:rFonts w:cs="Arial"/>
              </w:rPr>
              <w:t>Account reference number</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0D21BF5" w14:textId="77777777" w:rsidR="00115458" w:rsidRPr="004A4590" w:rsidRDefault="00115458" w:rsidP="004A4590">
            <w:pPr>
              <w:spacing w:after="0" w:line="240" w:lineRule="auto"/>
              <w:rPr>
                <w:rFonts w:cs="Arial"/>
              </w:rPr>
            </w:pPr>
            <w:r w:rsidRPr="004A4590">
              <w:rPr>
                <w:rFonts w:cs="Arial"/>
              </w:rPr>
              <w:t>3214566977</w:t>
            </w:r>
          </w:p>
        </w:tc>
      </w:tr>
      <w:tr w:rsidR="00115458" w:rsidRPr="004A4590" w14:paraId="5649105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18266" w14:textId="77777777" w:rsidR="00115458" w:rsidRPr="004A4590" w:rsidRDefault="00115458" w:rsidP="004A4590">
            <w:pPr>
              <w:spacing w:after="0" w:line="240" w:lineRule="auto"/>
              <w:rPr>
                <w:rFonts w:cs="Arial"/>
              </w:rPr>
            </w:pPr>
            <w:r w:rsidRPr="004A4590">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694765F" w14:textId="77777777" w:rsidR="00115458" w:rsidRPr="004A4590" w:rsidRDefault="00115458" w:rsidP="004A4590">
            <w:pPr>
              <w:spacing w:after="0" w:line="240" w:lineRule="auto"/>
              <w:rPr>
                <w:rFonts w:cs="Arial"/>
              </w:rPr>
            </w:pPr>
            <w:r w:rsidRPr="004A4590">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88DE2F7" w14:textId="2049EFE8" w:rsidR="00115458" w:rsidRPr="004A4590" w:rsidRDefault="00115458" w:rsidP="004A4590">
            <w:pPr>
              <w:spacing w:after="0" w:line="240" w:lineRule="auto"/>
              <w:rPr>
                <w:rFonts w:cs="Arial"/>
              </w:rPr>
            </w:pPr>
            <w:r w:rsidRPr="004A4590">
              <w:rPr>
                <w:rFonts w:cs="Arial"/>
              </w:rPr>
              <w:t>300620</w:t>
            </w:r>
            <w:r w:rsidR="00976CB5">
              <w:rPr>
                <w:rFonts w:cs="Arial"/>
              </w:rPr>
              <w:t>26</w:t>
            </w:r>
          </w:p>
        </w:tc>
      </w:tr>
      <w:tr w:rsidR="00115458" w:rsidRPr="004A4590" w14:paraId="6AB8A20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05E2E7" w14:textId="77777777" w:rsidR="00115458" w:rsidRPr="004A4590" w:rsidRDefault="00115458" w:rsidP="004A4590">
            <w:pPr>
              <w:spacing w:after="0" w:line="240" w:lineRule="auto"/>
              <w:rPr>
                <w:rFonts w:cs="Arial"/>
              </w:rPr>
            </w:pPr>
            <w:r w:rsidRPr="004A4590">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8DEA252" w14:textId="77777777" w:rsidR="00115458" w:rsidRPr="004A4590" w:rsidRDefault="00115458" w:rsidP="004A4590">
            <w:pPr>
              <w:spacing w:after="0" w:line="240" w:lineRule="auto"/>
              <w:rPr>
                <w:rFonts w:cs="Arial"/>
              </w:rPr>
            </w:pPr>
            <w:r w:rsidRPr="004A4590">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005D492" w14:textId="77777777" w:rsidR="00115458" w:rsidRPr="004A4590" w:rsidRDefault="00115458" w:rsidP="004A4590">
            <w:pPr>
              <w:spacing w:after="0" w:line="240" w:lineRule="auto"/>
              <w:rPr>
                <w:rFonts w:cs="Arial"/>
              </w:rPr>
            </w:pPr>
            <w:r w:rsidRPr="004A4590">
              <w:rPr>
                <w:rFonts w:cs="Arial"/>
              </w:rPr>
              <w:t>6</w:t>
            </w:r>
          </w:p>
        </w:tc>
      </w:tr>
      <w:tr w:rsidR="00115458" w:rsidRPr="004A4590" w14:paraId="02B0C668"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2CE133" w14:textId="77777777" w:rsidR="00115458" w:rsidRPr="004A4590" w:rsidRDefault="00115458" w:rsidP="004A4590">
            <w:pPr>
              <w:spacing w:after="0" w:line="240" w:lineRule="auto"/>
              <w:rPr>
                <w:rFonts w:cs="Arial"/>
              </w:rPr>
            </w:pPr>
            <w:r w:rsidRPr="004A4590">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CC848A0" w14:textId="77777777" w:rsidR="00115458" w:rsidRPr="004A4590" w:rsidRDefault="00115458" w:rsidP="004A4590">
            <w:pPr>
              <w:spacing w:after="0" w:line="240" w:lineRule="auto"/>
              <w:rPr>
                <w:rFonts w:cs="Arial"/>
              </w:rPr>
            </w:pPr>
            <w:r w:rsidRPr="004A4590">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A971FEE" w14:textId="77777777" w:rsidR="00115458" w:rsidRPr="004A4590" w:rsidRDefault="00115458" w:rsidP="004A4590">
            <w:pPr>
              <w:spacing w:after="0" w:line="240" w:lineRule="auto"/>
              <w:rPr>
                <w:rFonts w:cs="Arial"/>
              </w:rPr>
            </w:pPr>
            <w:r w:rsidRPr="004A4590">
              <w:rPr>
                <w:rFonts w:cs="Arial"/>
              </w:rPr>
              <w:t>DIV</w:t>
            </w:r>
          </w:p>
        </w:tc>
      </w:tr>
      <w:tr w:rsidR="00115458" w:rsidRPr="004A4590" w14:paraId="6EDF5F8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82832" w14:textId="77777777" w:rsidR="00115458" w:rsidRPr="004A4590" w:rsidRDefault="00115458" w:rsidP="004A4590">
            <w:pPr>
              <w:spacing w:after="0" w:line="240" w:lineRule="auto"/>
              <w:rPr>
                <w:rFonts w:cs="Arial"/>
              </w:rPr>
            </w:pPr>
            <w:r w:rsidRPr="004A4590">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DEAEAA4" w14:textId="77777777" w:rsidR="00115458" w:rsidRPr="004A4590" w:rsidRDefault="00115458" w:rsidP="004A4590">
            <w:pPr>
              <w:spacing w:after="0" w:line="240" w:lineRule="auto"/>
              <w:rPr>
                <w:rFonts w:cs="Arial"/>
              </w:rPr>
            </w:pPr>
            <w:r w:rsidRPr="004A4590">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8389CAD" w14:textId="77777777" w:rsidR="00115458" w:rsidRPr="004A4590" w:rsidRDefault="00115458" w:rsidP="004A4590">
            <w:pPr>
              <w:spacing w:after="0" w:line="240" w:lineRule="auto"/>
              <w:rPr>
                <w:rFonts w:cs="Arial"/>
              </w:rPr>
            </w:pPr>
            <w:r w:rsidRPr="004A4590">
              <w:rPr>
                <w:rFonts w:cs="Arial"/>
              </w:rPr>
              <w:t>000000300000</w:t>
            </w:r>
          </w:p>
        </w:tc>
      </w:tr>
      <w:tr w:rsidR="00115458" w:rsidRPr="004A4590" w14:paraId="759B35B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5FBCB8" w14:textId="77777777" w:rsidR="00115458" w:rsidRPr="004A4590" w:rsidRDefault="00115458" w:rsidP="004A4590">
            <w:pPr>
              <w:spacing w:after="0" w:line="240" w:lineRule="auto"/>
              <w:rPr>
                <w:rFonts w:cs="Arial"/>
              </w:rPr>
            </w:pPr>
            <w:r w:rsidRPr="004A4590">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5D7A534" w14:textId="77777777" w:rsidR="00115458" w:rsidRPr="004A4590" w:rsidRDefault="00115458" w:rsidP="004A4590">
            <w:pPr>
              <w:spacing w:after="0" w:line="240" w:lineRule="auto"/>
              <w:rPr>
                <w:rFonts w:cs="Arial"/>
              </w:rPr>
            </w:pPr>
            <w:r w:rsidRPr="004A4590">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CE984E0" w14:textId="77777777" w:rsidR="00115458" w:rsidRPr="004A4590" w:rsidRDefault="00115458" w:rsidP="004A4590">
            <w:pPr>
              <w:spacing w:after="0" w:line="240" w:lineRule="auto"/>
              <w:rPr>
                <w:rFonts w:cs="Arial"/>
              </w:rPr>
            </w:pPr>
            <w:r w:rsidRPr="004A4590">
              <w:rPr>
                <w:rFonts w:cs="Arial"/>
              </w:rPr>
              <w:t>000000170000</w:t>
            </w:r>
          </w:p>
        </w:tc>
      </w:tr>
      <w:tr w:rsidR="00115458" w:rsidRPr="004A4590" w14:paraId="79CA192C"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681A4C" w14:textId="77777777" w:rsidR="00115458" w:rsidRPr="004A4590" w:rsidRDefault="00115458" w:rsidP="004A4590">
            <w:pPr>
              <w:spacing w:after="0" w:line="240" w:lineRule="auto"/>
              <w:rPr>
                <w:rFonts w:cs="Arial"/>
              </w:rPr>
            </w:pPr>
            <w:r w:rsidRPr="004A4590">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AC5C2A1" w14:textId="77777777" w:rsidR="00115458" w:rsidRPr="004A4590" w:rsidRDefault="00115458" w:rsidP="004A4590">
            <w:pPr>
              <w:spacing w:after="0" w:line="240" w:lineRule="auto"/>
              <w:rPr>
                <w:rFonts w:cs="Arial"/>
              </w:rPr>
            </w:pPr>
            <w:r w:rsidRPr="004A4590">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FC87F57" w14:textId="77777777" w:rsidR="00115458" w:rsidRPr="004A4590" w:rsidRDefault="00115458" w:rsidP="004A4590">
            <w:pPr>
              <w:spacing w:after="0" w:line="240" w:lineRule="auto"/>
              <w:rPr>
                <w:rFonts w:cs="Arial"/>
              </w:rPr>
            </w:pPr>
            <w:r w:rsidRPr="004A4590">
              <w:rPr>
                <w:rFonts w:cs="Arial"/>
              </w:rPr>
              <w:t>000000600000</w:t>
            </w:r>
          </w:p>
        </w:tc>
      </w:tr>
      <w:tr w:rsidR="00115458" w:rsidRPr="004A4590" w14:paraId="78C07C1B"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34B4D4" w14:textId="77777777" w:rsidR="00115458" w:rsidRPr="004A4590" w:rsidRDefault="00115458" w:rsidP="004A4590">
            <w:pPr>
              <w:spacing w:after="0" w:line="240" w:lineRule="auto"/>
              <w:rPr>
                <w:rFonts w:cs="Arial"/>
              </w:rPr>
            </w:pPr>
            <w:r w:rsidRPr="004A4590">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60A0EFE" w14:textId="77777777" w:rsidR="00115458" w:rsidRPr="004A4590" w:rsidRDefault="00115458" w:rsidP="004A4590">
            <w:pPr>
              <w:spacing w:after="0" w:line="240" w:lineRule="auto"/>
              <w:rPr>
                <w:rFonts w:cs="Arial"/>
              </w:rPr>
            </w:pPr>
            <w:r w:rsidRPr="004A4590">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AEE0847" w14:textId="77777777" w:rsidR="00115458" w:rsidRPr="004A4590" w:rsidRDefault="00115458" w:rsidP="004A4590">
            <w:pPr>
              <w:spacing w:after="0" w:line="240" w:lineRule="auto"/>
              <w:rPr>
                <w:rFonts w:cs="Arial"/>
              </w:rPr>
            </w:pPr>
            <w:r w:rsidRPr="004A4590">
              <w:rPr>
                <w:rFonts w:cs="Arial"/>
              </w:rPr>
              <w:t>000000257100</w:t>
            </w:r>
          </w:p>
        </w:tc>
      </w:tr>
    </w:tbl>
    <w:p w14:paraId="0B6622BB" w14:textId="5E3DE390" w:rsidR="00115458" w:rsidRPr="0028338D" w:rsidRDefault="00115458" w:rsidP="004A4590">
      <w:pPr>
        <w:spacing w:after="0" w:line="240" w:lineRule="auto"/>
        <w:rPr>
          <w:rFonts w:cs="Arial"/>
          <w:sz w:val="18"/>
          <w:szCs w:val="18"/>
        </w:rPr>
      </w:pPr>
      <w:r w:rsidRPr="0028338D">
        <w:rPr>
          <w:rFonts w:cs="Arial"/>
          <w:sz w:val="18"/>
          <w:szCs w:val="18"/>
        </w:rPr>
        <w:t xml:space="preserve">An </w:t>
      </w:r>
      <w:r w:rsidRPr="0028338D">
        <w:rPr>
          <w:rFonts w:cs="Arial"/>
          <w:i/>
          <w:sz w:val="18"/>
          <w:szCs w:val="18"/>
        </w:rPr>
        <w:t>Investor data record</w:t>
      </w:r>
      <w:r w:rsidRPr="0028338D">
        <w:rPr>
          <w:rFonts w:cs="Arial"/>
          <w:sz w:val="18"/>
          <w:szCs w:val="18"/>
        </w:rPr>
        <w:t xml:space="preserve"> is required following the </w:t>
      </w:r>
      <w:r w:rsidRPr="0028338D">
        <w:rPr>
          <w:rFonts w:cs="Arial"/>
          <w:i/>
          <w:sz w:val="18"/>
          <w:szCs w:val="18"/>
        </w:rPr>
        <w:t>Investment account data record</w:t>
      </w:r>
    </w:p>
    <w:p w14:paraId="684F0A6A" w14:textId="77777777" w:rsidR="00115458" w:rsidRPr="004A4590" w:rsidRDefault="00115458" w:rsidP="004A4590">
      <w:pPr>
        <w:spacing w:after="0" w:line="240" w:lineRule="auto"/>
        <w:rPr>
          <w:rFonts w:cs="Arial"/>
        </w:rPr>
      </w:pPr>
    </w:p>
    <w:p w14:paraId="3B4F8456" w14:textId="77777777" w:rsidR="00115458" w:rsidRPr="004A4590" w:rsidRDefault="00115458" w:rsidP="004A4590">
      <w:pPr>
        <w:keepNext/>
        <w:spacing w:after="0" w:line="240" w:lineRule="auto"/>
        <w:rPr>
          <w:rFonts w:cs="Arial"/>
          <w:smallCaps/>
        </w:rPr>
      </w:pPr>
      <w:r w:rsidRPr="004A4590">
        <w:rPr>
          <w:rFonts w:cs="Arial"/>
          <w:b/>
          <w:smallCaps/>
        </w:rPr>
        <w:t xml:space="preserve">investment account data record 3 </w:t>
      </w:r>
      <w:r w:rsidRPr="004A4590">
        <w:rPr>
          <w:rFonts w:cs="Arial"/>
          <w:smallCaps/>
        </w:rPr>
        <w:t>(extract)</w:t>
      </w:r>
    </w:p>
    <w:p w14:paraId="7494AC6F" w14:textId="77777777" w:rsidR="00115458" w:rsidRPr="004A4590" w:rsidRDefault="00115458" w:rsidP="004A4590">
      <w:pPr>
        <w:spacing w:after="0" w:line="240" w:lineRule="auto"/>
        <w:rPr>
          <w:rFonts w:cs="Arial"/>
          <w:smallCaps/>
        </w:rPr>
      </w:pPr>
    </w:p>
    <w:tbl>
      <w:tblPr>
        <w:tblW w:w="9214" w:type="dxa"/>
        <w:tblInd w:w="93" w:type="dxa"/>
        <w:tblCellMar>
          <w:top w:w="28" w:type="dxa"/>
          <w:left w:w="0" w:type="dxa"/>
          <w:bottom w:w="28" w:type="dxa"/>
          <w:right w:w="0" w:type="dxa"/>
        </w:tblCellMar>
        <w:tblLook w:val="0000" w:firstRow="0" w:lastRow="0" w:firstColumn="0" w:lastColumn="0" w:noHBand="0" w:noVBand="0"/>
      </w:tblPr>
      <w:tblGrid>
        <w:gridCol w:w="1227"/>
        <w:gridCol w:w="5160"/>
        <w:gridCol w:w="2827"/>
      </w:tblGrid>
      <w:tr w:rsidR="00115458" w:rsidRPr="004A4590" w14:paraId="2B242B1E"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6A80C53" w14:textId="77777777" w:rsidR="00115458" w:rsidRPr="004A4590" w:rsidRDefault="00115458" w:rsidP="004A4590">
            <w:pPr>
              <w:spacing w:after="0" w:line="240" w:lineRule="auto"/>
              <w:rPr>
                <w:rFonts w:cs="Arial"/>
              </w:rPr>
            </w:pPr>
            <w:r w:rsidRPr="004A4590">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7ED7223" w14:textId="77777777" w:rsidR="00115458" w:rsidRPr="004A4590" w:rsidRDefault="00115458" w:rsidP="004A4590">
            <w:pPr>
              <w:spacing w:after="0" w:line="240" w:lineRule="auto"/>
              <w:rPr>
                <w:rFonts w:cs="Arial"/>
              </w:rPr>
            </w:pPr>
            <w:r w:rsidRPr="004A4590">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6B40AC70"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7A53321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96DD11" w14:textId="77777777" w:rsidR="00115458" w:rsidRPr="004A4590" w:rsidRDefault="00115458" w:rsidP="004A4590">
            <w:pPr>
              <w:spacing w:after="0" w:line="240" w:lineRule="auto"/>
              <w:rPr>
                <w:rFonts w:cs="Arial"/>
              </w:rPr>
            </w:pPr>
            <w:r w:rsidRPr="004A4590">
              <w:rPr>
                <w:rFonts w:cs="Arial"/>
              </w:rPr>
              <w:t>9.62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7AB8D60" w14:textId="77777777" w:rsidR="00115458" w:rsidRPr="004A4590" w:rsidRDefault="00115458" w:rsidP="004A4590">
            <w:pPr>
              <w:spacing w:after="0" w:line="240" w:lineRule="auto"/>
              <w:rPr>
                <w:rFonts w:cs="Arial"/>
              </w:rPr>
            </w:pPr>
            <w:r w:rsidRPr="004A4590">
              <w:rPr>
                <w:rFonts w:cs="Arial"/>
              </w:rPr>
              <w:t>Sequence number of DACCOUNT record</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B5B5830" w14:textId="77777777" w:rsidR="00115458" w:rsidRPr="004A4590" w:rsidRDefault="00115458" w:rsidP="004A4590">
            <w:pPr>
              <w:spacing w:after="0" w:line="240" w:lineRule="auto"/>
              <w:rPr>
                <w:rFonts w:cs="Arial"/>
              </w:rPr>
            </w:pPr>
            <w:r w:rsidRPr="004A4590">
              <w:rPr>
                <w:rFonts w:cs="Arial"/>
              </w:rPr>
              <w:t>03</w:t>
            </w:r>
          </w:p>
        </w:tc>
      </w:tr>
      <w:tr w:rsidR="00115458" w:rsidRPr="004A4590" w14:paraId="35BFC42D" w14:textId="77777777" w:rsidTr="000C1365">
        <w:trPr>
          <w:trHeight w:val="270"/>
        </w:trPr>
        <w:tc>
          <w:tcPr>
            <w:tcW w:w="59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4B61BA2" w14:textId="77777777" w:rsidR="00115458" w:rsidRPr="004A4590" w:rsidRDefault="00115458" w:rsidP="004A4590">
            <w:pPr>
              <w:spacing w:after="0" w:line="240" w:lineRule="auto"/>
              <w:rPr>
                <w:rFonts w:cs="Arial"/>
              </w:rPr>
            </w:pPr>
            <w:r w:rsidRPr="004A4590">
              <w:rPr>
                <w:rFonts w:cs="Arial"/>
              </w:rPr>
              <w:t>9.63</w:t>
            </w:r>
          </w:p>
        </w:tc>
        <w:tc>
          <w:tcPr>
            <w:tcW w:w="2838" w:type="pct"/>
            <w:tcBorders>
              <w:top w:val="nil"/>
              <w:left w:val="nil"/>
              <w:bottom w:val="single" w:sz="4" w:space="0" w:color="auto"/>
              <w:right w:val="single" w:sz="8" w:space="0" w:color="auto"/>
            </w:tcBorders>
            <w:tcMar>
              <w:top w:w="0" w:type="dxa"/>
              <w:left w:w="108" w:type="dxa"/>
              <w:bottom w:w="0" w:type="dxa"/>
              <w:right w:w="108" w:type="dxa"/>
            </w:tcMar>
            <w:vAlign w:val="center"/>
          </w:tcPr>
          <w:p w14:paraId="394F105C" w14:textId="77777777" w:rsidR="00115458" w:rsidRPr="004A4590" w:rsidRDefault="00115458" w:rsidP="004A4590">
            <w:pPr>
              <w:spacing w:after="0" w:line="240" w:lineRule="auto"/>
              <w:rPr>
                <w:rFonts w:cs="Arial"/>
              </w:rPr>
            </w:pPr>
            <w:r w:rsidRPr="004A4590">
              <w:rPr>
                <w:rFonts w:cs="Arial"/>
              </w:rPr>
              <w:t>Investment reference number</w:t>
            </w:r>
          </w:p>
        </w:tc>
        <w:tc>
          <w:tcPr>
            <w:tcW w:w="1572" w:type="pct"/>
            <w:tcBorders>
              <w:top w:val="nil"/>
              <w:left w:val="nil"/>
              <w:bottom w:val="single" w:sz="4" w:space="0" w:color="auto"/>
              <w:right w:val="single" w:sz="8" w:space="0" w:color="auto"/>
            </w:tcBorders>
            <w:tcMar>
              <w:top w:w="0" w:type="dxa"/>
              <w:left w:w="108" w:type="dxa"/>
              <w:bottom w:w="0" w:type="dxa"/>
              <w:right w:w="108" w:type="dxa"/>
            </w:tcMar>
            <w:vAlign w:val="center"/>
          </w:tcPr>
          <w:p w14:paraId="29337297" w14:textId="77777777" w:rsidR="00115458" w:rsidRPr="004A4590" w:rsidRDefault="00115458" w:rsidP="004A4590">
            <w:pPr>
              <w:spacing w:after="0" w:line="240" w:lineRule="auto"/>
              <w:rPr>
                <w:rFonts w:cs="Arial"/>
              </w:rPr>
            </w:pPr>
            <w:r w:rsidRPr="004A4590">
              <w:rPr>
                <w:rFonts w:cs="Arial"/>
              </w:rPr>
              <w:t>4587221444</w:t>
            </w:r>
          </w:p>
        </w:tc>
      </w:tr>
      <w:tr w:rsidR="00115458" w:rsidRPr="004A4590" w14:paraId="199483E0" w14:textId="77777777" w:rsidTr="000C1365">
        <w:trPr>
          <w:trHeight w:val="270"/>
        </w:trPr>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5CA77" w14:textId="77777777" w:rsidR="00115458" w:rsidRPr="004A4590" w:rsidRDefault="00115458" w:rsidP="004A4590">
            <w:pPr>
              <w:spacing w:after="0" w:line="240" w:lineRule="auto"/>
              <w:rPr>
                <w:rFonts w:cs="Arial"/>
              </w:rPr>
            </w:pPr>
            <w:r w:rsidRPr="004A4590">
              <w:rPr>
                <w:rFonts w:cs="Arial"/>
              </w:rPr>
              <w:t>9.64</w:t>
            </w:r>
          </w:p>
        </w:tc>
        <w:tc>
          <w:tcPr>
            <w:tcW w:w="28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50215" w14:textId="77777777" w:rsidR="00115458" w:rsidRPr="004A4590" w:rsidRDefault="00115458" w:rsidP="004A4590">
            <w:pPr>
              <w:spacing w:after="0" w:line="240" w:lineRule="auto"/>
              <w:rPr>
                <w:rFonts w:cs="Arial"/>
              </w:rPr>
            </w:pPr>
            <w:r w:rsidRPr="004A4590">
              <w:rPr>
                <w:rFonts w:cs="Arial"/>
              </w:rPr>
              <w:t>Account reference number</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DCB14" w14:textId="77777777" w:rsidR="00115458" w:rsidRPr="004A4590" w:rsidRDefault="00115458" w:rsidP="004A4590">
            <w:pPr>
              <w:spacing w:after="0" w:line="240" w:lineRule="auto"/>
              <w:rPr>
                <w:rFonts w:cs="Arial"/>
              </w:rPr>
            </w:pPr>
            <w:r w:rsidRPr="004A4590">
              <w:rPr>
                <w:rFonts w:cs="Arial"/>
              </w:rPr>
              <w:t>3214566977</w:t>
            </w:r>
          </w:p>
        </w:tc>
      </w:tr>
      <w:tr w:rsidR="00115458" w:rsidRPr="004A4590" w14:paraId="671713FB"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3F865" w14:textId="77777777" w:rsidR="00115458" w:rsidRPr="004A4590" w:rsidRDefault="00115458" w:rsidP="004A4590">
            <w:pPr>
              <w:spacing w:after="0" w:line="240" w:lineRule="auto"/>
              <w:rPr>
                <w:rFonts w:cs="Arial"/>
              </w:rPr>
            </w:pPr>
            <w:r w:rsidRPr="004A4590">
              <w:rPr>
                <w:rFonts w:cs="Arial"/>
              </w:rPr>
              <w:t>9.70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4AD3A98" w14:textId="77777777" w:rsidR="00115458" w:rsidRPr="004A4590" w:rsidRDefault="00115458" w:rsidP="004A4590">
            <w:pPr>
              <w:spacing w:after="0" w:line="240" w:lineRule="auto"/>
              <w:rPr>
                <w:rFonts w:cs="Arial"/>
              </w:rPr>
            </w:pPr>
            <w:r w:rsidRPr="004A4590">
              <w:rPr>
                <w:rFonts w:cs="Arial"/>
              </w:rPr>
              <w:t>Date of payment (DDMMCCYY)</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4ADB575" w14:textId="409B0540" w:rsidR="00115458" w:rsidRPr="004A4590" w:rsidRDefault="00115458" w:rsidP="004A4590">
            <w:pPr>
              <w:spacing w:after="0" w:line="240" w:lineRule="auto"/>
              <w:rPr>
                <w:rFonts w:cs="Arial"/>
              </w:rPr>
            </w:pPr>
            <w:r w:rsidRPr="004A4590">
              <w:rPr>
                <w:rFonts w:cs="Arial"/>
              </w:rPr>
              <w:t>300620</w:t>
            </w:r>
            <w:r w:rsidR="004C0E5E">
              <w:rPr>
                <w:rFonts w:cs="Arial"/>
              </w:rPr>
              <w:t>26</w:t>
            </w:r>
          </w:p>
        </w:tc>
      </w:tr>
      <w:tr w:rsidR="00115458" w:rsidRPr="004A4590" w14:paraId="21A41AE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667326" w14:textId="77777777" w:rsidR="00115458" w:rsidRPr="004A4590" w:rsidRDefault="00115458" w:rsidP="004A4590">
            <w:pPr>
              <w:spacing w:after="0" w:line="240" w:lineRule="auto"/>
              <w:rPr>
                <w:rFonts w:cs="Arial"/>
              </w:rPr>
            </w:pPr>
            <w:r w:rsidRPr="004A4590">
              <w:rPr>
                <w:rFonts w:cs="Arial"/>
              </w:rPr>
              <w:t>9.71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245C7962" w14:textId="77777777" w:rsidR="00115458" w:rsidRPr="004A4590" w:rsidRDefault="00115458" w:rsidP="004A4590">
            <w:pPr>
              <w:spacing w:after="0" w:line="240" w:lineRule="auto"/>
              <w:rPr>
                <w:rFonts w:cs="Arial"/>
              </w:rPr>
            </w:pPr>
            <w:r w:rsidRPr="004A4590">
              <w:rPr>
                <w:rFonts w:cs="Arial"/>
              </w:rPr>
              <w:t>Type of investment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AA972C1" w14:textId="77777777" w:rsidR="00115458" w:rsidRPr="004A4590" w:rsidRDefault="00115458" w:rsidP="004A4590">
            <w:pPr>
              <w:spacing w:after="0" w:line="240" w:lineRule="auto"/>
              <w:rPr>
                <w:rFonts w:cs="Arial"/>
              </w:rPr>
            </w:pPr>
            <w:r w:rsidRPr="004A4590">
              <w:rPr>
                <w:rFonts w:cs="Arial"/>
              </w:rPr>
              <w:t>5</w:t>
            </w:r>
          </w:p>
        </w:tc>
      </w:tr>
      <w:tr w:rsidR="00115458" w:rsidRPr="004A4590" w14:paraId="389E3A4A"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A8B9A8" w14:textId="77777777" w:rsidR="00115458" w:rsidRPr="004A4590" w:rsidRDefault="00115458" w:rsidP="004A4590">
            <w:pPr>
              <w:spacing w:after="0" w:line="240" w:lineRule="auto"/>
              <w:rPr>
                <w:rFonts w:cs="Arial"/>
              </w:rPr>
            </w:pPr>
            <w:r w:rsidRPr="004A4590">
              <w:rPr>
                <w:rFonts w:cs="Arial"/>
              </w:rPr>
              <w:t>9.72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76E71C2C" w14:textId="77777777" w:rsidR="00115458" w:rsidRPr="004A4590" w:rsidRDefault="00115458" w:rsidP="004A4590">
            <w:pPr>
              <w:spacing w:after="0" w:line="240" w:lineRule="auto"/>
              <w:rPr>
                <w:rFonts w:cs="Arial"/>
              </w:rPr>
            </w:pPr>
            <w:r w:rsidRPr="004A4590">
              <w:rPr>
                <w:rFonts w:cs="Arial"/>
              </w:rPr>
              <w:t>Type of payment</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0C264" w14:textId="77777777" w:rsidR="00115458" w:rsidRPr="004A4590" w:rsidRDefault="00115458" w:rsidP="004A4590">
            <w:pPr>
              <w:spacing w:after="0" w:line="240" w:lineRule="auto"/>
              <w:rPr>
                <w:rFonts w:cs="Arial"/>
              </w:rPr>
            </w:pPr>
            <w:r w:rsidRPr="004A4590">
              <w:rPr>
                <w:rFonts w:cs="Arial"/>
              </w:rPr>
              <w:t>UTD</w:t>
            </w:r>
          </w:p>
        </w:tc>
      </w:tr>
      <w:tr w:rsidR="00115458" w:rsidRPr="004A4590" w14:paraId="1F3F670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EF90F" w14:textId="77777777" w:rsidR="00115458" w:rsidRPr="004A4590" w:rsidRDefault="00115458" w:rsidP="004A4590">
            <w:pPr>
              <w:spacing w:after="0" w:line="240" w:lineRule="auto"/>
              <w:rPr>
                <w:rFonts w:cs="Arial"/>
              </w:rPr>
            </w:pPr>
            <w:r w:rsidRPr="004A4590">
              <w:rPr>
                <w:rFonts w:cs="Arial"/>
              </w:rPr>
              <w:t>9.79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A157591" w14:textId="77777777" w:rsidR="00115458" w:rsidRPr="004A4590" w:rsidRDefault="00115458" w:rsidP="004A4590">
            <w:pPr>
              <w:spacing w:after="0" w:line="240" w:lineRule="auto"/>
              <w:rPr>
                <w:rFonts w:cs="Arial"/>
              </w:rPr>
            </w:pPr>
            <w:r w:rsidRPr="004A4590">
              <w:rPr>
                <w:rFonts w:cs="Arial"/>
              </w:rPr>
              <w:t>Interest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44BE93B" w14:textId="77777777" w:rsidR="00115458" w:rsidRPr="004A4590" w:rsidRDefault="00115458" w:rsidP="004A4590">
            <w:pPr>
              <w:spacing w:after="0" w:line="240" w:lineRule="auto"/>
              <w:rPr>
                <w:rFonts w:cs="Arial"/>
              </w:rPr>
            </w:pPr>
            <w:r w:rsidRPr="004A4590">
              <w:rPr>
                <w:rFonts w:cs="Arial"/>
              </w:rPr>
              <w:t>000000089000</w:t>
            </w:r>
          </w:p>
        </w:tc>
      </w:tr>
      <w:tr w:rsidR="00115458" w:rsidRPr="004A4590" w14:paraId="6A88AAB4"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617035" w14:textId="77777777" w:rsidR="00115458" w:rsidRPr="004A4590" w:rsidRDefault="00115458" w:rsidP="004A4590">
            <w:pPr>
              <w:spacing w:after="0" w:line="240" w:lineRule="auto"/>
              <w:rPr>
                <w:rFonts w:cs="Arial"/>
              </w:rPr>
            </w:pPr>
            <w:r w:rsidRPr="004A4590">
              <w:rPr>
                <w:rFonts w:cs="Arial"/>
              </w:rPr>
              <w:t>9.80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B1A7F36" w14:textId="77777777" w:rsidR="00115458" w:rsidRPr="004A4590" w:rsidRDefault="00115458" w:rsidP="004A4590">
            <w:pPr>
              <w:spacing w:after="0" w:line="240" w:lineRule="auto"/>
              <w:rPr>
                <w:rFonts w:cs="Arial"/>
              </w:rPr>
            </w:pPr>
            <w:r w:rsidRPr="004A4590">
              <w:rPr>
                <w:rFonts w:cs="Arial"/>
              </w:rPr>
              <w:t>Unfranked dividends not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28F3248" w14:textId="77777777" w:rsidR="00115458" w:rsidRPr="004A4590" w:rsidRDefault="00115458" w:rsidP="004A4590">
            <w:pPr>
              <w:spacing w:after="0" w:line="240" w:lineRule="auto"/>
              <w:rPr>
                <w:rFonts w:cs="Arial"/>
              </w:rPr>
            </w:pPr>
            <w:r w:rsidRPr="004A4590">
              <w:rPr>
                <w:rFonts w:cs="Arial"/>
              </w:rPr>
              <w:t>000000300000</w:t>
            </w:r>
          </w:p>
        </w:tc>
      </w:tr>
      <w:tr w:rsidR="00115458" w:rsidRPr="004A4590" w14:paraId="1A59D61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099E39" w14:textId="77777777" w:rsidR="00115458" w:rsidRPr="004A4590" w:rsidRDefault="00115458" w:rsidP="004A4590">
            <w:pPr>
              <w:spacing w:after="0" w:line="240" w:lineRule="auto"/>
              <w:rPr>
                <w:rFonts w:cs="Arial"/>
              </w:rPr>
            </w:pPr>
            <w:r w:rsidRPr="004A4590">
              <w:rPr>
                <w:rFonts w:cs="Arial"/>
              </w:rPr>
              <w:t>9.81</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4407BA96" w14:textId="77777777" w:rsidR="00115458" w:rsidRPr="004A4590" w:rsidRDefault="00115458" w:rsidP="004A4590">
            <w:pPr>
              <w:spacing w:after="0" w:line="240" w:lineRule="auto"/>
              <w:rPr>
                <w:rFonts w:cs="Arial"/>
              </w:rPr>
            </w:pPr>
            <w:r w:rsidRPr="004A4590">
              <w:rPr>
                <w:rFonts w:cs="Arial"/>
              </w:rPr>
              <w:t>Unfranked dividends declared to be conduit foreign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78DEA13" w14:textId="77777777" w:rsidR="00115458" w:rsidRPr="004A4590" w:rsidRDefault="00115458" w:rsidP="004A4590">
            <w:pPr>
              <w:spacing w:after="0" w:line="240" w:lineRule="auto"/>
              <w:rPr>
                <w:rFonts w:cs="Arial"/>
              </w:rPr>
            </w:pPr>
            <w:r w:rsidRPr="004A4590">
              <w:rPr>
                <w:rFonts w:cs="Arial"/>
              </w:rPr>
              <w:t>000000500000</w:t>
            </w:r>
          </w:p>
        </w:tc>
      </w:tr>
      <w:tr w:rsidR="00115458" w:rsidRPr="004A4590" w14:paraId="079FAF0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76D526" w14:textId="77777777" w:rsidR="00115458" w:rsidRPr="004A4590" w:rsidRDefault="00115458" w:rsidP="004A4590">
            <w:pPr>
              <w:spacing w:after="0" w:line="240" w:lineRule="auto"/>
              <w:rPr>
                <w:rFonts w:cs="Arial"/>
              </w:rPr>
            </w:pPr>
            <w:r w:rsidRPr="004A4590">
              <w:rPr>
                <w:rFonts w:cs="Arial"/>
              </w:rPr>
              <w:t>9.82</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0DBCD67" w14:textId="77777777" w:rsidR="00115458" w:rsidRPr="004A4590" w:rsidRDefault="00115458" w:rsidP="004A4590">
            <w:pPr>
              <w:spacing w:after="0" w:line="240" w:lineRule="auto"/>
              <w:rPr>
                <w:rFonts w:cs="Arial"/>
              </w:rPr>
            </w:pPr>
            <w:r w:rsidRPr="004A4590">
              <w:rPr>
                <w:rFonts w:cs="Arial"/>
              </w:rPr>
              <w:t>Franked dividends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B639D8C" w14:textId="77777777" w:rsidR="00115458" w:rsidRPr="004A4590" w:rsidRDefault="00115458" w:rsidP="004A4590">
            <w:pPr>
              <w:spacing w:after="0" w:line="240" w:lineRule="auto"/>
              <w:rPr>
                <w:rFonts w:cs="Arial"/>
              </w:rPr>
            </w:pPr>
            <w:r w:rsidRPr="004A4590">
              <w:rPr>
                <w:rFonts w:cs="Arial"/>
              </w:rPr>
              <w:t>000000210000</w:t>
            </w:r>
          </w:p>
        </w:tc>
      </w:tr>
      <w:tr w:rsidR="00115458" w:rsidRPr="004A4590" w14:paraId="1CC14B1D"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A29C6" w14:textId="77777777" w:rsidR="00115458" w:rsidRPr="004A4590" w:rsidRDefault="00115458" w:rsidP="004A4590">
            <w:pPr>
              <w:spacing w:after="0" w:line="240" w:lineRule="auto"/>
              <w:rPr>
                <w:rFonts w:cs="Arial"/>
              </w:rPr>
            </w:pPr>
            <w:r w:rsidRPr="004A4590">
              <w:rPr>
                <w:rFonts w:cs="Arial"/>
              </w:rPr>
              <w:t>9.83</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F14FAE" w14:textId="77777777" w:rsidR="00115458" w:rsidRPr="004A4590" w:rsidRDefault="00115458" w:rsidP="004A4590">
            <w:pPr>
              <w:spacing w:after="0" w:line="240" w:lineRule="auto"/>
              <w:rPr>
                <w:rFonts w:cs="Arial"/>
              </w:rPr>
            </w:pPr>
            <w:r w:rsidRPr="004A4590">
              <w:rPr>
                <w:rFonts w:cs="Arial"/>
              </w:rPr>
              <w:t>Franking credit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188AB7FE" w14:textId="77777777" w:rsidR="00115458" w:rsidRPr="004A4590" w:rsidRDefault="00115458" w:rsidP="004A4590">
            <w:pPr>
              <w:spacing w:after="0" w:line="240" w:lineRule="auto"/>
              <w:rPr>
                <w:rFonts w:cs="Arial"/>
              </w:rPr>
            </w:pPr>
            <w:r w:rsidRPr="004A4590">
              <w:rPr>
                <w:rFonts w:cs="Arial"/>
              </w:rPr>
              <w:t>000000090000</w:t>
            </w:r>
          </w:p>
        </w:tc>
      </w:tr>
      <w:tr w:rsidR="00115458" w:rsidRPr="004A4590" w14:paraId="5802995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B6815" w14:textId="77777777" w:rsidR="00115458" w:rsidRPr="004A4590" w:rsidRDefault="00115458" w:rsidP="004A4590">
            <w:pPr>
              <w:spacing w:after="0" w:line="240" w:lineRule="auto"/>
              <w:rPr>
                <w:rFonts w:cs="Arial"/>
              </w:rPr>
            </w:pPr>
            <w:r w:rsidRPr="004A4590">
              <w:rPr>
                <w:rFonts w:cs="Arial"/>
              </w:rPr>
              <w:t>9.84</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3984D195" w14:textId="77777777" w:rsidR="00115458" w:rsidRPr="004A4590" w:rsidRDefault="00115458" w:rsidP="004A4590">
            <w:pPr>
              <w:spacing w:after="0" w:line="240" w:lineRule="auto"/>
              <w:rPr>
                <w:rFonts w:cs="Arial"/>
              </w:rPr>
            </w:pPr>
            <w:r w:rsidRPr="004A4590">
              <w:rPr>
                <w:rFonts w:cs="Arial"/>
              </w:rPr>
              <w:t>Other taxable Australian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376926CF" w14:textId="77777777" w:rsidR="00115458" w:rsidRPr="004A4590" w:rsidRDefault="00115458" w:rsidP="004A4590">
            <w:pPr>
              <w:spacing w:after="0" w:line="240" w:lineRule="auto"/>
              <w:rPr>
                <w:rFonts w:cs="Arial"/>
              </w:rPr>
            </w:pPr>
            <w:r w:rsidRPr="004A4590">
              <w:rPr>
                <w:rFonts w:cs="Arial"/>
              </w:rPr>
              <w:t>000000120000</w:t>
            </w:r>
          </w:p>
        </w:tc>
      </w:tr>
      <w:tr w:rsidR="00115458" w:rsidRPr="004A4590" w14:paraId="552B17A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C12C50" w14:textId="77777777" w:rsidR="00115458" w:rsidRPr="004A4590" w:rsidRDefault="00115458" w:rsidP="004A4590">
            <w:pPr>
              <w:spacing w:after="0" w:line="240" w:lineRule="auto"/>
              <w:rPr>
                <w:rFonts w:cs="Arial"/>
              </w:rPr>
            </w:pPr>
            <w:r w:rsidRPr="004A4590">
              <w:rPr>
                <w:rFonts w:cs="Arial"/>
              </w:rPr>
              <w:t>9.85</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BCE027B" w14:textId="77777777" w:rsidR="00115458" w:rsidRPr="004A4590" w:rsidRDefault="00115458" w:rsidP="004A4590">
            <w:pPr>
              <w:spacing w:after="0" w:line="240" w:lineRule="auto"/>
              <w:rPr>
                <w:rFonts w:cs="Arial"/>
              </w:rPr>
            </w:pPr>
            <w:r w:rsidRPr="004A4590">
              <w:rPr>
                <w:rFonts w:cs="Arial"/>
              </w:rPr>
              <w:t>Non-primary production income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942079E" w14:textId="77777777" w:rsidR="00115458" w:rsidRPr="004A4590" w:rsidRDefault="00115458" w:rsidP="004A4590">
            <w:pPr>
              <w:spacing w:after="0" w:line="240" w:lineRule="auto"/>
              <w:rPr>
                <w:rFonts w:cs="Arial"/>
              </w:rPr>
            </w:pPr>
            <w:r w:rsidRPr="004A4590">
              <w:rPr>
                <w:rFonts w:cs="Arial"/>
              </w:rPr>
              <w:t>000000799000</w:t>
            </w:r>
          </w:p>
        </w:tc>
      </w:tr>
      <w:tr w:rsidR="00115458" w:rsidRPr="004A4590" w14:paraId="78342FEF"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367685" w14:textId="77777777" w:rsidR="00115458" w:rsidRPr="004A4590" w:rsidRDefault="00115458" w:rsidP="004A4590">
            <w:pPr>
              <w:spacing w:after="0" w:line="240" w:lineRule="auto"/>
              <w:rPr>
                <w:rFonts w:cs="Arial"/>
              </w:rPr>
            </w:pPr>
            <w:r w:rsidRPr="004A4590">
              <w:rPr>
                <w:rFonts w:cs="Arial"/>
              </w:rPr>
              <w:t>9.98</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16DAFE5" w14:textId="77777777" w:rsidR="00115458" w:rsidRPr="004A4590" w:rsidRDefault="00115458" w:rsidP="004A4590">
            <w:pPr>
              <w:spacing w:after="0" w:line="240" w:lineRule="auto"/>
              <w:rPr>
                <w:rFonts w:cs="Arial"/>
              </w:rPr>
            </w:pPr>
            <w:r w:rsidRPr="004A4590">
              <w:rPr>
                <w:rFonts w:cs="Arial"/>
              </w:rPr>
              <w:t>Other allowable trust deductions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801CD76" w14:textId="77777777" w:rsidR="00115458" w:rsidRPr="004A4590" w:rsidRDefault="00115458" w:rsidP="004A4590">
            <w:pPr>
              <w:spacing w:after="0" w:line="240" w:lineRule="auto"/>
              <w:rPr>
                <w:rFonts w:cs="Arial"/>
              </w:rPr>
            </w:pPr>
            <w:r w:rsidRPr="004A4590">
              <w:rPr>
                <w:rFonts w:cs="Arial"/>
              </w:rPr>
              <w:t>000000210000</w:t>
            </w:r>
          </w:p>
        </w:tc>
      </w:tr>
    </w:tbl>
    <w:p w14:paraId="051FDEA3" w14:textId="77777777" w:rsidR="00115458" w:rsidRPr="004A4590" w:rsidRDefault="00115458" w:rsidP="004A4590">
      <w:pPr>
        <w:spacing w:after="0" w:line="240" w:lineRule="auto"/>
        <w:rPr>
          <w:rFonts w:cs="Arial"/>
          <w:smallCaps/>
        </w:rPr>
      </w:pPr>
    </w:p>
    <w:p w14:paraId="32ACBB9A" w14:textId="77777777" w:rsidR="00115458" w:rsidRPr="004A4590" w:rsidRDefault="00115458" w:rsidP="004A4590">
      <w:pPr>
        <w:spacing w:after="0" w:line="240" w:lineRule="auto"/>
        <w:rPr>
          <w:rFonts w:cs="Arial"/>
          <w:b/>
          <w:smallCaps/>
        </w:rPr>
      </w:pPr>
      <w:r w:rsidRPr="004A4590">
        <w:rPr>
          <w:rFonts w:cs="Arial"/>
          <w:b/>
          <w:smallCaps/>
        </w:rPr>
        <w:t xml:space="preserve">supplementary income account data record </w:t>
      </w:r>
      <w:r w:rsidRPr="004A4590">
        <w:rPr>
          <w:rFonts w:cs="Arial"/>
          <w:smallCaps/>
        </w:rPr>
        <w:t>(extract)</w:t>
      </w:r>
    </w:p>
    <w:p w14:paraId="27A5D91D" w14:textId="77777777" w:rsidR="00115458" w:rsidRPr="004A4590" w:rsidRDefault="00115458" w:rsidP="004A4590">
      <w:pPr>
        <w:spacing w:after="0" w:line="240" w:lineRule="auto"/>
        <w:rPr>
          <w:rFonts w:cs="Arial"/>
        </w:rPr>
      </w:pPr>
    </w:p>
    <w:tbl>
      <w:tblPr>
        <w:tblW w:w="9214" w:type="dxa"/>
        <w:tblInd w:w="93" w:type="dxa"/>
        <w:tblCellMar>
          <w:top w:w="28" w:type="dxa"/>
          <w:left w:w="0" w:type="dxa"/>
          <w:bottom w:w="28" w:type="dxa"/>
          <w:right w:w="0" w:type="dxa"/>
        </w:tblCellMar>
        <w:tblLook w:val="0000" w:firstRow="0" w:lastRow="0" w:firstColumn="0" w:lastColumn="0" w:noHBand="0" w:noVBand="0"/>
      </w:tblPr>
      <w:tblGrid>
        <w:gridCol w:w="1227"/>
        <w:gridCol w:w="5160"/>
        <w:gridCol w:w="2827"/>
      </w:tblGrid>
      <w:tr w:rsidR="00115458" w:rsidRPr="004A4590" w14:paraId="4B6934CA" w14:textId="77777777" w:rsidTr="000C1365">
        <w:trPr>
          <w:cantSplit/>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20870308" w14:textId="77777777" w:rsidR="00115458" w:rsidRPr="004A4590" w:rsidRDefault="00115458" w:rsidP="004A4590">
            <w:pPr>
              <w:spacing w:after="0" w:line="240" w:lineRule="auto"/>
              <w:rPr>
                <w:rFonts w:cs="Arial"/>
              </w:rPr>
            </w:pPr>
            <w:r w:rsidRPr="004A4590">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68C070B" w14:textId="77777777" w:rsidR="00115458" w:rsidRPr="004A4590" w:rsidRDefault="00115458" w:rsidP="004A4590">
            <w:pPr>
              <w:spacing w:after="0" w:line="240" w:lineRule="auto"/>
              <w:rPr>
                <w:rFonts w:cs="Arial"/>
              </w:rPr>
            </w:pPr>
            <w:r w:rsidRPr="004A4590">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4F73996"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48AA6250" w14:textId="77777777" w:rsidTr="000C1365">
        <w:trPr>
          <w:cantSplit/>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1B089E" w14:textId="77777777" w:rsidR="00115458" w:rsidRPr="004A4590" w:rsidRDefault="00115458" w:rsidP="004A4590">
            <w:pPr>
              <w:spacing w:after="0" w:line="240" w:lineRule="auto"/>
              <w:rPr>
                <w:rFonts w:cs="Arial"/>
              </w:rPr>
            </w:pPr>
            <w:r w:rsidRPr="004A4590">
              <w:rPr>
                <w:rFonts w:cs="Arial"/>
              </w:rPr>
              <w:t>9.119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E266A12" w14:textId="77777777" w:rsidR="00115458" w:rsidRPr="004A4590" w:rsidRDefault="00115458" w:rsidP="004A4590">
            <w:pPr>
              <w:spacing w:after="0" w:line="240" w:lineRule="auto"/>
              <w:rPr>
                <w:rFonts w:cs="Arial"/>
              </w:rPr>
            </w:pPr>
            <w:r w:rsidRPr="004A4590">
              <w:rPr>
                <w:rFonts w:cs="Arial"/>
              </w:rPr>
              <w:t>Unfranked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72BFF1C1" w14:textId="77777777" w:rsidR="00115458" w:rsidRPr="004A4590" w:rsidRDefault="00115458" w:rsidP="004A4590">
            <w:pPr>
              <w:spacing w:after="0" w:line="240" w:lineRule="auto"/>
              <w:rPr>
                <w:rFonts w:cs="Arial"/>
              </w:rPr>
            </w:pPr>
            <w:r w:rsidRPr="004A4590">
              <w:rPr>
                <w:rFonts w:cs="Arial"/>
              </w:rPr>
              <w:t>000000800000</w:t>
            </w:r>
          </w:p>
        </w:tc>
      </w:tr>
      <w:tr w:rsidR="00115458" w:rsidRPr="004A4590" w14:paraId="020EAA8D" w14:textId="77777777" w:rsidTr="000C1365">
        <w:trPr>
          <w:cantSplit/>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8A71CD" w14:textId="77777777" w:rsidR="00115458" w:rsidRPr="004A4590" w:rsidRDefault="00115458" w:rsidP="004A4590">
            <w:pPr>
              <w:spacing w:after="0" w:line="240" w:lineRule="auto"/>
              <w:rPr>
                <w:rFonts w:cs="Arial"/>
              </w:rPr>
            </w:pPr>
            <w:r w:rsidRPr="004A4590">
              <w:rPr>
                <w:rFonts w:cs="Arial"/>
              </w:rPr>
              <w:t>9.120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93C9E0A" w14:textId="77777777" w:rsidR="00115458" w:rsidRPr="004A4590" w:rsidRDefault="00115458" w:rsidP="004A4590">
            <w:pPr>
              <w:spacing w:after="0" w:line="240" w:lineRule="auto"/>
              <w:rPr>
                <w:rFonts w:cs="Arial"/>
              </w:rPr>
            </w:pPr>
            <w:r w:rsidRPr="004A4590">
              <w:rPr>
                <w:rFonts w:cs="Arial"/>
              </w:rPr>
              <w:t>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87B3EF" w14:textId="77777777" w:rsidR="00115458" w:rsidRPr="004A4590" w:rsidRDefault="00115458" w:rsidP="004A4590">
            <w:pPr>
              <w:spacing w:after="0" w:line="240" w:lineRule="auto"/>
              <w:rPr>
                <w:rFonts w:cs="Arial"/>
              </w:rPr>
            </w:pPr>
            <w:r w:rsidRPr="004A4590">
              <w:rPr>
                <w:rFonts w:cs="Arial"/>
              </w:rPr>
              <w:t>000000300000</w:t>
            </w:r>
          </w:p>
        </w:tc>
      </w:tr>
    </w:tbl>
    <w:p w14:paraId="07B184B8" w14:textId="6C52BE9D" w:rsidR="00115458" w:rsidRPr="0028338D" w:rsidRDefault="0028338D" w:rsidP="004A4590">
      <w:pPr>
        <w:spacing w:after="0" w:line="240" w:lineRule="auto"/>
        <w:rPr>
          <w:rFonts w:cs="Arial"/>
          <w:i/>
          <w:iCs/>
          <w:sz w:val="18"/>
          <w:szCs w:val="18"/>
        </w:rPr>
      </w:pPr>
      <w:r w:rsidRPr="0028338D">
        <w:rPr>
          <w:rFonts w:cs="Arial"/>
          <w:sz w:val="18"/>
          <w:szCs w:val="18"/>
        </w:rPr>
        <w:t>An</w:t>
      </w:r>
      <w:r w:rsidR="00115458" w:rsidRPr="0028338D">
        <w:rPr>
          <w:rFonts w:cs="Arial"/>
          <w:i/>
          <w:iCs/>
          <w:sz w:val="18"/>
          <w:szCs w:val="18"/>
        </w:rPr>
        <w:t xml:space="preserve"> Investor data record </w:t>
      </w:r>
      <w:r w:rsidR="00115458" w:rsidRPr="0028338D">
        <w:rPr>
          <w:rFonts w:cs="Arial"/>
          <w:sz w:val="18"/>
          <w:szCs w:val="18"/>
        </w:rPr>
        <w:t>is required following the</w:t>
      </w:r>
      <w:r w:rsidR="00115458" w:rsidRPr="0028338D">
        <w:rPr>
          <w:rFonts w:cs="Arial"/>
          <w:i/>
          <w:iCs/>
          <w:sz w:val="18"/>
          <w:szCs w:val="18"/>
        </w:rPr>
        <w:t xml:space="preserve"> Supplementary income account data record </w:t>
      </w:r>
    </w:p>
    <w:p w14:paraId="403D41BD" w14:textId="77777777" w:rsidR="00115458" w:rsidRPr="004A4590" w:rsidRDefault="00115458" w:rsidP="004A4590">
      <w:pPr>
        <w:spacing w:after="0" w:line="240" w:lineRule="auto"/>
        <w:rPr>
          <w:rFonts w:cs="Arial"/>
        </w:rPr>
      </w:pPr>
    </w:p>
    <w:p w14:paraId="090FD7A8" w14:textId="32855121" w:rsidR="00115458" w:rsidRDefault="00115458" w:rsidP="004A4590">
      <w:pPr>
        <w:spacing w:after="0" w:line="240" w:lineRule="auto"/>
        <w:rPr>
          <w:rFonts w:cs="Arial"/>
        </w:rPr>
      </w:pPr>
      <w:r w:rsidRPr="004A4590">
        <w:rPr>
          <w:rFonts w:cs="Arial"/>
        </w:rPr>
        <w:t>The ATO is aware that some intermediaries provide consolidated statements to clients. The ATO neither approves nor disapproves this practice. This practice should not be followed when reporting for separate AMITs. The way of reporting the above example if the IDPS has aggregated all of the investments into one standard distribution advice would be as follows.</w:t>
      </w:r>
    </w:p>
    <w:p w14:paraId="3F8621D3" w14:textId="77777777" w:rsidR="004A4590" w:rsidRPr="004A4590" w:rsidRDefault="004A4590" w:rsidP="004A4590">
      <w:pPr>
        <w:spacing w:after="0" w:line="240" w:lineRule="auto"/>
        <w:rPr>
          <w:rFonts w:cs="Arial"/>
        </w:rPr>
      </w:pPr>
    </w:p>
    <w:p w14:paraId="01200BFC" w14:textId="77777777" w:rsidR="0028338D" w:rsidRDefault="00115458" w:rsidP="0028338D">
      <w:pPr>
        <w:keepNext/>
        <w:spacing w:after="0" w:line="240" w:lineRule="auto"/>
        <w:outlineLvl w:val="3"/>
        <w:rPr>
          <w:rFonts w:cs="Arial"/>
          <w:b/>
        </w:rPr>
      </w:pPr>
      <w:bookmarkStart w:id="1681" w:name="_Toc448311539"/>
      <w:r w:rsidRPr="004A4590">
        <w:rPr>
          <w:rFonts w:cs="Arial"/>
          <w:b/>
        </w:rPr>
        <w:t>Example 7.</w:t>
      </w:r>
      <w:r w:rsidR="00E22F28">
        <w:rPr>
          <w:rFonts w:cs="Arial"/>
          <w:b/>
        </w:rPr>
        <w:t>10</w:t>
      </w:r>
      <w:r w:rsidRPr="004A4590">
        <w:rPr>
          <w:rFonts w:cs="Arial"/>
          <w:b/>
        </w:rPr>
        <w:t xml:space="preserve"> – IDPS consolidated reporting in the AIIR</w:t>
      </w:r>
      <w:bookmarkEnd w:id="1681"/>
      <w:r w:rsidRPr="004A4590">
        <w:rPr>
          <w:rFonts w:cs="Arial"/>
          <w:b/>
        </w:rPr>
        <w:t xml:space="preserve"> (no AMIT attributions)</w:t>
      </w:r>
    </w:p>
    <w:p w14:paraId="30E51454" w14:textId="77777777" w:rsidR="0028338D" w:rsidRDefault="0028338D" w:rsidP="0028338D">
      <w:pPr>
        <w:keepNext/>
        <w:spacing w:after="0" w:line="240" w:lineRule="auto"/>
        <w:outlineLvl w:val="3"/>
        <w:rPr>
          <w:rFonts w:cs="Arial"/>
          <w:b/>
        </w:rPr>
      </w:pPr>
    </w:p>
    <w:p w14:paraId="4DAF8E85" w14:textId="42617C29" w:rsidR="00115458" w:rsidRPr="0028338D" w:rsidRDefault="00115458" w:rsidP="0028338D">
      <w:pPr>
        <w:keepNext/>
        <w:spacing w:after="0" w:line="240" w:lineRule="auto"/>
        <w:outlineLvl w:val="3"/>
        <w:rPr>
          <w:rFonts w:cs="Arial"/>
          <w:b/>
        </w:rPr>
      </w:pPr>
      <w:r w:rsidRPr="004A4590">
        <w:rPr>
          <w:rFonts w:cs="Arial"/>
          <w:b/>
          <w:smallCaps/>
        </w:rPr>
        <w:t xml:space="preserve">investment account data record </w:t>
      </w:r>
      <w:r w:rsidRPr="004A4590">
        <w:rPr>
          <w:rFonts w:cs="Arial"/>
          <w:smallCaps/>
        </w:rPr>
        <w:t>(extract)</w:t>
      </w:r>
    </w:p>
    <w:p w14:paraId="62FB6FB0" w14:textId="77777777" w:rsidR="00115458" w:rsidRPr="004A4590" w:rsidRDefault="00115458" w:rsidP="004A4590">
      <w:pPr>
        <w:spacing w:after="0" w:line="240" w:lineRule="auto"/>
        <w:rPr>
          <w:rFonts w:cs="Arial"/>
          <w:smallCaps/>
        </w:rPr>
      </w:pPr>
    </w:p>
    <w:tbl>
      <w:tblPr>
        <w:tblW w:w="9214" w:type="dxa"/>
        <w:tblInd w:w="93" w:type="dxa"/>
        <w:tblCellMar>
          <w:left w:w="0" w:type="dxa"/>
          <w:right w:w="0" w:type="dxa"/>
        </w:tblCellMar>
        <w:tblLook w:val="0000" w:firstRow="0" w:lastRow="0" w:firstColumn="0" w:lastColumn="0" w:noHBand="0" w:noVBand="0"/>
      </w:tblPr>
      <w:tblGrid>
        <w:gridCol w:w="1227"/>
        <w:gridCol w:w="5189"/>
        <w:gridCol w:w="2798"/>
      </w:tblGrid>
      <w:tr w:rsidR="00115458" w:rsidRPr="004A4590" w14:paraId="3A7321D9" w14:textId="77777777" w:rsidTr="000C1365">
        <w:trPr>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62F897F0" w14:textId="77777777" w:rsidR="00115458" w:rsidRPr="004A4590" w:rsidRDefault="00115458" w:rsidP="004A4590">
            <w:pPr>
              <w:spacing w:after="0" w:line="240" w:lineRule="auto"/>
              <w:rPr>
                <w:rFonts w:cs="Arial"/>
              </w:rPr>
            </w:pPr>
            <w:r w:rsidRPr="004A4590">
              <w:rPr>
                <w:rFonts w:cs="Arial"/>
                <w:b/>
                <w:bCs/>
              </w:rPr>
              <w:t>Reference number</w:t>
            </w:r>
          </w:p>
        </w:tc>
        <w:tc>
          <w:tcPr>
            <w:tcW w:w="285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75E9CCB1" w14:textId="77777777" w:rsidR="00115458" w:rsidRPr="004A4590" w:rsidRDefault="00115458" w:rsidP="004A4590">
            <w:pPr>
              <w:spacing w:after="0" w:line="240" w:lineRule="auto"/>
              <w:rPr>
                <w:rFonts w:cs="Arial"/>
              </w:rPr>
            </w:pPr>
            <w:r w:rsidRPr="004A4590">
              <w:rPr>
                <w:rFonts w:cs="Arial"/>
                <w:b/>
                <w:bCs/>
              </w:rPr>
              <w:t>Field name</w:t>
            </w:r>
          </w:p>
        </w:tc>
        <w:tc>
          <w:tcPr>
            <w:tcW w:w="155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255EA1D5"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2BA956E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E667E2" w14:textId="77777777" w:rsidR="00115458" w:rsidRPr="004A4590" w:rsidRDefault="00115458" w:rsidP="004A4590">
            <w:pPr>
              <w:spacing w:after="0" w:line="240" w:lineRule="auto"/>
              <w:rPr>
                <w:rFonts w:cs="Arial"/>
              </w:rPr>
            </w:pPr>
            <w:r w:rsidRPr="004A4590">
              <w:rPr>
                <w:rFonts w:cs="Arial"/>
              </w:rPr>
              <w:t>9.62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B2C3214" w14:textId="77777777" w:rsidR="00115458" w:rsidRPr="004A4590" w:rsidRDefault="00115458" w:rsidP="004A4590">
            <w:pPr>
              <w:spacing w:after="0" w:line="240" w:lineRule="auto"/>
              <w:rPr>
                <w:rFonts w:cs="Arial"/>
              </w:rPr>
            </w:pPr>
            <w:r w:rsidRPr="004A4590">
              <w:rPr>
                <w:rFonts w:cs="Arial"/>
              </w:rPr>
              <w:t>Sequence number of DACCOUNT record</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989EF2D" w14:textId="77777777" w:rsidR="00115458" w:rsidRPr="004A4590" w:rsidRDefault="00115458" w:rsidP="004A4590">
            <w:pPr>
              <w:spacing w:after="0" w:line="240" w:lineRule="auto"/>
              <w:rPr>
                <w:rFonts w:cs="Arial"/>
              </w:rPr>
            </w:pPr>
            <w:r w:rsidRPr="004A4590">
              <w:rPr>
                <w:rFonts w:cs="Arial"/>
              </w:rPr>
              <w:t>01</w:t>
            </w:r>
          </w:p>
        </w:tc>
      </w:tr>
      <w:tr w:rsidR="00115458" w:rsidRPr="004A4590" w14:paraId="698123E3"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76E529" w14:textId="77777777" w:rsidR="00115458" w:rsidRPr="004A4590" w:rsidRDefault="00115458" w:rsidP="004A4590">
            <w:pPr>
              <w:spacing w:after="0" w:line="240" w:lineRule="auto"/>
              <w:rPr>
                <w:rFonts w:cs="Arial"/>
              </w:rPr>
            </w:pPr>
            <w:r w:rsidRPr="004A4590">
              <w:rPr>
                <w:rFonts w:cs="Arial"/>
              </w:rPr>
              <w:t>9.63</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E420D31" w14:textId="77777777" w:rsidR="00115458" w:rsidRPr="004A4590" w:rsidRDefault="00115458" w:rsidP="004A4590">
            <w:pPr>
              <w:spacing w:after="0" w:line="240" w:lineRule="auto"/>
              <w:rPr>
                <w:rFonts w:cs="Arial"/>
              </w:rPr>
            </w:pPr>
            <w:r w:rsidRPr="004A4590">
              <w:rPr>
                <w:rFonts w:cs="Arial"/>
              </w:rPr>
              <w:t>Investment reference number</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700EC97" w14:textId="77777777" w:rsidR="00115458" w:rsidRPr="004A4590" w:rsidRDefault="00115458" w:rsidP="004A4590">
            <w:pPr>
              <w:spacing w:after="0" w:line="240" w:lineRule="auto"/>
              <w:rPr>
                <w:rFonts w:cs="Arial"/>
              </w:rPr>
            </w:pPr>
            <w:r w:rsidRPr="004A4590">
              <w:rPr>
                <w:rFonts w:cs="Arial"/>
              </w:rPr>
              <w:t>4587221444</w:t>
            </w:r>
          </w:p>
        </w:tc>
      </w:tr>
      <w:tr w:rsidR="00115458" w:rsidRPr="004A4590" w14:paraId="1F606A67"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4A9CCD" w14:textId="77777777" w:rsidR="00115458" w:rsidRPr="004A4590" w:rsidRDefault="00115458" w:rsidP="004A4590">
            <w:pPr>
              <w:spacing w:after="0" w:line="240" w:lineRule="auto"/>
              <w:rPr>
                <w:rFonts w:cs="Arial"/>
              </w:rPr>
            </w:pPr>
            <w:r w:rsidRPr="004A4590">
              <w:rPr>
                <w:rFonts w:cs="Arial"/>
              </w:rPr>
              <w:t>9.64</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3B6E1613" w14:textId="77777777" w:rsidR="00115458" w:rsidRPr="004A4590" w:rsidRDefault="00115458" w:rsidP="004A4590">
            <w:pPr>
              <w:spacing w:after="0" w:line="240" w:lineRule="auto"/>
              <w:rPr>
                <w:rFonts w:cs="Arial"/>
              </w:rPr>
            </w:pPr>
            <w:r w:rsidRPr="004A4590">
              <w:rPr>
                <w:rFonts w:cs="Arial"/>
              </w:rPr>
              <w:t>Account reference number</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951BA30" w14:textId="77777777" w:rsidR="00115458" w:rsidRPr="004A4590" w:rsidRDefault="00115458" w:rsidP="004A4590">
            <w:pPr>
              <w:spacing w:after="0" w:line="240" w:lineRule="auto"/>
              <w:rPr>
                <w:rFonts w:cs="Arial"/>
              </w:rPr>
            </w:pPr>
            <w:r w:rsidRPr="004A4590">
              <w:rPr>
                <w:rFonts w:cs="Arial"/>
              </w:rPr>
              <w:t>3214566977</w:t>
            </w:r>
          </w:p>
        </w:tc>
      </w:tr>
      <w:tr w:rsidR="00115458" w:rsidRPr="004A4590" w14:paraId="7D410B1C"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EB647" w14:textId="77777777" w:rsidR="00115458" w:rsidRPr="004A4590" w:rsidRDefault="00115458" w:rsidP="004A4590">
            <w:pPr>
              <w:spacing w:after="0" w:line="240" w:lineRule="auto"/>
              <w:rPr>
                <w:rFonts w:cs="Arial"/>
              </w:rPr>
            </w:pPr>
            <w:r w:rsidRPr="004A4590">
              <w:rPr>
                <w:rFonts w:cs="Arial"/>
              </w:rPr>
              <w:t>9.70</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B0398DD" w14:textId="77777777" w:rsidR="00115458" w:rsidRPr="004A4590" w:rsidRDefault="00115458" w:rsidP="004A4590">
            <w:pPr>
              <w:spacing w:after="0" w:line="240" w:lineRule="auto"/>
              <w:rPr>
                <w:rFonts w:cs="Arial"/>
              </w:rPr>
            </w:pPr>
            <w:r w:rsidRPr="004A4590">
              <w:rPr>
                <w:rFonts w:cs="Arial"/>
              </w:rPr>
              <w:t>Date of payment (DDMMCCYY)</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40C0C4F" w14:textId="0092C921" w:rsidR="00115458" w:rsidRPr="004A4590" w:rsidRDefault="00115458" w:rsidP="004A4590">
            <w:pPr>
              <w:spacing w:after="0" w:line="240" w:lineRule="auto"/>
              <w:rPr>
                <w:rFonts w:cs="Arial"/>
              </w:rPr>
            </w:pPr>
            <w:r w:rsidRPr="004A4590">
              <w:rPr>
                <w:rFonts w:cs="Arial"/>
              </w:rPr>
              <w:t>3006202</w:t>
            </w:r>
            <w:r w:rsidR="007A6092">
              <w:rPr>
                <w:rFonts w:cs="Arial"/>
              </w:rPr>
              <w:t>6</w:t>
            </w:r>
          </w:p>
        </w:tc>
      </w:tr>
      <w:tr w:rsidR="00115458" w:rsidRPr="004A4590" w14:paraId="45117F3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43E43" w14:textId="77777777" w:rsidR="00115458" w:rsidRPr="004A4590" w:rsidRDefault="00115458" w:rsidP="004A4590">
            <w:pPr>
              <w:spacing w:after="0" w:line="240" w:lineRule="auto"/>
              <w:rPr>
                <w:rFonts w:cs="Arial"/>
              </w:rPr>
            </w:pPr>
            <w:r w:rsidRPr="004A4590">
              <w:rPr>
                <w:rFonts w:cs="Arial"/>
              </w:rPr>
              <w:t>9.71</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56B61" w14:textId="77777777" w:rsidR="00115458" w:rsidRPr="004A4590" w:rsidRDefault="00115458" w:rsidP="004A4590">
            <w:pPr>
              <w:spacing w:after="0" w:line="240" w:lineRule="auto"/>
              <w:rPr>
                <w:rFonts w:cs="Arial"/>
              </w:rPr>
            </w:pPr>
            <w:r w:rsidRPr="004A4590">
              <w:rPr>
                <w:rFonts w:cs="Arial"/>
              </w:rPr>
              <w:t>Type of investment</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9553651" w14:textId="77777777" w:rsidR="00115458" w:rsidRPr="004A4590" w:rsidRDefault="00115458" w:rsidP="004A4590">
            <w:pPr>
              <w:spacing w:after="0" w:line="240" w:lineRule="auto"/>
              <w:rPr>
                <w:rFonts w:cs="Arial"/>
              </w:rPr>
            </w:pPr>
            <w:r w:rsidRPr="004A4590">
              <w:rPr>
                <w:rFonts w:cs="Arial"/>
              </w:rPr>
              <w:t>5</w:t>
            </w:r>
          </w:p>
        </w:tc>
      </w:tr>
      <w:tr w:rsidR="00115458" w:rsidRPr="004A4590" w14:paraId="54B1C935"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4B41BE" w14:textId="77777777" w:rsidR="00115458" w:rsidRPr="004A4590" w:rsidRDefault="00115458" w:rsidP="004A4590">
            <w:pPr>
              <w:spacing w:after="0" w:line="240" w:lineRule="auto"/>
              <w:rPr>
                <w:rFonts w:cs="Arial"/>
              </w:rPr>
            </w:pPr>
            <w:r w:rsidRPr="004A4590">
              <w:rPr>
                <w:rFonts w:cs="Arial"/>
              </w:rPr>
              <w:t>9.72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2125F629" w14:textId="77777777" w:rsidR="00115458" w:rsidRPr="004A4590" w:rsidRDefault="00115458" w:rsidP="004A4590">
            <w:pPr>
              <w:spacing w:after="0" w:line="240" w:lineRule="auto"/>
              <w:rPr>
                <w:rFonts w:cs="Arial"/>
              </w:rPr>
            </w:pPr>
            <w:r w:rsidRPr="004A4590">
              <w:rPr>
                <w:rFonts w:cs="Arial"/>
              </w:rPr>
              <w:t>Type of payment</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48613818" w14:textId="77777777" w:rsidR="00115458" w:rsidRPr="004A4590" w:rsidRDefault="00115458" w:rsidP="004A4590">
            <w:pPr>
              <w:spacing w:after="0" w:line="240" w:lineRule="auto"/>
              <w:rPr>
                <w:rFonts w:cs="Arial"/>
              </w:rPr>
            </w:pPr>
            <w:r w:rsidRPr="004A4590">
              <w:rPr>
                <w:rFonts w:cs="Arial"/>
              </w:rPr>
              <w:t>UTD</w:t>
            </w:r>
          </w:p>
        </w:tc>
      </w:tr>
      <w:tr w:rsidR="00115458" w:rsidRPr="004A4590" w14:paraId="580B11CD"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80E3F3" w14:textId="77777777" w:rsidR="00115458" w:rsidRPr="004A4590" w:rsidRDefault="00115458" w:rsidP="004A4590">
            <w:pPr>
              <w:spacing w:after="0" w:line="240" w:lineRule="auto"/>
              <w:rPr>
                <w:rFonts w:cs="Arial"/>
              </w:rPr>
            </w:pPr>
            <w:r w:rsidRPr="004A4590">
              <w:rPr>
                <w:rFonts w:cs="Arial"/>
              </w:rPr>
              <w:t>9.79</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2B5B81F" w14:textId="77777777" w:rsidR="00115458" w:rsidRPr="004A4590" w:rsidRDefault="00115458" w:rsidP="004A4590">
            <w:pPr>
              <w:spacing w:after="0" w:line="240" w:lineRule="auto"/>
              <w:rPr>
                <w:rFonts w:cs="Arial"/>
              </w:rPr>
            </w:pPr>
            <w:r w:rsidRPr="004A4590">
              <w:rPr>
                <w:rFonts w:cs="Arial"/>
              </w:rPr>
              <w:t>Interest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506544BE" w14:textId="77777777" w:rsidR="00115458" w:rsidRPr="004A4590" w:rsidRDefault="00115458" w:rsidP="004A4590">
            <w:pPr>
              <w:spacing w:after="0" w:line="240" w:lineRule="auto"/>
              <w:rPr>
                <w:rFonts w:cs="Arial"/>
              </w:rPr>
            </w:pPr>
            <w:r w:rsidRPr="004A4590">
              <w:rPr>
                <w:rFonts w:cs="Arial"/>
              </w:rPr>
              <w:t>000000799900</w:t>
            </w:r>
          </w:p>
        </w:tc>
      </w:tr>
      <w:tr w:rsidR="00115458" w:rsidRPr="004A4590" w14:paraId="3AF2A826"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B6CB13" w14:textId="77777777" w:rsidR="00115458" w:rsidRPr="004A4590" w:rsidRDefault="00115458" w:rsidP="004A4590">
            <w:pPr>
              <w:spacing w:after="0" w:line="240" w:lineRule="auto"/>
              <w:rPr>
                <w:rFonts w:cs="Arial"/>
              </w:rPr>
            </w:pPr>
            <w:r w:rsidRPr="004A4590">
              <w:rPr>
                <w:rFonts w:cs="Arial"/>
              </w:rPr>
              <w:t>9.80</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E997D6D" w14:textId="77777777" w:rsidR="00115458" w:rsidRPr="004A4590" w:rsidRDefault="00115458" w:rsidP="004A4590">
            <w:pPr>
              <w:spacing w:after="0" w:line="240" w:lineRule="auto"/>
              <w:rPr>
                <w:rFonts w:cs="Arial"/>
              </w:rPr>
            </w:pPr>
            <w:r w:rsidRPr="004A4590">
              <w:rPr>
                <w:rFonts w:cs="Arial"/>
              </w:rPr>
              <w:t>Unfranked dividends not declared to be conduit foreign income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116DC386" w14:textId="77777777" w:rsidR="00115458" w:rsidRPr="004A4590" w:rsidRDefault="00115458" w:rsidP="004A4590">
            <w:pPr>
              <w:spacing w:after="0" w:line="240" w:lineRule="auto"/>
              <w:rPr>
                <w:rFonts w:cs="Arial"/>
              </w:rPr>
            </w:pPr>
            <w:r w:rsidRPr="004A4590">
              <w:rPr>
                <w:rFonts w:cs="Arial"/>
              </w:rPr>
              <w:t>000000690000</w:t>
            </w:r>
          </w:p>
        </w:tc>
      </w:tr>
      <w:tr w:rsidR="00115458" w:rsidRPr="004A4590" w14:paraId="32D64AA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2983B0" w14:textId="77777777" w:rsidR="00115458" w:rsidRPr="004A4590" w:rsidRDefault="00115458" w:rsidP="004A4590">
            <w:pPr>
              <w:spacing w:after="0" w:line="240" w:lineRule="auto"/>
              <w:rPr>
                <w:rFonts w:cs="Arial"/>
              </w:rPr>
            </w:pPr>
            <w:r w:rsidRPr="004A4590">
              <w:rPr>
                <w:rFonts w:cs="Arial"/>
              </w:rPr>
              <w:t>9.81</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5ADAE28" w14:textId="77777777" w:rsidR="00115458" w:rsidRPr="004A4590" w:rsidRDefault="00115458" w:rsidP="004A4590">
            <w:pPr>
              <w:spacing w:after="0" w:line="240" w:lineRule="auto"/>
              <w:rPr>
                <w:rFonts w:cs="Arial"/>
              </w:rPr>
            </w:pPr>
            <w:r w:rsidRPr="004A4590">
              <w:rPr>
                <w:rFonts w:cs="Arial"/>
              </w:rPr>
              <w:t>Unfranked dividends declared to be conduit foreign income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22FF2FB7" w14:textId="77777777" w:rsidR="00115458" w:rsidRPr="004A4590" w:rsidRDefault="00115458" w:rsidP="004A4590">
            <w:pPr>
              <w:spacing w:after="0" w:line="240" w:lineRule="auto"/>
              <w:rPr>
                <w:rFonts w:cs="Arial"/>
              </w:rPr>
            </w:pPr>
            <w:r w:rsidRPr="004A4590">
              <w:rPr>
                <w:rFonts w:cs="Arial"/>
              </w:rPr>
              <w:t>000000670000</w:t>
            </w:r>
          </w:p>
        </w:tc>
      </w:tr>
      <w:tr w:rsidR="00115458" w:rsidRPr="004A4590" w14:paraId="4F5E5452"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FA09CF" w14:textId="77777777" w:rsidR="00115458" w:rsidRPr="004A4590" w:rsidRDefault="00115458" w:rsidP="004A4590">
            <w:pPr>
              <w:spacing w:after="0" w:line="240" w:lineRule="auto"/>
              <w:rPr>
                <w:rFonts w:cs="Arial"/>
              </w:rPr>
            </w:pPr>
            <w:r w:rsidRPr="004A4590">
              <w:rPr>
                <w:rFonts w:cs="Arial"/>
              </w:rPr>
              <w:t>9.82</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05725B0" w14:textId="77777777" w:rsidR="00115458" w:rsidRPr="004A4590" w:rsidRDefault="00115458" w:rsidP="004A4590">
            <w:pPr>
              <w:spacing w:after="0" w:line="240" w:lineRule="auto"/>
              <w:rPr>
                <w:rFonts w:cs="Arial"/>
              </w:rPr>
            </w:pPr>
            <w:r w:rsidRPr="004A4590">
              <w:rPr>
                <w:rFonts w:cs="Arial"/>
              </w:rPr>
              <w:t>Franked dividends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3A4DA276" w14:textId="77777777" w:rsidR="00115458" w:rsidRPr="004A4590" w:rsidRDefault="00115458" w:rsidP="004A4590">
            <w:pPr>
              <w:spacing w:after="0" w:line="240" w:lineRule="auto"/>
              <w:rPr>
                <w:rFonts w:cs="Arial"/>
              </w:rPr>
            </w:pPr>
            <w:r w:rsidRPr="004A4590">
              <w:rPr>
                <w:rFonts w:cs="Arial"/>
              </w:rPr>
              <w:t>000000810000</w:t>
            </w:r>
          </w:p>
        </w:tc>
      </w:tr>
      <w:tr w:rsidR="00115458" w:rsidRPr="004A4590" w14:paraId="169B107E"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D5A441" w14:textId="77777777" w:rsidR="00115458" w:rsidRPr="004A4590" w:rsidRDefault="00115458" w:rsidP="004A4590">
            <w:pPr>
              <w:spacing w:after="0" w:line="240" w:lineRule="auto"/>
              <w:rPr>
                <w:rFonts w:cs="Arial"/>
              </w:rPr>
            </w:pPr>
            <w:r w:rsidRPr="004A4590">
              <w:rPr>
                <w:rFonts w:cs="Arial"/>
              </w:rPr>
              <w:t>9.83</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F0B42FB" w14:textId="77777777" w:rsidR="00115458" w:rsidRPr="004A4590" w:rsidRDefault="00115458" w:rsidP="004A4590">
            <w:pPr>
              <w:spacing w:after="0" w:line="240" w:lineRule="auto"/>
              <w:rPr>
                <w:rFonts w:cs="Arial"/>
              </w:rPr>
            </w:pPr>
            <w:r w:rsidRPr="004A4590">
              <w:rPr>
                <w:rFonts w:cs="Arial"/>
              </w:rPr>
              <w:t>Franking credit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7E156A47" w14:textId="77777777" w:rsidR="00115458" w:rsidRPr="004A4590" w:rsidRDefault="00115458" w:rsidP="004A4590">
            <w:pPr>
              <w:spacing w:after="0" w:line="240" w:lineRule="auto"/>
              <w:rPr>
                <w:rFonts w:cs="Arial"/>
              </w:rPr>
            </w:pPr>
            <w:r w:rsidRPr="004A4590">
              <w:rPr>
                <w:rFonts w:cs="Arial"/>
              </w:rPr>
              <w:t>000000347100</w:t>
            </w:r>
          </w:p>
        </w:tc>
      </w:tr>
      <w:tr w:rsidR="00115458" w:rsidRPr="004A4590" w14:paraId="3A5679FB"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D47E6D" w14:textId="77777777" w:rsidR="00115458" w:rsidRPr="004A4590" w:rsidRDefault="00115458" w:rsidP="004A4590">
            <w:pPr>
              <w:spacing w:after="0" w:line="240" w:lineRule="auto"/>
              <w:rPr>
                <w:rFonts w:cs="Arial"/>
              </w:rPr>
            </w:pPr>
            <w:r w:rsidRPr="004A4590">
              <w:rPr>
                <w:rFonts w:cs="Arial"/>
              </w:rPr>
              <w:t>9.84</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5402EE78" w14:textId="77777777" w:rsidR="00115458" w:rsidRPr="004A4590" w:rsidRDefault="00115458" w:rsidP="004A4590">
            <w:pPr>
              <w:spacing w:after="0" w:line="240" w:lineRule="auto"/>
              <w:rPr>
                <w:rFonts w:cs="Arial"/>
              </w:rPr>
            </w:pPr>
            <w:r w:rsidRPr="004A4590">
              <w:rPr>
                <w:rFonts w:cs="Arial"/>
              </w:rPr>
              <w:t>Other taxable Australian income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0F834764" w14:textId="77777777" w:rsidR="00115458" w:rsidRPr="004A4590" w:rsidRDefault="00115458" w:rsidP="004A4590">
            <w:pPr>
              <w:spacing w:after="0" w:line="240" w:lineRule="auto"/>
              <w:rPr>
                <w:rFonts w:cs="Arial"/>
              </w:rPr>
            </w:pPr>
            <w:r w:rsidRPr="004A4590">
              <w:rPr>
                <w:rFonts w:cs="Arial"/>
              </w:rPr>
              <w:t>000000120000</w:t>
            </w:r>
          </w:p>
        </w:tc>
      </w:tr>
      <w:tr w:rsidR="00115458" w:rsidRPr="004A4590" w14:paraId="542E31D1"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9263EF" w14:textId="77777777" w:rsidR="00115458" w:rsidRPr="004A4590" w:rsidRDefault="00115458" w:rsidP="004A4590">
            <w:pPr>
              <w:spacing w:after="0" w:line="240" w:lineRule="auto"/>
              <w:rPr>
                <w:rFonts w:cs="Arial"/>
              </w:rPr>
            </w:pPr>
            <w:r w:rsidRPr="004A4590">
              <w:rPr>
                <w:rFonts w:cs="Arial"/>
              </w:rPr>
              <w:t>9.85</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651081D1" w14:textId="77777777" w:rsidR="00115458" w:rsidRPr="004A4590" w:rsidRDefault="00115458" w:rsidP="004A4590">
            <w:pPr>
              <w:spacing w:after="0" w:line="240" w:lineRule="auto"/>
              <w:rPr>
                <w:rFonts w:cs="Arial"/>
              </w:rPr>
            </w:pPr>
            <w:r w:rsidRPr="004A4590">
              <w:rPr>
                <w:rFonts w:cs="Arial"/>
              </w:rPr>
              <w:t>Non-primary production income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45511F65" w14:textId="77777777" w:rsidR="00115458" w:rsidRPr="004A4590" w:rsidRDefault="00115458" w:rsidP="004A4590">
            <w:pPr>
              <w:spacing w:after="0" w:line="240" w:lineRule="auto"/>
              <w:rPr>
                <w:rFonts w:cs="Arial"/>
              </w:rPr>
            </w:pPr>
            <w:r w:rsidRPr="004A4590">
              <w:rPr>
                <w:rFonts w:cs="Arial"/>
              </w:rPr>
              <w:t>000001979900</w:t>
            </w:r>
          </w:p>
        </w:tc>
      </w:tr>
      <w:tr w:rsidR="00115458" w:rsidRPr="004A4590" w14:paraId="2DABF034" w14:textId="77777777" w:rsidTr="000C1365">
        <w:trPr>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3A0DC0" w14:textId="77777777" w:rsidR="00115458" w:rsidRPr="004A4590" w:rsidRDefault="00115458" w:rsidP="004A4590">
            <w:pPr>
              <w:spacing w:after="0" w:line="240" w:lineRule="auto"/>
              <w:rPr>
                <w:rFonts w:cs="Arial"/>
              </w:rPr>
            </w:pPr>
            <w:r w:rsidRPr="004A4590">
              <w:rPr>
                <w:rFonts w:cs="Arial"/>
              </w:rPr>
              <w:t>9.98</w:t>
            </w:r>
          </w:p>
        </w:tc>
        <w:tc>
          <w:tcPr>
            <w:tcW w:w="28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D2E24AA" w14:textId="77777777" w:rsidR="00115458" w:rsidRPr="004A4590" w:rsidRDefault="00115458" w:rsidP="004A4590">
            <w:pPr>
              <w:spacing w:after="0" w:line="240" w:lineRule="auto"/>
              <w:rPr>
                <w:rFonts w:cs="Arial"/>
              </w:rPr>
            </w:pPr>
            <w:r w:rsidRPr="004A4590">
              <w:rPr>
                <w:rFonts w:cs="Arial"/>
              </w:rPr>
              <w:t>Other allowable trust deductions (cents)</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14:paraId="7E416426" w14:textId="77777777" w:rsidR="00115458" w:rsidRPr="004A4590" w:rsidRDefault="00115458" w:rsidP="004A4590">
            <w:pPr>
              <w:spacing w:after="0" w:line="240" w:lineRule="auto"/>
              <w:rPr>
                <w:rFonts w:cs="Arial"/>
              </w:rPr>
            </w:pPr>
            <w:r w:rsidRPr="004A4590">
              <w:rPr>
                <w:rFonts w:cs="Arial"/>
              </w:rPr>
              <w:t>000000210000</w:t>
            </w:r>
          </w:p>
        </w:tc>
      </w:tr>
    </w:tbl>
    <w:p w14:paraId="382AD208" w14:textId="77777777" w:rsidR="00115458" w:rsidRPr="004A4590" w:rsidRDefault="00115458" w:rsidP="004A4590">
      <w:pPr>
        <w:spacing w:after="0" w:line="240" w:lineRule="auto"/>
        <w:rPr>
          <w:rFonts w:cs="Arial"/>
          <w:b/>
          <w:smallCaps/>
        </w:rPr>
      </w:pPr>
    </w:p>
    <w:p w14:paraId="5DC86042" w14:textId="77777777" w:rsidR="00115458" w:rsidRPr="004A4590" w:rsidRDefault="00115458" w:rsidP="004A4590">
      <w:pPr>
        <w:spacing w:after="0" w:line="240" w:lineRule="auto"/>
        <w:rPr>
          <w:rFonts w:cs="Arial"/>
          <w:b/>
          <w:smallCaps/>
        </w:rPr>
      </w:pPr>
      <w:r w:rsidRPr="004A4590">
        <w:rPr>
          <w:rFonts w:cs="Arial"/>
          <w:b/>
          <w:smallCaps/>
        </w:rPr>
        <w:t xml:space="preserve">supplementary income account record </w:t>
      </w:r>
      <w:r w:rsidRPr="004A4590">
        <w:rPr>
          <w:rFonts w:cs="Arial"/>
          <w:smallCaps/>
        </w:rPr>
        <w:t>(extract)</w:t>
      </w:r>
    </w:p>
    <w:p w14:paraId="6B21BEA2" w14:textId="77777777" w:rsidR="00115458" w:rsidRPr="004A4590" w:rsidRDefault="00115458" w:rsidP="004A4590">
      <w:pPr>
        <w:spacing w:after="0" w:line="240" w:lineRule="auto"/>
        <w:rPr>
          <w:rFonts w:cs="Arial"/>
        </w:rPr>
      </w:pPr>
    </w:p>
    <w:tbl>
      <w:tblPr>
        <w:tblW w:w="9214" w:type="dxa"/>
        <w:tblInd w:w="93" w:type="dxa"/>
        <w:tblCellMar>
          <w:left w:w="0" w:type="dxa"/>
          <w:right w:w="0" w:type="dxa"/>
        </w:tblCellMar>
        <w:tblLook w:val="0000" w:firstRow="0" w:lastRow="0" w:firstColumn="0" w:lastColumn="0" w:noHBand="0" w:noVBand="0"/>
      </w:tblPr>
      <w:tblGrid>
        <w:gridCol w:w="1227"/>
        <w:gridCol w:w="5160"/>
        <w:gridCol w:w="2827"/>
      </w:tblGrid>
      <w:tr w:rsidR="00115458" w:rsidRPr="004A4590" w14:paraId="2F15B8F3" w14:textId="77777777" w:rsidTr="000C1365">
        <w:trPr>
          <w:cantSplit/>
          <w:trHeight w:val="495"/>
          <w:tblHeader/>
        </w:trPr>
        <w:tc>
          <w:tcPr>
            <w:tcW w:w="590" w:type="pct"/>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tcPr>
          <w:p w14:paraId="089B33F5" w14:textId="77777777" w:rsidR="00115458" w:rsidRPr="004A4590" w:rsidRDefault="00115458" w:rsidP="004A4590">
            <w:pPr>
              <w:spacing w:after="0" w:line="240" w:lineRule="auto"/>
              <w:rPr>
                <w:rFonts w:cs="Arial"/>
              </w:rPr>
            </w:pPr>
            <w:r w:rsidRPr="004A4590">
              <w:rPr>
                <w:rFonts w:cs="Arial"/>
                <w:b/>
                <w:bCs/>
              </w:rPr>
              <w:t>Reference number</w:t>
            </w:r>
          </w:p>
        </w:tc>
        <w:tc>
          <w:tcPr>
            <w:tcW w:w="2838"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4524EF15" w14:textId="77777777" w:rsidR="00115458" w:rsidRPr="004A4590" w:rsidRDefault="00115458" w:rsidP="004A4590">
            <w:pPr>
              <w:spacing w:after="0" w:line="240" w:lineRule="auto"/>
              <w:rPr>
                <w:rFonts w:cs="Arial"/>
              </w:rPr>
            </w:pPr>
            <w:r w:rsidRPr="004A4590">
              <w:rPr>
                <w:rFonts w:cs="Arial"/>
                <w:b/>
                <w:bCs/>
              </w:rPr>
              <w:t>Field name</w:t>
            </w:r>
          </w:p>
        </w:tc>
        <w:tc>
          <w:tcPr>
            <w:tcW w:w="1572"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14:paraId="34F4D17F" w14:textId="77777777" w:rsidR="00115458" w:rsidRPr="004A4590" w:rsidRDefault="00115458" w:rsidP="004A4590">
            <w:pPr>
              <w:spacing w:after="0" w:line="240" w:lineRule="auto"/>
              <w:rPr>
                <w:rFonts w:cs="Arial"/>
              </w:rPr>
            </w:pPr>
            <w:r w:rsidRPr="004A4590">
              <w:rPr>
                <w:rFonts w:cs="Arial"/>
                <w:b/>
                <w:bCs/>
              </w:rPr>
              <w:t>Content</w:t>
            </w:r>
          </w:p>
        </w:tc>
      </w:tr>
      <w:tr w:rsidR="00115458" w:rsidRPr="004A4590" w14:paraId="06F46830" w14:textId="77777777" w:rsidTr="000C1365">
        <w:trPr>
          <w:cantSplit/>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650483" w14:textId="77777777" w:rsidR="00115458" w:rsidRPr="004A4590" w:rsidRDefault="00115458" w:rsidP="004A4590">
            <w:pPr>
              <w:spacing w:after="0" w:line="240" w:lineRule="auto"/>
              <w:rPr>
                <w:rFonts w:cs="Arial"/>
              </w:rPr>
            </w:pPr>
            <w:r w:rsidRPr="004A4590">
              <w:rPr>
                <w:rFonts w:cs="Arial"/>
              </w:rPr>
              <w:t>9.119</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116B0550" w14:textId="77777777" w:rsidR="00115458" w:rsidRPr="004A4590" w:rsidRDefault="00115458" w:rsidP="004A4590">
            <w:pPr>
              <w:spacing w:after="0" w:line="240" w:lineRule="auto"/>
              <w:rPr>
                <w:rFonts w:cs="Arial"/>
              </w:rPr>
            </w:pPr>
            <w:r w:rsidRPr="004A4590">
              <w:rPr>
                <w:rFonts w:cs="Arial"/>
              </w:rPr>
              <w:t>Unfranked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1B77AF2" w14:textId="77777777" w:rsidR="00115458" w:rsidRPr="004A4590" w:rsidRDefault="00115458" w:rsidP="004A4590">
            <w:pPr>
              <w:spacing w:after="0" w:line="240" w:lineRule="auto"/>
              <w:rPr>
                <w:rFonts w:cs="Arial"/>
              </w:rPr>
            </w:pPr>
            <w:r w:rsidRPr="004A4590">
              <w:rPr>
                <w:rFonts w:cs="Arial"/>
              </w:rPr>
              <w:t>000001270000</w:t>
            </w:r>
          </w:p>
        </w:tc>
      </w:tr>
      <w:tr w:rsidR="00115458" w:rsidRPr="004A4590" w14:paraId="7A0539FE" w14:textId="77777777" w:rsidTr="000C1365">
        <w:trPr>
          <w:cantSplit/>
          <w:trHeight w:val="270"/>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4DBDD8" w14:textId="77777777" w:rsidR="00115458" w:rsidRPr="004A4590" w:rsidRDefault="00115458" w:rsidP="004A4590">
            <w:pPr>
              <w:spacing w:after="0" w:line="240" w:lineRule="auto"/>
              <w:rPr>
                <w:rFonts w:cs="Arial"/>
              </w:rPr>
            </w:pPr>
            <w:r w:rsidRPr="004A4590">
              <w:rPr>
                <w:rFonts w:cs="Arial"/>
              </w:rPr>
              <w:t>9.120</w:t>
            </w:r>
          </w:p>
        </w:tc>
        <w:tc>
          <w:tcPr>
            <w:tcW w:w="2838" w:type="pct"/>
            <w:tcBorders>
              <w:top w:val="nil"/>
              <w:left w:val="nil"/>
              <w:bottom w:val="single" w:sz="8" w:space="0" w:color="auto"/>
              <w:right w:val="single" w:sz="8" w:space="0" w:color="auto"/>
            </w:tcBorders>
            <w:tcMar>
              <w:top w:w="0" w:type="dxa"/>
              <w:left w:w="108" w:type="dxa"/>
              <w:bottom w:w="0" w:type="dxa"/>
              <w:right w:w="108" w:type="dxa"/>
            </w:tcMar>
            <w:vAlign w:val="center"/>
          </w:tcPr>
          <w:p w14:paraId="66790173" w14:textId="77777777" w:rsidR="00115458" w:rsidRPr="004A4590" w:rsidRDefault="00115458" w:rsidP="004A4590">
            <w:pPr>
              <w:spacing w:after="0" w:line="240" w:lineRule="auto"/>
              <w:rPr>
                <w:rFonts w:cs="Arial"/>
              </w:rPr>
            </w:pPr>
            <w:r w:rsidRPr="004A4590">
              <w:rPr>
                <w:rFonts w:cs="Arial"/>
              </w:rPr>
              <w:t>Franked distributions from trusts (cents)</w:t>
            </w:r>
          </w:p>
        </w:tc>
        <w:tc>
          <w:tcPr>
            <w:tcW w:w="1572" w:type="pct"/>
            <w:tcBorders>
              <w:top w:val="nil"/>
              <w:left w:val="nil"/>
              <w:bottom w:val="single" w:sz="8" w:space="0" w:color="auto"/>
              <w:right w:val="single" w:sz="8" w:space="0" w:color="auto"/>
            </w:tcBorders>
            <w:tcMar>
              <w:top w:w="0" w:type="dxa"/>
              <w:left w:w="108" w:type="dxa"/>
              <w:bottom w:w="0" w:type="dxa"/>
              <w:right w:w="108" w:type="dxa"/>
            </w:tcMar>
            <w:vAlign w:val="center"/>
          </w:tcPr>
          <w:p w14:paraId="4B398DE4" w14:textId="77777777" w:rsidR="00115458" w:rsidRPr="004A4590" w:rsidRDefault="00115458" w:rsidP="004A4590">
            <w:pPr>
              <w:spacing w:after="0" w:line="240" w:lineRule="auto"/>
              <w:rPr>
                <w:rFonts w:cs="Arial"/>
              </w:rPr>
            </w:pPr>
            <w:r w:rsidRPr="004A4590">
              <w:rPr>
                <w:rFonts w:cs="Arial"/>
              </w:rPr>
              <w:t>000001247100</w:t>
            </w:r>
          </w:p>
        </w:tc>
      </w:tr>
    </w:tbl>
    <w:p w14:paraId="358EC122" w14:textId="532DD654" w:rsidR="00115458" w:rsidRPr="0028338D" w:rsidRDefault="0028338D" w:rsidP="004A4590">
      <w:pPr>
        <w:spacing w:after="0" w:line="240" w:lineRule="auto"/>
        <w:rPr>
          <w:rFonts w:cs="Arial"/>
          <w:sz w:val="18"/>
          <w:szCs w:val="18"/>
        </w:rPr>
      </w:pPr>
      <w:r w:rsidRPr="0028338D">
        <w:rPr>
          <w:rFonts w:cs="Arial"/>
          <w:sz w:val="18"/>
          <w:szCs w:val="18"/>
        </w:rPr>
        <w:t>An</w:t>
      </w:r>
      <w:r w:rsidRPr="0028338D">
        <w:rPr>
          <w:rFonts w:cs="Arial"/>
          <w:i/>
          <w:iCs/>
          <w:sz w:val="18"/>
          <w:szCs w:val="18"/>
        </w:rPr>
        <w:t xml:space="preserve"> </w:t>
      </w:r>
      <w:r w:rsidR="00115458" w:rsidRPr="0028338D">
        <w:rPr>
          <w:rFonts w:cs="Arial"/>
          <w:i/>
          <w:sz w:val="18"/>
          <w:szCs w:val="18"/>
        </w:rPr>
        <w:t>Investor data record</w:t>
      </w:r>
      <w:r w:rsidR="00115458" w:rsidRPr="0028338D">
        <w:rPr>
          <w:rFonts w:cs="Arial"/>
          <w:sz w:val="18"/>
          <w:szCs w:val="18"/>
        </w:rPr>
        <w:t xml:space="preserve"> is required following the </w:t>
      </w:r>
      <w:r w:rsidR="00115458" w:rsidRPr="0028338D">
        <w:rPr>
          <w:rFonts w:cs="Arial"/>
          <w:i/>
          <w:sz w:val="18"/>
          <w:szCs w:val="18"/>
        </w:rPr>
        <w:t>Supplementary income account data record</w:t>
      </w:r>
      <w:r w:rsidR="00115458" w:rsidRPr="0028338D">
        <w:rPr>
          <w:rFonts w:cs="Arial"/>
          <w:sz w:val="18"/>
          <w:szCs w:val="18"/>
        </w:rPr>
        <w:t xml:space="preserve"> </w:t>
      </w:r>
    </w:p>
    <w:p w14:paraId="552D118A" w14:textId="77777777" w:rsidR="004A4590" w:rsidRDefault="004A4590" w:rsidP="00106F68"/>
    <w:p w14:paraId="4093F291" w14:textId="6311EB44" w:rsidR="00115458" w:rsidRPr="004A4590" w:rsidRDefault="00115458" w:rsidP="00F94DFB">
      <w:pPr>
        <w:pStyle w:val="Heading3"/>
        <w:spacing w:before="0" w:after="0" w:line="240" w:lineRule="auto"/>
      </w:pPr>
      <w:bookmarkStart w:id="1682" w:name="_Toc232191362"/>
      <w:r w:rsidRPr="004A4590">
        <w:t>Share of Early Stage Investor tax offset</w:t>
      </w:r>
      <w:bookmarkEnd w:id="1682"/>
      <w:r w:rsidRPr="004A4590">
        <w:t xml:space="preserve"> </w:t>
      </w:r>
    </w:p>
    <w:p w14:paraId="4199A1DE" w14:textId="77777777" w:rsidR="004A4590" w:rsidRPr="004A4590" w:rsidRDefault="004A4590" w:rsidP="00F94DFB">
      <w:pPr>
        <w:spacing w:after="0" w:line="240" w:lineRule="auto"/>
      </w:pPr>
    </w:p>
    <w:p w14:paraId="06CD8DE1" w14:textId="77777777" w:rsidR="00115458" w:rsidRPr="004A4590" w:rsidRDefault="00115458" w:rsidP="00F94DFB">
      <w:pPr>
        <w:spacing w:after="0" w:line="240" w:lineRule="auto"/>
      </w:pPr>
      <w:r w:rsidRPr="004A4590">
        <w:t>An early stage investor can receive up to 20% of the total amount paid to acquire qualifying shares depending on certain criteria.</w:t>
      </w:r>
    </w:p>
    <w:p w14:paraId="16C8A51E" w14:textId="77777777" w:rsidR="00115458" w:rsidRPr="004A4590" w:rsidRDefault="00115458" w:rsidP="00F94DFB">
      <w:pPr>
        <w:spacing w:after="0" w:line="240" w:lineRule="auto"/>
      </w:pPr>
    </w:p>
    <w:p w14:paraId="2A73221A" w14:textId="77777777" w:rsidR="00115458" w:rsidRPr="004A4590" w:rsidRDefault="00115458" w:rsidP="00F94DFB">
      <w:pPr>
        <w:spacing w:after="0" w:line="240" w:lineRule="auto"/>
      </w:pPr>
      <w:r w:rsidRPr="004A4590">
        <w:t xml:space="preserve">The criteria is further explained on the </w:t>
      </w:r>
      <w:hyperlink r:id="rId38" w:history="1">
        <w:r w:rsidRPr="004A4590">
          <w:rPr>
            <w:rStyle w:val="Hyperlink"/>
          </w:rPr>
          <w:t>Tax incentives for early stage investors | Australian Taxation Office (ato.gov.au)</w:t>
        </w:r>
      </w:hyperlink>
      <w:r w:rsidRPr="004A4590">
        <w:t xml:space="preserve">. </w:t>
      </w:r>
    </w:p>
    <w:p w14:paraId="1DF00DBF" w14:textId="77777777" w:rsidR="00115458" w:rsidRPr="004A4590" w:rsidRDefault="00115458" w:rsidP="00F94DFB">
      <w:pPr>
        <w:spacing w:after="0" w:line="240" w:lineRule="auto"/>
      </w:pPr>
    </w:p>
    <w:p w14:paraId="1D4C2B1C" w14:textId="0148878B" w:rsidR="00115458" w:rsidRDefault="00115458" w:rsidP="00F94DFB">
      <w:pPr>
        <w:spacing w:after="0" w:line="240" w:lineRule="auto"/>
      </w:pPr>
      <w:r w:rsidRPr="004A4590">
        <w:t xml:space="preserve">The field, Share of </w:t>
      </w:r>
      <w:r w:rsidRPr="004A4590">
        <w:rPr>
          <w:i/>
        </w:rPr>
        <w:t>Early Stage Investor tax offset</w:t>
      </w:r>
      <w:r w:rsidRPr="004A4590">
        <w:t xml:space="preserve"> (9.133), is included in the </w:t>
      </w:r>
      <w:r w:rsidRPr="004A4590">
        <w:rPr>
          <w:i/>
          <w:iCs/>
        </w:rPr>
        <w:t xml:space="preserve">Supplementary income account data record </w:t>
      </w:r>
      <w:r w:rsidRPr="004A4590">
        <w:t>to capture the tax offset that may be attributed to an investor. The amount reported at this field is a non-refundable carry-forward tax offset.</w:t>
      </w:r>
    </w:p>
    <w:p w14:paraId="5684851C" w14:textId="77777777" w:rsidR="004A4590" w:rsidRPr="004A4590" w:rsidRDefault="004A4590" w:rsidP="004A4590">
      <w:pPr>
        <w:spacing w:after="0" w:line="240" w:lineRule="auto"/>
      </w:pPr>
    </w:p>
    <w:p w14:paraId="2436A162" w14:textId="77777777" w:rsidR="0028338D" w:rsidRDefault="0028338D" w:rsidP="004A4590">
      <w:pPr>
        <w:pStyle w:val="Heading3"/>
        <w:spacing w:before="0" w:after="0" w:line="240" w:lineRule="auto"/>
        <w:rPr>
          <w:sz w:val="20"/>
          <w:szCs w:val="20"/>
        </w:rPr>
      </w:pPr>
    </w:p>
    <w:p w14:paraId="476C7AF5" w14:textId="4B37514C" w:rsidR="004A4590" w:rsidRDefault="00115458" w:rsidP="004A4590">
      <w:pPr>
        <w:pStyle w:val="Heading3"/>
        <w:spacing w:before="0" w:after="0" w:line="240" w:lineRule="auto"/>
        <w:rPr>
          <w:sz w:val="20"/>
          <w:szCs w:val="20"/>
        </w:rPr>
      </w:pPr>
      <w:bookmarkStart w:id="1683" w:name="_Toc232191363"/>
      <w:r w:rsidRPr="004A4590">
        <w:rPr>
          <w:sz w:val="20"/>
          <w:szCs w:val="20"/>
        </w:rPr>
        <w:t>Share of Early Stage Venture Capital Limited Partnership tax offset</w:t>
      </w:r>
      <w:bookmarkEnd w:id="1683"/>
    </w:p>
    <w:p w14:paraId="61B64F21" w14:textId="77777777" w:rsidR="00282265" w:rsidRPr="00282265" w:rsidRDefault="00282265" w:rsidP="00282265">
      <w:pPr>
        <w:spacing w:after="0" w:line="240" w:lineRule="auto"/>
      </w:pPr>
    </w:p>
    <w:p w14:paraId="46E182CD" w14:textId="77777777" w:rsidR="00115458" w:rsidRPr="004A4590" w:rsidRDefault="00115458" w:rsidP="004A4590">
      <w:pPr>
        <w:spacing w:after="0" w:line="240" w:lineRule="auto"/>
      </w:pPr>
      <w:r w:rsidRPr="004A4590">
        <w:t>A limited partner of an Early Stage Venture Capital Limited Partnership (ESVCLP) can receive up to 10 % of contributions made to an ESVCLP that becomes unconditionally registered on or after 7 December 2015.</w:t>
      </w:r>
    </w:p>
    <w:p w14:paraId="5463C378" w14:textId="77777777" w:rsidR="00115458" w:rsidRPr="004A4590" w:rsidRDefault="00115458" w:rsidP="004A4590">
      <w:pPr>
        <w:spacing w:after="0" w:line="240" w:lineRule="auto"/>
      </w:pPr>
    </w:p>
    <w:p w14:paraId="124EB9FF" w14:textId="60B67C3F" w:rsidR="00115458" w:rsidRDefault="00115458" w:rsidP="004A4590">
      <w:pPr>
        <w:spacing w:after="0" w:line="240" w:lineRule="auto"/>
      </w:pPr>
      <w:r w:rsidRPr="004A4590">
        <w:t>The offset amount is 10% of the lesser of the following:</w:t>
      </w:r>
    </w:p>
    <w:p w14:paraId="53C967F5" w14:textId="77777777" w:rsidR="00282265" w:rsidRPr="004A4590" w:rsidRDefault="00282265" w:rsidP="004A4590">
      <w:pPr>
        <w:spacing w:after="0" w:line="240" w:lineRule="auto"/>
      </w:pPr>
    </w:p>
    <w:p w14:paraId="71423896" w14:textId="77777777" w:rsidR="00115458" w:rsidRPr="004A4590" w:rsidRDefault="00115458" w:rsidP="001601AF">
      <w:pPr>
        <w:pStyle w:val="ListParagraph"/>
        <w:numPr>
          <w:ilvl w:val="0"/>
          <w:numId w:val="53"/>
        </w:numPr>
        <w:spacing w:after="0" w:line="240" w:lineRule="auto"/>
        <w:rPr>
          <w:rFonts w:cs="Arial"/>
        </w:rPr>
      </w:pPr>
      <w:r w:rsidRPr="004A4590">
        <w:rPr>
          <w:rFonts w:cs="Arial"/>
        </w:rPr>
        <w:t xml:space="preserve">the sum of the contributions made by a limited partner to the ESVCLP during the income year </w:t>
      </w:r>
    </w:p>
    <w:p w14:paraId="1481C13D" w14:textId="1E56A01D" w:rsidR="00115458" w:rsidRDefault="00115458" w:rsidP="001601AF">
      <w:pPr>
        <w:pStyle w:val="ListParagraph"/>
        <w:numPr>
          <w:ilvl w:val="0"/>
          <w:numId w:val="53"/>
        </w:numPr>
        <w:spacing w:after="0" w:line="240" w:lineRule="auto"/>
        <w:rPr>
          <w:rFonts w:cs="Arial"/>
        </w:rPr>
      </w:pPr>
      <w:r w:rsidRPr="004A4590">
        <w:rPr>
          <w:rFonts w:cs="Arial"/>
        </w:rPr>
        <w:t>the partner's share (as a percentage) of the sum of eligible venture capital investments made by the ESVCLP during the income year and within two months after the end of the income year.</w:t>
      </w:r>
    </w:p>
    <w:p w14:paraId="7C493EAA" w14:textId="77777777" w:rsidR="004A4590" w:rsidRPr="004A4590" w:rsidRDefault="004A4590" w:rsidP="004A4590">
      <w:pPr>
        <w:pStyle w:val="ListParagraph"/>
        <w:spacing w:after="0" w:line="240" w:lineRule="auto"/>
        <w:rPr>
          <w:rFonts w:cs="Arial"/>
        </w:rPr>
      </w:pPr>
    </w:p>
    <w:p w14:paraId="50DF069E" w14:textId="77777777" w:rsidR="00115458" w:rsidRPr="004A4590" w:rsidRDefault="00115458" w:rsidP="004A4590">
      <w:pPr>
        <w:spacing w:after="0" w:line="240" w:lineRule="auto"/>
      </w:pPr>
      <w:r w:rsidRPr="004A4590">
        <w:t>Investors of trusts or partnerships that are limited partners of an ESVCLP will also be entitled to the offset on a flow-through basis.</w:t>
      </w:r>
    </w:p>
    <w:p w14:paraId="170DC3DA" w14:textId="77777777" w:rsidR="00115458" w:rsidRPr="004A4590" w:rsidRDefault="00115458" w:rsidP="004A4590">
      <w:pPr>
        <w:spacing w:after="0" w:line="240" w:lineRule="auto"/>
      </w:pPr>
    </w:p>
    <w:p w14:paraId="061F3D9E" w14:textId="77777777" w:rsidR="00115458" w:rsidRPr="004A4590" w:rsidRDefault="00115458" w:rsidP="004A4590">
      <w:pPr>
        <w:spacing w:after="0" w:line="240" w:lineRule="auto"/>
      </w:pPr>
      <w:r w:rsidRPr="004A4590">
        <w:t xml:space="preserve">The offset is reported at </w:t>
      </w:r>
      <w:r w:rsidRPr="004A4590">
        <w:rPr>
          <w:i/>
          <w:iCs/>
        </w:rPr>
        <w:t>Share of ESVCLP tax offset</w:t>
      </w:r>
      <w:r w:rsidRPr="004A4590">
        <w:t xml:space="preserve"> (9.134) field in the </w:t>
      </w:r>
      <w:r w:rsidRPr="004A4590">
        <w:rPr>
          <w:i/>
          <w:iCs/>
        </w:rPr>
        <w:t>Supplementary income account data record</w:t>
      </w:r>
      <w:r w:rsidRPr="004A4590">
        <w:t xml:space="preserve"> </w:t>
      </w:r>
      <w:r w:rsidRPr="004A4590">
        <w:rPr>
          <w:i/>
          <w:iCs/>
        </w:rPr>
        <w:t>.</w:t>
      </w:r>
      <w:r w:rsidRPr="004A4590">
        <w:t xml:space="preserve"> The amount reported at this field is a non-refundable carry-forward tax offset. </w:t>
      </w:r>
    </w:p>
    <w:p w14:paraId="778B8B72" w14:textId="77777777" w:rsidR="00115458" w:rsidRPr="004A4590" w:rsidRDefault="00115458" w:rsidP="004A4590">
      <w:pPr>
        <w:spacing w:after="0" w:line="240" w:lineRule="auto"/>
      </w:pPr>
    </w:p>
    <w:p w14:paraId="3F718555" w14:textId="77777777" w:rsidR="00115458" w:rsidRPr="004A4590" w:rsidRDefault="00115458" w:rsidP="004A4590">
      <w:pPr>
        <w:spacing w:after="0" w:line="240" w:lineRule="auto"/>
      </w:pPr>
      <w:r w:rsidRPr="004A4590">
        <w:t>In circumstances where a trustee is assessable, the offset will be apportioned between the trustee and the beneficiaries.</w:t>
      </w:r>
    </w:p>
    <w:p w14:paraId="0114DD88" w14:textId="77777777" w:rsidR="00115458" w:rsidRPr="004A4590" w:rsidRDefault="00115458" w:rsidP="004A4590">
      <w:pPr>
        <w:spacing w:after="0" w:line="240" w:lineRule="auto"/>
      </w:pPr>
    </w:p>
    <w:p w14:paraId="1883611B" w14:textId="0017EFE0" w:rsidR="00115458" w:rsidRDefault="00115458" w:rsidP="004A4590">
      <w:pPr>
        <w:spacing w:after="0" w:line="240" w:lineRule="auto"/>
        <w:rPr>
          <w:rStyle w:val="Hyperlink"/>
        </w:rPr>
      </w:pPr>
      <w:r w:rsidRPr="004A4590">
        <w:t xml:space="preserve">More information relating to this incentive, including eligibility, is available on our website - </w:t>
      </w:r>
      <w:hyperlink r:id="rId39" w:history="1">
        <w:r w:rsidRPr="004A4590">
          <w:rPr>
            <w:rStyle w:val="Hyperlink"/>
          </w:rPr>
          <w:t>ESVCLP</w:t>
        </w:r>
      </w:hyperlink>
    </w:p>
    <w:p w14:paraId="315A080B" w14:textId="77777777" w:rsidR="004A4590" w:rsidRPr="004A4590" w:rsidRDefault="004A4590" w:rsidP="004A4590">
      <w:pPr>
        <w:spacing w:after="0" w:line="240" w:lineRule="auto"/>
        <w:rPr>
          <w:rStyle w:val="Hyperlink"/>
        </w:rPr>
      </w:pPr>
    </w:p>
    <w:p w14:paraId="03311338" w14:textId="23B1DA69" w:rsidR="00115458" w:rsidRDefault="00115458" w:rsidP="00282265">
      <w:pPr>
        <w:pStyle w:val="Heading3"/>
        <w:spacing w:before="0" w:after="0" w:line="240" w:lineRule="auto"/>
        <w:rPr>
          <w:sz w:val="20"/>
          <w:szCs w:val="20"/>
        </w:rPr>
      </w:pPr>
      <w:bookmarkStart w:id="1684" w:name="_Toc232191364"/>
      <w:r w:rsidRPr="004A4590">
        <w:rPr>
          <w:sz w:val="20"/>
          <w:szCs w:val="20"/>
        </w:rPr>
        <w:t>Share of Foreign resident capital gain withholding credits</w:t>
      </w:r>
      <w:bookmarkEnd w:id="1684"/>
    </w:p>
    <w:p w14:paraId="2C57F899" w14:textId="77777777" w:rsidR="00282265" w:rsidRPr="004A4590" w:rsidRDefault="00282265" w:rsidP="00282265">
      <w:pPr>
        <w:spacing w:after="0" w:line="240" w:lineRule="auto"/>
      </w:pPr>
    </w:p>
    <w:p w14:paraId="0CBAF21F" w14:textId="77777777" w:rsidR="00115458" w:rsidRPr="004A4590" w:rsidRDefault="00115458" w:rsidP="004A4590">
      <w:pPr>
        <w:spacing w:after="0" w:line="240" w:lineRule="auto"/>
      </w:pPr>
      <w:r w:rsidRPr="004A4590">
        <w:t xml:space="preserve">The </w:t>
      </w:r>
      <w:r w:rsidRPr="004A4590">
        <w:rPr>
          <w:i/>
          <w:iCs/>
        </w:rPr>
        <w:t>Tax and Superannuation Laws Amendment (2015 Measures No. 6) Act 2016</w:t>
      </w:r>
      <w:r w:rsidRPr="004A4590">
        <w:t xml:space="preserve"> introduced a new foreign resident tax regime that imposed an obligation on purchasers to withhold from the purchase price of certain asset types from 1 July 2016.</w:t>
      </w:r>
    </w:p>
    <w:p w14:paraId="7AE755E1" w14:textId="77777777" w:rsidR="00115458" w:rsidRPr="004A4590" w:rsidRDefault="00115458" w:rsidP="004A4590">
      <w:pPr>
        <w:spacing w:after="0" w:line="240" w:lineRule="auto"/>
      </w:pPr>
    </w:p>
    <w:p w14:paraId="17D6A449" w14:textId="77777777" w:rsidR="00115458" w:rsidRPr="004A4590" w:rsidRDefault="00115458" w:rsidP="004A4590">
      <w:pPr>
        <w:spacing w:after="0" w:line="240" w:lineRule="auto"/>
      </w:pPr>
      <w:r w:rsidRPr="004A4590">
        <w:t xml:space="preserve">This applies where a fund invested in a foreign fund that disposes of certain taxable Australian real property. Where withholding occurs then it is assumed a share of withholding would be distributed to the fund and therefore the member. </w:t>
      </w:r>
    </w:p>
    <w:p w14:paraId="206947BC" w14:textId="77777777" w:rsidR="00115458" w:rsidRPr="004A4590" w:rsidRDefault="00115458" w:rsidP="004A4590">
      <w:pPr>
        <w:spacing w:after="0" w:line="240" w:lineRule="auto"/>
      </w:pPr>
    </w:p>
    <w:p w14:paraId="01F1A827" w14:textId="77777777" w:rsidR="00115458" w:rsidRPr="004A4590" w:rsidRDefault="00115458" w:rsidP="004A4590">
      <w:pPr>
        <w:spacing w:after="0" w:line="240" w:lineRule="auto"/>
      </w:pPr>
      <w:r w:rsidRPr="004A4590">
        <w:t xml:space="preserve">The field, </w:t>
      </w:r>
      <w:r w:rsidRPr="004A4590">
        <w:rPr>
          <w:i/>
        </w:rPr>
        <w:t>Share of Foreign Resident Capital Gains Withholding credits</w:t>
      </w:r>
      <w:r w:rsidRPr="004A4590">
        <w:t xml:space="preserve"> (9.132), is included in the </w:t>
      </w:r>
      <w:r w:rsidRPr="004A4590">
        <w:rPr>
          <w:i/>
          <w:iCs/>
        </w:rPr>
        <w:t>Supplementary income account data record</w:t>
      </w:r>
      <w:r w:rsidRPr="004A4590">
        <w:t xml:space="preserve"> to capture the share of foreign resident capital gains withholding credit.  </w:t>
      </w:r>
    </w:p>
    <w:p w14:paraId="2ECCA421" w14:textId="77777777" w:rsidR="00115458" w:rsidRPr="004A4590" w:rsidRDefault="00115458" w:rsidP="004A4590">
      <w:pPr>
        <w:spacing w:after="0" w:line="240" w:lineRule="auto"/>
      </w:pPr>
    </w:p>
    <w:p w14:paraId="7BC15629" w14:textId="77777777" w:rsidR="00115458" w:rsidRDefault="00115458" w:rsidP="00115458">
      <w:r w:rsidRPr="00DB1D67">
        <w:br w:type="page"/>
      </w:r>
    </w:p>
    <w:p w14:paraId="43136160" w14:textId="2BC33643" w:rsidR="00115458" w:rsidRPr="007C3042" w:rsidRDefault="007C3042" w:rsidP="007C3042">
      <w:pPr>
        <w:pStyle w:val="Heading1"/>
      </w:pPr>
      <w:bookmarkStart w:id="1685" w:name="_Toc5193028"/>
      <w:bookmarkStart w:id="1686" w:name="Section8"/>
      <w:bookmarkStart w:id="1687" w:name="_Toc232191365"/>
      <w:r>
        <w:t xml:space="preserve">8 </w:t>
      </w:r>
      <w:r w:rsidR="00115458" w:rsidRPr="00B35C0A">
        <w:t xml:space="preserve">Alignment between the AIIR, </w:t>
      </w:r>
      <w:r w:rsidR="00115458">
        <w:t xml:space="preserve">AMMA, </w:t>
      </w:r>
      <w:r w:rsidR="00115458" w:rsidRPr="00B35C0A">
        <w:t>SDS and the</w:t>
      </w:r>
      <w:bookmarkEnd w:id="1652"/>
      <w:r w:rsidR="00115458" w:rsidRPr="00B35C0A">
        <w:t xml:space="preserve"> ITR</w:t>
      </w:r>
      <w:bookmarkEnd w:id="1685"/>
      <w:bookmarkEnd w:id="1687"/>
      <w:r w:rsidR="00115458" w:rsidRPr="00B35C0A">
        <w:t xml:space="preserve"> </w:t>
      </w:r>
      <w:r w:rsidR="00115458">
        <w:t xml:space="preserve"> </w:t>
      </w:r>
    </w:p>
    <w:p w14:paraId="598B6ABA" w14:textId="77777777" w:rsidR="00115458" w:rsidRPr="004A4590" w:rsidRDefault="00115458" w:rsidP="004A4590">
      <w:pPr>
        <w:spacing w:after="0" w:line="240" w:lineRule="auto"/>
      </w:pPr>
      <w:bookmarkStart w:id="1688" w:name="_Toc372885360"/>
      <w:bookmarkEnd w:id="1686"/>
      <w:r w:rsidRPr="004A4590">
        <w:t>The AMMA statement and the SDS is the format recommended by the ATO, the Financial Services Council and the Australian Custodial Services Association for disclosure by managed funds of tax information to resident and non-resident individuals for completion of their tax returns, relevant schedules and other requirements.</w:t>
      </w:r>
    </w:p>
    <w:p w14:paraId="548A4D04" w14:textId="77777777" w:rsidR="00115458" w:rsidRPr="004A4590" w:rsidRDefault="00115458" w:rsidP="004A4590">
      <w:pPr>
        <w:spacing w:after="0" w:line="240" w:lineRule="auto"/>
      </w:pPr>
    </w:p>
    <w:p w14:paraId="58B97E6C" w14:textId="77777777" w:rsidR="00115458" w:rsidRPr="004A4590" w:rsidRDefault="00115458" w:rsidP="004A4590">
      <w:pPr>
        <w:spacing w:after="0" w:line="240" w:lineRule="auto"/>
      </w:pPr>
      <w:r w:rsidRPr="004A4590">
        <w:t>Funds should apply the relevant provisions of the income tax law in preparation of the statement.</w:t>
      </w:r>
    </w:p>
    <w:p w14:paraId="5F33EB9F" w14:textId="77777777" w:rsidR="00115458" w:rsidRPr="004A4590" w:rsidRDefault="00115458" w:rsidP="004A4590">
      <w:pPr>
        <w:spacing w:after="0" w:line="240" w:lineRule="auto"/>
      </w:pPr>
    </w:p>
    <w:p w14:paraId="65E30C4D"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AMMA - Subdivision 276-H - AMMA statements of ITAA 1997</w:t>
      </w:r>
    </w:p>
    <w:p w14:paraId="525BC222" w14:textId="77777777" w:rsidR="00115458" w:rsidRPr="004A4590" w:rsidRDefault="00115458" w:rsidP="001601AF">
      <w:pPr>
        <w:pStyle w:val="Bullet1"/>
        <w:numPr>
          <w:ilvl w:val="0"/>
          <w:numId w:val="57"/>
        </w:numPr>
        <w:spacing w:before="0" w:after="0"/>
        <w:rPr>
          <w:rFonts w:asciiTheme="minorHAnsi" w:hAnsiTheme="minorHAnsi" w:cs="Arial"/>
          <w:sz w:val="20"/>
          <w:szCs w:val="20"/>
        </w:rPr>
      </w:pPr>
      <w:r w:rsidRPr="004A4590">
        <w:rPr>
          <w:rFonts w:asciiTheme="minorHAnsi" w:hAnsiTheme="minorHAnsi" w:cs="Arial"/>
          <w:sz w:val="20"/>
          <w:szCs w:val="20"/>
        </w:rPr>
        <w:t>SDS – Division 6 of Part III of ITAA 1936</w:t>
      </w:r>
    </w:p>
    <w:p w14:paraId="25337C3A" w14:textId="77777777" w:rsidR="00115458" w:rsidRPr="004A4590" w:rsidRDefault="00115458" w:rsidP="004A4590">
      <w:pPr>
        <w:spacing w:after="0" w:line="240" w:lineRule="auto"/>
        <w:rPr>
          <w:rFonts w:cs="Arial"/>
        </w:rPr>
      </w:pPr>
    </w:p>
    <w:p w14:paraId="433189CC" w14:textId="77777777" w:rsidR="00115458" w:rsidRPr="004A4590" w:rsidRDefault="00115458" w:rsidP="004A4590">
      <w:pPr>
        <w:spacing w:after="0" w:line="240" w:lineRule="auto"/>
      </w:pPr>
      <w:r w:rsidRPr="004A4590">
        <w:t xml:space="preserve">For an AMIT, the AMMA statement replaces the SDS that is currently provided to members of MITs. The SDS will continue to be available for managed funds that do not enter the attribution MIT regime. Similarly to the SDS, the AMMA statement is not an approved form, but is a format recommended based on a standard, negotiated and agreed with industry, for provision of tax information to their investors. </w:t>
      </w:r>
    </w:p>
    <w:p w14:paraId="5E8030F2" w14:textId="77777777" w:rsidR="00115458" w:rsidRPr="004A4590" w:rsidRDefault="00115458" w:rsidP="004A4590">
      <w:pPr>
        <w:spacing w:after="0" w:line="240" w:lineRule="auto"/>
      </w:pPr>
    </w:p>
    <w:p w14:paraId="76E2ABF2" w14:textId="77777777" w:rsidR="00115458" w:rsidRPr="004A4590" w:rsidRDefault="00115458" w:rsidP="004A4590">
      <w:pPr>
        <w:spacing w:after="0" w:line="240" w:lineRule="auto"/>
      </w:pPr>
      <w:r w:rsidRPr="004A4590">
        <w:t>An AMMA statement shows the amounts the trust has attributed to each investor to include in their own tax returns. The statement must:</w:t>
      </w:r>
    </w:p>
    <w:p w14:paraId="70EB62AA" w14:textId="77777777" w:rsidR="00115458" w:rsidRPr="004A4590" w:rsidRDefault="00115458" w:rsidP="004A4590">
      <w:pPr>
        <w:spacing w:after="0" w:line="240" w:lineRule="auto"/>
      </w:pPr>
    </w:p>
    <w:p w14:paraId="1135086D" w14:textId="77777777" w:rsidR="00115458" w:rsidRPr="004A4590" w:rsidRDefault="00115458" w:rsidP="001601AF">
      <w:pPr>
        <w:pStyle w:val="Bullet1"/>
        <w:numPr>
          <w:ilvl w:val="0"/>
          <w:numId w:val="61"/>
        </w:numPr>
        <w:spacing w:before="0" w:after="0"/>
        <w:rPr>
          <w:rFonts w:asciiTheme="minorHAnsi" w:hAnsiTheme="minorHAnsi" w:cs="Arial"/>
          <w:sz w:val="20"/>
          <w:szCs w:val="20"/>
        </w:rPr>
      </w:pPr>
      <w:r w:rsidRPr="004A4590">
        <w:rPr>
          <w:rFonts w:asciiTheme="minorHAnsi" w:hAnsiTheme="minorHAnsi" w:cs="Arial"/>
          <w:sz w:val="20"/>
          <w:szCs w:val="20"/>
        </w:rPr>
        <w:t>include information that reflects the amount and character of each member component of the member for the income year; and</w:t>
      </w:r>
    </w:p>
    <w:p w14:paraId="3A90EA08" w14:textId="77777777" w:rsidR="00115458" w:rsidRPr="004A4590" w:rsidRDefault="00115458" w:rsidP="001601AF">
      <w:pPr>
        <w:pStyle w:val="Bullet1"/>
        <w:numPr>
          <w:ilvl w:val="0"/>
          <w:numId w:val="61"/>
        </w:numPr>
        <w:spacing w:before="0" w:after="0"/>
        <w:rPr>
          <w:rFonts w:asciiTheme="minorHAnsi" w:hAnsiTheme="minorHAnsi" w:cs="Arial"/>
          <w:sz w:val="20"/>
          <w:szCs w:val="20"/>
        </w:rPr>
      </w:pPr>
      <w:r w:rsidRPr="004A4590">
        <w:rPr>
          <w:rFonts w:asciiTheme="minorHAnsi" w:hAnsiTheme="minorHAnsi" w:cs="Arial"/>
          <w:sz w:val="20"/>
          <w:szCs w:val="20"/>
        </w:rPr>
        <w:t>state what the trustee reasonably estimates to be the amount of the excess or shortfall mentioned in section 104-107C of the ITAA 1997 (AMIT cost base net amount) for the income year in respect of the CGT asset that is the member's unit or interest in the AMIT.</w:t>
      </w:r>
    </w:p>
    <w:p w14:paraId="646F03BB" w14:textId="77777777" w:rsidR="00115458" w:rsidRPr="004A4590" w:rsidRDefault="00115458" w:rsidP="004A4590">
      <w:pPr>
        <w:spacing w:after="0" w:line="240" w:lineRule="auto"/>
        <w:ind w:left="720"/>
      </w:pPr>
      <w:bookmarkStart w:id="1689" w:name="P23_883"/>
      <w:bookmarkStart w:id="1690" w:name="H2"/>
      <w:bookmarkStart w:id="1691" w:name="Content"/>
      <w:bookmarkStart w:id="1692" w:name="top"/>
      <w:bookmarkStart w:id="1693" w:name="FMD"/>
      <w:bookmarkEnd w:id="1689"/>
      <w:bookmarkEnd w:id="1690"/>
      <w:bookmarkEnd w:id="1691"/>
      <w:bookmarkEnd w:id="1692"/>
    </w:p>
    <w:p w14:paraId="11EEFA13" w14:textId="4428830D" w:rsidR="00115458" w:rsidRDefault="00115458" w:rsidP="004A4590">
      <w:pPr>
        <w:spacing w:after="0" w:line="240" w:lineRule="auto"/>
        <w:rPr>
          <w:rFonts w:cs="Arial"/>
        </w:rPr>
      </w:pPr>
      <w:r w:rsidRPr="004A4590">
        <w:rPr>
          <w:rFonts w:cs="Arial"/>
        </w:rPr>
        <w:t xml:space="preserve">Investment bodies also report the account information supplied in the AMMA statement or SDS to us through the AIIR in both the </w:t>
      </w:r>
      <w:r w:rsidRPr="004A4590">
        <w:rPr>
          <w:rFonts w:cs="Arial"/>
          <w:i/>
        </w:rPr>
        <w:t xml:space="preserve">Investment account data record </w:t>
      </w:r>
      <w:r w:rsidRPr="004A4590">
        <w:rPr>
          <w:rFonts w:cs="Arial"/>
        </w:rPr>
        <w:t xml:space="preserve">and the </w:t>
      </w:r>
      <w:r w:rsidRPr="004A4590">
        <w:rPr>
          <w:rFonts w:cs="Arial"/>
          <w:i/>
        </w:rPr>
        <w:t>Supplementary income account data record</w:t>
      </w:r>
      <w:r w:rsidRPr="004A4590">
        <w:rPr>
          <w:rFonts w:cs="Arial"/>
        </w:rPr>
        <w:t>.</w:t>
      </w:r>
    </w:p>
    <w:p w14:paraId="61386FD9" w14:textId="77777777" w:rsidR="003F7C1D" w:rsidRPr="004A4590" w:rsidRDefault="003F7C1D" w:rsidP="004A4590">
      <w:pPr>
        <w:spacing w:after="0" w:line="240" w:lineRule="auto"/>
        <w:rPr>
          <w:rFonts w:cs="Arial"/>
        </w:rPr>
      </w:pPr>
    </w:p>
    <w:p w14:paraId="17FC55EA" w14:textId="5F644ECB" w:rsidR="00115458" w:rsidRDefault="00115458" w:rsidP="004A4590">
      <w:pPr>
        <w:spacing w:after="0" w:line="240" w:lineRule="auto"/>
        <w:rPr>
          <w:rFonts w:cs="Arial"/>
        </w:rPr>
      </w:pPr>
      <w:r w:rsidRPr="004A4590">
        <w:rPr>
          <w:rFonts w:cs="Arial"/>
        </w:rPr>
        <w:t>One of the objectives of the AIIR is to align the information reported in the AIIR with the information reported in the statements.  This enables us to:</w:t>
      </w:r>
    </w:p>
    <w:p w14:paraId="262FB211" w14:textId="77777777" w:rsidR="004A4590" w:rsidRPr="004A4590" w:rsidRDefault="004A4590" w:rsidP="004A4590">
      <w:pPr>
        <w:spacing w:after="0" w:line="240" w:lineRule="auto"/>
        <w:rPr>
          <w:rFonts w:cs="Arial"/>
        </w:rPr>
      </w:pPr>
    </w:p>
    <w:p w14:paraId="4678AF86" w14:textId="77777777" w:rsidR="00115458" w:rsidRPr="004A4590" w:rsidRDefault="00115458" w:rsidP="001601AF">
      <w:pPr>
        <w:pStyle w:val="Bullet1"/>
        <w:numPr>
          <w:ilvl w:val="0"/>
          <w:numId w:val="62"/>
        </w:numPr>
        <w:spacing w:before="0" w:after="0"/>
        <w:rPr>
          <w:rFonts w:asciiTheme="minorHAnsi" w:hAnsiTheme="minorHAnsi" w:cs="Arial"/>
          <w:sz w:val="20"/>
          <w:szCs w:val="20"/>
        </w:rPr>
      </w:pPr>
      <w:r w:rsidRPr="004A4590">
        <w:rPr>
          <w:rFonts w:asciiTheme="minorHAnsi" w:hAnsiTheme="minorHAnsi" w:cs="Arial"/>
          <w:sz w:val="20"/>
          <w:szCs w:val="20"/>
        </w:rPr>
        <w:t xml:space="preserve">continue to increase the data available to pre-fill </w:t>
      </w:r>
    </w:p>
    <w:p w14:paraId="1EF28664" w14:textId="77777777" w:rsidR="00115458" w:rsidRPr="004A4590" w:rsidRDefault="00115458" w:rsidP="001601AF">
      <w:pPr>
        <w:pStyle w:val="Bullet1"/>
        <w:numPr>
          <w:ilvl w:val="0"/>
          <w:numId w:val="62"/>
        </w:numPr>
        <w:spacing w:before="0" w:after="0"/>
        <w:rPr>
          <w:rFonts w:asciiTheme="minorHAnsi" w:hAnsiTheme="minorHAnsi" w:cs="Arial"/>
          <w:sz w:val="20"/>
          <w:szCs w:val="20"/>
        </w:rPr>
      </w:pPr>
      <w:r w:rsidRPr="004A4590">
        <w:rPr>
          <w:rFonts w:asciiTheme="minorHAnsi" w:hAnsiTheme="minorHAnsi" w:cs="Arial"/>
          <w:sz w:val="20"/>
          <w:szCs w:val="20"/>
        </w:rPr>
        <w:t>minimise the risk of incorrect compliance action through misreporting of data</w:t>
      </w:r>
    </w:p>
    <w:p w14:paraId="591A7495" w14:textId="77777777" w:rsidR="00115458" w:rsidRPr="004A4590" w:rsidRDefault="00115458" w:rsidP="001601AF">
      <w:pPr>
        <w:pStyle w:val="Bullet1"/>
        <w:numPr>
          <w:ilvl w:val="0"/>
          <w:numId w:val="62"/>
        </w:numPr>
        <w:spacing w:before="0" w:after="0"/>
        <w:rPr>
          <w:rFonts w:asciiTheme="minorHAnsi" w:hAnsiTheme="minorHAnsi" w:cs="Arial"/>
          <w:sz w:val="20"/>
          <w:szCs w:val="20"/>
        </w:rPr>
      </w:pPr>
      <w:r w:rsidRPr="004A4590">
        <w:rPr>
          <w:rFonts w:asciiTheme="minorHAnsi" w:hAnsiTheme="minorHAnsi" w:cs="Arial"/>
          <w:sz w:val="20"/>
          <w:szCs w:val="20"/>
        </w:rPr>
        <w:t>assist investors to verify their pre-filled tax return from the statement.</w:t>
      </w:r>
    </w:p>
    <w:p w14:paraId="66F75231" w14:textId="77777777" w:rsidR="00115458" w:rsidRPr="00B35C0A" w:rsidRDefault="00115458" w:rsidP="004A4590">
      <w:pPr>
        <w:pStyle w:val="Heading2"/>
      </w:pPr>
      <w:bookmarkStart w:id="1694" w:name="_Toc232191366"/>
      <w:r w:rsidRPr="00B35C0A">
        <w:t>Basic structure</w:t>
      </w:r>
      <w:bookmarkEnd w:id="1694"/>
      <w:r w:rsidRPr="00B35C0A">
        <w:t xml:space="preserve"> </w:t>
      </w:r>
    </w:p>
    <w:p w14:paraId="39190861" w14:textId="77777777" w:rsidR="00115458" w:rsidRDefault="00115458" w:rsidP="00115458">
      <w:pPr>
        <w:rPr>
          <w:rFonts w:cs="Arial"/>
        </w:rPr>
      </w:pPr>
      <w:r w:rsidRPr="00B35C0A">
        <w:rPr>
          <w:rFonts w:cs="Arial"/>
        </w:rPr>
        <w:t xml:space="preserve">The basic structure of the </w:t>
      </w:r>
      <w:r>
        <w:rPr>
          <w:rFonts w:cs="Arial"/>
        </w:rPr>
        <w:t>statements</w:t>
      </w:r>
      <w:r w:rsidRPr="00B35C0A">
        <w:rPr>
          <w:rFonts w:cs="Arial"/>
        </w:rPr>
        <w:t xml:space="preserve"> consists of three parts:</w:t>
      </w:r>
    </w:p>
    <w:p w14:paraId="10633E45" w14:textId="77777777" w:rsidR="00115458" w:rsidRDefault="00115458" w:rsidP="00115458">
      <w:pPr>
        <w:ind w:left="360"/>
        <w:rPr>
          <w:rFonts w:cs="Arial"/>
        </w:rPr>
      </w:pPr>
    </w:p>
    <w:p w14:paraId="4A58860D" w14:textId="5A38BA35" w:rsidR="00115458" w:rsidRPr="003F7C1D" w:rsidRDefault="00115458" w:rsidP="001601AF">
      <w:pPr>
        <w:pStyle w:val="ListParagraph"/>
        <w:numPr>
          <w:ilvl w:val="0"/>
          <w:numId w:val="37"/>
        </w:numPr>
        <w:spacing w:after="0" w:line="240" w:lineRule="auto"/>
        <w:rPr>
          <w:rFonts w:cs="Arial"/>
        </w:rPr>
      </w:pPr>
      <w:r w:rsidRPr="003F7C1D">
        <w:rPr>
          <w:b/>
          <w:bCs/>
          <w:lang w:eastAsia="en-AU"/>
        </w:rPr>
        <w:t xml:space="preserve">Part A </w:t>
      </w:r>
      <w:r w:rsidRPr="003F7C1D">
        <w:rPr>
          <w:lang w:eastAsia="en-AU"/>
        </w:rPr>
        <w:t>of the 202</w:t>
      </w:r>
      <w:r w:rsidR="00ED2725">
        <w:rPr>
          <w:lang w:eastAsia="en-AU"/>
        </w:rPr>
        <w:t>6</w:t>
      </w:r>
      <w:r w:rsidRPr="003F7C1D">
        <w:rPr>
          <w:lang w:eastAsia="en-AU"/>
        </w:rPr>
        <w:t xml:space="preserve"> statement provides information about the details that the fund holds about the investor. It provides a prompt for investors to update their details with their investment body if incorrect.</w:t>
      </w:r>
    </w:p>
    <w:p w14:paraId="6AC0661B" w14:textId="77777777" w:rsidR="003F7C1D" w:rsidRPr="003F7C1D" w:rsidRDefault="003F7C1D" w:rsidP="003F7C1D">
      <w:pPr>
        <w:pStyle w:val="ListParagraph"/>
        <w:spacing w:after="0" w:line="240" w:lineRule="auto"/>
        <w:rPr>
          <w:rFonts w:cs="Arial"/>
        </w:rPr>
      </w:pPr>
    </w:p>
    <w:p w14:paraId="411B8846" w14:textId="2477610C" w:rsidR="00115458" w:rsidRPr="003F7C1D" w:rsidRDefault="00115458" w:rsidP="001601AF">
      <w:pPr>
        <w:pStyle w:val="ListParagraph"/>
        <w:numPr>
          <w:ilvl w:val="0"/>
          <w:numId w:val="37"/>
        </w:numPr>
        <w:spacing w:after="0" w:line="240" w:lineRule="auto"/>
        <w:rPr>
          <w:b/>
          <w:bCs/>
          <w:lang w:eastAsia="en-AU"/>
        </w:rPr>
      </w:pPr>
      <w:r w:rsidRPr="003F7C1D">
        <w:rPr>
          <w:b/>
          <w:bCs/>
          <w:lang w:eastAsia="en-AU"/>
        </w:rPr>
        <w:t xml:space="preserve">Part B </w:t>
      </w:r>
      <w:r w:rsidRPr="003F7C1D">
        <w:rPr>
          <w:lang w:eastAsia="en-AU"/>
        </w:rPr>
        <w:t>of the 202</w:t>
      </w:r>
      <w:r w:rsidR="00ED2725">
        <w:rPr>
          <w:lang w:eastAsia="en-AU"/>
        </w:rPr>
        <w:t>6</w:t>
      </w:r>
      <w:r w:rsidRPr="003F7C1D">
        <w:rPr>
          <w:lang w:eastAsia="en-AU"/>
        </w:rPr>
        <w:t xml:space="preserve"> statement explains where amounts are shown on the </w:t>
      </w:r>
      <w:r w:rsidRPr="003F7C1D">
        <w:rPr>
          <w:i/>
          <w:iCs/>
          <w:lang w:eastAsia="en-AU"/>
        </w:rPr>
        <w:t>Tax return for individuals (supplementary section) 202</w:t>
      </w:r>
      <w:r w:rsidR="00ED2725">
        <w:rPr>
          <w:i/>
          <w:iCs/>
          <w:lang w:eastAsia="en-AU"/>
        </w:rPr>
        <w:t>6</w:t>
      </w:r>
      <w:r w:rsidRPr="003F7C1D">
        <w:rPr>
          <w:lang w:eastAsia="en-AU"/>
        </w:rPr>
        <w:t>.</w:t>
      </w:r>
    </w:p>
    <w:p w14:paraId="5847C051" w14:textId="77777777" w:rsidR="00115458" w:rsidRPr="003F7C1D" w:rsidRDefault="00115458" w:rsidP="003F7C1D">
      <w:pPr>
        <w:spacing w:after="0" w:line="240" w:lineRule="auto"/>
        <w:rPr>
          <w:rFonts w:cs="Arial"/>
          <w:b/>
        </w:rPr>
      </w:pPr>
    </w:p>
    <w:p w14:paraId="53A9C9ED" w14:textId="77777777" w:rsidR="00115458" w:rsidRPr="003F7C1D" w:rsidRDefault="00115458" w:rsidP="003F7C1D">
      <w:pPr>
        <w:spacing w:after="0" w:line="240" w:lineRule="auto"/>
        <w:ind w:left="720"/>
        <w:rPr>
          <w:rFonts w:cs="Arial"/>
        </w:rPr>
      </w:pPr>
      <w:r w:rsidRPr="003F7C1D">
        <w:rPr>
          <w:rFonts w:cs="Arial"/>
        </w:rPr>
        <w:t>Most common income reported in Part B:</w:t>
      </w:r>
    </w:p>
    <w:p w14:paraId="33B47585"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non-primary production income</w:t>
      </w:r>
    </w:p>
    <w:p w14:paraId="2D0D42CA"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Franked distributions from trusts</w:t>
      </w:r>
    </w:p>
    <w:p w14:paraId="70C80031"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Other deduction relating to non-primary production distributions</w:t>
      </w:r>
    </w:p>
    <w:p w14:paraId="43BC5C93"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franking credit from franked dividends</w:t>
      </w:r>
    </w:p>
    <w:p w14:paraId="2C384826"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credit for tax file number amounts withheld from interest, dividends and unit trust distributions</w:t>
      </w:r>
    </w:p>
    <w:p w14:paraId="06349DFE"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Total current year capital gains</w:t>
      </w:r>
    </w:p>
    <w:p w14:paraId="2B9DD7FD"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Net capital gain</w:t>
      </w:r>
    </w:p>
    <w:p w14:paraId="6173E005"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Assessable foreign source income</w:t>
      </w:r>
    </w:p>
    <w:p w14:paraId="35661B39"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Other net foreign source income</w:t>
      </w:r>
    </w:p>
    <w:p w14:paraId="292F39C4"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Foreign income tax offset</w:t>
      </w:r>
    </w:p>
    <w:p w14:paraId="13C7E8CD" w14:textId="77777777" w:rsidR="00115458" w:rsidRPr="003F7C1D" w:rsidRDefault="00115458" w:rsidP="003F7C1D">
      <w:pPr>
        <w:spacing w:after="0" w:line="240" w:lineRule="auto"/>
        <w:contextualSpacing/>
        <w:rPr>
          <w:rFonts w:cs="Arial"/>
        </w:rPr>
      </w:pPr>
    </w:p>
    <w:p w14:paraId="773AB6B8" w14:textId="77777777" w:rsidR="00115458" w:rsidRPr="003F7C1D" w:rsidRDefault="00115458" w:rsidP="003F7C1D">
      <w:pPr>
        <w:spacing w:after="0" w:line="240" w:lineRule="auto"/>
        <w:ind w:left="720"/>
        <w:rPr>
          <w:rFonts w:cs="Arial"/>
        </w:rPr>
      </w:pPr>
      <w:r w:rsidRPr="003F7C1D">
        <w:rPr>
          <w:rFonts w:cs="Arial"/>
        </w:rPr>
        <w:t>Other labels that may be included:</w:t>
      </w:r>
    </w:p>
    <w:p w14:paraId="22809E2B"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primary production income</w:t>
      </w:r>
    </w:p>
    <w:p w14:paraId="3B408BB2"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Other deductions relating to distributions</w:t>
      </w:r>
    </w:p>
    <w:p w14:paraId="363C0EB8"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credit for tax withheld where Australian business number not quoted</w:t>
      </w:r>
    </w:p>
    <w:p w14:paraId="390D87A1"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credit for foreign resident withholding amounts (excluding capital gains)</w:t>
      </w:r>
    </w:p>
    <w:p w14:paraId="5718FCB6"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Share of National rental affordability scheme tax offset</w:t>
      </w:r>
    </w:p>
    <w:p w14:paraId="74A3A80F"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CFC income</w:t>
      </w:r>
    </w:p>
    <w:p w14:paraId="45732E67"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Net foreign rent</w:t>
      </w:r>
    </w:p>
    <w:p w14:paraId="6EC7EF12"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Australian franking credits from a New Zealand franking company</w:t>
      </w:r>
    </w:p>
    <w:p w14:paraId="072B7496"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Early stage venture capital limited partnership tax offset</w:t>
      </w:r>
    </w:p>
    <w:p w14:paraId="29245976"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Early stage investor tax offset</w:t>
      </w:r>
    </w:p>
    <w:p w14:paraId="7288DBD5" w14:textId="77777777" w:rsidR="00115458" w:rsidRPr="003F7C1D" w:rsidRDefault="00115458" w:rsidP="001601AF">
      <w:pPr>
        <w:pStyle w:val="ListParagraph"/>
        <w:numPr>
          <w:ilvl w:val="0"/>
          <w:numId w:val="38"/>
        </w:numPr>
        <w:spacing w:after="0" w:line="240" w:lineRule="auto"/>
        <w:rPr>
          <w:rFonts w:cs="Arial"/>
        </w:rPr>
      </w:pPr>
      <w:r w:rsidRPr="003F7C1D">
        <w:rPr>
          <w:rFonts w:cs="Arial"/>
        </w:rPr>
        <w:t>Credit for foreign resident capital gains withholding amounts</w:t>
      </w:r>
    </w:p>
    <w:p w14:paraId="07665DAA" w14:textId="77777777" w:rsidR="00115458" w:rsidRPr="003F7C1D" w:rsidRDefault="00115458" w:rsidP="003F7C1D">
      <w:pPr>
        <w:spacing w:after="0" w:line="240" w:lineRule="auto"/>
        <w:ind w:left="360"/>
        <w:contextualSpacing/>
        <w:rPr>
          <w:rFonts w:cs="Arial"/>
        </w:rPr>
      </w:pPr>
    </w:p>
    <w:p w14:paraId="7D23E9CB" w14:textId="77777777" w:rsidR="00115458" w:rsidRPr="003F7C1D" w:rsidRDefault="00115458" w:rsidP="003F7C1D">
      <w:pPr>
        <w:spacing w:after="0" w:line="240" w:lineRule="auto"/>
        <w:ind w:left="720"/>
        <w:rPr>
          <w:rFonts w:cs="Arial"/>
        </w:rPr>
      </w:pPr>
      <w:r w:rsidRPr="003F7C1D">
        <w:rPr>
          <w:rFonts w:cs="Arial"/>
        </w:rPr>
        <w:t>Only include the labels that are relevant to your circumstances.</w:t>
      </w:r>
    </w:p>
    <w:p w14:paraId="65CD02EF" w14:textId="77777777" w:rsidR="00115458" w:rsidRPr="003F7C1D" w:rsidRDefault="00115458" w:rsidP="003F7C1D">
      <w:pPr>
        <w:spacing w:after="0" w:line="240" w:lineRule="auto"/>
        <w:ind w:left="360"/>
        <w:rPr>
          <w:rFonts w:cs="Arial"/>
        </w:rPr>
      </w:pPr>
    </w:p>
    <w:p w14:paraId="04F68423" w14:textId="77777777" w:rsidR="00115458" w:rsidRPr="003F7C1D" w:rsidRDefault="00115458" w:rsidP="003F7C1D">
      <w:pPr>
        <w:spacing w:after="0" w:line="240" w:lineRule="auto"/>
        <w:ind w:left="720"/>
        <w:rPr>
          <w:rFonts w:cs="Arial"/>
        </w:rPr>
      </w:pPr>
      <w:r w:rsidRPr="003F7C1D">
        <w:rPr>
          <w:rFonts w:cs="Arial"/>
        </w:rPr>
        <w:t>For investors with straightforward circumstances the information in part B should be sufficient to complete their tax return.</w:t>
      </w:r>
    </w:p>
    <w:p w14:paraId="0037E91E" w14:textId="77777777" w:rsidR="00115458" w:rsidRPr="003F7C1D" w:rsidRDefault="00115458" w:rsidP="003F7C1D">
      <w:pPr>
        <w:spacing w:after="0" w:line="240" w:lineRule="auto"/>
        <w:ind w:left="360"/>
        <w:rPr>
          <w:rFonts w:cs="Arial"/>
        </w:rPr>
      </w:pPr>
    </w:p>
    <w:p w14:paraId="7BF6D26D" w14:textId="7C9B0000" w:rsidR="00115458" w:rsidRDefault="00115458" w:rsidP="003F7C1D">
      <w:pPr>
        <w:pStyle w:val="ListParagraph"/>
        <w:spacing w:after="0" w:line="240" w:lineRule="auto"/>
        <w:rPr>
          <w:lang w:eastAsia="en-AU"/>
        </w:rPr>
      </w:pPr>
      <w:r w:rsidRPr="003F7C1D">
        <w:rPr>
          <w:b/>
          <w:lang w:eastAsia="en-AU"/>
        </w:rPr>
        <w:t xml:space="preserve">Part C </w:t>
      </w:r>
      <w:r w:rsidRPr="003F7C1D">
        <w:rPr>
          <w:lang w:eastAsia="en-AU"/>
        </w:rPr>
        <w:t xml:space="preserve">explains the components for an attribution (AMMA) and a distribution (SDS). Two example part Cs are provided in the guidance notes as requirements for an AMMA statement differ to a SDS.  </w:t>
      </w:r>
    </w:p>
    <w:p w14:paraId="615C0752" w14:textId="77777777" w:rsidR="003F7C1D" w:rsidRPr="003F7C1D" w:rsidRDefault="003F7C1D" w:rsidP="003F7C1D">
      <w:pPr>
        <w:pStyle w:val="ListParagraph"/>
        <w:spacing w:after="0" w:line="240" w:lineRule="auto"/>
        <w:rPr>
          <w:rFonts w:cs="Arial"/>
        </w:rPr>
      </w:pPr>
    </w:p>
    <w:p w14:paraId="46F39815" w14:textId="77777777" w:rsidR="00115458" w:rsidRPr="003F7C1D" w:rsidRDefault="00115458" w:rsidP="003F7C1D">
      <w:pPr>
        <w:spacing w:after="0" w:line="240" w:lineRule="auto"/>
        <w:ind w:left="720"/>
        <w:rPr>
          <w:rFonts w:cs="Arial"/>
        </w:rPr>
      </w:pPr>
      <w:r w:rsidRPr="003F7C1D">
        <w:rPr>
          <w:rFonts w:cs="Arial"/>
        </w:rPr>
        <w:t xml:space="preserve">Part C allows a reconciliation of the net cash amount distributed to the investor and provides information relevant to adjustments to the cost base and reduced cost base. </w:t>
      </w:r>
    </w:p>
    <w:p w14:paraId="0A1E48DB" w14:textId="77777777" w:rsidR="00115458" w:rsidRPr="003F7C1D" w:rsidRDefault="00115458" w:rsidP="003F7C1D">
      <w:pPr>
        <w:spacing w:after="0" w:line="240" w:lineRule="auto"/>
        <w:ind w:left="720"/>
        <w:rPr>
          <w:rFonts w:eastAsia="Calibri" w:cs="Arial"/>
          <w:b/>
        </w:rPr>
      </w:pPr>
    </w:p>
    <w:p w14:paraId="46DDAA43" w14:textId="3B6DFEAE" w:rsidR="00115458" w:rsidRPr="003F7C1D" w:rsidRDefault="00115458" w:rsidP="003F7C1D">
      <w:pPr>
        <w:spacing w:after="0" w:line="240" w:lineRule="auto"/>
        <w:rPr>
          <w:i/>
          <w:iCs/>
        </w:rPr>
      </w:pPr>
      <w:r w:rsidRPr="003F7C1D">
        <w:rPr>
          <w:rFonts w:cs="Arial"/>
        </w:rPr>
        <w:t xml:space="preserve">Further information on completing the AMMA statement or SDS can be found on our website at </w:t>
      </w:r>
      <w:hyperlink r:id="rId40" w:history="1">
        <w:r w:rsidR="00A05028" w:rsidRPr="00A05028">
          <w:rPr>
            <w:rStyle w:val="Hyperlink"/>
            <w:rFonts w:cs="Arial"/>
          </w:rPr>
          <w:t>AMMA statement and SDS 2026 | Australian Taxation Office</w:t>
        </w:r>
      </w:hyperlink>
      <w:r w:rsidR="00A05028">
        <w:rPr>
          <w:rFonts w:cs="Arial"/>
        </w:rPr>
        <w:t xml:space="preserve"> </w:t>
      </w:r>
    </w:p>
    <w:p w14:paraId="40D9A8BA" w14:textId="77777777" w:rsidR="00115458" w:rsidRDefault="00115458" w:rsidP="00B12E65">
      <w:pPr>
        <w:pStyle w:val="Heading2"/>
      </w:pPr>
      <w:bookmarkStart w:id="1695" w:name="_Toc232191367"/>
      <w:r>
        <w:t>A</w:t>
      </w:r>
      <w:r w:rsidRPr="00B35C0A">
        <w:t xml:space="preserve">ligning AIIR reporting with the </w:t>
      </w:r>
      <w:r>
        <w:t xml:space="preserve">AMMA or </w:t>
      </w:r>
      <w:r w:rsidRPr="00B35C0A">
        <w:t>SD</w:t>
      </w:r>
      <w:r>
        <w:t>S</w:t>
      </w:r>
      <w:bookmarkEnd w:id="1695"/>
    </w:p>
    <w:p w14:paraId="792ABFFC" w14:textId="77777777" w:rsidR="00115458" w:rsidRPr="00B12E65" w:rsidRDefault="00115458" w:rsidP="00115458">
      <w:pPr>
        <w:rPr>
          <w:rFonts w:cs="Arial"/>
          <w:b/>
          <w:sz w:val="24"/>
          <w:szCs w:val="24"/>
        </w:rPr>
      </w:pPr>
      <w:r w:rsidRPr="00B12E65">
        <w:rPr>
          <w:rFonts w:cs="Arial"/>
          <w:b/>
          <w:sz w:val="24"/>
          <w:szCs w:val="24"/>
        </w:rPr>
        <w:t>Part A</w:t>
      </w:r>
    </w:p>
    <w:tbl>
      <w:tblPr>
        <w:tblStyle w:val="TableGrid"/>
        <w:tblW w:w="0" w:type="auto"/>
        <w:tblLook w:val="04A0" w:firstRow="1" w:lastRow="0" w:firstColumn="1" w:lastColumn="0" w:noHBand="0" w:noVBand="1"/>
      </w:tblPr>
      <w:tblGrid>
        <w:gridCol w:w="3652"/>
        <w:gridCol w:w="4423"/>
        <w:gridCol w:w="1105"/>
      </w:tblGrid>
      <w:tr w:rsidR="00115458" w:rsidRPr="00B12E65" w14:paraId="6A06C22B" w14:textId="77777777" w:rsidTr="001601AF">
        <w:trPr>
          <w:trHeight w:val="397"/>
        </w:trPr>
        <w:tc>
          <w:tcPr>
            <w:tcW w:w="3652" w:type="dxa"/>
            <w:shd w:val="clear" w:color="auto" w:fill="BFBFBF" w:themeFill="background1" w:themeFillShade="BF"/>
            <w:vAlign w:val="center"/>
          </w:tcPr>
          <w:p w14:paraId="78140D45" w14:textId="7C1A4CE9" w:rsidR="00115458" w:rsidRPr="00B12E65" w:rsidRDefault="00115458" w:rsidP="00A05028">
            <w:pPr>
              <w:spacing w:after="0" w:line="240" w:lineRule="auto"/>
              <w:rPr>
                <w:rFonts w:cs="Arial"/>
                <w:b/>
                <w:bCs/>
                <w:sz w:val="20"/>
              </w:rPr>
            </w:pPr>
            <w:r w:rsidRPr="00B12E65">
              <w:rPr>
                <w:rFonts w:cs="Arial"/>
                <w:b/>
                <w:bCs/>
                <w:sz w:val="20"/>
              </w:rPr>
              <w:t>202</w:t>
            </w:r>
            <w:r w:rsidR="00EC0128">
              <w:rPr>
                <w:rFonts w:cs="Arial"/>
                <w:b/>
                <w:bCs/>
                <w:sz w:val="20"/>
              </w:rPr>
              <w:t>6</w:t>
            </w:r>
            <w:r w:rsidRPr="00B12E65">
              <w:rPr>
                <w:rFonts w:cs="Arial"/>
                <w:b/>
                <w:bCs/>
                <w:sz w:val="20"/>
              </w:rPr>
              <w:t xml:space="preserve"> AMMA name</w:t>
            </w:r>
          </w:p>
        </w:tc>
        <w:tc>
          <w:tcPr>
            <w:tcW w:w="4423" w:type="dxa"/>
            <w:shd w:val="clear" w:color="auto" w:fill="BFBFBF" w:themeFill="background1" w:themeFillShade="BF"/>
            <w:vAlign w:val="center"/>
          </w:tcPr>
          <w:p w14:paraId="344E1178" w14:textId="3F8ABF19" w:rsidR="00115458" w:rsidRPr="00B12E65" w:rsidRDefault="00115458" w:rsidP="00A05028">
            <w:pPr>
              <w:spacing w:after="0" w:line="240" w:lineRule="auto"/>
              <w:rPr>
                <w:rFonts w:cs="Arial"/>
                <w:b/>
                <w:bCs/>
                <w:sz w:val="20"/>
              </w:rPr>
            </w:pPr>
            <w:r w:rsidRPr="00B12E65">
              <w:rPr>
                <w:rFonts w:cs="Arial"/>
                <w:b/>
                <w:bCs/>
                <w:sz w:val="20"/>
              </w:rPr>
              <w:t>202</w:t>
            </w:r>
            <w:r w:rsidR="00F85B25">
              <w:rPr>
                <w:rFonts w:cs="Arial"/>
                <w:b/>
                <w:bCs/>
                <w:sz w:val="20"/>
              </w:rPr>
              <w:t>6</w:t>
            </w:r>
            <w:r w:rsidRPr="00B12E65">
              <w:rPr>
                <w:rFonts w:cs="Arial"/>
                <w:b/>
                <w:bCs/>
                <w:sz w:val="20"/>
              </w:rPr>
              <w:t xml:space="preserve"> AIIR name</w:t>
            </w:r>
          </w:p>
        </w:tc>
        <w:tc>
          <w:tcPr>
            <w:tcW w:w="1105" w:type="dxa"/>
            <w:shd w:val="clear" w:color="auto" w:fill="BFBFBF" w:themeFill="background1" w:themeFillShade="BF"/>
            <w:vAlign w:val="center"/>
          </w:tcPr>
          <w:p w14:paraId="3200F6BF" w14:textId="7BFDD896" w:rsidR="00115458" w:rsidRPr="00B12E65" w:rsidRDefault="00115458" w:rsidP="00A05028">
            <w:pPr>
              <w:spacing w:after="0" w:line="240" w:lineRule="auto"/>
              <w:rPr>
                <w:rFonts w:cs="Arial"/>
                <w:b/>
                <w:bCs/>
                <w:sz w:val="20"/>
              </w:rPr>
            </w:pPr>
            <w:r w:rsidRPr="00B12E65">
              <w:rPr>
                <w:rFonts w:cs="Arial"/>
                <w:b/>
                <w:bCs/>
                <w:sz w:val="20"/>
              </w:rPr>
              <w:t>202</w:t>
            </w:r>
            <w:r w:rsidR="00F85B25">
              <w:rPr>
                <w:rFonts w:cs="Arial"/>
                <w:b/>
                <w:bCs/>
                <w:sz w:val="20"/>
              </w:rPr>
              <w:t>6</w:t>
            </w:r>
            <w:r w:rsidRPr="00B12E65">
              <w:rPr>
                <w:rFonts w:cs="Arial"/>
                <w:b/>
                <w:bCs/>
                <w:sz w:val="20"/>
              </w:rPr>
              <w:t xml:space="preserve"> AIIR field</w:t>
            </w:r>
          </w:p>
        </w:tc>
      </w:tr>
      <w:tr w:rsidR="00115458" w:rsidRPr="00B12E65" w14:paraId="77D8007D" w14:textId="77777777" w:rsidTr="001601AF">
        <w:trPr>
          <w:trHeight w:val="397"/>
        </w:trPr>
        <w:tc>
          <w:tcPr>
            <w:tcW w:w="3652" w:type="dxa"/>
            <w:vAlign w:val="center"/>
          </w:tcPr>
          <w:p w14:paraId="2053E216" w14:textId="77777777" w:rsidR="00115458" w:rsidRPr="00B12E65" w:rsidRDefault="00115458" w:rsidP="00B12E65">
            <w:pPr>
              <w:spacing w:after="0" w:line="240" w:lineRule="auto"/>
              <w:rPr>
                <w:rFonts w:cs="Arial"/>
                <w:sz w:val="20"/>
              </w:rPr>
            </w:pPr>
            <w:r w:rsidRPr="00B12E65">
              <w:rPr>
                <w:rFonts w:cs="Arial"/>
                <w:sz w:val="20"/>
              </w:rPr>
              <w:t>Name</w:t>
            </w:r>
          </w:p>
        </w:tc>
        <w:tc>
          <w:tcPr>
            <w:tcW w:w="4423" w:type="dxa"/>
            <w:vAlign w:val="center"/>
          </w:tcPr>
          <w:p w14:paraId="4D152023" w14:textId="77777777" w:rsidR="00115458" w:rsidRPr="00B12E65" w:rsidRDefault="00115458" w:rsidP="00B12E65">
            <w:pPr>
              <w:spacing w:after="0" w:line="240" w:lineRule="auto"/>
              <w:rPr>
                <w:rFonts w:cs="Arial"/>
                <w:sz w:val="20"/>
              </w:rPr>
            </w:pPr>
            <w:r w:rsidRPr="00B12E65">
              <w:rPr>
                <w:rFonts w:cs="Arial"/>
                <w:sz w:val="20"/>
              </w:rPr>
              <w:t>Individual investor surname</w:t>
            </w:r>
          </w:p>
          <w:p w14:paraId="3E7EB6C2" w14:textId="77777777" w:rsidR="00115458" w:rsidRPr="00B12E65" w:rsidRDefault="00115458" w:rsidP="00B12E65">
            <w:pPr>
              <w:spacing w:after="0" w:line="240" w:lineRule="auto"/>
              <w:rPr>
                <w:rFonts w:cs="Arial"/>
                <w:sz w:val="20"/>
              </w:rPr>
            </w:pPr>
            <w:r w:rsidRPr="00B12E65">
              <w:rPr>
                <w:rFonts w:cs="Arial"/>
                <w:sz w:val="20"/>
              </w:rPr>
              <w:t>Individual investor first given name</w:t>
            </w:r>
          </w:p>
          <w:p w14:paraId="1E35F45D" w14:textId="77777777" w:rsidR="00115458" w:rsidRPr="00B12E65" w:rsidRDefault="00115458" w:rsidP="00B12E65">
            <w:pPr>
              <w:spacing w:after="0" w:line="240" w:lineRule="auto"/>
              <w:rPr>
                <w:rFonts w:cs="Arial"/>
                <w:sz w:val="20"/>
              </w:rPr>
            </w:pPr>
            <w:r w:rsidRPr="00B12E65">
              <w:rPr>
                <w:rFonts w:cs="Arial"/>
                <w:sz w:val="20"/>
              </w:rPr>
              <w:t>Individual investor second given name</w:t>
            </w:r>
          </w:p>
          <w:p w14:paraId="16EC5CFE" w14:textId="77777777" w:rsidR="00115458" w:rsidRPr="00B12E65" w:rsidRDefault="00115458" w:rsidP="00B12E65">
            <w:pPr>
              <w:spacing w:after="0" w:line="240" w:lineRule="auto"/>
              <w:rPr>
                <w:rFonts w:cs="Arial"/>
                <w:sz w:val="20"/>
              </w:rPr>
            </w:pPr>
            <w:r w:rsidRPr="00B12E65">
              <w:rPr>
                <w:rFonts w:cs="Arial"/>
                <w:sz w:val="20"/>
              </w:rPr>
              <w:t>Or</w:t>
            </w:r>
          </w:p>
          <w:p w14:paraId="04B84183" w14:textId="77777777" w:rsidR="00115458" w:rsidRPr="00B12E65" w:rsidRDefault="00115458" w:rsidP="00B12E65">
            <w:pPr>
              <w:spacing w:after="0" w:line="240" w:lineRule="auto"/>
              <w:rPr>
                <w:rFonts w:cs="Arial"/>
                <w:sz w:val="20"/>
              </w:rPr>
            </w:pPr>
            <w:r w:rsidRPr="00B12E65">
              <w:rPr>
                <w:rFonts w:cs="Arial"/>
                <w:sz w:val="20"/>
              </w:rPr>
              <w:t>Non-individual investor name</w:t>
            </w:r>
          </w:p>
        </w:tc>
        <w:tc>
          <w:tcPr>
            <w:tcW w:w="1105" w:type="dxa"/>
            <w:vAlign w:val="center"/>
          </w:tcPr>
          <w:p w14:paraId="7D22D2B5" w14:textId="18826C98" w:rsidR="00115458" w:rsidRPr="00B12E65" w:rsidRDefault="00017DAF" w:rsidP="00B12E65">
            <w:pPr>
              <w:spacing w:after="0" w:line="240" w:lineRule="auto"/>
              <w:rPr>
                <w:rFonts w:cs="Arial"/>
                <w:sz w:val="20"/>
              </w:rPr>
            </w:pPr>
            <w:r w:rsidRPr="00A05028">
              <w:rPr>
                <w:rFonts w:cs="Arial"/>
                <w:sz w:val="20"/>
              </w:rPr>
              <w:t>9.201</w:t>
            </w:r>
            <w:r w:rsidR="001A3BA8">
              <w:rPr>
                <w:b/>
                <w:szCs w:val="22"/>
              </w:rPr>
              <w:br/>
            </w:r>
            <w:bookmarkStart w:id="1696" w:name="d9_202"/>
            <w:r w:rsidRPr="00ED2725">
              <w:t>9</w:t>
            </w:r>
            <w:bookmarkEnd w:id="1696"/>
            <w:r>
              <w:rPr>
                <w:sz w:val="20"/>
                <w:szCs w:val="22"/>
              </w:rPr>
              <w:t>.202</w:t>
            </w:r>
          </w:p>
          <w:p w14:paraId="3BFA6A68" w14:textId="291805B9" w:rsidR="00115458" w:rsidRPr="00B12E65" w:rsidRDefault="00115458" w:rsidP="00B12E65">
            <w:pPr>
              <w:spacing w:after="0" w:line="240" w:lineRule="auto"/>
              <w:rPr>
                <w:rFonts w:cs="Arial"/>
                <w:sz w:val="20"/>
              </w:rPr>
            </w:pPr>
            <w:r w:rsidRPr="00B12E65">
              <w:rPr>
                <w:rFonts w:cs="Arial"/>
                <w:sz w:val="20"/>
              </w:rPr>
              <w:t>9.</w:t>
            </w:r>
            <w:r w:rsidR="00017DAF">
              <w:rPr>
                <w:rFonts w:cs="Arial"/>
                <w:sz w:val="20"/>
              </w:rPr>
              <w:t>203</w:t>
            </w:r>
          </w:p>
          <w:p w14:paraId="10D0ECFA" w14:textId="77777777" w:rsidR="00115458" w:rsidRPr="00B12E65" w:rsidRDefault="00115458" w:rsidP="00B12E65">
            <w:pPr>
              <w:spacing w:after="0" w:line="240" w:lineRule="auto"/>
              <w:rPr>
                <w:rFonts w:cs="Arial"/>
                <w:sz w:val="20"/>
              </w:rPr>
            </w:pPr>
          </w:p>
          <w:p w14:paraId="3A1FFA74" w14:textId="05A220C6" w:rsidR="00115458" w:rsidRPr="00B12E65" w:rsidRDefault="00115458" w:rsidP="00B12E65">
            <w:pPr>
              <w:spacing w:after="0" w:line="240" w:lineRule="auto"/>
              <w:rPr>
                <w:rFonts w:cs="Arial"/>
                <w:sz w:val="20"/>
              </w:rPr>
            </w:pPr>
            <w:r w:rsidRPr="00B12E65">
              <w:rPr>
                <w:rFonts w:cs="Arial"/>
                <w:sz w:val="20"/>
              </w:rPr>
              <w:t>9.20</w:t>
            </w:r>
            <w:r w:rsidR="00E50345">
              <w:rPr>
                <w:rFonts w:cs="Arial"/>
                <w:sz w:val="20"/>
              </w:rPr>
              <w:t>6</w:t>
            </w:r>
          </w:p>
        </w:tc>
      </w:tr>
      <w:tr w:rsidR="00115458" w:rsidRPr="00B12E65" w14:paraId="3C93C12F" w14:textId="77777777" w:rsidTr="001601AF">
        <w:trPr>
          <w:trHeight w:val="397"/>
        </w:trPr>
        <w:tc>
          <w:tcPr>
            <w:tcW w:w="3652" w:type="dxa"/>
            <w:vAlign w:val="center"/>
          </w:tcPr>
          <w:p w14:paraId="3497BF23" w14:textId="77777777" w:rsidR="00115458" w:rsidRPr="00B12E65" w:rsidRDefault="00115458" w:rsidP="00B12E65">
            <w:pPr>
              <w:spacing w:after="0" w:line="240" w:lineRule="auto"/>
              <w:rPr>
                <w:rFonts w:cs="Arial"/>
                <w:sz w:val="20"/>
              </w:rPr>
            </w:pPr>
            <w:r w:rsidRPr="00B12E65">
              <w:rPr>
                <w:rFonts w:cs="Arial"/>
                <w:sz w:val="20"/>
              </w:rPr>
              <w:t>You are being recorded as being a</w:t>
            </w:r>
          </w:p>
          <w:p w14:paraId="708FF4BE" w14:textId="77777777" w:rsidR="00115458" w:rsidRPr="00B12E65" w:rsidRDefault="00115458" w:rsidP="00B12E65">
            <w:pPr>
              <w:spacing w:after="0" w:line="240" w:lineRule="auto"/>
              <w:rPr>
                <w:rFonts w:cs="Arial"/>
                <w:sz w:val="20"/>
              </w:rPr>
            </w:pPr>
            <w:r w:rsidRPr="00B12E65">
              <w:rPr>
                <w:rFonts w:cs="Arial"/>
                <w:sz w:val="20"/>
              </w:rPr>
              <w:t>[Individual/ Company/ Partnership/ Superannuation fund/ Trustee/ Custodian/ Nominee]</w:t>
            </w:r>
          </w:p>
        </w:tc>
        <w:tc>
          <w:tcPr>
            <w:tcW w:w="4423" w:type="dxa"/>
            <w:vAlign w:val="center"/>
          </w:tcPr>
          <w:p w14:paraId="5DAD1AFA" w14:textId="77777777" w:rsidR="00115458" w:rsidRPr="00B12E65" w:rsidRDefault="00115458" w:rsidP="00B12E65">
            <w:pPr>
              <w:spacing w:after="0" w:line="240" w:lineRule="auto"/>
              <w:rPr>
                <w:rFonts w:cs="Arial"/>
                <w:sz w:val="20"/>
              </w:rPr>
            </w:pPr>
            <w:r w:rsidRPr="00B12E65">
              <w:rPr>
                <w:rFonts w:cs="Arial"/>
                <w:sz w:val="20"/>
              </w:rPr>
              <w:t>Investor entity type</w:t>
            </w:r>
          </w:p>
          <w:p w14:paraId="54F0CFB2" w14:textId="77777777" w:rsidR="00115458" w:rsidRPr="00B12E65" w:rsidRDefault="00115458" w:rsidP="00B12E65">
            <w:pPr>
              <w:spacing w:after="0" w:line="240" w:lineRule="auto"/>
              <w:rPr>
                <w:rFonts w:cs="Arial"/>
                <w:sz w:val="20"/>
              </w:rPr>
            </w:pPr>
          </w:p>
        </w:tc>
        <w:tc>
          <w:tcPr>
            <w:tcW w:w="1105" w:type="dxa"/>
            <w:vAlign w:val="center"/>
          </w:tcPr>
          <w:p w14:paraId="355CC891" w14:textId="77777777" w:rsidR="00115458" w:rsidRPr="00B12E65" w:rsidRDefault="00115458" w:rsidP="00B12E65">
            <w:pPr>
              <w:spacing w:after="0" w:line="240" w:lineRule="auto"/>
              <w:rPr>
                <w:rFonts w:cs="Arial"/>
                <w:sz w:val="20"/>
              </w:rPr>
            </w:pPr>
          </w:p>
          <w:p w14:paraId="4387218A" w14:textId="08655686" w:rsidR="00115458" w:rsidRPr="00B12E65" w:rsidRDefault="00115458" w:rsidP="00B12E65">
            <w:pPr>
              <w:spacing w:after="0" w:line="240" w:lineRule="auto"/>
              <w:rPr>
                <w:rFonts w:cs="Arial"/>
                <w:sz w:val="20"/>
              </w:rPr>
            </w:pPr>
            <w:r w:rsidRPr="00B12E65">
              <w:rPr>
                <w:rFonts w:cs="Arial"/>
                <w:sz w:val="20"/>
              </w:rPr>
              <w:t>9.19</w:t>
            </w:r>
            <w:r w:rsidR="00E50345">
              <w:rPr>
                <w:rFonts w:cs="Arial"/>
                <w:sz w:val="20"/>
              </w:rPr>
              <w:t>7</w:t>
            </w:r>
          </w:p>
          <w:p w14:paraId="321E942F" w14:textId="77777777" w:rsidR="00115458" w:rsidRPr="00B12E65" w:rsidRDefault="00115458" w:rsidP="00B12E65">
            <w:pPr>
              <w:spacing w:after="0" w:line="240" w:lineRule="auto"/>
              <w:rPr>
                <w:rFonts w:cs="Arial"/>
                <w:sz w:val="20"/>
              </w:rPr>
            </w:pPr>
          </w:p>
          <w:p w14:paraId="5A279BE0" w14:textId="77777777" w:rsidR="00115458" w:rsidRPr="00B12E65" w:rsidRDefault="00115458" w:rsidP="00B12E65">
            <w:pPr>
              <w:spacing w:after="0" w:line="240" w:lineRule="auto"/>
              <w:rPr>
                <w:rFonts w:cs="Arial"/>
                <w:sz w:val="20"/>
              </w:rPr>
            </w:pPr>
          </w:p>
        </w:tc>
      </w:tr>
      <w:tr w:rsidR="00115458" w:rsidRPr="00B12E65" w14:paraId="66A9B60E" w14:textId="77777777" w:rsidTr="001601AF">
        <w:trPr>
          <w:trHeight w:val="397"/>
        </w:trPr>
        <w:tc>
          <w:tcPr>
            <w:tcW w:w="3652" w:type="dxa"/>
            <w:vAlign w:val="center"/>
          </w:tcPr>
          <w:p w14:paraId="0B66F5A1" w14:textId="77777777" w:rsidR="00115458" w:rsidRPr="00B12E65" w:rsidRDefault="00115458" w:rsidP="00B12E65">
            <w:pPr>
              <w:spacing w:after="0" w:line="240" w:lineRule="auto"/>
              <w:rPr>
                <w:rFonts w:cs="Arial"/>
                <w:sz w:val="20"/>
              </w:rPr>
            </w:pPr>
            <w:r w:rsidRPr="00B12E65">
              <w:rPr>
                <w:rFonts w:cs="Arial"/>
                <w:sz w:val="20"/>
              </w:rPr>
              <w:t>Australian Tax file number (TFN)</w:t>
            </w:r>
          </w:p>
          <w:p w14:paraId="3098F988" w14:textId="77777777" w:rsidR="00115458" w:rsidRPr="00B12E65" w:rsidRDefault="00115458" w:rsidP="00B12E65">
            <w:pPr>
              <w:spacing w:after="0" w:line="240" w:lineRule="auto"/>
              <w:rPr>
                <w:rFonts w:cs="Arial"/>
                <w:sz w:val="20"/>
              </w:rPr>
            </w:pPr>
            <w:r w:rsidRPr="00B12E65">
              <w:rPr>
                <w:rFonts w:cs="Arial"/>
                <w:sz w:val="20"/>
              </w:rPr>
              <w:t>[Provided / Not Provided]</w:t>
            </w:r>
          </w:p>
        </w:tc>
        <w:tc>
          <w:tcPr>
            <w:tcW w:w="4423" w:type="dxa"/>
            <w:vAlign w:val="center"/>
          </w:tcPr>
          <w:p w14:paraId="77A9B3EA" w14:textId="77777777" w:rsidR="00115458" w:rsidRPr="00B12E65" w:rsidRDefault="00115458" w:rsidP="00B12E65">
            <w:pPr>
              <w:spacing w:after="0" w:line="240" w:lineRule="auto"/>
              <w:rPr>
                <w:rFonts w:cs="Arial"/>
                <w:sz w:val="20"/>
              </w:rPr>
            </w:pPr>
            <w:r w:rsidRPr="00B12E65">
              <w:rPr>
                <w:rFonts w:cs="Arial"/>
                <w:sz w:val="20"/>
              </w:rPr>
              <w:t xml:space="preserve">Investor tax file although the TFN is not reported on the AMMA or SDS </w:t>
            </w:r>
          </w:p>
        </w:tc>
        <w:tc>
          <w:tcPr>
            <w:tcW w:w="1105" w:type="dxa"/>
            <w:vAlign w:val="center"/>
          </w:tcPr>
          <w:p w14:paraId="44680C39" w14:textId="149DE4ED" w:rsidR="00115458" w:rsidRPr="00B12E65" w:rsidRDefault="00115458" w:rsidP="00B12E65">
            <w:pPr>
              <w:spacing w:after="0" w:line="240" w:lineRule="auto"/>
              <w:rPr>
                <w:rFonts w:cs="Arial"/>
                <w:sz w:val="20"/>
              </w:rPr>
            </w:pPr>
            <w:r w:rsidRPr="00B12E65">
              <w:rPr>
                <w:rFonts w:cs="Arial"/>
                <w:sz w:val="20"/>
              </w:rPr>
              <w:t>9.19</w:t>
            </w:r>
            <w:r w:rsidR="00E50345">
              <w:rPr>
                <w:rFonts w:cs="Arial"/>
                <w:sz w:val="20"/>
              </w:rPr>
              <w:t>8</w:t>
            </w:r>
          </w:p>
        </w:tc>
      </w:tr>
      <w:tr w:rsidR="00115458" w:rsidRPr="00B12E65" w14:paraId="14ED0D57" w14:textId="77777777" w:rsidTr="001601AF">
        <w:trPr>
          <w:trHeight w:val="397"/>
        </w:trPr>
        <w:tc>
          <w:tcPr>
            <w:tcW w:w="3652" w:type="dxa"/>
            <w:vAlign w:val="center"/>
          </w:tcPr>
          <w:p w14:paraId="17BA1EA4" w14:textId="5DA2C0AE" w:rsidR="00115458" w:rsidRPr="00B12E65" w:rsidRDefault="00115458" w:rsidP="00B12E65">
            <w:pPr>
              <w:spacing w:after="0" w:line="240" w:lineRule="auto"/>
              <w:rPr>
                <w:rFonts w:cs="Arial"/>
                <w:sz w:val="20"/>
              </w:rPr>
            </w:pPr>
            <w:r w:rsidRPr="00B12E65">
              <w:rPr>
                <w:rFonts w:cs="Arial"/>
                <w:sz w:val="20"/>
              </w:rPr>
              <w:t>Country of residence at 30 June 202</w:t>
            </w:r>
            <w:r w:rsidR="00ED2725">
              <w:rPr>
                <w:rFonts w:cs="Arial"/>
                <w:sz w:val="20"/>
              </w:rPr>
              <w:t>6</w:t>
            </w:r>
          </w:p>
        </w:tc>
        <w:tc>
          <w:tcPr>
            <w:tcW w:w="4423" w:type="dxa"/>
            <w:vAlign w:val="center"/>
          </w:tcPr>
          <w:p w14:paraId="5A362E1A" w14:textId="77777777" w:rsidR="00115458" w:rsidRPr="00B12E65" w:rsidRDefault="00115458" w:rsidP="00B12E65">
            <w:pPr>
              <w:spacing w:after="0" w:line="240" w:lineRule="auto"/>
              <w:rPr>
                <w:rFonts w:cs="Arial"/>
                <w:sz w:val="20"/>
              </w:rPr>
            </w:pPr>
            <w:r w:rsidRPr="00B12E65">
              <w:rPr>
                <w:rFonts w:cs="Arial"/>
                <w:sz w:val="20"/>
              </w:rPr>
              <w:t>Overseas country</w:t>
            </w:r>
          </w:p>
        </w:tc>
        <w:tc>
          <w:tcPr>
            <w:tcW w:w="1105" w:type="dxa"/>
            <w:vAlign w:val="center"/>
          </w:tcPr>
          <w:p w14:paraId="6B9381F2" w14:textId="24CD518E" w:rsidR="00115458" w:rsidRPr="00B12E65" w:rsidRDefault="00115458" w:rsidP="00B12E65">
            <w:pPr>
              <w:spacing w:after="0" w:line="240" w:lineRule="auto"/>
              <w:rPr>
                <w:rFonts w:cs="Arial"/>
                <w:sz w:val="20"/>
              </w:rPr>
            </w:pPr>
            <w:r w:rsidRPr="00B12E65">
              <w:rPr>
                <w:rFonts w:cs="Arial"/>
                <w:sz w:val="20"/>
              </w:rPr>
              <w:t>9.21</w:t>
            </w:r>
            <w:r w:rsidR="00E50345">
              <w:rPr>
                <w:rFonts w:cs="Arial"/>
                <w:sz w:val="20"/>
              </w:rPr>
              <w:t>6</w:t>
            </w:r>
          </w:p>
        </w:tc>
      </w:tr>
      <w:tr w:rsidR="00115458" w:rsidRPr="00B12E65" w14:paraId="5979BE4E" w14:textId="77777777" w:rsidTr="001601AF">
        <w:trPr>
          <w:trHeight w:val="397"/>
        </w:trPr>
        <w:tc>
          <w:tcPr>
            <w:tcW w:w="3652" w:type="dxa"/>
            <w:vAlign w:val="center"/>
          </w:tcPr>
          <w:p w14:paraId="65256FC9" w14:textId="77777777" w:rsidR="00115458" w:rsidRPr="00B12E65" w:rsidRDefault="00115458" w:rsidP="00B12E65">
            <w:pPr>
              <w:spacing w:after="0" w:line="240" w:lineRule="auto"/>
              <w:rPr>
                <w:rFonts w:cs="Arial"/>
                <w:sz w:val="20"/>
              </w:rPr>
            </w:pPr>
            <w:r w:rsidRPr="00B12E65">
              <w:rPr>
                <w:rFonts w:cs="Arial"/>
                <w:sz w:val="20"/>
              </w:rPr>
              <w:t>Tax identification number (TIN) for country of residence</w:t>
            </w:r>
          </w:p>
          <w:p w14:paraId="3BFC058C" w14:textId="77777777" w:rsidR="00115458" w:rsidRPr="00B12E65" w:rsidRDefault="00115458" w:rsidP="00B12E65">
            <w:pPr>
              <w:spacing w:after="0" w:line="240" w:lineRule="auto"/>
              <w:rPr>
                <w:rFonts w:cs="Arial"/>
                <w:sz w:val="20"/>
              </w:rPr>
            </w:pPr>
            <w:r w:rsidRPr="00B12E65">
              <w:rPr>
                <w:rFonts w:cs="Arial"/>
                <w:sz w:val="20"/>
              </w:rPr>
              <w:t>[Provided / Not Provided]</w:t>
            </w:r>
          </w:p>
        </w:tc>
        <w:tc>
          <w:tcPr>
            <w:tcW w:w="4423" w:type="dxa"/>
            <w:vAlign w:val="center"/>
          </w:tcPr>
          <w:p w14:paraId="4E6DA0FA" w14:textId="77777777" w:rsidR="00115458" w:rsidRPr="00B12E65" w:rsidRDefault="00115458" w:rsidP="00B12E65">
            <w:pPr>
              <w:spacing w:after="0" w:line="240" w:lineRule="auto"/>
              <w:rPr>
                <w:rFonts w:cs="Arial"/>
                <w:sz w:val="20"/>
              </w:rPr>
            </w:pPr>
            <w:r w:rsidRPr="00B12E65">
              <w:rPr>
                <w:rFonts w:cs="Arial"/>
                <w:sz w:val="20"/>
              </w:rPr>
              <w:t>Non-resident investor tax identification number although the TFN is not reported on the AMMA or SDS</w:t>
            </w:r>
          </w:p>
        </w:tc>
        <w:tc>
          <w:tcPr>
            <w:tcW w:w="1105" w:type="dxa"/>
            <w:vAlign w:val="center"/>
          </w:tcPr>
          <w:p w14:paraId="5EC57DD8" w14:textId="0A52A269" w:rsidR="00115458" w:rsidRPr="00B12E65" w:rsidRDefault="00115458" w:rsidP="00B12E65">
            <w:pPr>
              <w:spacing w:after="0" w:line="240" w:lineRule="auto"/>
              <w:rPr>
                <w:rFonts w:cs="Arial"/>
                <w:sz w:val="20"/>
              </w:rPr>
            </w:pPr>
            <w:r w:rsidRPr="00B12E65">
              <w:rPr>
                <w:rFonts w:cs="Arial"/>
                <w:sz w:val="20"/>
              </w:rPr>
              <w:t>9.</w:t>
            </w:r>
            <w:r w:rsidR="00327C3C">
              <w:rPr>
                <w:rFonts w:cs="Arial"/>
                <w:sz w:val="20"/>
              </w:rPr>
              <w:t>200</w:t>
            </w:r>
          </w:p>
        </w:tc>
      </w:tr>
    </w:tbl>
    <w:p w14:paraId="2E869353" w14:textId="77777777" w:rsidR="00115458" w:rsidRPr="00B12E65" w:rsidRDefault="00115458" w:rsidP="00B12E65">
      <w:pPr>
        <w:spacing w:after="0" w:line="240" w:lineRule="auto"/>
        <w:rPr>
          <w:rFonts w:cs="Arial"/>
          <w:b/>
        </w:rPr>
      </w:pPr>
    </w:p>
    <w:p w14:paraId="7BCE9A96" w14:textId="77777777" w:rsidR="00115458" w:rsidRPr="00B12E65" w:rsidRDefault="00115458" w:rsidP="00B12E65">
      <w:pPr>
        <w:rPr>
          <w:rFonts w:cs="Arial"/>
          <w:b/>
          <w:sz w:val="24"/>
          <w:szCs w:val="24"/>
        </w:rPr>
      </w:pPr>
      <w:r w:rsidRPr="00B12E65">
        <w:rPr>
          <w:rFonts w:cs="Arial"/>
          <w:b/>
          <w:sz w:val="24"/>
          <w:szCs w:val="24"/>
        </w:rPr>
        <w:t>Part B</w:t>
      </w:r>
    </w:p>
    <w:tbl>
      <w:tblPr>
        <w:tblStyle w:val="TableGrid"/>
        <w:tblW w:w="0" w:type="auto"/>
        <w:tblLayout w:type="fixed"/>
        <w:tblLook w:val="04A0" w:firstRow="1" w:lastRow="0" w:firstColumn="1" w:lastColumn="0" w:noHBand="0" w:noVBand="1"/>
      </w:tblPr>
      <w:tblGrid>
        <w:gridCol w:w="3652"/>
        <w:gridCol w:w="3573"/>
        <w:gridCol w:w="850"/>
        <w:gridCol w:w="1167"/>
      </w:tblGrid>
      <w:tr w:rsidR="00115458" w:rsidRPr="00B12E65" w14:paraId="04308356" w14:textId="77777777" w:rsidTr="00B12E65">
        <w:trPr>
          <w:tblHeader/>
        </w:trPr>
        <w:tc>
          <w:tcPr>
            <w:tcW w:w="3652" w:type="dxa"/>
            <w:shd w:val="clear" w:color="auto" w:fill="BFBFBF" w:themeFill="background1" w:themeFillShade="BF"/>
            <w:vAlign w:val="center"/>
          </w:tcPr>
          <w:p w14:paraId="400D589D" w14:textId="2E231B0A" w:rsidR="00115458" w:rsidRPr="001601AF" w:rsidRDefault="00115458" w:rsidP="00A05028">
            <w:pPr>
              <w:spacing w:after="0" w:line="240" w:lineRule="auto"/>
              <w:rPr>
                <w:rFonts w:cs="Arial"/>
                <w:b/>
                <w:bCs/>
                <w:sz w:val="20"/>
              </w:rPr>
            </w:pPr>
            <w:r w:rsidRPr="001601AF">
              <w:rPr>
                <w:rFonts w:cs="Arial"/>
                <w:b/>
                <w:bCs/>
                <w:sz w:val="20"/>
              </w:rPr>
              <w:t>202</w:t>
            </w:r>
            <w:r w:rsidR="00EC0128">
              <w:rPr>
                <w:rFonts w:cs="Arial"/>
                <w:b/>
                <w:bCs/>
                <w:sz w:val="20"/>
              </w:rPr>
              <w:t>6</w:t>
            </w:r>
            <w:r w:rsidRPr="001601AF">
              <w:rPr>
                <w:rFonts w:cs="Arial"/>
                <w:b/>
                <w:bCs/>
                <w:sz w:val="20"/>
              </w:rPr>
              <w:t xml:space="preserve"> AMMA name</w:t>
            </w:r>
          </w:p>
        </w:tc>
        <w:tc>
          <w:tcPr>
            <w:tcW w:w="3573" w:type="dxa"/>
            <w:shd w:val="clear" w:color="auto" w:fill="BFBFBF" w:themeFill="background1" w:themeFillShade="BF"/>
            <w:vAlign w:val="center"/>
          </w:tcPr>
          <w:p w14:paraId="5B0D5D12" w14:textId="708A1AA0" w:rsidR="00115458" w:rsidRPr="001601AF" w:rsidRDefault="00115458" w:rsidP="00A05028">
            <w:pPr>
              <w:spacing w:after="0" w:line="240" w:lineRule="auto"/>
              <w:rPr>
                <w:rFonts w:cs="Arial"/>
                <w:b/>
                <w:bCs/>
                <w:sz w:val="20"/>
              </w:rPr>
            </w:pPr>
            <w:r w:rsidRPr="001601AF">
              <w:rPr>
                <w:rFonts w:cs="Arial"/>
                <w:b/>
                <w:bCs/>
                <w:sz w:val="20"/>
              </w:rPr>
              <w:t>202</w:t>
            </w:r>
            <w:r w:rsidR="00F85B25">
              <w:rPr>
                <w:rFonts w:cs="Arial"/>
                <w:b/>
                <w:bCs/>
                <w:sz w:val="20"/>
              </w:rPr>
              <w:t>6</w:t>
            </w:r>
            <w:r w:rsidRPr="001601AF">
              <w:rPr>
                <w:rFonts w:cs="Arial"/>
                <w:b/>
                <w:bCs/>
                <w:sz w:val="20"/>
              </w:rPr>
              <w:t xml:space="preserve"> AIIR name</w:t>
            </w:r>
          </w:p>
        </w:tc>
        <w:tc>
          <w:tcPr>
            <w:tcW w:w="850" w:type="dxa"/>
            <w:shd w:val="clear" w:color="auto" w:fill="BFBFBF" w:themeFill="background1" w:themeFillShade="BF"/>
            <w:vAlign w:val="center"/>
          </w:tcPr>
          <w:p w14:paraId="2AB853CE" w14:textId="4C3C16A7" w:rsidR="00115458" w:rsidRPr="001601AF" w:rsidRDefault="00115458" w:rsidP="00A05028">
            <w:pPr>
              <w:spacing w:after="0" w:line="240" w:lineRule="auto"/>
              <w:rPr>
                <w:rFonts w:cs="Arial"/>
                <w:b/>
                <w:bCs/>
                <w:sz w:val="20"/>
              </w:rPr>
            </w:pPr>
            <w:r w:rsidRPr="001601AF">
              <w:rPr>
                <w:rFonts w:cs="Arial"/>
                <w:b/>
                <w:bCs/>
                <w:sz w:val="20"/>
              </w:rPr>
              <w:t>202</w:t>
            </w:r>
            <w:r w:rsidR="00F85B25">
              <w:rPr>
                <w:rFonts w:cs="Arial"/>
                <w:b/>
                <w:bCs/>
                <w:sz w:val="20"/>
              </w:rPr>
              <w:t>6</w:t>
            </w:r>
            <w:r w:rsidRPr="001601AF">
              <w:rPr>
                <w:rFonts w:cs="Arial"/>
                <w:b/>
                <w:bCs/>
                <w:sz w:val="20"/>
              </w:rPr>
              <w:t xml:space="preserve"> AIIR field</w:t>
            </w:r>
          </w:p>
        </w:tc>
        <w:tc>
          <w:tcPr>
            <w:tcW w:w="1167" w:type="dxa"/>
            <w:shd w:val="clear" w:color="auto" w:fill="BFBFBF" w:themeFill="background1" w:themeFillShade="BF"/>
            <w:vAlign w:val="center"/>
          </w:tcPr>
          <w:p w14:paraId="7C73DE9F" w14:textId="3BDE7AE9" w:rsidR="00115458" w:rsidRPr="001601AF" w:rsidRDefault="00115458" w:rsidP="00A05028">
            <w:pPr>
              <w:spacing w:after="0" w:line="240" w:lineRule="auto"/>
              <w:rPr>
                <w:rFonts w:cs="Arial"/>
                <w:b/>
                <w:bCs/>
                <w:sz w:val="20"/>
              </w:rPr>
            </w:pPr>
            <w:r w:rsidRPr="001601AF">
              <w:rPr>
                <w:rFonts w:cs="Arial"/>
                <w:b/>
                <w:bCs/>
                <w:sz w:val="20"/>
              </w:rPr>
              <w:t>202</w:t>
            </w:r>
            <w:r w:rsidR="00F85B25">
              <w:rPr>
                <w:rFonts w:cs="Arial"/>
                <w:b/>
                <w:bCs/>
                <w:sz w:val="20"/>
              </w:rPr>
              <w:t>6</w:t>
            </w:r>
            <w:r w:rsidRPr="001601AF">
              <w:rPr>
                <w:rFonts w:cs="Arial"/>
                <w:b/>
                <w:bCs/>
                <w:sz w:val="20"/>
              </w:rPr>
              <w:t xml:space="preserve"> ITR label</w:t>
            </w:r>
          </w:p>
        </w:tc>
      </w:tr>
      <w:tr w:rsidR="00115458" w:rsidRPr="00B12E65" w14:paraId="4E9EEDFA" w14:textId="77777777" w:rsidTr="00B12E65">
        <w:trPr>
          <w:trHeight w:val="340"/>
        </w:trPr>
        <w:tc>
          <w:tcPr>
            <w:tcW w:w="3652" w:type="dxa"/>
            <w:vAlign w:val="center"/>
          </w:tcPr>
          <w:p w14:paraId="542B1A3C" w14:textId="77777777" w:rsidR="00115458" w:rsidRPr="00B12E65" w:rsidRDefault="00115458" w:rsidP="00B12E65">
            <w:pPr>
              <w:spacing w:after="0" w:line="240" w:lineRule="auto"/>
              <w:rPr>
                <w:rFonts w:cs="Arial"/>
                <w:sz w:val="20"/>
              </w:rPr>
            </w:pPr>
            <w:r w:rsidRPr="00B12E65">
              <w:rPr>
                <w:rFonts w:cs="Arial"/>
                <w:sz w:val="20"/>
              </w:rPr>
              <w:t>Share of primary production income</w:t>
            </w:r>
          </w:p>
        </w:tc>
        <w:tc>
          <w:tcPr>
            <w:tcW w:w="3573" w:type="dxa"/>
            <w:vAlign w:val="center"/>
          </w:tcPr>
          <w:p w14:paraId="149A5F25" w14:textId="77777777" w:rsidR="00115458" w:rsidRPr="00B12E65" w:rsidRDefault="00115458" w:rsidP="00B12E65">
            <w:pPr>
              <w:spacing w:after="0" w:line="240" w:lineRule="auto"/>
              <w:rPr>
                <w:rFonts w:cs="Arial"/>
                <w:sz w:val="20"/>
              </w:rPr>
            </w:pPr>
            <w:r w:rsidRPr="00B12E65">
              <w:rPr>
                <w:rFonts w:cs="Arial"/>
                <w:sz w:val="20"/>
              </w:rPr>
              <w:t>Primary production income</w:t>
            </w:r>
          </w:p>
        </w:tc>
        <w:tc>
          <w:tcPr>
            <w:tcW w:w="850" w:type="dxa"/>
            <w:vAlign w:val="center"/>
          </w:tcPr>
          <w:p w14:paraId="0140BEC6"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9.113</w:t>
            </w:r>
          </w:p>
        </w:tc>
        <w:tc>
          <w:tcPr>
            <w:tcW w:w="1167" w:type="dxa"/>
            <w:vAlign w:val="center"/>
          </w:tcPr>
          <w:p w14:paraId="2BE36B7A"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13L</w:t>
            </w:r>
          </w:p>
        </w:tc>
      </w:tr>
      <w:tr w:rsidR="00115458" w:rsidRPr="00B12E65" w14:paraId="6FD036F3" w14:textId="77777777" w:rsidTr="00B12E65">
        <w:trPr>
          <w:trHeight w:val="340"/>
        </w:trPr>
        <w:tc>
          <w:tcPr>
            <w:tcW w:w="3652" w:type="dxa"/>
            <w:vAlign w:val="center"/>
          </w:tcPr>
          <w:p w14:paraId="421C802D" w14:textId="77777777" w:rsidR="00115458" w:rsidRPr="00B12E65" w:rsidRDefault="00115458" w:rsidP="00B12E65">
            <w:pPr>
              <w:spacing w:after="0" w:line="240" w:lineRule="auto"/>
              <w:rPr>
                <w:rFonts w:cs="Arial"/>
                <w:sz w:val="20"/>
              </w:rPr>
            </w:pPr>
            <w:r w:rsidRPr="00B12E65">
              <w:rPr>
                <w:rFonts w:cs="Arial"/>
                <w:sz w:val="20"/>
              </w:rPr>
              <w:t>Other deductions relating to amounts shown at share of net income from trusts</w:t>
            </w:r>
          </w:p>
        </w:tc>
        <w:tc>
          <w:tcPr>
            <w:tcW w:w="3573" w:type="dxa"/>
            <w:vAlign w:val="center"/>
          </w:tcPr>
          <w:p w14:paraId="5A6E132A" w14:textId="77777777" w:rsidR="00115458" w:rsidRPr="00B12E65" w:rsidRDefault="00115458" w:rsidP="00B12E65">
            <w:pPr>
              <w:spacing w:after="0" w:line="240" w:lineRule="auto"/>
              <w:rPr>
                <w:rFonts w:cs="Arial"/>
                <w:sz w:val="20"/>
              </w:rPr>
            </w:pPr>
            <w:r w:rsidRPr="00B12E65">
              <w:rPr>
                <w:rFonts w:cs="Arial"/>
                <w:sz w:val="20"/>
              </w:rPr>
              <w:t>Deductions relating to distribution of primary production income</w:t>
            </w:r>
          </w:p>
        </w:tc>
        <w:tc>
          <w:tcPr>
            <w:tcW w:w="850" w:type="dxa"/>
            <w:vAlign w:val="center"/>
          </w:tcPr>
          <w:p w14:paraId="4BE223C6"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9.115</w:t>
            </w:r>
          </w:p>
        </w:tc>
        <w:tc>
          <w:tcPr>
            <w:tcW w:w="1167" w:type="dxa"/>
            <w:vAlign w:val="center"/>
          </w:tcPr>
          <w:p w14:paraId="3D8343E3"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13X</w:t>
            </w:r>
          </w:p>
        </w:tc>
      </w:tr>
      <w:tr w:rsidR="00115458" w:rsidRPr="00B12E65" w14:paraId="0A105629" w14:textId="77777777" w:rsidTr="00B12E65">
        <w:trPr>
          <w:trHeight w:val="340"/>
        </w:trPr>
        <w:tc>
          <w:tcPr>
            <w:tcW w:w="3652" w:type="dxa"/>
            <w:vAlign w:val="center"/>
          </w:tcPr>
          <w:p w14:paraId="21D9002A" w14:textId="77777777" w:rsidR="00115458" w:rsidRPr="00B12E65" w:rsidRDefault="00115458" w:rsidP="00B12E65">
            <w:pPr>
              <w:spacing w:after="0" w:line="240" w:lineRule="auto"/>
              <w:rPr>
                <w:rFonts w:cs="Arial"/>
                <w:sz w:val="20"/>
              </w:rPr>
            </w:pPr>
            <w:r w:rsidRPr="00B12E65">
              <w:rPr>
                <w:rFonts w:cs="Arial"/>
                <w:sz w:val="20"/>
              </w:rPr>
              <w:t>Share of non-primary production income</w:t>
            </w:r>
          </w:p>
        </w:tc>
        <w:tc>
          <w:tcPr>
            <w:tcW w:w="3573" w:type="dxa"/>
            <w:vAlign w:val="center"/>
          </w:tcPr>
          <w:p w14:paraId="1CE816B7" w14:textId="77777777" w:rsidR="00115458" w:rsidRPr="00B12E65" w:rsidRDefault="00115458" w:rsidP="00B12E65">
            <w:pPr>
              <w:spacing w:after="0" w:line="240" w:lineRule="auto"/>
              <w:rPr>
                <w:rFonts w:cs="Arial"/>
                <w:sz w:val="20"/>
              </w:rPr>
            </w:pPr>
            <w:r w:rsidRPr="00B12E65">
              <w:rPr>
                <w:rFonts w:cs="Arial"/>
                <w:sz w:val="20"/>
              </w:rPr>
              <w:t>Non-primary production income</w:t>
            </w:r>
          </w:p>
        </w:tc>
        <w:tc>
          <w:tcPr>
            <w:tcW w:w="850" w:type="dxa"/>
            <w:vAlign w:val="center"/>
          </w:tcPr>
          <w:p w14:paraId="0EBC1A96"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9.85</w:t>
            </w:r>
          </w:p>
        </w:tc>
        <w:tc>
          <w:tcPr>
            <w:tcW w:w="1167" w:type="dxa"/>
            <w:vAlign w:val="center"/>
          </w:tcPr>
          <w:p w14:paraId="6154B77E"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13U</w:t>
            </w:r>
          </w:p>
        </w:tc>
      </w:tr>
      <w:tr w:rsidR="00115458" w:rsidRPr="00B12E65" w14:paraId="225BD7F7" w14:textId="77777777" w:rsidTr="00B12E65">
        <w:trPr>
          <w:trHeight w:val="340"/>
        </w:trPr>
        <w:tc>
          <w:tcPr>
            <w:tcW w:w="3652" w:type="dxa"/>
            <w:vAlign w:val="center"/>
          </w:tcPr>
          <w:p w14:paraId="2FC62043" w14:textId="77777777" w:rsidR="00115458" w:rsidRPr="00B12E65" w:rsidRDefault="00115458" w:rsidP="00B12E65">
            <w:pPr>
              <w:spacing w:after="0" w:line="240" w:lineRule="auto"/>
              <w:rPr>
                <w:rFonts w:cs="Arial"/>
                <w:sz w:val="20"/>
              </w:rPr>
            </w:pPr>
            <w:r w:rsidRPr="00B12E65">
              <w:rPr>
                <w:rFonts w:cs="Arial"/>
                <w:sz w:val="20"/>
              </w:rPr>
              <w:t>Franked distributions from trusts</w:t>
            </w:r>
          </w:p>
        </w:tc>
        <w:tc>
          <w:tcPr>
            <w:tcW w:w="3573" w:type="dxa"/>
            <w:vAlign w:val="center"/>
          </w:tcPr>
          <w:p w14:paraId="5ED07B1C" w14:textId="77777777" w:rsidR="00115458" w:rsidRPr="00B12E65" w:rsidRDefault="00115458" w:rsidP="00B12E65">
            <w:pPr>
              <w:spacing w:after="0" w:line="240" w:lineRule="auto"/>
              <w:rPr>
                <w:rFonts w:cs="Arial"/>
                <w:sz w:val="20"/>
              </w:rPr>
            </w:pPr>
            <w:r w:rsidRPr="00B12E65">
              <w:rPr>
                <w:rFonts w:cs="Arial"/>
                <w:sz w:val="20"/>
              </w:rPr>
              <w:t>Franked distributions from trusts</w:t>
            </w:r>
          </w:p>
        </w:tc>
        <w:tc>
          <w:tcPr>
            <w:tcW w:w="850" w:type="dxa"/>
            <w:vAlign w:val="center"/>
          </w:tcPr>
          <w:p w14:paraId="7F0FDA07"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9.120</w:t>
            </w:r>
          </w:p>
        </w:tc>
        <w:tc>
          <w:tcPr>
            <w:tcW w:w="1167" w:type="dxa"/>
            <w:vAlign w:val="center"/>
          </w:tcPr>
          <w:p w14:paraId="1E2C3E39"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13C</w:t>
            </w:r>
          </w:p>
        </w:tc>
      </w:tr>
      <w:tr w:rsidR="00115458" w:rsidRPr="00B12E65" w14:paraId="00CA17D2" w14:textId="77777777" w:rsidTr="00B12E65">
        <w:trPr>
          <w:trHeight w:val="340"/>
        </w:trPr>
        <w:tc>
          <w:tcPr>
            <w:tcW w:w="3652" w:type="dxa"/>
            <w:vAlign w:val="center"/>
          </w:tcPr>
          <w:p w14:paraId="3878EE9B" w14:textId="77777777" w:rsidR="00115458" w:rsidRPr="00B12E65" w:rsidRDefault="00115458" w:rsidP="00B12E65">
            <w:pPr>
              <w:spacing w:after="0" w:line="240" w:lineRule="auto"/>
              <w:rPr>
                <w:rFonts w:cs="Arial"/>
                <w:sz w:val="20"/>
              </w:rPr>
            </w:pPr>
            <w:r w:rsidRPr="00B12E65">
              <w:rPr>
                <w:rFonts w:cs="Arial"/>
                <w:sz w:val="20"/>
              </w:rPr>
              <w:t>Other deductions relating to non-primary production income</w:t>
            </w:r>
          </w:p>
        </w:tc>
        <w:tc>
          <w:tcPr>
            <w:tcW w:w="3573" w:type="dxa"/>
            <w:vAlign w:val="center"/>
          </w:tcPr>
          <w:p w14:paraId="12667BEA" w14:textId="77777777" w:rsidR="00115458" w:rsidRPr="00B12E65" w:rsidRDefault="00115458" w:rsidP="00B12E65">
            <w:pPr>
              <w:spacing w:after="0" w:line="240" w:lineRule="auto"/>
              <w:rPr>
                <w:rFonts w:cs="Arial"/>
                <w:sz w:val="20"/>
              </w:rPr>
            </w:pPr>
            <w:r w:rsidRPr="00B12E65">
              <w:rPr>
                <w:rFonts w:cs="Arial"/>
                <w:sz w:val="20"/>
              </w:rPr>
              <w:t>Deductions relating to non-primary production distributions</w:t>
            </w:r>
          </w:p>
        </w:tc>
        <w:tc>
          <w:tcPr>
            <w:tcW w:w="850" w:type="dxa"/>
            <w:vAlign w:val="center"/>
          </w:tcPr>
          <w:p w14:paraId="00AC7E0D"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9.86</w:t>
            </w:r>
          </w:p>
        </w:tc>
        <w:tc>
          <w:tcPr>
            <w:tcW w:w="1167" w:type="dxa"/>
            <w:vAlign w:val="center"/>
          </w:tcPr>
          <w:p w14:paraId="746C7B7B"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13Y</w:t>
            </w:r>
          </w:p>
        </w:tc>
      </w:tr>
      <w:tr w:rsidR="00115458" w:rsidRPr="00B12E65" w14:paraId="763200D4" w14:textId="77777777" w:rsidTr="00B12E65">
        <w:trPr>
          <w:trHeight w:val="340"/>
        </w:trPr>
        <w:tc>
          <w:tcPr>
            <w:tcW w:w="3652" w:type="dxa"/>
            <w:vAlign w:val="center"/>
          </w:tcPr>
          <w:p w14:paraId="64009526" w14:textId="77777777" w:rsidR="00115458" w:rsidRPr="00B12E65" w:rsidRDefault="00115458" w:rsidP="00B12E65">
            <w:pPr>
              <w:spacing w:after="0" w:line="240" w:lineRule="auto"/>
              <w:rPr>
                <w:rFonts w:cs="Arial"/>
                <w:sz w:val="20"/>
              </w:rPr>
            </w:pPr>
            <w:r w:rsidRPr="00B12E65">
              <w:rPr>
                <w:rFonts w:cs="Arial"/>
                <w:sz w:val="20"/>
              </w:rPr>
              <w:t>Share of credit for tax withheld where Australian business number not quoted</w:t>
            </w:r>
          </w:p>
        </w:tc>
        <w:tc>
          <w:tcPr>
            <w:tcW w:w="3573" w:type="dxa"/>
            <w:vAlign w:val="center"/>
          </w:tcPr>
          <w:p w14:paraId="0566C60D" w14:textId="77777777" w:rsidR="00115458" w:rsidRPr="00B12E65" w:rsidRDefault="00115458" w:rsidP="00B12E65">
            <w:pPr>
              <w:spacing w:after="0" w:line="240" w:lineRule="auto"/>
              <w:rPr>
                <w:rFonts w:cs="Arial"/>
                <w:sz w:val="20"/>
              </w:rPr>
            </w:pPr>
            <w:r w:rsidRPr="00B12E65">
              <w:rPr>
                <w:rFonts w:cs="Arial"/>
                <w:sz w:val="20"/>
              </w:rPr>
              <w:t>Share of credit for tax withheld where ABN not quoted</w:t>
            </w:r>
          </w:p>
        </w:tc>
        <w:tc>
          <w:tcPr>
            <w:tcW w:w="850" w:type="dxa"/>
            <w:vAlign w:val="center"/>
          </w:tcPr>
          <w:p w14:paraId="52C8873C"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9.114</w:t>
            </w:r>
          </w:p>
        </w:tc>
        <w:tc>
          <w:tcPr>
            <w:tcW w:w="1167" w:type="dxa"/>
            <w:vAlign w:val="center"/>
          </w:tcPr>
          <w:p w14:paraId="71F8F092"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13P</w:t>
            </w:r>
          </w:p>
        </w:tc>
      </w:tr>
      <w:tr w:rsidR="00115458" w:rsidRPr="00B12E65" w14:paraId="069AF0FD" w14:textId="77777777" w:rsidTr="00B12E65">
        <w:trPr>
          <w:trHeight w:val="340"/>
        </w:trPr>
        <w:tc>
          <w:tcPr>
            <w:tcW w:w="3652" w:type="dxa"/>
            <w:vAlign w:val="center"/>
          </w:tcPr>
          <w:p w14:paraId="7756C584" w14:textId="77777777" w:rsidR="00115458" w:rsidRPr="00B12E65" w:rsidRDefault="00115458" w:rsidP="00B12E65">
            <w:pPr>
              <w:spacing w:after="0" w:line="240" w:lineRule="auto"/>
              <w:rPr>
                <w:rFonts w:cs="Arial"/>
                <w:sz w:val="20"/>
              </w:rPr>
            </w:pPr>
            <w:r w:rsidRPr="00B12E65">
              <w:rPr>
                <w:rFonts w:cs="Arial"/>
                <w:sz w:val="20"/>
              </w:rPr>
              <w:t>Share of franking credit from franked dividends</w:t>
            </w:r>
          </w:p>
        </w:tc>
        <w:tc>
          <w:tcPr>
            <w:tcW w:w="3573" w:type="dxa"/>
            <w:vAlign w:val="center"/>
          </w:tcPr>
          <w:p w14:paraId="56E44692" w14:textId="77777777" w:rsidR="00115458" w:rsidRPr="00B12E65" w:rsidRDefault="00115458" w:rsidP="00B12E65">
            <w:pPr>
              <w:spacing w:after="0" w:line="240" w:lineRule="auto"/>
              <w:rPr>
                <w:rFonts w:cs="Arial"/>
                <w:sz w:val="20"/>
              </w:rPr>
            </w:pPr>
            <w:r w:rsidRPr="00B12E65">
              <w:rPr>
                <w:rFonts w:cs="Arial"/>
                <w:sz w:val="20"/>
              </w:rPr>
              <w:t>Franking credit</w:t>
            </w:r>
          </w:p>
        </w:tc>
        <w:tc>
          <w:tcPr>
            <w:tcW w:w="850" w:type="dxa"/>
            <w:vAlign w:val="center"/>
          </w:tcPr>
          <w:p w14:paraId="0E74455B"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9.83</w:t>
            </w:r>
          </w:p>
        </w:tc>
        <w:tc>
          <w:tcPr>
            <w:tcW w:w="1167" w:type="dxa"/>
            <w:vAlign w:val="center"/>
          </w:tcPr>
          <w:p w14:paraId="1D956045"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13Q</w:t>
            </w:r>
          </w:p>
        </w:tc>
      </w:tr>
      <w:tr w:rsidR="00115458" w:rsidRPr="00B12E65" w14:paraId="45F13B20" w14:textId="77777777" w:rsidTr="00B12E65">
        <w:trPr>
          <w:trHeight w:val="340"/>
        </w:trPr>
        <w:tc>
          <w:tcPr>
            <w:tcW w:w="3652" w:type="dxa"/>
            <w:vAlign w:val="center"/>
          </w:tcPr>
          <w:p w14:paraId="011BDD0D" w14:textId="77777777" w:rsidR="00115458" w:rsidRPr="00B12E65" w:rsidRDefault="00115458" w:rsidP="00B12E65">
            <w:pPr>
              <w:spacing w:after="0" w:line="240" w:lineRule="auto"/>
              <w:rPr>
                <w:rFonts w:cs="Arial"/>
                <w:sz w:val="20"/>
              </w:rPr>
            </w:pPr>
            <w:r w:rsidRPr="00B12E65">
              <w:rPr>
                <w:rFonts w:cs="Arial"/>
                <w:sz w:val="20"/>
              </w:rPr>
              <w:t>Share of credit for tax file number amounts withheld from interest, dividends and unit trust distributions</w:t>
            </w:r>
          </w:p>
        </w:tc>
        <w:tc>
          <w:tcPr>
            <w:tcW w:w="3573" w:type="dxa"/>
            <w:vAlign w:val="center"/>
          </w:tcPr>
          <w:p w14:paraId="24FBE59C" w14:textId="77777777" w:rsidR="00115458" w:rsidRPr="00B12E65" w:rsidRDefault="00115458" w:rsidP="00B12E65">
            <w:pPr>
              <w:spacing w:after="0" w:line="240" w:lineRule="auto"/>
              <w:rPr>
                <w:rFonts w:cs="Arial"/>
                <w:sz w:val="20"/>
              </w:rPr>
            </w:pPr>
            <w:r w:rsidRPr="00B12E65">
              <w:rPr>
                <w:rFonts w:cs="Arial"/>
                <w:sz w:val="20"/>
              </w:rPr>
              <w:t>TFN withholding tax deducted less</w:t>
            </w:r>
          </w:p>
          <w:p w14:paraId="6EA459C0" w14:textId="77777777" w:rsidR="00115458" w:rsidRPr="00B12E65" w:rsidRDefault="00115458" w:rsidP="00B12E65">
            <w:pPr>
              <w:spacing w:after="0" w:line="240" w:lineRule="auto"/>
              <w:rPr>
                <w:rFonts w:cs="Arial"/>
                <w:sz w:val="20"/>
              </w:rPr>
            </w:pPr>
            <w:r w:rsidRPr="00B12E65">
              <w:rPr>
                <w:rFonts w:cs="Arial"/>
                <w:sz w:val="20"/>
              </w:rPr>
              <w:t>TFN withholding tax refunded</w:t>
            </w:r>
          </w:p>
        </w:tc>
        <w:tc>
          <w:tcPr>
            <w:tcW w:w="850" w:type="dxa"/>
            <w:vAlign w:val="center"/>
          </w:tcPr>
          <w:p w14:paraId="32141C6A"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9.74 less 9.75</w:t>
            </w:r>
          </w:p>
        </w:tc>
        <w:tc>
          <w:tcPr>
            <w:tcW w:w="1167" w:type="dxa"/>
            <w:vAlign w:val="center"/>
          </w:tcPr>
          <w:p w14:paraId="4892E1E7"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13R</w:t>
            </w:r>
          </w:p>
        </w:tc>
      </w:tr>
      <w:tr w:rsidR="00115458" w:rsidRPr="00B12E65" w14:paraId="68387BA7" w14:textId="77777777" w:rsidTr="00B12E65">
        <w:trPr>
          <w:trHeight w:val="340"/>
        </w:trPr>
        <w:tc>
          <w:tcPr>
            <w:tcW w:w="3652" w:type="dxa"/>
            <w:vAlign w:val="center"/>
          </w:tcPr>
          <w:p w14:paraId="52761D28" w14:textId="77777777" w:rsidR="00115458" w:rsidRPr="00B12E65" w:rsidRDefault="00115458" w:rsidP="00B12E65">
            <w:pPr>
              <w:spacing w:after="0" w:line="240" w:lineRule="auto"/>
              <w:rPr>
                <w:rFonts w:cs="Arial"/>
                <w:sz w:val="20"/>
              </w:rPr>
            </w:pPr>
            <w:r w:rsidRPr="00B12E65">
              <w:rPr>
                <w:rFonts w:cs="Arial"/>
                <w:sz w:val="20"/>
              </w:rPr>
              <w:t>Share of credit for tax paid by trustee</w:t>
            </w:r>
          </w:p>
        </w:tc>
        <w:tc>
          <w:tcPr>
            <w:tcW w:w="3573" w:type="dxa"/>
            <w:vAlign w:val="center"/>
          </w:tcPr>
          <w:p w14:paraId="18495BE7" w14:textId="77777777" w:rsidR="00115458" w:rsidRPr="00B12E65" w:rsidRDefault="00115458" w:rsidP="00B12E65">
            <w:pPr>
              <w:spacing w:after="0" w:line="240" w:lineRule="auto"/>
              <w:rPr>
                <w:rFonts w:cs="Arial"/>
                <w:sz w:val="20"/>
              </w:rPr>
            </w:pPr>
            <w:r w:rsidRPr="00B12E65">
              <w:rPr>
                <w:rFonts w:cs="Arial"/>
                <w:sz w:val="20"/>
              </w:rPr>
              <w:t>Share of credit for tax paid by trustee</w:t>
            </w:r>
          </w:p>
        </w:tc>
        <w:tc>
          <w:tcPr>
            <w:tcW w:w="850" w:type="dxa"/>
            <w:vAlign w:val="center"/>
          </w:tcPr>
          <w:p w14:paraId="515774A0"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9.100</w:t>
            </w:r>
          </w:p>
        </w:tc>
        <w:tc>
          <w:tcPr>
            <w:tcW w:w="1167" w:type="dxa"/>
            <w:vAlign w:val="center"/>
          </w:tcPr>
          <w:p w14:paraId="2321F173"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13S</w:t>
            </w:r>
          </w:p>
        </w:tc>
      </w:tr>
      <w:tr w:rsidR="00115458" w:rsidRPr="00B12E65" w14:paraId="06E2A1EF" w14:textId="77777777" w:rsidTr="00B12E65">
        <w:trPr>
          <w:trHeight w:val="340"/>
        </w:trPr>
        <w:tc>
          <w:tcPr>
            <w:tcW w:w="3652" w:type="dxa"/>
            <w:vAlign w:val="center"/>
          </w:tcPr>
          <w:p w14:paraId="59EC9C52" w14:textId="77777777" w:rsidR="00115458" w:rsidRPr="00B12E65" w:rsidRDefault="00115458" w:rsidP="00B12E65">
            <w:pPr>
              <w:spacing w:after="0" w:line="240" w:lineRule="auto"/>
              <w:rPr>
                <w:rFonts w:cs="Arial"/>
                <w:sz w:val="20"/>
              </w:rPr>
            </w:pPr>
            <w:r w:rsidRPr="00B12E65">
              <w:rPr>
                <w:rFonts w:cs="Arial"/>
                <w:sz w:val="20"/>
              </w:rPr>
              <w:t>Share of credit for foreign resident withholding amounts (excluding capital gains)</w:t>
            </w:r>
          </w:p>
        </w:tc>
        <w:tc>
          <w:tcPr>
            <w:tcW w:w="3573" w:type="dxa"/>
            <w:vAlign w:val="center"/>
          </w:tcPr>
          <w:p w14:paraId="6535C9C8" w14:textId="77777777" w:rsidR="00115458" w:rsidRPr="00B12E65" w:rsidRDefault="00115458" w:rsidP="00B12E65">
            <w:pPr>
              <w:spacing w:after="0" w:line="240" w:lineRule="auto"/>
              <w:rPr>
                <w:rFonts w:cs="Arial"/>
                <w:sz w:val="20"/>
              </w:rPr>
            </w:pPr>
            <w:r w:rsidRPr="00B12E65">
              <w:rPr>
                <w:rFonts w:cs="Arial"/>
                <w:sz w:val="20"/>
              </w:rPr>
              <w:t>Share of credit for amounts withheld from foreign resident withholding</w:t>
            </w:r>
          </w:p>
        </w:tc>
        <w:tc>
          <w:tcPr>
            <w:tcW w:w="850" w:type="dxa"/>
            <w:vAlign w:val="center"/>
          </w:tcPr>
          <w:p w14:paraId="5B8AEF3F"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9.99</w:t>
            </w:r>
          </w:p>
        </w:tc>
        <w:tc>
          <w:tcPr>
            <w:tcW w:w="1167" w:type="dxa"/>
            <w:vAlign w:val="center"/>
          </w:tcPr>
          <w:p w14:paraId="7C092BCF"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13A</w:t>
            </w:r>
          </w:p>
        </w:tc>
      </w:tr>
      <w:tr w:rsidR="00115458" w:rsidRPr="00B12E65" w14:paraId="4AFEDB2F" w14:textId="77777777" w:rsidTr="00B12E65">
        <w:trPr>
          <w:trHeight w:val="340"/>
        </w:trPr>
        <w:tc>
          <w:tcPr>
            <w:tcW w:w="3652" w:type="dxa"/>
            <w:vAlign w:val="center"/>
          </w:tcPr>
          <w:p w14:paraId="3F6AF982" w14:textId="77777777" w:rsidR="00115458" w:rsidRPr="00B12E65" w:rsidRDefault="00115458" w:rsidP="00B12E65">
            <w:pPr>
              <w:spacing w:after="0" w:line="240" w:lineRule="auto"/>
              <w:rPr>
                <w:rFonts w:cs="Arial"/>
                <w:sz w:val="20"/>
              </w:rPr>
            </w:pPr>
            <w:r w:rsidRPr="00B12E65">
              <w:rPr>
                <w:rFonts w:cs="Arial"/>
                <w:sz w:val="20"/>
              </w:rPr>
              <w:t>Share of National rental affordability scheme tax offset</w:t>
            </w:r>
          </w:p>
        </w:tc>
        <w:tc>
          <w:tcPr>
            <w:tcW w:w="3573" w:type="dxa"/>
            <w:vAlign w:val="center"/>
          </w:tcPr>
          <w:p w14:paraId="05F2C619" w14:textId="77777777" w:rsidR="00115458" w:rsidRPr="00B12E65" w:rsidRDefault="00115458" w:rsidP="00B12E65">
            <w:pPr>
              <w:spacing w:after="0" w:line="240" w:lineRule="auto"/>
              <w:rPr>
                <w:rFonts w:cs="Arial"/>
                <w:sz w:val="20"/>
              </w:rPr>
            </w:pPr>
            <w:r w:rsidRPr="00B12E65">
              <w:rPr>
                <w:rFonts w:cs="Arial"/>
                <w:sz w:val="20"/>
              </w:rPr>
              <w:t>Share of National rental affordability scheme tax offset</w:t>
            </w:r>
          </w:p>
        </w:tc>
        <w:tc>
          <w:tcPr>
            <w:tcW w:w="850" w:type="dxa"/>
            <w:vAlign w:val="center"/>
          </w:tcPr>
          <w:p w14:paraId="4DA666B4"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9.112</w:t>
            </w:r>
          </w:p>
        </w:tc>
        <w:tc>
          <w:tcPr>
            <w:tcW w:w="1167" w:type="dxa"/>
            <w:vAlign w:val="center"/>
          </w:tcPr>
          <w:p w14:paraId="03BED505"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13B</w:t>
            </w:r>
          </w:p>
        </w:tc>
      </w:tr>
      <w:tr w:rsidR="00115458" w:rsidRPr="00B12E65" w14:paraId="49E79DD5" w14:textId="77777777" w:rsidTr="00B12E65">
        <w:trPr>
          <w:trHeight w:val="340"/>
        </w:trPr>
        <w:tc>
          <w:tcPr>
            <w:tcW w:w="3652" w:type="dxa"/>
            <w:vAlign w:val="center"/>
          </w:tcPr>
          <w:p w14:paraId="2E2B8705" w14:textId="77777777" w:rsidR="00115458" w:rsidRPr="00B12E65" w:rsidRDefault="00115458" w:rsidP="00B12E65">
            <w:pPr>
              <w:spacing w:after="0" w:line="240" w:lineRule="auto"/>
              <w:rPr>
                <w:rFonts w:cs="Arial"/>
                <w:sz w:val="20"/>
              </w:rPr>
            </w:pPr>
            <w:r w:rsidRPr="00B12E65">
              <w:rPr>
                <w:rFonts w:cs="Arial"/>
                <w:sz w:val="20"/>
              </w:rPr>
              <w:t>Early stage venture capital limited partnership</w:t>
            </w:r>
          </w:p>
        </w:tc>
        <w:tc>
          <w:tcPr>
            <w:tcW w:w="3573" w:type="dxa"/>
            <w:vAlign w:val="center"/>
          </w:tcPr>
          <w:p w14:paraId="56E7A8B3" w14:textId="77777777" w:rsidR="00115458" w:rsidRPr="00B12E65" w:rsidRDefault="00115458" w:rsidP="00B12E65">
            <w:pPr>
              <w:spacing w:after="0" w:line="240" w:lineRule="auto"/>
              <w:rPr>
                <w:rFonts w:cs="Arial"/>
                <w:sz w:val="20"/>
              </w:rPr>
            </w:pPr>
            <w:r w:rsidRPr="00B12E65">
              <w:rPr>
                <w:rFonts w:cs="Arial"/>
                <w:iCs/>
                <w:sz w:val="20"/>
              </w:rPr>
              <w:t>Share of ESVCLP tax offset</w:t>
            </w:r>
            <w:r w:rsidRPr="00B12E65">
              <w:rPr>
                <w:rFonts w:cs="Arial"/>
                <w:sz w:val="20"/>
              </w:rPr>
              <w:t>  </w:t>
            </w:r>
          </w:p>
        </w:tc>
        <w:tc>
          <w:tcPr>
            <w:tcW w:w="850" w:type="dxa"/>
            <w:vAlign w:val="center"/>
          </w:tcPr>
          <w:p w14:paraId="103FCBB9"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9.134</w:t>
            </w:r>
          </w:p>
        </w:tc>
        <w:tc>
          <w:tcPr>
            <w:tcW w:w="1167" w:type="dxa"/>
            <w:vAlign w:val="center"/>
          </w:tcPr>
          <w:p w14:paraId="7A7732DF"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T7K</w:t>
            </w:r>
          </w:p>
        </w:tc>
      </w:tr>
      <w:tr w:rsidR="00115458" w:rsidRPr="00B12E65" w14:paraId="4FE939E7" w14:textId="77777777" w:rsidTr="00B12E65">
        <w:trPr>
          <w:trHeight w:val="340"/>
        </w:trPr>
        <w:tc>
          <w:tcPr>
            <w:tcW w:w="3652" w:type="dxa"/>
            <w:vAlign w:val="center"/>
          </w:tcPr>
          <w:p w14:paraId="559EC1EE" w14:textId="77777777" w:rsidR="00115458" w:rsidRPr="00B12E65" w:rsidRDefault="00115458" w:rsidP="00B12E65">
            <w:pPr>
              <w:spacing w:after="0" w:line="240" w:lineRule="auto"/>
              <w:rPr>
                <w:rFonts w:cs="Arial"/>
                <w:sz w:val="20"/>
              </w:rPr>
            </w:pPr>
            <w:r w:rsidRPr="00B12E65">
              <w:rPr>
                <w:rFonts w:cs="Arial"/>
                <w:sz w:val="20"/>
              </w:rPr>
              <w:t>Early stage investor</w:t>
            </w:r>
          </w:p>
        </w:tc>
        <w:tc>
          <w:tcPr>
            <w:tcW w:w="3573" w:type="dxa"/>
            <w:vAlign w:val="center"/>
          </w:tcPr>
          <w:p w14:paraId="4682A13A" w14:textId="77777777" w:rsidR="00115458" w:rsidRPr="00B12E65" w:rsidRDefault="00115458" w:rsidP="00B12E65">
            <w:pPr>
              <w:spacing w:after="0" w:line="240" w:lineRule="auto"/>
              <w:rPr>
                <w:rFonts w:cs="Arial"/>
                <w:sz w:val="20"/>
              </w:rPr>
            </w:pPr>
            <w:r w:rsidRPr="00B12E65">
              <w:rPr>
                <w:rFonts w:cs="Arial"/>
                <w:iCs/>
                <w:sz w:val="20"/>
              </w:rPr>
              <w:t>Share of Early Stage Investor tax offset</w:t>
            </w:r>
          </w:p>
        </w:tc>
        <w:tc>
          <w:tcPr>
            <w:tcW w:w="850" w:type="dxa"/>
            <w:vAlign w:val="center"/>
          </w:tcPr>
          <w:p w14:paraId="1C6FF8C7"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9.133</w:t>
            </w:r>
          </w:p>
        </w:tc>
        <w:tc>
          <w:tcPr>
            <w:tcW w:w="1167" w:type="dxa"/>
            <w:vAlign w:val="center"/>
          </w:tcPr>
          <w:p w14:paraId="0EA7A172"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T8</w:t>
            </w:r>
          </w:p>
        </w:tc>
      </w:tr>
      <w:tr w:rsidR="00115458" w:rsidRPr="00B12E65" w14:paraId="4CB3480D" w14:textId="77777777" w:rsidTr="00B12E65">
        <w:trPr>
          <w:trHeight w:val="340"/>
        </w:trPr>
        <w:tc>
          <w:tcPr>
            <w:tcW w:w="3652" w:type="dxa"/>
            <w:vAlign w:val="center"/>
          </w:tcPr>
          <w:p w14:paraId="415F2231" w14:textId="77777777" w:rsidR="00115458" w:rsidRPr="00B12E65" w:rsidRDefault="00115458" w:rsidP="00B12E65">
            <w:pPr>
              <w:spacing w:after="0" w:line="240" w:lineRule="auto"/>
              <w:rPr>
                <w:rFonts w:cs="Arial"/>
                <w:sz w:val="20"/>
              </w:rPr>
            </w:pPr>
            <w:r w:rsidRPr="00B12E65">
              <w:rPr>
                <w:rFonts w:cs="Arial"/>
                <w:sz w:val="20"/>
              </w:rPr>
              <w:t>Other refundable tax offsets – Exploration credits</w:t>
            </w:r>
          </w:p>
        </w:tc>
        <w:tc>
          <w:tcPr>
            <w:tcW w:w="3573" w:type="dxa"/>
            <w:vAlign w:val="center"/>
          </w:tcPr>
          <w:p w14:paraId="79AF9261" w14:textId="77777777" w:rsidR="00115458" w:rsidRPr="00B12E65" w:rsidRDefault="00115458" w:rsidP="00B12E65">
            <w:pPr>
              <w:spacing w:after="0" w:line="240" w:lineRule="auto"/>
              <w:rPr>
                <w:rFonts w:cs="Arial"/>
                <w:sz w:val="20"/>
              </w:rPr>
            </w:pPr>
            <w:r w:rsidRPr="00B12E65">
              <w:rPr>
                <w:rFonts w:cs="Arial"/>
                <w:sz w:val="20"/>
              </w:rPr>
              <w:t>Exploration credits</w:t>
            </w:r>
          </w:p>
        </w:tc>
        <w:tc>
          <w:tcPr>
            <w:tcW w:w="850" w:type="dxa"/>
            <w:vAlign w:val="center"/>
          </w:tcPr>
          <w:p w14:paraId="5F8F989C"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9.107</w:t>
            </w:r>
          </w:p>
        </w:tc>
        <w:tc>
          <w:tcPr>
            <w:tcW w:w="1167" w:type="dxa"/>
            <w:vAlign w:val="center"/>
          </w:tcPr>
          <w:p w14:paraId="22DE7ECD" w14:textId="6FBDAABC" w:rsidR="00115458" w:rsidRPr="00B12E65" w:rsidRDefault="00115458" w:rsidP="00B12E65">
            <w:pPr>
              <w:pStyle w:val="Normalright"/>
              <w:spacing w:before="0"/>
              <w:jc w:val="center"/>
              <w:rPr>
                <w:rFonts w:asciiTheme="minorHAnsi" w:hAnsiTheme="minorHAnsi"/>
                <w:b/>
                <w:sz w:val="20"/>
                <w:szCs w:val="20"/>
              </w:rPr>
            </w:pPr>
          </w:p>
        </w:tc>
      </w:tr>
      <w:tr w:rsidR="00115458" w:rsidRPr="00B12E65" w14:paraId="0BF3A03E" w14:textId="77777777" w:rsidTr="00B12E65">
        <w:trPr>
          <w:trHeight w:val="340"/>
        </w:trPr>
        <w:tc>
          <w:tcPr>
            <w:tcW w:w="3652" w:type="dxa"/>
            <w:vAlign w:val="center"/>
          </w:tcPr>
          <w:p w14:paraId="14E002CD" w14:textId="77777777" w:rsidR="00115458" w:rsidRPr="00B12E65" w:rsidRDefault="00115458" w:rsidP="00B12E65">
            <w:pPr>
              <w:spacing w:after="0" w:line="240" w:lineRule="auto"/>
              <w:rPr>
                <w:rFonts w:cs="Arial"/>
                <w:sz w:val="20"/>
              </w:rPr>
            </w:pPr>
            <w:r w:rsidRPr="00B12E65">
              <w:rPr>
                <w:rFonts w:cs="Arial"/>
                <w:sz w:val="20"/>
              </w:rPr>
              <w:t>Net capital gain</w:t>
            </w:r>
          </w:p>
        </w:tc>
        <w:tc>
          <w:tcPr>
            <w:tcW w:w="3573" w:type="dxa"/>
            <w:vAlign w:val="center"/>
          </w:tcPr>
          <w:p w14:paraId="70D83169" w14:textId="77777777" w:rsidR="00115458" w:rsidRPr="00B12E65" w:rsidRDefault="00115458" w:rsidP="00B12E65">
            <w:pPr>
              <w:spacing w:after="0" w:line="240" w:lineRule="auto"/>
              <w:rPr>
                <w:rFonts w:cs="Arial"/>
                <w:sz w:val="20"/>
              </w:rPr>
            </w:pPr>
            <w:r w:rsidRPr="00B12E65">
              <w:rPr>
                <w:rFonts w:cs="Arial"/>
                <w:sz w:val="20"/>
              </w:rPr>
              <w:t>Net capital gain</w:t>
            </w:r>
          </w:p>
        </w:tc>
        <w:tc>
          <w:tcPr>
            <w:tcW w:w="850" w:type="dxa"/>
            <w:vAlign w:val="center"/>
          </w:tcPr>
          <w:p w14:paraId="30EC792A"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9.88</w:t>
            </w:r>
          </w:p>
        </w:tc>
        <w:tc>
          <w:tcPr>
            <w:tcW w:w="1167" w:type="dxa"/>
            <w:vAlign w:val="center"/>
          </w:tcPr>
          <w:p w14:paraId="7AF10903"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18A</w:t>
            </w:r>
          </w:p>
        </w:tc>
      </w:tr>
      <w:tr w:rsidR="00115458" w:rsidRPr="00B12E65" w14:paraId="7C567035" w14:textId="77777777" w:rsidTr="00B12E65">
        <w:trPr>
          <w:trHeight w:val="340"/>
        </w:trPr>
        <w:tc>
          <w:tcPr>
            <w:tcW w:w="3652" w:type="dxa"/>
            <w:vAlign w:val="center"/>
          </w:tcPr>
          <w:p w14:paraId="1C573095" w14:textId="77777777" w:rsidR="00115458" w:rsidRPr="00B12E65" w:rsidRDefault="00115458" w:rsidP="00B12E65">
            <w:pPr>
              <w:spacing w:after="0" w:line="240" w:lineRule="auto"/>
              <w:rPr>
                <w:rFonts w:cs="Arial"/>
                <w:sz w:val="20"/>
              </w:rPr>
            </w:pPr>
            <w:r w:rsidRPr="00B12E65">
              <w:rPr>
                <w:rFonts w:cs="Arial"/>
                <w:sz w:val="20"/>
              </w:rPr>
              <w:t>Total current year capital gains</w:t>
            </w:r>
          </w:p>
        </w:tc>
        <w:tc>
          <w:tcPr>
            <w:tcW w:w="3573" w:type="dxa"/>
            <w:vAlign w:val="center"/>
          </w:tcPr>
          <w:p w14:paraId="57EF9799" w14:textId="77777777" w:rsidR="00115458" w:rsidRPr="00B12E65" w:rsidRDefault="00115458" w:rsidP="00B12E65">
            <w:pPr>
              <w:spacing w:after="0" w:line="240" w:lineRule="auto"/>
              <w:rPr>
                <w:rFonts w:cs="Arial"/>
                <w:sz w:val="20"/>
              </w:rPr>
            </w:pPr>
            <w:r w:rsidRPr="00B12E65">
              <w:rPr>
                <w:rFonts w:cs="Arial"/>
                <w:sz w:val="20"/>
              </w:rPr>
              <w:t>Total current year capital gains</w:t>
            </w:r>
          </w:p>
        </w:tc>
        <w:tc>
          <w:tcPr>
            <w:tcW w:w="850" w:type="dxa"/>
            <w:vAlign w:val="center"/>
          </w:tcPr>
          <w:p w14:paraId="1D97AFC3"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9.89</w:t>
            </w:r>
          </w:p>
        </w:tc>
        <w:tc>
          <w:tcPr>
            <w:tcW w:w="1167" w:type="dxa"/>
            <w:vAlign w:val="center"/>
          </w:tcPr>
          <w:p w14:paraId="5F3E83E2"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18H</w:t>
            </w:r>
          </w:p>
        </w:tc>
      </w:tr>
      <w:tr w:rsidR="00115458" w:rsidRPr="00B12E65" w14:paraId="4BFEB0FC" w14:textId="77777777" w:rsidTr="00B12E65">
        <w:trPr>
          <w:trHeight w:val="340"/>
        </w:trPr>
        <w:tc>
          <w:tcPr>
            <w:tcW w:w="3652" w:type="dxa"/>
            <w:vAlign w:val="center"/>
          </w:tcPr>
          <w:p w14:paraId="1B1B8BCE" w14:textId="77777777" w:rsidR="00115458" w:rsidRPr="00B12E65" w:rsidRDefault="00115458" w:rsidP="00B12E65">
            <w:pPr>
              <w:spacing w:after="0" w:line="240" w:lineRule="auto"/>
              <w:rPr>
                <w:rFonts w:cs="Arial"/>
                <w:sz w:val="20"/>
              </w:rPr>
            </w:pPr>
            <w:r w:rsidRPr="00B12E65">
              <w:rPr>
                <w:rFonts w:cs="Arial"/>
                <w:sz w:val="20"/>
              </w:rPr>
              <w:t>Credit for foreign resident capital gains withholding amounts</w:t>
            </w:r>
          </w:p>
        </w:tc>
        <w:tc>
          <w:tcPr>
            <w:tcW w:w="3573" w:type="dxa"/>
            <w:vAlign w:val="center"/>
          </w:tcPr>
          <w:p w14:paraId="0ACF1CB4" w14:textId="77777777" w:rsidR="00115458" w:rsidRPr="00B12E65" w:rsidRDefault="00115458" w:rsidP="00B12E65">
            <w:pPr>
              <w:spacing w:after="0" w:line="240" w:lineRule="auto"/>
              <w:rPr>
                <w:rFonts w:cs="Arial"/>
                <w:sz w:val="20"/>
              </w:rPr>
            </w:pPr>
            <w:r w:rsidRPr="00B12E65">
              <w:rPr>
                <w:rFonts w:cs="Arial"/>
                <w:iCs/>
                <w:sz w:val="20"/>
              </w:rPr>
              <w:t>Share of Foreign Resident Capital Gains Withholding credits</w:t>
            </w:r>
          </w:p>
        </w:tc>
        <w:tc>
          <w:tcPr>
            <w:tcW w:w="850" w:type="dxa"/>
            <w:vAlign w:val="center"/>
          </w:tcPr>
          <w:p w14:paraId="468CE814"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9.132</w:t>
            </w:r>
          </w:p>
        </w:tc>
        <w:tc>
          <w:tcPr>
            <w:tcW w:w="1167" w:type="dxa"/>
            <w:vAlign w:val="center"/>
          </w:tcPr>
          <w:p w14:paraId="26B01412"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18X</w:t>
            </w:r>
          </w:p>
        </w:tc>
      </w:tr>
      <w:tr w:rsidR="00115458" w:rsidRPr="00B12E65" w14:paraId="1CD8A479" w14:textId="77777777" w:rsidTr="00B12E65">
        <w:trPr>
          <w:trHeight w:val="340"/>
        </w:trPr>
        <w:tc>
          <w:tcPr>
            <w:tcW w:w="3652" w:type="dxa"/>
            <w:vAlign w:val="center"/>
          </w:tcPr>
          <w:p w14:paraId="04D8811A" w14:textId="77777777" w:rsidR="00115458" w:rsidRPr="00B12E65" w:rsidRDefault="00115458" w:rsidP="00B12E65">
            <w:pPr>
              <w:spacing w:after="0" w:line="240" w:lineRule="auto"/>
              <w:rPr>
                <w:rFonts w:cs="Arial"/>
                <w:sz w:val="20"/>
              </w:rPr>
            </w:pPr>
            <w:r w:rsidRPr="00B12E65">
              <w:rPr>
                <w:rFonts w:cs="Arial"/>
                <w:sz w:val="20"/>
              </w:rPr>
              <w:t>CFC income</w:t>
            </w:r>
          </w:p>
        </w:tc>
        <w:tc>
          <w:tcPr>
            <w:tcW w:w="3573" w:type="dxa"/>
            <w:vAlign w:val="center"/>
          </w:tcPr>
          <w:p w14:paraId="00DD75DA" w14:textId="77777777" w:rsidR="00115458" w:rsidRPr="00B12E65" w:rsidRDefault="00115458" w:rsidP="00B12E65">
            <w:pPr>
              <w:spacing w:after="0" w:line="240" w:lineRule="auto"/>
              <w:rPr>
                <w:rFonts w:cs="Arial"/>
                <w:sz w:val="20"/>
              </w:rPr>
            </w:pPr>
            <w:r w:rsidRPr="00B12E65">
              <w:rPr>
                <w:rFonts w:cs="Arial"/>
                <w:sz w:val="20"/>
              </w:rPr>
              <w:t>CFC income</w:t>
            </w:r>
          </w:p>
        </w:tc>
        <w:tc>
          <w:tcPr>
            <w:tcW w:w="850" w:type="dxa"/>
            <w:vAlign w:val="center"/>
          </w:tcPr>
          <w:p w14:paraId="4AFED089"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9.117</w:t>
            </w:r>
          </w:p>
        </w:tc>
        <w:tc>
          <w:tcPr>
            <w:tcW w:w="1167" w:type="dxa"/>
            <w:vAlign w:val="center"/>
          </w:tcPr>
          <w:p w14:paraId="2C92F548"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19K</w:t>
            </w:r>
          </w:p>
        </w:tc>
      </w:tr>
      <w:tr w:rsidR="00115458" w:rsidRPr="00B12E65" w14:paraId="14A1049C" w14:textId="77777777" w:rsidTr="00B12E65">
        <w:trPr>
          <w:trHeight w:val="340"/>
        </w:trPr>
        <w:tc>
          <w:tcPr>
            <w:tcW w:w="3652" w:type="dxa"/>
            <w:vAlign w:val="center"/>
          </w:tcPr>
          <w:p w14:paraId="3E2A7D37" w14:textId="77777777" w:rsidR="00115458" w:rsidRPr="00B12E65" w:rsidRDefault="00115458" w:rsidP="00B12E65">
            <w:pPr>
              <w:spacing w:after="0" w:line="240" w:lineRule="auto"/>
              <w:rPr>
                <w:rFonts w:cs="Arial"/>
                <w:sz w:val="20"/>
              </w:rPr>
            </w:pPr>
            <w:r w:rsidRPr="00B12E65">
              <w:rPr>
                <w:rFonts w:cs="Arial"/>
                <w:sz w:val="20"/>
              </w:rPr>
              <w:t>Transferor trust income</w:t>
            </w:r>
          </w:p>
        </w:tc>
        <w:tc>
          <w:tcPr>
            <w:tcW w:w="3573" w:type="dxa"/>
            <w:vAlign w:val="center"/>
          </w:tcPr>
          <w:p w14:paraId="7F1276DA" w14:textId="77777777" w:rsidR="00115458" w:rsidRPr="00B12E65" w:rsidRDefault="00115458" w:rsidP="00B12E65">
            <w:pPr>
              <w:spacing w:after="0" w:line="240" w:lineRule="auto"/>
              <w:rPr>
                <w:rFonts w:cs="Arial"/>
                <w:sz w:val="20"/>
              </w:rPr>
            </w:pPr>
            <w:r w:rsidRPr="00B12E65">
              <w:rPr>
                <w:rFonts w:cs="Arial"/>
                <w:sz w:val="20"/>
              </w:rPr>
              <w:t>Transferor trust income</w:t>
            </w:r>
          </w:p>
        </w:tc>
        <w:tc>
          <w:tcPr>
            <w:tcW w:w="850" w:type="dxa"/>
            <w:vAlign w:val="center"/>
          </w:tcPr>
          <w:p w14:paraId="02667B2A"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9.116</w:t>
            </w:r>
          </w:p>
        </w:tc>
        <w:tc>
          <w:tcPr>
            <w:tcW w:w="1167" w:type="dxa"/>
            <w:vAlign w:val="center"/>
          </w:tcPr>
          <w:p w14:paraId="308FB860"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19B</w:t>
            </w:r>
          </w:p>
        </w:tc>
      </w:tr>
      <w:tr w:rsidR="00115458" w:rsidRPr="00B12E65" w14:paraId="743C82FC" w14:textId="77777777" w:rsidTr="00B12E65">
        <w:trPr>
          <w:trHeight w:val="340"/>
        </w:trPr>
        <w:tc>
          <w:tcPr>
            <w:tcW w:w="3652" w:type="dxa"/>
            <w:vAlign w:val="center"/>
          </w:tcPr>
          <w:p w14:paraId="003A94F7" w14:textId="77777777" w:rsidR="00115458" w:rsidRPr="00B12E65" w:rsidRDefault="00115458" w:rsidP="00B12E65">
            <w:pPr>
              <w:spacing w:after="0" w:line="240" w:lineRule="auto"/>
              <w:rPr>
                <w:rFonts w:cs="Arial"/>
                <w:sz w:val="20"/>
              </w:rPr>
            </w:pPr>
            <w:r w:rsidRPr="00B12E65">
              <w:rPr>
                <w:rFonts w:cs="Arial"/>
                <w:sz w:val="20"/>
              </w:rPr>
              <w:t>Assessable foreign source income</w:t>
            </w:r>
          </w:p>
        </w:tc>
        <w:tc>
          <w:tcPr>
            <w:tcW w:w="3573" w:type="dxa"/>
            <w:vAlign w:val="center"/>
          </w:tcPr>
          <w:p w14:paraId="6271755C" w14:textId="77777777" w:rsidR="00115458" w:rsidRPr="00B12E65" w:rsidRDefault="00115458" w:rsidP="00B12E65">
            <w:pPr>
              <w:spacing w:after="0" w:line="240" w:lineRule="auto"/>
              <w:rPr>
                <w:rFonts w:cs="Arial"/>
                <w:sz w:val="20"/>
              </w:rPr>
            </w:pPr>
            <w:r w:rsidRPr="00B12E65">
              <w:rPr>
                <w:rFonts w:cs="Arial"/>
                <w:sz w:val="20"/>
              </w:rPr>
              <w:t>Assessable foreign source income</w:t>
            </w:r>
          </w:p>
        </w:tc>
        <w:tc>
          <w:tcPr>
            <w:tcW w:w="850" w:type="dxa"/>
            <w:vAlign w:val="center"/>
          </w:tcPr>
          <w:p w14:paraId="35B03C04"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9.91</w:t>
            </w:r>
          </w:p>
        </w:tc>
        <w:tc>
          <w:tcPr>
            <w:tcW w:w="1167" w:type="dxa"/>
            <w:vAlign w:val="center"/>
          </w:tcPr>
          <w:p w14:paraId="44FB3567"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20E</w:t>
            </w:r>
          </w:p>
        </w:tc>
      </w:tr>
      <w:tr w:rsidR="00115458" w:rsidRPr="00B12E65" w14:paraId="3E596262" w14:textId="77777777" w:rsidTr="00B12E65">
        <w:trPr>
          <w:trHeight w:val="340"/>
        </w:trPr>
        <w:tc>
          <w:tcPr>
            <w:tcW w:w="3652" w:type="dxa"/>
            <w:vAlign w:val="center"/>
          </w:tcPr>
          <w:p w14:paraId="507A0431" w14:textId="77777777" w:rsidR="00115458" w:rsidRPr="00B12E65" w:rsidRDefault="00115458" w:rsidP="00B12E65">
            <w:pPr>
              <w:spacing w:after="0" w:line="240" w:lineRule="auto"/>
              <w:rPr>
                <w:rFonts w:cs="Arial"/>
                <w:sz w:val="20"/>
              </w:rPr>
            </w:pPr>
            <w:r w:rsidRPr="00B12E65">
              <w:rPr>
                <w:rFonts w:cs="Arial"/>
                <w:sz w:val="20"/>
              </w:rPr>
              <w:t>Net foreign rent</w:t>
            </w:r>
          </w:p>
        </w:tc>
        <w:tc>
          <w:tcPr>
            <w:tcW w:w="3573" w:type="dxa"/>
            <w:vAlign w:val="center"/>
          </w:tcPr>
          <w:p w14:paraId="73FFB55F" w14:textId="77777777" w:rsidR="00115458" w:rsidRPr="00B12E65" w:rsidRDefault="00115458" w:rsidP="00B12E65">
            <w:pPr>
              <w:spacing w:after="0" w:line="240" w:lineRule="auto"/>
              <w:rPr>
                <w:rFonts w:cs="Arial"/>
                <w:sz w:val="20"/>
              </w:rPr>
            </w:pPr>
            <w:r w:rsidRPr="00B12E65">
              <w:rPr>
                <w:rFonts w:cs="Arial"/>
                <w:sz w:val="20"/>
              </w:rPr>
              <w:t>Net foreign rent</w:t>
            </w:r>
          </w:p>
        </w:tc>
        <w:tc>
          <w:tcPr>
            <w:tcW w:w="850" w:type="dxa"/>
            <w:vAlign w:val="center"/>
          </w:tcPr>
          <w:p w14:paraId="33DDFB18"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9.118</w:t>
            </w:r>
          </w:p>
        </w:tc>
        <w:tc>
          <w:tcPr>
            <w:tcW w:w="1167" w:type="dxa"/>
            <w:vAlign w:val="center"/>
          </w:tcPr>
          <w:p w14:paraId="65F68BAD"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20R</w:t>
            </w:r>
          </w:p>
        </w:tc>
      </w:tr>
      <w:tr w:rsidR="00115458" w:rsidRPr="00B12E65" w14:paraId="03CCD243" w14:textId="77777777" w:rsidTr="00B12E65">
        <w:trPr>
          <w:trHeight w:val="340"/>
        </w:trPr>
        <w:tc>
          <w:tcPr>
            <w:tcW w:w="3652" w:type="dxa"/>
            <w:vAlign w:val="center"/>
          </w:tcPr>
          <w:p w14:paraId="06203115" w14:textId="77777777" w:rsidR="00115458" w:rsidRPr="00B12E65" w:rsidRDefault="00115458" w:rsidP="00B12E65">
            <w:pPr>
              <w:spacing w:after="0" w:line="240" w:lineRule="auto"/>
              <w:rPr>
                <w:rFonts w:cs="Arial"/>
                <w:sz w:val="20"/>
              </w:rPr>
            </w:pPr>
            <w:r w:rsidRPr="00B12E65">
              <w:rPr>
                <w:rFonts w:cs="Arial"/>
                <w:sz w:val="20"/>
              </w:rPr>
              <w:t>Other net foreign source income</w:t>
            </w:r>
          </w:p>
        </w:tc>
        <w:tc>
          <w:tcPr>
            <w:tcW w:w="3573" w:type="dxa"/>
            <w:vAlign w:val="center"/>
          </w:tcPr>
          <w:p w14:paraId="1C07A030" w14:textId="77777777" w:rsidR="00115458" w:rsidRPr="00B12E65" w:rsidRDefault="00115458" w:rsidP="00B12E65">
            <w:pPr>
              <w:spacing w:after="0" w:line="240" w:lineRule="auto"/>
              <w:rPr>
                <w:rFonts w:cs="Arial"/>
                <w:sz w:val="20"/>
              </w:rPr>
            </w:pPr>
            <w:r w:rsidRPr="00B12E65">
              <w:rPr>
                <w:rFonts w:cs="Arial"/>
                <w:sz w:val="20"/>
              </w:rPr>
              <w:t>Other net foreign source income</w:t>
            </w:r>
          </w:p>
        </w:tc>
        <w:tc>
          <w:tcPr>
            <w:tcW w:w="850" w:type="dxa"/>
            <w:vAlign w:val="center"/>
          </w:tcPr>
          <w:p w14:paraId="6B9915B2"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9.92</w:t>
            </w:r>
          </w:p>
        </w:tc>
        <w:tc>
          <w:tcPr>
            <w:tcW w:w="1167" w:type="dxa"/>
            <w:vAlign w:val="center"/>
          </w:tcPr>
          <w:p w14:paraId="6AE239B5"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20M</w:t>
            </w:r>
          </w:p>
        </w:tc>
      </w:tr>
      <w:tr w:rsidR="00115458" w:rsidRPr="00B12E65" w14:paraId="1A267690" w14:textId="77777777" w:rsidTr="00B12E65">
        <w:trPr>
          <w:trHeight w:val="340"/>
        </w:trPr>
        <w:tc>
          <w:tcPr>
            <w:tcW w:w="3652" w:type="dxa"/>
            <w:vAlign w:val="center"/>
          </w:tcPr>
          <w:p w14:paraId="63AB1168" w14:textId="77777777" w:rsidR="00115458" w:rsidRPr="00B12E65" w:rsidRDefault="00115458" w:rsidP="00B12E65">
            <w:pPr>
              <w:spacing w:after="0" w:line="240" w:lineRule="auto"/>
              <w:rPr>
                <w:rFonts w:cs="Arial"/>
                <w:sz w:val="20"/>
              </w:rPr>
            </w:pPr>
            <w:r w:rsidRPr="00B12E65">
              <w:rPr>
                <w:rFonts w:cs="Arial"/>
                <w:sz w:val="20"/>
              </w:rPr>
              <w:t>Australian franking credits from a New Zealand company</w:t>
            </w:r>
          </w:p>
        </w:tc>
        <w:tc>
          <w:tcPr>
            <w:tcW w:w="3573" w:type="dxa"/>
            <w:vAlign w:val="center"/>
          </w:tcPr>
          <w:p w14:paraId="34C79E0B" w14:textId="77777777" w:rsidR="00115458" w:rsidRPr="00B12E65" w:rsidRDefault="00115458" w:rsidP="00B12E65">
            <w:pPr>
              <w:spacing w:after="0" w:line="240" w:lineRule="auto"/>
              <w:rPr>
                <w:rFonts w:cs="Arial"/>
                <w:sz w:val="20"/>
              </w:rPr>
            </w:pPr>
            <w:r w:rsidRPr="00B12E65">
              <w:rPr>
                <w:rFonts w:cs="Arial"/>
                <w:sz w:val="20"/>
              </w:rPr>
              <w:t>Australian franking credits from a New Zealand franking company</w:t>
            </w:r>
          </w:p>
        </w:tc>
        <w:tc>
          <w:tcPr>
            <w:tcW w:w="850" w:type="dxa"/>
            <w:vAlign w:val="center"/>
          </w:tcPr>
          <w:p w14:paraId="6906EEF9"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9.94</w:t>
            </w:r>
          </w:p>
        </w:tc>
        <w:tc>
          <w:tcPr>
            <w:tcW w:w="1167" w:type="dxa"/>
            <w:vAlign w:val="center"/>
          </w:tcPr>
          <w:p w14:paraId="4A0AC4A3"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20F</w:t>
            </w:r>
          </w:p>
        </w:tc>
      </w:tr>
      <w:tr w:rsidR="00115458" w:rsidRPr="00B12E65" w14:paraId="0EE67A95" w14:textId="77777777" w:rsidTr="00B12E65">
        <w:trPr>
          <w:trHeight w:val="340"/>
        </w:trPr>
        <w:tc>
          <w:tcPr>
            <w:tcW w:w="3652" w:type="dxa"/>
            <w:vAlign w:val="center"/>
          </w:tcPr>
          <w:p w14:paraId="509F2184" w14:textId="77777777" w:rsidR="00115458" w:rsidRPr="00B12E65" w:rsidRDefault="00115458" w:rsidP="00B12E65">
            <w:pPr>
              <w:spacing w:after="0" w:line="240" w:lineRule="auto"/>
              <w:rPr>
                <w:rFonts w:cs="Arial"/>
                <w:sz w:val="20"/>
              </w:rPr>
            </w:pPr>
            <w:r w:rsidRPr="00B12E65">
              <w:rPr>
                <w:rFonts w:cs="Arial"/>
                <w:sz w:val="20"/>
              </w:rPr>
              <w:t>Foreign income tax offset</w:t>
            </w:r>
          </w:p>
        </w:tc>
        <w:tc>
          <w:tcPr>
            <w:tcW w:w="3573" w:type="dxa"/>
            <w:vAlign w:val="center"/>
          </w:tcPr>
          <w:p w14:paraId="03D5AF6E" w14:textId="77777777" w:rsidR="00115458" w:rsidRPr="00B12E65" w:rsidRDefault="00115458" w:rsidP="00B12E65">
            <w:pPr>
              <w:spacing w:after="0" w:line="240" w:lineRule="auto"/>
              <w:rPr>
                <w:rFonts w:cs="Arial"/>
                <w:sz w:val="20"/>
              </w:rPr>
            </w:pPr>
            <w:r w:rsidRPr="00B12E65">
              <w:rPr>
                <w:rFonts w:cs="Arial"/>
                <w:sz w:val="20"/>
              </w:rPr>
              <w:t>Foreign income tax offset</w:t>
            </w:r>
          </w:p>
        </w:tc>
        <w:tc>
          <w:tcPr>
            <w:tcW w:w="850" w:type="dxa"/>
            <w:vAlign w:val="center"/>
          </w:tcPr>
          <w:p w14:paraId="37B7C6B5"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9.93</w:t>
            </w:r>
          </w:p>
        </w:tc>
        <w:tc>
          <w:tcPr>
            <w:tcW w:w="1167" w:type="dxa"/>
            <w:vAlign w:val="center"/>
          </w:tcPr>
          <w:p w14:paraId="204EECFD"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20O</w:t>
            </w:r>
          </w:p>
        </w:tc>
      </w:tr>
      <w:tr w:rsidR="00115458" w:rsidRPr="00B12E65" w14:paraId="7F813135" w14:textId="77777777" w:rsidTr="00B12E65">
        <w:trPr>
          <w:trHeight w:val="340"/>
        </w:trPr>
        <w:tc>
          <w:tcPr>
            <w:tcW w:w="3652" w:type="dxa"/>
            <w:vAlign w:val="center"/>
          </w:tcPr>
          <w:p w14:paraId="3AF96359" w14:textId="77777777" w:rsidR="00115458" w:rsidRPr="00B12E65" w:rsidRDefault="00115458" w:rsidP="00B12E65">
            <w:pPr>
              <w:spacing w:after="0" w:line="240" w:lineRule="auto"/>
              <w:rPr>
                <w:rFonts w:cs="Arial"/>
                <w:sz w:val="20"/>
              </w:rPr>
            </w:pPr>
            <w:r w:rsidRPr="00B12E65">
              <w:rPr>
                <w:rFonts w:cs="Arial"/>
                <w:sz w:val="20"/>
              </w:rPr>
              <w:t>Other income – Category 4 rebates</w:t>
            </w:r>
          </w:p>
        </w:tc>
        <w:tc>
          <w:tcPr>
            <w:tcW w:w="3573" w:type="dxa"/>
            <w:vAlign w:val="center"/>
          </w:tcPr>
          <w:p w14:paraId="0C65102C" w14:textId="77777777" w:rsidR="00115458" w:rsidRPr="00B12E65" w:rsidRDefault="00115458" w:rsidP="00B12E65">
            <w:pPr>
              <w:spacing w:after="0" w:line="240" w:lineRule="auto"/>
              <w:rPr>
                <w:rFonts w:cs="Arial"/>
                <w:sz w:val="20"/>
              </w:rPr>
            </w:pPr>
            <w:r w:rsidRPr="00B12E65">
              <w:rPr>
                <w:rFonts w:cs="Arial"/>
                <w:sz w:val="20"/>
              </w:rPr>
              <w:t>Other income</w:t>
            </w:r>
          </w:p>
        </w:tc>
        <w:tc>
          <w:tcPr>
            <w:tcW w:w="850" w:type="dxa"/>
            <w:vAlign w:val="center"/>
          </w:tcPr>
          <w:p w14:paraId="1C2A1C5D" w14:textId="77777777" w:rsidR="00115458" w:rsidRPr="00B12E65" w:rsidRDefault="00115458" w:rsidP="00B12E65">
            <w:pPr>
              <w:pStyle w:val="Normalright"/>
              <w:spacing w:before="0"/>
              <w:jc w:val="left"/>
              <w:rPr>
                <w:rFonts w:asciiTheme="minorHAnsi" w:hAnsiTheme="minorHAnsi"/>
                <w:sz w:val="20"/>
                <w:szCs w:val="20"/>
              </w:rPr>
            </w:pPr>
            <w:r w:rsidRPr="00B12E65">
              <w:rPr>
                <w:rFonts w:asciiTheme="minorHAnsi" w:hAnsiTheme="minorHAnsi"/>
                <w:sz w:val="20"/>
                <w:szCs w:val="20"/>
              </w:rPr>
              <w:t>9.130</w:t>
            </w:r>
          </w:p>
        </w:tc>
        <w:tc>
          <w:tcPr>
            <w:tcW w:w="1167" w:type="dxa"/>
            <w:vAlign w:val="center"/>
          </w:tcPr>
          <w:p w14:paraId="168ECDFD" w14:textId="77777777" w:rsidR="00115458" w:rsidRPr="00B12E65" w:rsidRDefault="00115458" w:rsidP="00B12E65">
            <w:pPr>
              <w:pStyle w:val="Normalright"/>
              <w:spacing w:before="0"/>
              <w:jc w:val="center"/>
              <w:rPr>
                <w:rFonts w:asciiTheme="minorHAnsi" w:hAnsiTheme="minorHAnsi"/>
                <w:b/>
                <w:sz w:val="20"/>
                <w:szCs w:val="20"/>
              </w:rPr>
            </w:pPr>
            <w:r w:rsidRPr="00B12E65">
              <w:rPr>
                <w:rStyle w:val="StyleBold"/>
                <w:rFonts w:asciiTheme="minorHAnsi" w:hAnsiTheme="minorHAnsi"/>
                <w:sz w:val="20"/>
                <w:szCs w:val="20"/>
              </w:rPr>
              <w:t>24V</w:t>
            </w:r>
          </w:p>
        </w:tc>
      </w:tr>
    </w:tbl>
    <w:p w14:paraId="1A49B757" w14:textId="77777777" w:rsidR="00115458" w:rsidRPr="00B12E65" w:rsidRDefault="00115458" w:rsidP="00B12E65">
      <w:pPr>
        <w:spacing w:after="0" w:line="240" w:lineRule="auto"/>
        <w:rPr>
          <w:rFonts w:cs="Arial"/>
          <w:b/>
        </w:rPr>
      </w:pPr>
    </w:p>
    <w:p w14:paraId="190B4C77" w14:textId="77777777" w:rsidR="00115458" w:rsidRPr="00B12E65" w:rsidRDefault="00115458" w:rsidP="00B12E65">
      <w:pPr>
        <w:spacing w:after="0" w:line="240" w:lineRule="auto"/>
        <w:rPr>
          <w:rFonts w:cs="Arial"/>
          <w:b/>
        </w:rPr>
      </w:pPr>
    </w:p>
    <w:p w14:paraId="61812C1F" w14:textId="77777777" w:rsidR="00115458" w:rsidRPr="00B12E65" w:rsidRDefault="00115458" w:rsidP="00B12E65">
      <w:pPr>
        <w:rPr>
          <w:rFonts w:cs="Arial"/>
          <w:b/>
          <w:sz w:val="24"/>
          <w:szCs w:val="24"/>
        </w:rPr>
      </w:pPr>
      <w:r w:rsidRPr="00B12E65">
        <w:rPr>
          <w:rFonts w:cs="Arial"/>
          <w:b/>
          <w:sz w:val="24"/>
          <w:szCs w:val="24"/>
        </w:rPr>
        <w:t>Part C</w:t>
      </w:r>
    </w:p>
    <w:tbl>
      <w:tblPr>
        <w:tblStyle w:val="TableGrid"/>
        <w:tblW w:w="0" w:type="auto"/>
        <w:tblInd w:w="137" w:type="dxa"/>
        <w:tblLook w:val="04A0" w:firstRow="1" w:lastRow="0" w:firstColumn="1" w:lastColumn="0" w:noHBand="0" w:noVBand="1"/>
      </w:tblPr>
      <w:tblGrid>
        <w:gridCol w:w="3395"/>
        <w:gridCol w:w="4360"/>
        <w:gridCol w:w="1146"/>
        <w:gridCol w:w="260"/>
      </w:tblGrid>
      <w:tr w:rsidR="00115458" w:rsidRPr="00B12E65" w14:paraId="29DB6300" w14:textId="77777777" w:rsidTr="000C1365">
        <w:trPr>
          <w:trHeight w:val="397"/>
          <w:tblHeader/>
        </w:trPr>
        <w:tc>
          <w:tcPr>
            <w:tcW w:w="3488" w:type="dxa"/>
            <w:shd w:val="clear" w:color="auto" w:fill="BFBFBF" w:themeFill="background1" w:themeFillShade="BF"/>
            <w:vAlign w:val="center"/>
          </w:tcPr>
          <w:p w14:paraId="338698A0" w14:textId="79AC5D0F" w:rsidR="00115458" w:rsidRPr="001601AF" w:rsidRDefault="00115458" w:rsidP="00A05028">
            <w:pPr>
              <w:spacing w:after="0" w:line="240" w:lineRule="auto"/>
              <w:rPr>
                <w:rFonts w:cs="Arial"/>
                <w:b/>
                <w:bCs/>
                <w:sz w:val="20"/>
              </w:rPr>
            </w:pPr>
            <w:r w:rsidRPr="001601AF">
              <w:rPr>
                <w:rFonts w:cs="Arial"/>
                <w:b/>
                <w:bCs/>
                <w:sz w:val="20"/>
              </w:rPr>
              <w:t>202</w:t>
            </w:r>
            <w:r w:rsidR="00EC0128">
              <w:rPr>
                <w:rFonts w:cs="Arial"/>
                <w:b/>
                <w:bCs/>
                <w:sz w:val="20"/>
              </w:rPr>
              <w:t>6</w:t>
            </w:r>
            <w:r w:rsidRPr="001601AF">
              <w:rPr>
                <w:rFonts w:cs="Arial"/>
                <w:b/>
                <w:bCs/>
                <w:sz w:val="20"/>
              </w:rPr>
              <w:t xml:space="preserve"> AMMA name</w:t>
            </w:r>
          </w:p>
        </w:tc>
        <w:tc>
          <w:tcPr>
            <w:tcW w:w="4498" w:type="dxa"/>
            <w:shd w:val="clear" w:color="auto" w:fill="BFBFBF" w:themeFill="background1" w:themeFillShade="BF"/>
            <w:vAlign w:val="center"/>
          </w:tcPr>
          <w:p w14:paraId="4D99F32A" w14:textId="2AF6E3E9" w:rsidR="00115458" w:rsidRPr="001601AF" w:rsidRDefault="00115458" w:rsidP="00A05028">
            <w:pPr>
              <w:spacing w:after="0" w:line="240" w:lineRule="auto"/>
              <w:rPr>
                <w:rFonts w:cs="Arial"/>
                <w:b/>
                <w:bCs/>
                <w:sz w:val="20"/>
              </w:rPr>
            </w:pPr>
            <w:r w:rsidRPr="001601AF">
              <w:rPr>
                <w:rFonts w:cs="Arial"/>
                <w:b/>
                <w:bCs/>
                <w:sz w:val="20"/>
              </w:rPr>
              <w:t>202</w:t>
            </w:r>
            <w:r w:rsidR="00F85B25">
              <w:rPr>
                <w:rFonts w:cs="Arial"/>
                <w:b/>
                <w:bCs/>
                <w:sz w:val="20"/>
              </w:rPr>
              <w:t>6</w:t>
            </w:r>
            <w:r w:rsidRPr="001601AF">
              <w:rPr>
                <w:rFonts w:cs="Arial"/>
                <w:b/>
                <w:bCs/>
                <w:sz w:val="20"/>
              </w:rPr>
              <w:t xml:space="preserve"> AIIR name</w:t>
            </w:r>
          </w:p>
        </w:tc>
        <w:tc>
          <w:tcPr>
            <w:tcW w:w="1165" w:type="dxa"/>
            <w:gridSpan w:val="2"/>
            <w:shd w:val="clear" w:color="auto" w:fill="BFBFBF" w:themeFill="background1" w:themeFillShade="BF"/>
            <w:vAlign w:val="center"/>
          </w:tcPr>
          <w:p w14:paraId="26125F36" w14:textId="557C4606" w:rsidR="00115458" w:rsidRPr="001601AF" w:rsidRDefault="00115458" w:rsidP="00A05028">
            <w:pPr>
              <w:spacing w:after="0" w:line="240" w:lineRule="auto"/>
              <w:rPr>
                <w:rFonts w:cs="Arial"/>
                <w:b/>
                <w:bCs/>
                <w:sz w:val="20"/>
              </w:rPr>
            </w:pPr>
            <w:r w:rsidRPr="001601AF">
              <w:rPr>
                <w:rFonts w:cs="Arial"/>
                <w:b/>
                <w:bCs/>
                <w:sz w:val="20"/>
              </w:rPr>
              <w:t>202</w:t>
            </w:r>
            <w:r w:rsidR="00F85B25">
              <w:rPr>
                <w:rFonts w:cs="Arial"/>
                <w:b/>
                <w:bCs/>
                <w:sz w:val="20"/>
              </w:rPr>
              <w:t>6</w:t>
            </w:r>
            <w:r w:rsidRPr="001601AF">
              <w:rPr>
                <w:rFonts w:cs="Arial"/>
                <w:b/>
                <w:bCs/>
                <w:sz w:val="20"/>
              </w:rPr>
              <w:t xml:space="preserve"> AIIR field</w:t>
            </w:r>
          </w:p>
        </w:tc>
      </w:tr>
      <w:tr w:rsidR="00115458" w:rsidRPr="00B12E65" w14:paraId="5115703E" w14:textId="77777777" w:rsidTr="000C1365">
        <w:trPr>
          <w:trHeight w:val="397"/>
        </w:trPr>
        <w:tc>
          <w:tcPr>
            <w:tcW w:w="3488" w:type="dxa"/>
            <w:vAlign w:val="center"/>
          </w:tcPr>
          <w:p w14:paraId="6071BC4F" w14:textId="77777777" w:rsidR="00115458" w:rsidRPr="001601AF" w:rsidRDefault="00115458" w:rsidP="001601AF">
            <w:pPr>
              <w:spacing w:after="0" w:line="240" w:lineRule="auto"/>
              <w:rPr>
                <w:rFonts w:cs="Arial"/>
                <w:sz w:val="20"/>
              </w:rPr>
            </w:pPr>
            <w:r w:rsidRPr="001601AF">
              <w:rPr>
                <w:rFonts w:cs="Arial"/>
                <w:sz w:val="20"/>
              </w:rPr>
              <w:t>Interest</w:t>
            </w:r>
          </w:p>
        </w:tc>
        <w:tc>
          <w:tcPr>
            <w:tcW w:w="4498" w:type="dxa"/>
            <w:vAlign w:val="center"/>
          </w:tcPr>
          <w:p w14:paraId="0651FD37" w14:textId="77777777" w:rsidR="00115458" w:rsidRPr="001601AF" w:rsidRDefault="00115458" w:rsidP="001601AF">
            <w:pPr>
              <w:spacing w:after="0" w:line="240" w:lineRule="auto"/>
              <w:rPr>
                <w:rFonts w:cs="Arial"/>
                <w:sz w:val="20"/>
              </w:rPr>
            </w:pPr>
            <w:r w:rsidRPr="001601AF">
              <w:rPr>
                <w:rFonts w:cs="Arial"/>
                <w:sz w:val="20"/>
              </w:rPr>
              <w:t>Interest</w:t>
            </w:r>
          </w:p>
        </w:tc>
        <w:tc>
          <w:tcPr>
            <w:tcW w:w="1165" w:type="dxa"/>
            <w:gridSpan w:val="2"/>
            <w:vAlign w:val="center"/>
          </w:tcPr>
          <w:p w14:paraId="126BEAA5"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9.79</w:t>
            </w:r>
          </w:p>
        </w:tc>
      </w:tr>
      <w:tr w:rsidR="00115458" w:rsidRPr="00B12E65" w14:paraId="6671931C" w14:textId="77777777" w:rsidTr="000C1365">
        <w:trPr>
          <w:trHeight w:val="397"/>
        </w:trPr>
        <w:tc>
          <w:tcPr>
            <w:tcW w:w="3488" w:type="dxa"/>
            <w:vAlign w:val="center"/>
          </w:tcPr>
          <w:p w14:paraId="3E7FCC1F" w14:textId="77777777" w:rsidR="00115458" w:rsidRPr="001601AF" w:rsidRDefault="00115458" w:rsidP="001601AF">
            <w:pPr>
              <w:spacing w:after="0" w:line="240" w:lineRule="auto"/>
              <w:rPr>
                <w:rFonts w:cs="Arial"/>
                <w:sz w:val="20"/>
              </w:rPr>
            </w:pPr>
            <w:r w:rsidRPr="001601AF">
              <w:rPr>
                <w:rFonts w:cs="Arial"/>
                <w:sz w:val="20"/>
              </w:rPr>
              <w:t>Dividends – unfranked declared to be CFI</w:t>
            </w:r>
          </w:p>
        </w:tc>
        <w:tc>
          <w:tcPr>
            <w:tcW w:w="4498" w:type="dxa"/>
            <w:vAlign w:val="center"/>
          </w:tcPr>
          <w:p w14:paraId="47C693AF" w14:textId="77777777" w:rsidR="00115458" w:rsidRPr="001601AF" w:rsidRDefault="00115458" w:rsidP="001601AF">
            <w:pPr>
              <w:spacing w:after="0" w:line="240" w:lineRule="auto"/>
              <w:rPr>
                <w:rFonts w:cs="Arial"/>
                <w:sz w:val="20"/>
              </w:rPr>
            </w:pPr>
            <w:r w:rsidRPr="001601AF">
              <w:rPr>
                <w:rFonts w:cs="Arial"/>
                <w:sz w:val="20"/>
              </w:rPr>
              <w:t>Unfranked dividends declared to be conduit foreign income</w:t>
            </w:r>
          </w:p>
        </w:tc>
        <w:tc>
          <w:tcPr>
            <w:tcW w:w="1165" w:type="dxa"/>
            <w:gridSpan w:val="2"/>
            <w:vAlign w:val="center"/>
          </w:tcPr>
          <w:p w14:paraId="281C72EC"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9.81</w:t>
            </w:r>
          </w:p>
        </w:tc>
      </w:tr>
      <w:tr w:rsidR="00115458" w:rsidRPr="00B12E65" w14:paraId="3FB8FE92" w14:textId="77777777" w:rsidTr="000C1365">
        <w:trPr>
          <w:trHeight w:val="397"/>
        </w:trPr>
        <w:tc>
          <w:tcPr>
            <w:tcW w:w="3488" w:type="dxa"/>
            <w:vAlign w:val="center"/>
          </w:tcPr>
          <w:p w14:paraId="2E258F09" w14:textId="77777777" w:rsidR="00115458" w:rsidRPr="001601AF" w:rsidRDefault="00115458" w:rsidP="001601AF">
            <w:pPr>
              <w:spacing w:after="0" w:line="240" w:lineRule="auto"/>
              <w:rPr>
                <w:rFonts w:cs="Arial"/>
                <w:sz w:val="20"/>
              </w:rPr>
            </w:pPr>
            <w:r w:rsidRPr="001601AF">
              <w:rPr>
                <w:rFonts w:cs="Arial"/>
                <w:sz w:val="20"/>
              </w:rPr>
              <w:t>Dividends – unfrank</w:t>
            </w:r>
            <w:r w:rsidRPr="001601AF">
              <w:rPr>
                <w:rFonts w:cs="Arial"/>
                <w:sz w:val="20"/>
                <w:bdr w:val="single" w:sz="4" w:space="0" w:color="auto"/>
              </w:rPr>
              <w:t>e</w:t>
            </w:r>
            <w:r w:rsidRPr="001601AF">
              <w:rPr>
                <w:rFonts w:cs="Arial"/>
                <w:sz w:val="20"/>
              </w:rPr>
              <w:t>d not declared to be CFI</w:t>
            </w:r>
          </w:p>
        </w:tc>
        <w:tc>
          <w:tcPr>
            <w:tcW w:w="4498" w:type="dxa"/>
            <w:vAlign w:val="center"/>
          </w:tcPr>
          <w:p w14:paraId="71ED1B64" w14:textId="77777777" w:rsidR="00115458" w:rsidRPr="001601AF" w:rsidRDefault="00115458" w:rsidP="001601AF">
            <w:pPr>
              <w:spacing w:after="0" w:line="240" w:lineRule="auto"/>
              <w:rPr>
                <w:rFonts w:cs="Arial"/>
                <w:sz w:val="20"/>
              </w:rPr>
            </w:pPr>
            <w:r w:rsidRPr="001601AF">
              <w:rPr>
                <w:rFonts w:cs="Arial"/>
                <w:sz w:val="20"/>
              </w:rPr>
              <w:t>Unfranked dividends not declared to be conduit foreign income</w:t>
            </w:r>
          </w:p>
        </w:tc>
        <w:tc>
          <w:tcPr>
            <w:tcW w:w="1165" w:type="dxa"/>
            <w:gridSpan w:val="2"/>
            <w:vAlign w:val="center"/>
          </w:tcPr>
          <w:p w14:paraId="3040C457"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9.80</w:t>
            </w:r>
          </w:p>
        </w:tc>
      </w:tr>
      <w:tr w:rsidR="00115458" w:rsidRPr="00B12E65" w14:paraId="5D880243" w14:textId="77777777" w:rsidTr="000C1365">
        <w:trPr>
          <w:trHeight w:val="397"/>
        </w:trPr>
        <w:tc>
          <w:tcPr>
            <w:tcW w:w="3488" w:type="dxa"/>
            <w:vAlign w:val="center"/>
          </w:tcPr>
          <w:p w14:paraId="370AED06" w14:textId="77777777" w:rsidR="00115458" w:rsidRPr="001601AF" w:rsidRDefault="00115458" w:rsidP="001601AF">
            <w:pPr>
              <w:spacing w:after="0" w:line="240" w:lineRule="auto"/>
              <w:rPr>
                <w:rFonts w:cs="Arial"/>
                <w:sz w:val="20"/>
              </w:rPr>
            </w:pPr>
            <w:r w:rsidRPr="001601AF">
              <w:rPr>
                <w:rFonts w:cs="Arial"/>
                <w:sz w:val="20"/>
              </w:rPr>
              <w:t>LIC Capital gain deduction</w:t>
            </w:r>
          </w:p>
        </w:tc>
        <w:tc>
          <w:tcPr>
            <w:tcW w:w="4498" w:type="dxa"/>
            <w:vAlign w:val="center"/>
          </w:tcPr>
          <w:p w14:paraId="3933CBAF" w14:textId="77777777" w:rsidR="00115458" w:rsidRPr="001601AF" w:rsidRDefault="00115458" w:rsidP="001601AF">
            <w:pPr>
              <w:spacing w:after="0" w:line="240" w:lineRule="auto"/>
              <w:rPr>
                <w:rFonts w:cs="Arial"/>
                <w:sz w:val="20"/>
              </w:rPr>
            </w:pPr>
            <w:r w:rsidRPr="001601AF">
              <w:rPr>
                <w:rFonts w:cs="Arial"/>
                <w:sz w:val="20"/>
              </w:rPr>
              <w:t>Listed investment company capital gain deduction</w:t>
            </w:r>
          </w:p>
        </w:tc>
        <w:tc>
          <w:tcPr>
            <w:tcW w:w="1165" w:type="dxa"/>
            <w:gridSpan w:val="2"/>
            <w:vAlign w:val="center"/>
          </w:tcPr>
          <w:p w14:paraId="1319BD83"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9.108</w:t>
            </w:r>
          </w:p>
        </w:tc>
      </w:tr>
      <w:tr w:rsidR="00115458" w:rsidRPr="00B12E65" w14:paraId="0962AE3E" w14:textId="77777777" w:rsidTr="000C1365">
        <w:trPr>
          <w:trHeight w:val="397"/>
        </w:trPr>
        <w:tc>
          <w:tcPr>
            <w:tcW w:w="3488" w:type="dxa"/>
            <w:vAlign w:val="center"/>
          </w:tcPr>
          <w:p w14:paraId="45CB9C9B" w14:textId="77777777" w:rsidR="00115458" w:rsidRPr="001601AF" w:rsidRDefault="00115458" w:rsidP="001601AF">
            <w:pPr>
              <w:spacing w:after="0" w:line="240" w:lineRule="auto"/>
              <w:rPr>
                <w:rFonts w:cs="Arial"/>
                <w:sz w:val="20"/>
              </w:rPr>
            </w:pPr>
            <w:r w:rsidRPr="001601AF">
              <w:rPr>
                <w:rFonts w:cs="Arial"/>
                <w:sz w:val="20"/>
              </w:rPr>
              <w:t>Other assessable Australian income</w:t>
            </w:r>
          </w:p>
        </w:tc>
        <w:tc>
          <w:tcPr>
            <w:tcW w:w="4498" w:type="dxa"/>
            <w:vAlign w:val="center"/>
          </w:tcPr>
          <w:p w14:paraId="2F43BF1A" w14:textId="77777777" w:rsidR="00115458" w:rsidRPr="001601AF" w:rsidRDefault="00115458" w:rsidP="001601AF">
            <w:pPr>
              <w:spacing w:after="0" w:line="240" w:lineRule="auto"/>
              <w:rPr>
                <w:rFonts w:cs="Arial"/>
                <w:sz w:val="20"/>
              </w:rPr>
            </w:pPr>
            <w:r w:rsidRPr="001601AF">
              <w:rPr>
                <w:rFonts w:cs="Arial"/>
                <w:sz w:val="20"/>
              </w:rPr>
              <w:t>Other taxable Australian income</w:t>
            </w:r>
          </w:p>
        </w:tc>
        <w:tc>
          <w:tcPr>
            <w:tcW w:w="1165" w:type="dxa"/>
            <w:gridSpan w:val="2"/>
            <w:vAlign w:val="center"/>
          </w:tcPr>
          <w:p w14:paraId="55070549"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9.84</w:t>
            </w:r>
          </w:p>
        </w:tc>
      </w:tr>
      <w:tr w:rsidR="00115458" w:rsidRPr="00B12E65" w14:paraId="362B29CC" w14:textId="77777777" w:rsidTr="000C1365">
        <w:trPr>
          <w:trHeight w:val="397"/>
        </w:trPr>
        <w:tc>
          <w:tcPr>
            <w:tcW w:w="3488" w:type="dxa"/>
            <w:vAlign w:val="center"/>
          </w:tcPr>
          <w:p w14:paraId="29C34981" w14:textId="77777777" w:rsidR="00115458" w:rsidRPr="001601AF" w:rsidRDefault="00115458" w:rsidP="001601AF">
            <w:pPr>
              <w:spacing w:after="0" w:line="240" w:lineRule="auto"/>
              <w:rPr>
                <w:rFonts w:cs="Arial"/>
                <w:sz w:val="20"/>
              </w:rPr>
            </w:pPr>
            <w:r w:rsidRPr="001601AF">
              <w:rPr>
                <w:rFonts w:cs="Arial"/>
                <w:sz w:val="20"/>
              </w:rPr>
              <w:t>NCMI – Non-primary production</w:t>
            </w:r>
          </w:p>
        </w:tc>
        <w:tc>
          <w:tcPr>
            <w:tcW w:w="4498" w:type="dxa"/>
            <w:vAlign w:val="center"/>
          </w:tcPr>
          <w:p w14:paraId="43E7B08E" w14:textId="77777777" w:rsidR="00115458" w:rsidRPr="001601AF" w:rsidRDefault="00115458" w:rsidP="001601AF">
            <w:pPr>
              <w:spacing w:after="0" w:line="240" w:lineRule="auto"/>
              <w:rPr>
                <w:rFonts w:cs="Arial"/>
                <w:sz w:val="20"/>
              </w:rPr>
            </w:pPr>
            <w:r w:rsidRPr="001601AF">
              <w:rPr>
                <w:rFonts w:cs="Arial"/>
                <w:sz w:val="20"/>
              </w:rPr>
              <w:t>NCMI – Non-primary production</w:t>
            </w:r>
          </w:p>
        </w:tc>
        <w:tc>
          <w:tcPr>
            <w:tcW w:w="1165" w:type="dxa"/>
            <w:gridSpan w:val="2"/>
            <w:vAlign w:val="center"/>
          </w:tcPr>
          <w:p w14:paraId="2A6D177F"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9.136</w:t>
            </w:r>
          </w:p>
        </w:tc>
      </w:tr>
      <w:tr w:rsidR="00115458" w:rsidRPr="00B12E65" w14:paraId="2A924E57" w14:textId="77777777" w:rsidTr="000C1365">
        <w:trPr>
          <w:trHeight w:val="397"/>
        </w:trPr>
        <w:tc>
          <w:tcPr>
            <w:tcW w:w="3488" w:type="dxa"/>
            <w:vAlign w:val="center"/>
          </w:tcPr>
          <w:p w14:paraId="30EF359A" w14:textId="77777777" w:rsidR="00115458" w:rsidRPr="001601AF" w:rsidRDefault="00115458" w:rsidP="001601AF">
            <w:pPr>
              <w:spacing w:after="0" w:line="240" w:lineRule="auto"/>
              <w:rPr>
                <w:rFonts w:cs="Arial"/>
                <w:sz w:val="20"/>
              </w:rPr>
            </w:pPr>
            <w:r w:rsidRPr="001601AF">
              <w:rPr>
                <w:rFonts w:cs="Arial"/>
                <w:sz w:val="20"/>
              </w:rPr>
              <w:t>Excluded from NCMI – Non-primary production</w:t>
            </w:r>
          </w:p>
        </w:tc>
        <w:tc>
          <w:tcPr>
            <w:tcW w:w="4498" w:type="dxa"/>
            <w:vAlign w:val="center"/>
          </w:tcPr>
          <w:p w14:paraId="63E81B27" w14:textId="77777777" w:rsidR="00115458" w:rsidRPr="001601AF" w:rsidRDefault="00115458" w:rsidP="001601AF">
            <w:pPr>
              <w:spacing w:after="0" w:line="240" w:lineRule="auto"/>
              <w:rPr>
                <w:rFonts w:cs="Arial"/>
                <w:sz w:val="20"/>
              </w:rPr>
            </w:pPr>
            <w:r w:rsidRPr="001601AF">
              <w:rPr>
                <w:rFonts w:cs="Arial"/>
                <w:sz w:val="20"/>
              </w:rPr>
              <w:t>Excluded from NCMI – Non-primary production</w:t>
            </w:r>
          </w:p>
        </w:tc>
        <w:tc>
          <w:tcPr>
            <w:tcW w:w="1165" w:type="dxa"/>
            <w:gridSpan w:val="2"/>
            <w:vAlign w:val="center"/>
          </w:tcPr>
          <w:p w14:paraId="5A668893"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9.138</w:t>
            </w:r>
          </w:p>
        </w:tc>
      </w:tr>
      <w:tr w:rsidR="00115458" w:rsidRPr="00B12E65" w14:paraId="16B34169" w14:textId="77777777" w:rsidTr="000C1365">
        <w:trPr>
          <w:trHeight w:val="397"/>
        </w:trPr>
        <w:tc>
          <w:tcPr>
            <w:tcW w:w="3488" w:type="dxa"/>
            <w:vAlign w:val="center"/>
          </w:tcPr>
          <w:p w14:paraId="49D41867" w14:textId="77777777" w:rsidR="00115458" w:rsidRPr="001601AF" w:rsidRDefault="00115458" w:rsidP="001601AF">
            <w:pPr>
              <w:spacing w:after="0" w:line="240" w:lineRule="auto"/>
              <w:rPr>
                <w:rFonts w:cs="Arial"/>
                <w:sz w:val="20"/>
              </w:rPr>
            </w:pPr>
            <w:r w:rsidRPr="001601AF">
              <w:rPr>
                <w:rFonts w:cs="Arial"/>
                <w:sz w:val="20"/>
              </w:rPr>
              <w:t>Other allowable trust deductions (SDS)</w:t>
            </w:r>
          </w:p>
        </w:tc>
        <w:tc>
          <w:tcPr>
            <w:tcW w:w="4498" w:type="dxa"/>
            <w:vAlign w:val="center"/>
          </w:tcPr>
          <w:p w14:paraId="68B8F51E" w14:textId="77777777" w:rsidR="00115458" w:rsidRPr="001601AF" w:rsidRDefault="00115458" w:rsidP="001601AF">
            <w:pPr>
              <w:spacing w:after="0" w:line="240" w:lineRule="auto"/>
              <w:rPr>
                <w:rFonts w:cs="Arial"/>
                <w:sz w:val="20"/>
              </w:rPr>
            </w:pPr>
            <w:r w:rsidRPr="001601AF">
              <w:rPr>
                <w:rFonts w:cs="Arial"/>
                <w:sz w:val="20"/>
              </w:rPr>
              <w:t>Other allowable trust deductions</w:t>
            </w:r>
          </w:p>
        </w:tc>
        <w:tc>
          <w:tcPr>
            <w:tcW w:w="1165" w:type="dxa"/>
            <w:gridSpan w:val="2"/>
            <w:vAlign w:val="center"/>
          </w:tcPr>
          <w:p w14:paraId="1AA0679A"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9.98</w:t>
            </w:r>
          </w:p>
        </w:tc>
      </w:tr>
      <w:tr w:rsidR="00115458" w:rsidRPr="00B12E65" w14:paraId="13150E8B" w14:textId="77777777" w:rsidTr="000C1365">
        <w:trPr>
          <w:trHeight w:val="397"/>
        </w:trPr>
        <w:tc>
          <w:tcPr>
            <w:tcW w:w="3488" w:type="dxa"/>
            <w:vAlign w:val="center"/>
          </w:tcPr>
          <w:p w14:paraId="75E1110A" w14:textId="77777777" w:rsidR="00115458" w:rsidRPr="001601AF" w:rsidRDefault="00115458" w:rsidP="001601AF">
            <w:pPr>
              <w:spacing w:after="0" w:line="240" w:lineRule="auto"/>
              <w:rPr>
                <w:rFonts w:cs="Arial"/>
                <w:sz w:val="20"/>
              </w:rPr>
            </w:pPr>
            <w:r w:rsidRPr="001601AF">
              <w:rPr>
                <w:rFonts w:cs="Arial"/>
                <w:sz w:val="20"/>
              </w:rPr>
              <w:t>NCMI – Primary production</w:t>
            </w:r>
          </w:p>
        </w:tc>
        <w:tc>
          <w:tcPr>
            <w:tcW w:w="4498" w:type="dxa"/>
            <w:vAlign w:val="center"/>
          </w:tcPr>
          <w:p w14:paraId="565799CD" w14:textId="77777777" w:rsidR="00115458" w:rsidRPr="001601AF" w:rsidRDefault="00115458" w:rsidP="001601AF">
            <w:pPr>
              <w:spacing w:after="0" w:line="240" w:lineRule="auto"/>
              <w:rPr>
                <w:rFonts w:cs="Arial"/>
                <w:sz w:val="20"/>
              </w:rPr>
            </w:pPr>
            <w:r w:rsidRPr="001601AF">
              <w:rPr>
                <w:rFonts w:cs="Arial"/>
                <w:sz w:val="20"/>
              </w:rPr>
              <w:t>NCMI – Primary production</w:t>
            </w:r>
          </w:p>
        </w:tc>
        <w:tc>
          <w:tcPr>
            <w:tcW w:w="1165" w:type="dxa"/>
            <w:gridSpan w:val="2"/>
            <w:vAlign w:val="center"/>
          </w:tcPr>
          <w:p w14:paraId="79B44056"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9.137</w:t>
            </w:r>
          </w:p>
        </w:tc>
      </w:tr>
      <w:tr w:rsidR="00115458" w:rsidRPr="00B12E65" w14:paraId="53CE64D1" w14:textId="77777777" w:rsidTr="000C1365">
        <w:trPr>
          <w:trHeight w:val="397"/>
        </w:trPr>
        <w:tc>
          <w:tcPr>
            <w:tcW w:w="3488" w:type="dxa"/>
            <w:vAlign w:val="center"/>
          </w:tcPr>
          <w:p w14:paraId="29DBA22B" w14:textId="77777777" w:rsidR="00115458" w:rsidRPr="001601AF" w:rsidRDefault="00115458" w:rsidP="001601AF">
            <w:pPr>
              <w:spacing w:after="0" w:line="240" w:lineRule="auto"/>
              <w:rPr>
                <w:rFonts w:cs="Arial"/>
                <w:sz w:val="20"/>
              </w:rPr>
            </w:pPr>
            <w:r w:rsidRPr="001601AF">
              <w:rPr>
                <w:rFonts w:cs="Arial"/>
                <w:sz w:val="20"/>
              </w:rPr>
              <w:t>Excluded from NCMI – Primary production</w:t>
            </w:r>
          </w:p>
        </w:tc>
        <w:tc>
          <w:tcPr>
            <w:tcW w:w="4498" w:type="dxa"/>
            <w:vAlign w:val="center"/>
          </w:tcPr>
          <w:p w14:paraId="69E923E2" w14:textId="77777777" w:rsidR="00115458" w:rsidRPr="001601AF" w:rsidRDefault="00115458" w:rsidP="001601AF">
            <w:pPr>
              <w:spacing w:after="0" w:line="240" w:lineRule="auto"/>
              <w:rPr>
                <w:rFonts w:cs="Arial"/>
                <w:sz w:val="20"/>
              </w:rPr>
            </w:pPr>
            <w:r w:rsidRPr="001601AF">
              <w:rPr>
                <w:rFonts w:cs="Arial"/>
                <w:sz w:val="20"/>
              </w:rPr>
              <w:t>Excluded from NCMI – Primary production</w:t>
            </w:r>
          </w:p>
        </w:tc>
        <w:tc>
          <w:tcPr>
            <w:tcW w:w="1165" w:type="dxa"/>
            <w:gridSpan w:val="2"/>
            <w:vAlign w:val="center"/>
          </w:tcPr>
          <w:p w14:paraId="3012944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9.139</w:t>
            </w:r>
          </w:p>
        </w:tc>
      </w:tr>
      <w:tr w:rsidR="00115458" w:rsidRPr="00B12E65" w14:paraId="57A1CD86" w14:textId="77777777" w:rsidTr="000C1365">
        <w:trPr>
          <w:trHeight w:val="397"/>
        </w:trPr>
        <w:tc>
          <w:tcPr>
            <w:tcW w:w="3488" w:type="dxa"/>
            <w:vAlign w:val="center"/>
          </w:tcPr>
          <w:p w14:paraId="2FFE92A6" w14:textId="77777777" w:rsidR="00115458" w:rsidRPr="001601AF" w:rsidRDefault="00115458" w:rsidP="001601AF">
            <w:pPr>
              <w:spacing w:after="0" w:line="240" w:lineRule="auto"/>
              <w:rPr>
                <w:rFonts w:cs="Arial"/>
                <w:sz w:val="20"/>
              </w:rPr>
            </w:pPr>
            <w:r w:rsidRPr="001601AF">
              <w:rPr>
                <w:rFonts w:cs="Arial"/>
                <w:sz w:val="20"/>
              </w:rPr>
              <w:t>Primary production income</w:t>
            </w:r>
          </w:p>
        </w:tc>
        <w:tc>
          <w:tcPr>
            <w:tcW w:w="4498" w:type="dxa"/>
            <w:vAlign w:val="center"/>
          </w:tcPr>
          <w:p w14:paraId="544CB349" w14:textId="77777777" w:rsidR="00115458" w:rsidRPr="001601AF" w:rsidRDefault="00115458" w:rsidP="001601AF">
            <w:pPr>
              <w:spacing w:after="0" w:line="240" w:lineRule="auto"/>
              <w:rPr>
                <w:rFonts w:cs="Arial"/>
                <w:sz w:val="20"/>
              </w:rPr>
            </w:pPr>
            <w:r w:rsidRPr="001601AF">
              <w:rPr>
                <w:rFonts w:cs="Arial"/>
                <w:sz w:val="20"/>
              </w:rPr>
              <w:t>Primary production income</w:t>
            </w:r>
          </w:p>
        </w:tc>
        <w:tc>
          <w:tcPr>
            <w:tcW w:w="1165" w:type="dxa"/>
            <w:gridSpan w:val="2"/>
            <w:vAlign w:val="center"/>
          </w:tcPr>
          <w:p w14:paraId="1D86CE37"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9.113</w:t>
            </w:r>
          </w:p>
        </w:tc>
      </w:tr>
      <w:tr w:rsidR="00115458" w:rsidRPr="00B12E65" w14:paraId="7CB21CD8" w14:textId="77777777" w:rsidTr="000C1365">
        <w:trPr>
          <w:trHeight w:val="397"/>
        </w:trPr>
        <w:tc>
          <w:tcPr>
            <w:tcW w:w="3488" w:type="dxa"/>
            <w:vAlign w:val="center"/>
          </w:tcPr>
          <w:p w14:paraId="75567AB3" w14:textId="77777777" w:rsidR="00115458" w:rsidRPr="001601AF" w:rsidRDefault="00115458" w:rsidP="001601AF">
            <w:pPr>
              <w:spacing w:after="0" w:line="240" w:lineRule="auto"/>
              <w:rPr>
                <w:rFonts w:cs="Arial"/>
                <w:sz w:val="20"/>
              </w:rPr>
            </w:pPr>
            <w:r w:rsidRPr="001601AF">
              <w:rPr>
                <w:rFonts w:cs="Arial"/>
                <w:sz w:val="20"/>
              </w:rPr>
              <w:t>Dividends – Franked distributions</w:t>
            </w:r>
          </w:p>
        </w:tc>
        <w:tc>
          <w:tcPr>
            <w:tcW w:w="4498" w:type="dxa"/>
            <w:vAlign w:val="center"/>
          </w:tcPr>
          <w:p w14:paraId="11AE09E2" w14:textId="77777777" w:rsidR="00115458" w:rsidRPr="001601AF" w:rsidRDefault="00115458" w:rsidP="001601AF">
            <w:pPr>
              <w:spacing w:after="0" w:line="240" w:lineRule="auto"/>
              <w:rPr>
                <w:rFonts w:cs="Arial"/>
                <w:sz w:val="20"/>
              </w:rPr>
            </w:pPr>
            <w:r w:rsidRPr="001601AF">
              <w:rPr>
                <w:rFonts w:cs="Arial"/>
                <w:sz w:val="20"/>
              </w:rPr>
              <w:t>Franked dividends</w:t>
            </w:r>
          </w:p>
        </w:tc>
        <w:tc>
          <w:tcPr>
            <w:tcW w:w="1165" w:type="dxa"/>
            <w:gridSpan w:val="2"/>
            <w:vAlign w:val="center"/>
          </w:tcPr>
          <w:p w14:paraId="5CBDE975"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9.82</w:t>
            </w:r>
          </w:p>
        </w:tc>
      </w:tr>
      <w:tr w:rsidR="00115458" w:rsidRPr="00B12E65" w14:paraId="42389256" w14:textId="77777777" w:rsidTr="000C1365">
        <w:trPr>
          <w:trHeight w:val="397"/>
        </w:trPr>
        <w:tc>
          <w:tcPr>
            <w:tcW w:w="3488" w:type="dxa"/>
            <w:vAlign w:val="center"/>
          </w:tcPr>
          <w:p w14:paraId="58098786" w14:textId="77777777" w:rsidR="00115458" w:rsidRPr="001601AF" w:rsidRDefault="00115458" w:rsidP="001601AF">
            <w:pPr>
              <w:spacing w:after="0" w:line="240" w:lineRule="auto"/>
              <w:rPr>
                <w:rFonts w:cs="Arial"/>
                <w:sz w:val="20"/>
              </w:rPr>
            </w:pPr>
            <w:r w:rsidRPr="001601AF">
              <w:rPr>
                <w:rFonts w:cs="Arial"/>
                <w:sz w:val="20"/>
              </w:rPr>
              <w:t>Capital gains discount – Taxable Australian property</w:t>
            </w:r>
          </w:p>
        </w:tc>
        <w:tc>
          <w:tcPr>
            <w:tcW w:w="4498" w:type="dxa"/>
            <w:vAlign w:val="center"/>
          </w:tcPr>
          <w:p w14:paraId="00A0FFAB" w14:textId="77777777" w:rsidR="00115458" w:rsidRPr="001601AF" w:rsidRDefault="00115458" w:rsidP="001601AF">
            <w:pPr>
              <w:spacing w:after="0" w:line="240" w:lineRule="auto"/>
              <w:rPr>
                <w:rFonts w:cs="Arial"/>
                <w:sz w:val="20"/>
              </w:rPr>
            </w:pPr>
            <w:r w:rsidRPr="001601AF">
              <w:rPr>
                <w:rFonts w:cs="Arial"/>
                <w:sz w:val="20"/>
              </w:rPr>
              <w:t>Capital Gains discount method – Taxable Australian property</w:t>
            </w:r>
          </w:p>
        </w:tc>
        <w:tc>
          <w:tcPr>
            <w:tcW w:w="1165" w:type="dxa"/>
            <w:gridSpan w:val="2"/>
            <w:vAlign w:val="center"/>
          </w:tcPr>
          <w:p w14:paraId="3B7CEA6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9.123</w:t>
            </w:r>
          </w:p>
        </w:tc>
      </w:tr>
      <w:tr w:rsidR="00115458" w14:paraId="09A1F200" w14:textId="77777777" w:rsidTr="000C1365">
        <w:trPr>
          <w:trHeight w:val="397"/>
        </w:trPr>
        <w:tc>
          <w:tcPr>
            <w:tcW w:w="3488" w:type="dxa"/>
            <w:vAlign w:val="center"/>
          </w:tcPr>
          <w:p w14:paraId="0F52BF4B" w14:textId="77777777" w:rsidR="00115458" w:rsidRPr="001601AF" w:rsidRDefault="00115458" w:rsidP="001601AF">
            <w:pPr>
              <w:spacing w:after="0" w:line="240" w:lineRule="auto"/>
              <w:rPr>
                <w:rFonts w:cs="Arial"/>
                <w:sz w:val="20"/>
              </w:rPr>
            </w:pPr>
            <w:r w:rsidRPr="001601AF">
              <w:rPr>
                <w:rFonts w:cs="Arial"/>
                <w:sz w:val="20"/>
              </w:rPr>
              <w:t>Capital gains discount – Non-Taxable Australian property</w:t>
            </w:r>
          </w:p>
        </w:tc>
        <w:tc>
          <w:tcPr>
            <w:tcW w:w="4498" w:type="dxa"/>
            <w:vAlign w:val="center"/>
          </w:tcPr>
          <w:p w14:paraId="74814FBF" w14:textId="77777777" w:rsidR="00115458" w:rsidRPr="001601AF" w:rsidRDefault="00115458" w:rsidP="001601AF">
            <w:pPr>
              <w:spacing w:after="0" w:line="240" w:lineRule="auto"/>
              <w:rPr>
                <w:rFonts w:cs="Arial"/>
                <w:sz w:val="20"/>
              </w:rPr>
            </w:pPr>
            <w:r w:rsidRPr="001601AF">
              <w:rPr>
                <w:rFonts w:cs="Arial"/>
                <w:sz w:val="20"/>
              </w:rPr>
              <w:t>Capital Gains discount method – Non-Taxable Australian property</w:t>
            </w:r>
          </w:p>
        </w:tc>
        <w:tc>
          <w:tcPr>
            <w:tcW w:w="1165" w:type="dxa"/>
            <w:gridSpan w:val="2"/>
            <w:vAlign w:val="center"/>
          </w:tcPr>
          <w:p w14:paraId="1FDD58BC"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9.124</w:t>
            </w:r>
          </w:p>
        </w:tc>
      </w:tr>
      <w:tr w:rsidR="00115458" w14:paraId="16EC9480" w14:textId="77777777" w:rsidTr="000C1365">
        <w:trPr>
          <w:trHeight w:val="397"/>
        </w:trPr>
        <w:tc>
          <w:tcPr>
            <w:tcW w:w="3488" w:type="dxa"/>
            <w:vAlign w:val="center"/>
          </w:tcPr>
          <w:p w14:paraId="24CDAB57" w14:textId="77777777" w:rsidR="00115458" w:rsidRPr="001601AF" w:rsidRDefault="00115458" w:rsidP="001601AF">
            <w:pPr>
              <w:spacing w:after="0" w:line="240" w:lineRule="auto"/>
              <w:rPr>
                <w:rFonts w:cs="Arial"/>
                <w:sz w:val="20"/>
              </w:rPr>
            </w:pPr>
            <w:r w:rsidRPr="001601AF">
              <w:rPr>
                <w:rFonts w:cs="Arial"/>
                <w:sz w:val="20"/>
              </w:rPr>
              <w:t>Capital gains other – Taxable Australian property</w:t>
            </w:r>
          </w:p>
        </w:tc>
        <w:tc>
          <w:tcPr>
            <w:tcW w:w="4498" w:type="dxa"/>
            <w:vAlign w:val="center"/>
          </w:tcPr>
          <w:p w14:paraId="0132EB12" w14:textId="77777777" w:rsidR="00115458" w:rsidRPr="001601AF" w:rsidRDefault="00115458" w:rsidP="001601AF">
            <w:pPr>
              <w:spacing w:after="0" w:line="240" w:lineRule="auto"/>
              <w:rPr>
                <w:rFonts w:cs="Arial"/>
                <w:sz w:val="20"/>
              </w:rPr>
            </w:pPr>
            <w:r w:rsidRPr="001601AF">
              <w:rPr>
                <w:rFonts w:cs="Arial"/>
                <w:sz w:val="20"/>
              </w:rPr>
              <w:t>Capital gains other – Taxable Australian property</w:t>
            </w:r>
          </w:p>
        </w:tc>
        <w:tc>
          <w:tcPr>
            <w:tcW w:w="1165" w:type="dxa"/>
            <w:gridSpan w:val="2"/>
            <w:vAlign w:val="center"/>
          </w:tcPr>
          <w:p w14:paraId="1970C970"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9.125</w:t>
            </w:r>
          </w:p>
        </w:tc>
      </w:tr>
      <w:tr w:rsidR="00115458" w14:paraId="11FCCC47" w14:textId="77777777" w:rsidTr="000C1365">
        <w:trPr>
          <w:trHeight w:val="397"/>
        </w:trPr>
        <w:tc>
          <w:tcPr>
            <w:tcW w:w="3488" w:type="dxa"/>
            <w:vAlign w:val="center"/>
          </w:tcPr>
          <w:p w14:paraId="0D09A412" w14:textId="77777777" w:rsidR="00115458" w:rsidRPr="001601AF" w:rsidRDefault="00115458" w:rsidP="001601AF">
            <w:pPr>
              <w:spacing w:after="0" w:line="240" w:lineRule="auto"/>
              <w:rPr>
                <w:rFonts w:cs="Arial"/>
                <w:sz w:val="20"/>
              </w:rPr>
            </w:pPr>
            <w:r w:rsidRPr="001601AF">
              <w:rPr>
                <w:rFonts w:cs="Arial"/>
                <w:sz w:val="20"/>
              </w:rPr>
              <w:t>Capital gains other – Non-Taxable Australian property</w:t>
            </w:r>
          </w:p>
        </w:tc>
        <w:tc>
          <w:tcPr>
            <w:tcW w:w="4498" w:type="dxa"/>
            <w:vAlign w:val="center"/>
          </w:tcPr>
          <w:p w14:paraId="45E7ECCA" w14:textId="77777777" w:rsidR="00115458" w:rsidRPr="001601AF" w:rsidRDefault="00115458" w:rsidP="001601AF">
            <w:pPr>
              <w:spacing w:after="0" w:line="240" w:lineRule="auto"/>
              <w:rPr>
                <w:rFonts w:cs="Arial"/>
                <w:sz w:val="20"/>
              </w:rPr>
            </w:pPr>
            <w:r w:rsidRPr="001601AF">
              <w:rPr>
                <w:rFonts w:cs="Arial"/>
                <w:sz w:val="20"/>
              </w:rPr>
              <w:t>Capital gains other – Non-Taxable Australian property</w:t>
            </w:r>
          </w:p>
        </w:tc>
        <w:tc>
          <w:tcPr>
            <w:tcW w:w="1165" w:type="dxa"/>
            <w:gridSpan w:val="2"/>
            <w:vAlign w:val="center"/>
          </w:tcPr>
          <w:p w14:paraId="6D73E3F3"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9.126</w:t>
            </w:r>
          </w:p>
        </w:tc>
      </w:tr>
      <w:tr w:rsidR="00115458" w14:paraId="2F92CBB1" w14:textId="77777777" w:rsidTr="000C1365">
        <w:trPr>
          <w:trHeight w:val="397"/>
        </w:trPr>
        <w:tc>
          <w:tcPr>
            <w:tcW w:w="3488" w:type="dxa"/>
            <w:vAlign w:val="center"/>
          </w:tcPr>
          <w:p w14:paraId="2A3581F5" w14:textId="77777777" w:rsidR="00115458" w:rsidRPr="001601AF" w:rsidRDefault="00115458" w:rsidP="001601AF">
            <w:pPr>
              <w:spacing w:after="0" w:line="240" w:lineRule="auto"/>
              <w:rPr>
                <w:rFonts w:cs="Arial"/>
                <w:sz w:val="20"/>
              </w:rPr>
            </w:pPr>
            <w:r w:rsidRPr="001601AF">
              <w:rPr>
                <w:rFonts w:cs="Arial"/>
                <w:sz w:val="20"/>
              </w:rPr>
              <w:t>NCMI capital gains</w:t>
            </w:r>
          </w:p>
        </w:tc>
        <w:tc>
          <w:tcPr>
            <w:tcW w:w="4498" w:type="dxa"/>
            <w:vAlign w:val="center"/>
          </w:tcPr>
          <w:p w14:paraId="61C75663" w14:textId="77777777" w:rsidR="00115458" w:rsidRPr="001601AF" w:rsidRDefault="00115458" w:rsidP="001601AF">
            <w:pPr>
              <w:spacing w:after="0" w:line="240" w:lineRule="auto"/>
              <w:rPr>
                <w:rFonts w:cs="Arial"/>
                <w:sz w:val="20"/>
              </w:rPr>
            </w:pPr>
            <w:r w:rsidRPr="001601AF">
              <w:rPr>
                <w:rFonts w:cs="Arial"/>
                <w:sz w:val="20"/>
              </w:rPr>
              <w:t>NCMI Capital Gains</w:t>
            </w:r>
          </w:p>
        </w:tc>
        <w:tc>
          <w:tcPr>
            <w:tcW w:w="1165" w:type="dxa"/>
            <w:gridSpan w:val="2"/>
            <w:vAlign w:val="center"/>
          </w:tcPr>
          <w:p w14:paraId="374A119F"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9.140</w:t>
            </w:r>
          </w:p>
        </w:tc>
      </w:tr>
      <w:tr w:rsidR="00115458" w14:paraId="76655211" w14:textId="77777777" w:rsidTr="000C1365">
        <w:trPr>
          <w:trHeight w:val="397"/>
        </w:trPr>
        <w:tc>
          <w:tcPr>
            <w:tcW w:w="3488" w:type="dxa"/>
            <w:vAlign w:val="center"/>
          </w:tcPr>
          <w:p w14:paraId="2D9D115B" w14:textId="77777777" w:rsidR="00115458" w:rsidRPr="001601AF" w:rsidRDefault="00115458" w:rsidP="001601AF">
            <w:pPr>
              <w:spacing w:after="0" w:line="240" w:lineRule="auto"/>
              <w:rPr>
                <w:rFonts w:cs="Arial"/>
                <w:sz w:val="20"/>
              </w:rPr>
            </w:pPr>
            <w:r w:rsidRPr="001601AF">
              <w:rPr>
                <w:rFonts w:cs="Arial"/>
                <w:sz w:val="20"/>
              </w:rPr>
              <w:t>Excluded from NCMI capital gains</w:t>
            </w:r>
          </w:p>
        </w:tc>
        <w:tc>
          <w:tcPr>
            <w:tcW w:w="4498" w:type="dxa"/>
            <w:vAlign w:val="center"/>
          </w:tcPr>
          <w:p w14:paraId="7DAF918B" w14:textId="77777777" w:rsidR="00115458" w:rsidRPr="001601AF" w:rsidRDefault="00115458" w:rsidP="001601AF">
            <w:pPr>
              <w:spacing w:after="0" w:line="240" w:lineRule="auto"/>
              <w:rPr>
                <w:rFonts w:cs="Arial"/>
                <w:sz w:val="20"/>
              </w:rPr>
            </w:pPr>
            <w:r w:rsidRPr="001601AF">
              <w:rPr>
                <w:rFonts w:cs="Arial"/>
                <w:sz w:val="20"/>
              </w:rPr>
              <w:t>Excluded from NCMI Capital Gains</w:t>
            </w:r>
          </w:p>
        </w:tc>
        <w:tc>
          <w:tcPr>
            <w:tcW w:w="1165" w:type="dxa"/>
            <w:gridSpan w:val="2"/>
            <w:vAlign w:val="center"/>
          </w:tcPr>
          <w:p w14:paraId="536F7842" w14:textId="255604B1"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9.141</w:t>
            </w:r>
          </w:p>
        </w:tc>
      </w:tr>
      <w:tr w:rsidR="00002811" w14:paraId="2326F4F6" w14:textId="77777777" w:rsidTr="000C1365">
        <w:trPr>
          <w:gridAfter w:val="1"/>
          <w:wAfter w:w="272" w:type="dxa"/>
          <w:trHeight w:val="397"/>
        </w:trPr>
        <w:tc>
          <w:tcPr>
            <w:tcW w:w="3488" w:type="dxa"/>
            <w:vAlign w:val="center"/>
          </w:tcPr>
          <w:p w14:paraId="40934B13" w14:textId="140D0557" w:rsidR="00002811" w:rsidRPr="00A05028" w:rsidRDefault="00040BB0" w:rsidP="001601AF">
            <w:pPr>
              <w:spacing w:after="0" w:line="240" w:lineRule="auto"/>
              <w:rPr>
                <w:rFonts w:cs="Arial"/>
                <w:bCs/>
                <w:sz w:val="20"/>
              </w:rPr>
            </w:pPr>
            <w:r w:rsidRPr="00A05028">
              <w:rPr>
                <w:bCs/>
                <w:sz w:val="20"/>
              </w:rPr>
              <w:t>BTR entity or payment recipient</w:t>
            </w:r>
          </w:p>
        </w:tc>
        <w:tc>
          <w:tcPr>
            <w:tcW w:w="4498" w:type="dxa"/>
            <w:vAlign w:val="center"/>
          </w:tcPr>
          <w:p w14:paraId="6DB3FA22" w14:textId="4959623B" w:rsidR="00002811" w:rsidRPr="00A05028" w:rsidRDefault="00040BB0" w:rsidP="001601AF">
            <w:pPr>
              <w:spacing w:after="0" w:line="240" w:lineRule="auto"/>
              <w:rPr>
                <w:rFonts w:cs="Arial"/>
                <w:bCs/>
                <w:sz w:val="20"/>
              </w:rPr>
            </w:pPr>
            <w:r w:rsidRPr="00A05028">
              <w:rPr>
                <w:bCs/>
                <w:sz w:val="20"/>
              </w:rPr>
              <w:t>BTR entity or payment recipient</w:t>
            </w:r>
          </w:p>
        </w:tc>
        <w:tc>
          <w:tcPr>
            <w:tcW w:w="1165" w:type="dxa"/>
            <w:vAlign w:val="center"/>
          </w:tcPr>
          <w:p w14:paraId="2C8FC936" w14:textId="54AA742B" w:rsidR="00002811" w:rsidRPr="001601AF" w:rsidRDefault="00D01A4F" w:rsidP="001601AF">
            <w:pPr>
              <w:pStyle w:val="Normalright"/>
              <w:spacing w:before="0"/>
              <w:jc w:val="left"/>
              <w:rPr>
                <w:rFonts w:asciiTheme="minorHAnsi" w:hAnsiTheme="minorHAnsi"/>
                <w:sz w:val="20"/>
                <w:szCs w:val="20"/>
              </w:rPr>
            </w:pPr>
            <w:r>
              <w:rPr>
                <w:rFonts w:asciiTheme="minorHAnsi" w:hAnsiTheme="minorHAnsi"/>
                <w:sz w:val="20"/>
                <w:szCs w:val="20"/>
              </w:rPr>
              <w:t>9.142</w:t>
            </w:r>
          </w:p>
        </w:tc>
      </w:tr>
      <w:tr w:rsidR="00002811" w14:paraId="0BECC300" w14:textId="77777777" w:rsidTr="000C1365">
        <w:trPr>
          <w:gridAfter w:val="1"/>
          <w:wAfter w:w="272" w:type="dxa"/>
          <w:trHeight w:val="397"/>
        </w:trPr>
        <w:tc>
          <w:tcPr>
            <w:tcW w:w="3488" w:type="dxa"/>
            <w:vAlign w:val="center"/>
          </w:tcPr>
          <w:p w14:paraId="6AAE4E91" w14:textId="330701DE" w:rsidR="00002811" w:rsidRPr="00A05028" w:rsidRDefault="00662BFE" w:rsidP="001601AF">
            <w:pPr>
              <w:spacing w:after="0" w:line="240" w:lineRule="auto"/>
              <w:rPr>
                <w:rFonts w:cs="Arial"/>
                <w:bCs/>
                <w:sz w:val="20"/>
              </w:rPr>
            </w:pPr>
            <w:r w:rsidRPr="00A05028">
              <w:rPr>
                <w:bCs/>
                <w:sz w:val="20"/>
              </w:rPr>
              <w:t>ATO BTR development ID</w:t>
            </w:r>
          </w:p>
        </w:tc>
        <w:tc>
          <w:tcPr>
            <w:tcW w:w="4498" w:type="dxa"/>
            <w:vAlign w:val="center"/>
          </w:tcPr>
          <w:p w14:paraId="3C090856" w14:textId="293CB90D" w:rsidR="00002811" w:rsidRPr="00A05028" w:rsidRDefault="00F52B5A" w:rsidP="001601AF">
            <w:pPr>
              <w:spacing w:after="0" w:line="240" w:lineRule="auto"/>
              <w:rPr>
                <w:rFonts w:cs="Arial"/>
                <w:bCs/>
                <w:sz w:val="20"/>
              </w:rPr>
            </w:pPr>
            <w:r w:rsidRPr="00A05028">
              <w:rPr>
                <w:bCs/>
                <w:sz w:val="20"/>
              </w:rPr>
              <w:t>ATO BTR development ID</w:t>
            </w:r>
          </w:p>
        </w:tc>
        <w:tc>
          <w:tcPr>
            <w:tcW w:w="1165" w:type="dxa"/>
            <w:vAlign w:val="center"/>
          </w:tcPr>
          <w:p w14:paraId="4191A827" w14:textId="0962F789" w:rsidR="00002811" w:rsidRPr="001601AF" w:rsidRDefault="00D01A4F" w:rsidP="001601AF">
            <w:pPr>
              <w:pStyle w:val="Normalright"/>
              <w:spacing w:before="0"/>
              <w:jc w:val="left"/>
              <w:rPr>
                <w:rFonts w:asciiTheme="minorHAnsi" w:hAnsiTheme="minorHAnsi"/>
                <w:sz w:val="20"/>
                <w:szCs w:val="20"/>
              </w:rPr>
            </w:pPr>
            <w:r>
              <w:rPr>
                <w:rFonts w:asciiTheme="minorHAnsi" w:hAnsiTheme="minorHAnsi"/>
                <w:sz w:val="20"/>
                <w:szCs w:val="20"/>
              </w:rPr>
              <w:t>9.143</w:t>
            </w:r>
          </w:p>
        </w:tc>
      </w:tr>
      <w:tr w:rsidR="00002811" w14:paraId="16BA3C06" w14:textId="77777777" w:rsidTr="000C1365">
        <w:trPr>
          <w:gridAfter w:val="1"/>
          <w:wAfter w:w="272" w:type="dxa"/>
          <w:trHeight w:val="397"/>
        </w:trPr>
        <w:tc>
          <w:tcPr>
            <w:tcW w:w="3488" w:type="dxa"/>
            <w:vAlign w:val="center"/>
          </w:tcPr>
          <w:p w14:paraId="0D8063C3" w14:textId="72FAB6F6" w:rsidR="00002811" w:rsidRPr="00A05028" w:rsidRDefault="00056F2F" w:rsidP="001601AF">
            <w:pPr>
              <w:spacing w:after="0" w:line="240" w:lineRule="auto"/>
              <w:rPr>
                <w:rFonts w:cs="Arial"/>
                <w:bCs/>
                <w:sz w:val="20"/>
              </w:rPr>
            </w:pPr>
            <w:r w:rsidRPr="00A05028">
              <w:rPr>
                <w:bCs/>
                <w:sz w:val="20"/>
              </w:rPr>
              <w:t>BTR excluded from NCMI – non primary production</w:t>
            </w:r>
          </w:p>
        </w:tc>
        <w:tc>
          <w:tcPr>
            <w:tcW w:w="4498" w:type="dxa"/>
            <w:vAlign w:val="center"/>
          </w:tcPr>
          <w:p w14:paraId="117FE7BD" w14:textId="6951A8F9" w:rsidR="00002811" w:rsidRPr="00A05028" w:rsidRDefault="00056F2F" w:rsidP="001601AF">
            <w:pPr>
              <w:spacing w:after="0" w:line="240" w:lineRule="auto"/>
              <w:rPr>
                <w:rFonts w:cs="Arial"/>
                <w:bCs/>
                <w:sz w:val="20"/>
              </w:rPr>
            </w:pPr>
            <w:r w:rsidRPr="00A05028">
              <w:rPr>
                <w:bCs/>
                <w:sz w:val="20"/>
              </w:rPr>
              <w:t>BTR excluded from NCMI – non primary production</w:t>
            </w:r>
          </w:p>
        </w:tc>
        <w:tc>
          <w:tcPr>
            <w:tcW w:w="1165" w:type="dxa"/>
            <w:vAlign w:val="center"/>
          </w:tcPr>
          <w:p w14:paraId="72EA0477" w14:textId="2CB2842F" w:rsidR="00002811" w:rsidRPr="001601AF" w:rsidRDefault="00D01A4F" w:rsidP="001601AF">
            <w:pPr>
              <w:pStyle w:val="Normalright"/>
              <w:spacing w:before="0"/>
              <w:jc w:val="left"/>
              <w:rPr>
                <w:rFonts w:asciiTheme="minorHAnsi" w:hAnsiTheme="minorHAnsi"/>
                <w:sz w:val="20"/>
                <w:szCs w:val="20"/>
              </w:rPr>
            </w:pPr>
            <w:r>
              <w:rPr>
                <w:rFonts w:asciiTheme="minorHAnsi" w:hAnsiTheme="minorHAnsi"/>
                <w:sz w:val="20"/>
                <w:szCs w:val="20"/>
              </w:rPr>
              <w:t>9.144</w:t>
            </w:r>
          </w:p>
        </w:tc>
      </w:tr>
      <w:tr w:rsidR="00002811" w14:paraId="2A892AD2" w14:textId="77777777" w:rsidTr="000C1365">
        <w:trPr>
          <w:gridAfter w:val="1"/>
          <w:wAfter w:w="272" w:type="dxa"/>
          <w:trHeight w:val="397"/>
        </w:trPr>
        <w:tc>
          <w:tcPr>
            <w:tcW w:w="3488" w:type="dxa"/>
            <w:vAlign w:val="center"/>
          </w:tcPr>
          <w:p w14:paraId="6EE9FE08" w14:textId="77777777" w:rsidR="00A05028" w:rsidRDefault="00A05028" w:rsidP="00315B4E">
            <w:pPr>
              <w:pStyle w:val="Maintext"/>
              <w:spacing w:line="276" w:lineRule="auto"/>
              <w:rPr>
                <w:rFonts w:asciiTheme="minorHAnsi" w:hAnsiTheme="minorHAnsi"/>
                <w:bCs/>
                <w:sz w:val="20"/>
                <w:szCs w:val="20"/>
              </w:rPr>
            </w:pPr>
          </w:p>
          <w:p w14:paraId="31E3C95B" w14:textId="028CCEE6" w:rsidR="00315B4E" w:rsidRPr="00A05028" w:rsidRDefault="00315B4E" w:rsidP="00315B4E">
            <w:pPr>
              <w:pStyle w:val="Maintext"/>
              <w:spacing w:line="276" w:lineRule="auto"/>
              <w:rPr>
                <w:rFonts w:asciiTheme="minorHAnsi" w:hAnsiTheme="minorHAnsi"/>
                <w:bCs/>
                <w:sz w:val="20"/>
                <w:szCs w:val="20"/>
              </w:rPr>
            </w:pPr>
            <w:r w:rsidRPr="00A05028">
              <w:rPr>
                <w:rFonts w:asciiTheme="minorHAnsi" w:hAnsiTheme="minorHAnsi"/>
                <w:bCs/>
                <w:sz w:val="20"/>
                <w:szCs w:val="20"/>
              </w:rPr>
              <w:t xml:space="preserve">BTR excluded from NCMI capital gains </w:t>
            </w:r>
          </w:p>
          <w:p w14:paraId="515F73A2" w14:textId="77777777" w:rsidR="00002811" w:rsidRPr="00A05028" w:rsidRDefault="00002811" w:rsidP="005237DA">
            <w:pPr>
              <w:pStyle w:val="Maintext"/>
              <w:spacing w:line="276" w:lineRule="auto"/>
              <w:rPr>
                <w:rFonts w:cs="Arial"/>
                <w:bCs/>
                <w:sz w:val="20"/>
                <w:szCs w:val="20"/>
              </w:rPr>
            </w:pPr>
          </w:p>
        </w:tc>
        <w:tc>
          <w:tcPr>
            <w:tcW w:w="4498" w:type="dxa"/>
            <w:vAlign w:val="center"/>
          </w:tcPr>
          <w:p w14:paraId="55E3EB23" w14:textId="595E3C5D" w:rsidR="00002811" w:rsidRPr="00A05028" w:rsidRDefault="00285ED2" w:rsidP="00A05028">
            <w:pPr>
              <w:pStyle w:val="Maintext"/>
              <w:spacing w:line="276" w:lineRule="auto"/>
              <w:rPr>
                <w:rFonts w:asciiTheme="minorHAnsi" w:hAnsiTheme="minorHAnsi"/>
                <w:bCs/>
                <w:sz w:val="20"/>
                <w:szCs w:val="20"/>
              </w:rPr>
            </w:pPr>
            <w:r w:rsidRPr="00A05028">
              <w:rPr>
                <w:rFonts w:asciiTheme="minorHAnsi" w:hAnsiTheme="minorHAnsi"/>
                <w:bCs/>
                <w:sz w:val="20"/>
                <w:szCs w:val="20"/>
              </w:rPr>
              <w:t xml:space="preserve">BTR excluded from NCMI capital gains </w:t>
            </w:r>
          </w:p>
        </w:tc>
        <w:tc>
          <w:tcPr>
            <w:tcW w:w="1165" w:type="dxa"/>
            <w:vAlign w:val="center"/>
          </w:tcPr>
          <w:p w14:paraId="23C07D07" w14:textId="4DA380F1" w:rsidR="00002811" w:rsidRPr="001601AF" w:rsidRDefault="00155AC6" w:rsidP="001601AF">
            <w:pPr>
              <w:pStyle w:val="Normalright"/>
              <w:spacing w:before="0"/>
              <w:jc w:val="left"/>
              <w:rPr>
                <w:rFonts w:asciiTheme="minorHAnsi" w:hAnsiTheme="minorHAnsi"/>
                <w:sz w:val="20"/>
                <w:szCs w:val="20"/>
              </w:rPr>
            </w:pPr>
            <w:r>
              <w:rPr>
                <w:rFonts w:asciiTheme="minorHAnsi" w:hAnsiTheme="minorHAnsi"/>
                <w:sz w:val="20"/>
                <w:szCs w:val="20"/>
              </w:rPr>
              <w:t>9.145</w:t>
            </w:r>
          </w:p>
        </w:tc>
      </w:tr>
      <w:tr w:rsidR="00002811" w14:paraId="7C023129" w14:textId="77777777" w:rsidTr="000C1365">
        <w:trPr>
          <w:gridAfter w:val="1"/>
          <w:wAfter w:w="272" w:type="dxa"/>
          <w:trHeight w:val="397"/>
        </w:trPr>
        <w:tc>
          <w:tcPr>
            <w:tcW w:w="3488" w:type="dxa"/>
            <w:vAlign w:val="center"/>
          </w:tcPr>
          <w:p w14:paraId="14F2C79E" w14:textId="27DB739A" w:rsidR="00002811" w:rsidRPr="00A05028" w:rsidRDefault="00A37F81" w:rsidP="001601AF">
            <w:pPr>
              <w:spacing w:after="0" w:line="240" w:lineRule="auto"/>
              <w:rPr>
                <w:rFonts w:cs="Arial"/>
                <w:bCs/>
                <w:sz w:val="20"/>
              </w:rPr>
            </w:pPr>
            <w:r w:rsidRPr="00A05028">
              <w:rPr>
                <w:bCs/>
                <w:sz w:val="20"/>
              </w:rPr>
              <w:t>Active BTR withholding</w:t>
            </w:r>
          </w:p>
        </w:tc>
        <w:tc>
          <w:tcPr>
            <w:tcW w:w="4498" w:type="dxa"/>
            <w:vAlign w:val="center"/>
          </w:tcPr>
          <w:p w14:paraId="40E0B89D" w14:textId="71365295" w:rsidR="00002811" w:rsidRPr="00A05028" w:rsidRDefault="00D01A4F" w:rsidP="001601AF">
            <w:pPr>
              <w:spacing w:after="0" w:line="240" w:lineRule="auto"/>
              <w:rPr>
                <w:rFonts w:cs="Arial"/>
                <w:bCs/>
                <w:sz w:val="20"/>
              </w:rPr>
            </w:pPr>
            <w:r w:rsidRPr="00A05028">
              <w:rPr>
                <w:bCs/>
                <w:sz w:val="20"/>
              </w:rPr>
              <w:t>Active BTR withholding</w:t>
            </w:r>
          </w:p>
        </w:tc>
        <w:tc>
          <w:tcPr>
            <w:tcW w:w="1165" w:type="dxa"/>
            <w:vAlign w:val="center"/>
          </w:tcPr>
          <w:p w14:paraId="08172C11" w14:textId="00E09293" w:rsidR="00002811" w:rsidRPr="001601AF" w:rsidRDefault="00155AC6" w:rsidP="001601AF">
            <w:pPr>
              <w:pStyle w:val="Normalright"/>
              <w:spacing w:before="0"/>
              <w:jc w:val="left"/>
              <w:rPr>
                <w:rFonts w:asciiTheme="minorHAnsi" w:hAnsiTheme="minorHAnsi"/>
                <w:sz w:val="20"/>
                <w:szCs w:val="20"/>
              </w:rPr>
            </w:pPr>
            <w:r>
              <w:rPr>
                <w:rFonts w:asciiTheme="minorHAnsi" w:hAnsiTheme="minorHAnsi"/>
                <w:sz w:val="20"/>
                <w:szCs w:val="20"/>
              </w:rPr>
              <w:t>9.146</w:t>
            </w:r>
          </w:p>
        </w:tc>
      </w:tr>
      <w:tr w:rsidR="00115458" w14:paraId="7DCC64E0" w14:textId="77777777" w:rsidTr="000C1365">
        <w:trPr>
          <w:trHeight w:val="397"/>
        </w:trPr>
        <w:tc>
          <w:tcPr>
            <w:tcW w:w="3488" w:type="dxa"/>
            <w:vAlign w:val="center"/>
          </w:tcPr>
          <w:p w14:paraId="280A4B11" w14:textId="77777777" w:rsidR="00115458" w:rsidRPr="001601AF" w:rsidRDefault="00115458" w:rsidP="001601AF">
            <w:pPr>
              <w:spacing w:after="0" w:line="240" w:lineRule="auto"/>
              <w:rPr>
                <w:rFonts w:cs="Arial"/>
                <w:sz w:val="20"/>
              </w:rPr>
            </w:pPr>
            <w:r w:rsidRPr="001601AF">
              <w:rPr>
                <w:rFonts w:cs="Arial"/>
                <w:sz w:val="20"/>
              </w:rPr>
              <w:t>CGT concession amount (SDS)</w:t>
            </w:r>
          </w:p>
        </w:tc>
        <w:tc>
          <w:tcPr>
            <w:tcW w:w="4498" w:type="dxa"/>
            <w:vAlign w:val="center"/>
          </w:tcPr>
          <w:p w14:paraId="2DEE8C71" w14:textId="77777777" w:rsidR="00115458" w:rsidRPr="001601AF" w:rsidRDefault="00115458" w:rsidP="001601AF">
            <w:pPr>
              <w:spacing w:after="0" w:line="240" w:lineRule="auto"/>
              <w:rPr>
                <w:rFonts w:cs="Arial"/>
                <w:sz w:val="20"/>
              </w:rPr>
            </w:pPr>
            <w:r w:rsidRPr="001601AF">
              <w:rPr>
                <w:rFonts w:cs="Arial"/>
                <w:sz w:val="20"/>
              </w:rPr>
              <w:t>CGT concession amount or AMIT CGT gross up amount</w:t>
            </w:r>
          </w:p>
        </w:tc>
        <w:tc>
          <w:tcPr>
            <w:tcW w:w="1165" w:type="dxa"/>
            <w:gridSpan w:val="2"/>
            <w:vAlign w:val="center"/>
          </w:tcPr>
          <w:p w14:paraId="338E868C"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9.87</w:t>
            </w:r>
          </w:p>
        </w:tc>
      </w:tr>
      <w:tr w:rsidR="00115458" w14:paraId="46B232F9" w14:textId="77777777" w:rsidTr="000C1365">
        <w:trPr>
          <w:trHeight w:val="397"/>
        </w:trPr>
        <w:tc>
          <w:tcPr>
            <w:tcW w:w="3488" w:type="dxa"/>
            <w:vAlign w:val="center"/>
          </w:tcPr>
          <w:p w14:paraId="2546D22C" w14:textId="77777777" w:rsidR="00115458" w:rsidRPr="001601AF" w:rsidRDefault="00115458" w:rsidP="001601AF">
            <w:pPr>
              <w:spacing w:after="0" w:line="240" w:lineRule="auto"/>
              <w:rPr>
                <w:rFonts w:cs="Arial"/>
                <w:sz w:val="20"/>
              </w:rPr>
            </w:pPr>
            <w:r w:rsidRPr="001601AF">
              <w:rPr>
                <w:rFonts w:cs="Arial"/>
                <w:sz w:val="20"/>
              </w:rPr>
              <w:t>AMIT CGT gross up amount (AMMA)</w:t>
            </w:r>
          </w:p>
        </w:tc>
        <w:tc>
          <w:tcPr>
            <w:tcW w:w="4498" w:type="dxa"/>
            <w:vAlign w:val="center"/>
          </w:tcPr>
          <w:p w14:paraId="28F9B1EF" w14:textId="77777777" w:rsidR="00115458" w:rsidRPr="001601AF" w:rsidRDefault="00115458" w:rsidP="001601AF">
            <w:pPr>
              <w:spacing w:after="0" w:line="240" w:lineRule="auto"/>
              <w:rPr>
                <w:rFonts w:cs="Arial"/>
                <w:sz w:val="20"/>
              </w:rPr>
            </w:pPr>
            <w:r w:rsidRPr="001601AF">
              <w:rPr>
                <w:rFonts w:cs="Arial"/>
                <w:sz w:val="20"/>
              </w:rPr>
              <w:t>CGT concession amount or AMIT CGT gross up amount</w:t>
            </w:r>
          </w:p>
        </w:tc>
        <w:tc>
          <w:tcPr>
            <w:tcW w:w="1165" w:type="dxa"/>
            <w:gridSpan w:val="2"/>
            <w:vAlign w:val="center"/>
          </w:tcPr>
          <w:p w14:paraId="0E2BF066"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9.87</w:t>
            </w:r>
          </w:p>
        </w:tc>
      </w:tr>
      <w:tr w:rsidR="00115458" w14:paraId="56BDBB76" w14:textId="77777777" w:rsidTr="000C1365">
        <w:trPr>
          <w:trHeight w:val="397"/>
        </w:trPr>
        <w:tc>
          <w:tcPr>
            <w:tcW w:w="3488" w:type="dxa"/>
            <w:vAlign w:val="center"/>
          </w:tcPr>
          <w:p w14:paraId="3D5A63F5" w14:textId="77777777" w:rsidR="00115458" w:rsidRPr="001601AF" w:rsidRDefault="00115458" w:rsidP="001601AF">
            <w:pPr>
              <w:spacing w:after="0" w:line="240" w:lineRule="auto"/>
              <w:rPr>
                <w:rFonts w:cs="Arial"/>
                <w:sz w:val="20"/>
              </w:rPr>
            </w:pPr>
            <w:r w:rsidRPr="001601AF">
              <w:rPr>
                <w:rFonts w:cs="Arial"/>
                <w:sz w:val="20"/>
              </w:rPr>
              <w:t>Net exempt income</w:t>
            </w:r>
          </w:p>
        </w:tc>
        <w:tc>
          <w:tcPr>
            <w:tcW w:w="4498" w:type="dxa"/>
            <w:vAlign w:val="center"/>
          </w:tcPr>
          <w:p w14:paraId="4FB97E40" w14:textId="77777777" w:rsidR="00115458" w:rsidRPr="001601AF" w:rsidRDefault="00115458" w:rsidP="001601AF">
            <w:pPr>
              <w:spacing w:after="0" w:line="240" w:lineRule="auto"/>
              <w:rPr>
                <w:rFonts w:cs="Arial"/>
                <w:sz w:val="20"/>
              </w:rPr>
            </w:pPr>
            <w:r w:rsidRPr="001601AF">
              <w:rPr>
                <w:rFonts w:cs="Arial"/>
                <w:sz w:val="20"/>
              </w:rPr>
              <w:t>Net exempt income</w:t>
            </w:r>
          </w:p>
        </w:tc>
        <w:tc>
          <w:tcPr>
            <w:tcW w:w="1165" w:type="dxa"/>
            <w:gridSpan w:val="2"/>
            <w:vAlign w:val="center"/>
          </w:tcPr>
          <w:p w14:paraId="1A2D4BB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9.95</w:t>
            </w:r>
          </w:p>
        </w:tc>
      </w:tr>
      <w:tr w:rsidR="00115458" w14:paraId="5C28B891" w14:textId="77777777" w:rsidTr="000C1365">
        <w:trPr>
          <w:trHeight w:val="397"/>
        </w:trPr>
        <w:tc>
          <w:tcPr>
            <w:tcW w:w="3488" w:type="dxa"/>
            <w:vAlign w:val="center"/>
          </w:tcPr>
          <w:p w14:paraId="47CD88DD" w14:textId="77777777" w:rsidR="00115458" w:rsidRPr="001601AF" w:rsidRDefault="00115458" w:rsidP="001601AF">
            <w:pPr>
              <w:spacing w:after="0" w:line="240" w:lineRule="auto"/>
              <w:rPr>
                <w:rFonts w:cs="Arial"/>
                <w:sz w:val="20"/>
              </w:rPr>
            </w:pPr>
            <w:r w:rsidRPr="001601AF">
              <w:rPr>
                <w:rFonts w:cs="Arial"/>
                <w:sz w:val="20"/>
              </w:rPr>
              <w:t>Non-assessable non-exempt amount</w:t>
            </w:r>
          </w:p>
        </w:tc>
        <w:tc>
          <w:tcPr>
            <w:tcW w:w="4498" w:type="dxa"/>
            <w:vAlign w:val="center"/>
          </w:tcPr>
          <w:p w14:paraId="33086ED0" w14:textId="77777777" w:rsidR="00115458" w:rsidRPr="001601AF" w:rsidRDefault="00115458" w:rsidP="001601AF">
            <w:pPr>
              <w:spacing w:after="0" w:line="240" w:lineRule="auto"/>
              <w:rPr>
                <w:rFonts w:cs="Arial"/>
                <w:sz w:val="20"/>
              </w:rPr>
            </w:pPr>
            <w:r w:rsidRPr="001601AF">
              <w:rPr>
                <w:rFonts w:cs="Arial"/>
                <w:sz w:val="20"/>
              </w:rPr>
              <w:t>Non-assessable non-exempt amount</w:t>
            </w:r>
          </w:p>
        </w:tc>
        <w:tc>
          <w:tcPr>
            <w:tcW w:w="1165" w:type="dxa"/>
            <w:gridSpan w:val="2"/>
            <w:vAlign w:val="center"/>
          </w:tcPr>
          <w:p w14:paraId="658FE3F2"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9.127</w:t>
            </w:r>
          </w:p>
        </w:tc>
      </w:tr>
      <w:tr w:rsidR="00115458" w14:paraId="224189A5" w14:textId="77777777" w:rsidTr="000C1365">
        <w:trPr>
          <w:trHeight w:val="397"/>
        </w:trPr>
        <w:tc>
          <w:tcPr>
            <w:tcW w:w="3488" w:type="dxa"/>
            <w:vAlign w:val="center"/>
          </w:tcPr>
          <w:p w14:paraId="213D83F8" w14:textId="77777777" w:rsidR="00115458" w:rsidRPr="001601AF" w:rsidRDefault="00115458" w:rsidP="001601AF">
            <w:pPr>
              <w:spacing w:after="0" w:line="240" w:lineRule="auto"/>
              <w:rPr>
                <w:rFonts w:cs="Arial"/>
                <w:sz w:val="20"/>
              </w:rPr>
            </w:pPr>
            <w:r w:rsidRPr="001601AF">
              <w:rPr>
                <w:rFonts w:cs="Arial"/>
                <w:sz w:val="20"/>
              </w:rPr>
              <w:t>Tax free amounts (SDS)</w:t>
            </w:r>
          </w:p>
        </w:tc>
        <w:tc>
          <w:tcPr>
            <w:tcW w:w="4498" w:type="dxa"/>
            <w:vAlign w:val="center"/>
          </w:tcPr>
          <w:p w14:paraId="4FFC8D25" w14:textId="77777777" w:rsidR="00115458" w:rsidRPr="001601AF" w:rsidRDefault="00115458" w:rsidP="001601AF">
            <w:pPr>
              <w:spacing w:after="0" w:line="240" w:lineRule="auto"/>
              <w:rPr>
                <w:rFonts w:cs="Arial"/>
                <w:sz w:val="20"/>
              </w:rPr>
            </w:pPr>
            <w:r w:rsidRPr="001601AF">
              <w:rPr>
                <w:rFonts w:cs="Arial"/>
                <w:sz w:val="20"/>
              </w:rPr>
              <w:t>Tax-free amounts</w:t>
            </w:r>
          </w:p>
        </w:tc>
        <w:tc>
          <w:tcPr>
            <w:tcW w:w="1165" w:type="dxa"/>
            <w:gridSpan w:val="2"/>
            <w:vAlign w:val="center"/>
          </w:tcPr>
          <w:p w14:paraId="26BFAC4B"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9.96</w:t>
            </w:r>
          </w:p>
        </w:tc>
      </w:tr>
      <w:tr w:rsidR="00115458" w14:paraId="34A13D2B" w14:textId="77777777" w:rsidTr="000C1365">
        <w:trPr>
          <w:trHeight w:val="397"/>
        </w:trPr>
        <w:tc>
          <w:tcPr>
            <w:tcW w:w="3488" w:type="dxa"/>
            <w:vAlign w:val="center"/>
          </w:tcPr>
          <w:p w14:paraId="474A54F5" w14:textId="77777777" w:rsidR="00115458" w:rsidRPr="001601AF" w:rsidRDefault="00115458" w:rsidP="001601AF">
            <w:pPr>
              <w:spacing w:after="0" w:line="240" w:lineRule="auto"/>
              <w:rPr>
                <w:rFonts w:cs="Arial"/>
                <w:sz w:val="20"/>
              </w:rPr>
            </w:pPr>
            <w:r w:rsidRPr="001601AF">
              <w:rPr>
                <w:rFonts w:cs="Arial"/>
                <w:sz w:val="20"/>
              </w:rPr>
              <w:t>Tax deferred amounts (SDS)</w:t>
            </w:r>
          </w:p>
        </w:tc>
        <w:tc>
          <w:tcPr>
            <w:tcW w:w="4498" w:type="dxa"/>
            <w:vAlign w:val="center"/>
          </w:tcPr>
          <w:p w14:paraId="09AA28ED" w14:textId="77777777" w:rsidR="00115458" w:rsidRPr="001601AF" w:rsidRDefault="00115458" w:rsidP="001601AF">
            <w:pPr>
              <w:spacing w:after="0" w:line="240" w:lineRule="auto"/>
              <w:rPr>
                <w:rFonts w:cs="Arial"/>
                <w:sz w:val="20"/>
              </w:rPr>
            </w:pPr>
            <w:r w:rsidRPr="001601AF">
              <w:rPr>
                <w:rFonts w:cs="Arial"/>
                <w:sz w:val="20"/>
              </w:rPr>
              <w:t>Tax-deferred amounts</w:t>
            </w:r>
          </w:p>
        </w:tc>
        <w:tc>
          <w:tcPr>
            <w:tcW w:w="1165" w:type="dxa"/>
            <w:gridSpan w:val="2"/>
            <w:vAlign w:val="center"/>
          </w:tcPr>
          <w:p w14:paraId="5FF0D17B"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9.97</w:t>
            </w:r>
          </w:p>
        </w:tc>
      </w:tr>
      <w:tr w:rsidR="00115458" w14:paraId="1C4FBABC" w14:textId="77777777" w:rsidTr="000C1365">
        <w:trPr>
          <w:trHeight w:val="397"/>
        </w:trPr>
        <w:tc>
          <w:tcPr>
            <w:tcW w:w="3488" w:type="dxa"/>
            <w:vAlign w:val="center"/>
          </w:tcPr>
          <w:p w14:paraId="28B45A29" w14:textId="77777777" w:rsidR="00115458" w:rsidRPr="001601AF" w:rsidRDefault="00115458" w:rsidP="001601AF">
            <w:pPr>
              <w:spacing w:after="0" w:line="240" w:lineRule="auto"/>
              <w:rPr>
                <w:rFonts w:cs="Arial"/>
                <w:sz w:val="20"/>
              </w:rPr>
            </w:pPr>
            <w:r w:rsidRPr="001601AF">
              <w:rPr>
                <w:rFonts w:cs="Arial"/>
                <w:sz w:val="20"/>
              </w:rPr>
              <w:t>Gross cash distribution</w:t>
            </w:r>
          </w:p>
        </w:tc>
        <w:tc>
          <w:tcPr>
            <w:tcW w:w="4498" w:type="dxa"/>
            <w:vAlign w:val="center"/>
          </w:tcPr>
          <w:p w14:paraId="29F3B1EF" w14:textId="77777777" w:rsidR="00115458" w:rsidRPr="001601AF" w:rsidRDefault="00115458" w:rsidP="001601AF">
            <w:pPr>
              <w:spacing w:after="0" w:line="240" w:lineRule="auto"/>
              <w:rPr>
                <w:rFonts w:cs="Arial"/>
                <w:sz w:val="20"/>
              </w:rPr>
            </w:pPr>
            <w:r w:rsidRPr="001601AF">
              <w:rPr>
                <w:rFonts w:cs="Arial"/>
                <w:sz w:val="20"/>
              </w:rPr>
              <w:t>Gross cash distribution</w:t>
            </w:r>
          </w:p>
        </w:tc>
        <w:tc>
          <w:tcPr>
            <w:tcW w:w="1165" w:type="dxa"/>
            <w:gridSpan w:val="2"/>
            <w:vAlign w:val="center"/>
          </w:tcPr>
          <w:p w14:paraId="04FDEBE7"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9.121</w:t>
            </w:r>
          </w:p>
        </w:tc>
      </w:tr>
      <w:tr w:rsidR="00115458" w14:paraId="17300D3B" w14:textId="77777777" w:rsidTr="000C1365">
        <w:trPr>
          <w:trHeight w:val="397"/>
        </w:trPr>
        <w:tc>
          <w:tcPr>
            <w:tcW w:w="3488" w:type="dxa"/>
            <w:vAlign w:val="center"/>
          </w:tcPr>
          <w:p w14:paraId="39BB9284" w14:textId="77777777" w:rsidR="00115458" w:rsidRPr="001601AF" w:rsidRDefault="00115458" w:rsidP="001601AF">
            <w:pPr>
              <w:spacing w:after="0" w:line="240" w:lineRule="auto"/>
              <w:rPr>
                <w:rFonts w:cs="Arial"/>
                <w:sz w:val="20"/>
              </w:rPr>
            </w:pPr>
            <w:r w:rsidRPr="001601AF">
              <w:rPr>
                <w:rFonts w:cs="Arial"/>
                <w:sz w:val="20"/>
              </w:rPr>
              <w:t>AMIT cost base net amount - excess (AMMA)</w:t>
            </w:r>
          </w:p>
        </w:tc>
        <w:tc>
          <w:tcPr>
            <w:tcW w:w="4498" w:type="dxa"/>
            <w:vAlign w:val="center"/>
          </w:tcPr>
          <w:p w14:paraId="6BF0B215" w14:textId="77777777" w:rsidR="00115458" w:rsidRPr="001601AF" w:rsidRDefault="00115458" w:rsidP="001601AF">
            <w:pPr>
              <w:spacing w:after="0" w:line="240" w:lineRule="auto"/>
              <w:rPr>
                <w:rFonts w:cs="Arial"/>
                <w:sz w:val="20"/>
              </w:rPr>
            </w:pPr>
            <w:r w:rsidRPr="001601AF">
              <w:rPr>
                <w:rFonts w:cs="Arial"/>
                <w:sz w:val="20"/>
              </w:rPr>
              <w:t>AMIT cost base net amount – excess</w:t>
            </w:r>
          </w:p>
        </w:tc>
        <w:tc>
          <w:tcPr>
            <w:tcW w:w="1165" w:type="dxa"/>
            <w:gridSpan w:val="2"/>
            <w:vAlign w:val="center"/>
          </w:tcPr>
          <w:p w14:paraId="0BECD18F"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9.128</w:t>
            </w:r>
          </w:p>
        </w:tc>
      </w:tr>
      <w:tr w:rsidR="00115458" w14:paraId="36707AC8" w14:textId="77777777" w:rsidTr="000C1365">
        <w:trPr>
          <w:trHeight w:val="397"/>
        </w:trPr>
        <w:tc>
          <w:tcPr>
            <w:tcW w:w="3488" w:type="dxa"/>
            <w:vAlign w:val="center"/>
          </w:tcPr>
          <w:p w14:paraId="29783F57" w14:textId="77777777" w:rsidR="00115458" w:rsidRPr="001601AF" w:rsidRDefault="00115458" w:rsidP="001601AF">
            <w:pPr>
              <w:spacing w:after="0" w:line="240" w:lineRule="auto"/>
              <w:rPr>
                <w:rFonts w:cs="Arial"/>
                <w:sz w:val="20"/>
              </w:rPr>
            </w:pPr>
            <w:r w:rsidRPr="001601AF">
              <w:rPr>
                <w:rFonts w:cs="Arial"/>
                <w:sz w:val="20"/>
              </w:rPr>
              <w:t>AMIT cost base net amount - shortfall (AMMA)</w:t>
            </w:r>
          </w:p>
        </w:tc>
        <w:tc>
          <w:tcPr>
            <w:tcW w:w="4498" w:type="dxa"/>
            <w:vAlign w:val="center"/>
          </w:tcPr>
          <w:p w14:paraId="0522BB36" w14:textId="77777777" w:rsidR="00115458" w:rsidRPr="001601AF" w:rsidRDefault="00115458" w:rsidP="001601AF">
            <w:pPr>
              <w:spacing w:after="0" w:line="240" w:lineRule="auto"/>
              <w:rPr>
                <w:rFonts w:cs="Arial"/>
                <w:sz w:val="20"/>
              </w:rPr>
            </w:pPr>
            <w:r w:rsidRPr="001601AF">
              <w:rPr>
                <w:rFonts w:cs="Arial"/>
                <w:sz w:val="20"/>
              </w:rPr>
              <w:t>AMIT cost base net amount – shortfall</w:t>
            </w:r>
          </w:p>
        </w:tc>
        <w:tc>
          <w:tcPr>
            <w:tcW w:w="1165" w:type="dxa"/>
            <w:gridSpan w:val="2"/>
            <w:vAlign w:val="center"/>
          </w:tcPr>
          <w:p w14:paraId="2074A87D"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9.129</w:t>
            </w:r>
          </w:p>
        </w:tc>
      </w:tr>
      <w:tr w:rsidR="00115458" w14:paraId="40867236" w14:textId="77777777" w:rsidTr="000C1365">
        <w:trPr>
          <w:trHeight w:val="397"/>
        </w:trPr>
        <w:tc>
          <w:tcPr>
            <w:tcW w:w="3488" w:type="dxa"/>
            <w:vAlign w:val="center"/>
          </w:tcPr>
          <w:p w14:paraId="14232D6A" w14:textId="77777777" w:rsidR="00115458" w:rsidRPr="001601AF" w:rsidRDefault="00115458" w:rsidP="001601AF">
            <w:pPr>
              <w:spacing w:after="0" w:line="240" w:lineRule="auto"/>
              <w:rPr>
                <w:rFonts w:cs="Arial"/>
                <w:sz w:val="20"/>
              </w:rPr>
            </w:pPr>
            <w:r w:rsidRPr="001601AF">
              <w:rPr>
                <w:rFonts w:cs="Arial"/>
                <w:sz w:val="20"/>
              </w:rPr>
              <w:t>Non-resident beneficiary ss 98(3) assessable amounts (SDS)</w:t>
            </w:r>
          </w:p>
        </w:tc>
        <w:tc>
          <w:tcPr>
            <w:tcW w:w="4498" w:type="dxa"/>
            <w:vAlign w:val="center"/>
          </w:tcPr>
          <w:p w14:paraId="2491FE6C" w14:textId="77777777" w:rsidR="00115458" w:rsidRPr="001601AF" w:rsidRDefault="00115458" w:rsidP="001601AF">
            <w:pPr>
              <w:spacing w:after="0" w:line="240" w:lineRule="auto"/>
              <w:rPr>
                <w:rFonts w:cs="Arial"/>
                <w:sz w:val="20"/>
              </w:rPr>
            </w:pPr>
            <w:r w:rsidRPr="001601AF">
              <w:rPr>
                <w:rFonts w:cs="Arial"/>
                <w:sz w:val="20"/>
              </w:rPr>
              <w:t>Non-resident beneficiary ss98(3) or non-resident member ss276-105(2)(a) or (b) assessable amounts</w:t>
            </w:r>
          </w:p>
        </w:tc>
        <w:tc>
          <w:tcPr>
            <w:tcW w:w="1165" w:type="dxa"/>
            <w:gridSpan w:val="2"/>
            <w:vAlign w:val="center"/>
          </w:tcPr>
          <w:p w14:paraId="0FDA3095"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9.101</w:t>
            </w:r>
          </w:p>
        </w:tc>
      </w:tr>
      <w:tr w:rsidR="00115458" w14:paraId="53DECA2B" w14:textId="77777777" w:rsidTr="000C1365">
        <w:trPr>
          <w:trHeight w:val="397"/>
        </w:trPr>
        <w:tc>
          <w:tcPr>
            <w:tcW w:w="3488" w:type="dxa"/>
            <w:vAlign w:val="center"/>
          </w:tcPr>
          <w:p w14:paraId="00D8504C" w14:textId="77777777" w:rsidR="00115458" w:rsidRPr="001601AF" w:rsidRDefault="00115458" w:rsidP="001601AF">
            <w:pPr>
              <w:spacing w:after="0" w:line="240" w:lineRule="auto"/>
              <w:rPr>
                <w:rFonts w:cs="Arial"/>
                <w:sz w:val="20"/>
              </w:rPr>
            </w:pPr>
            <w:r w:rsidRPr="001601AF">
              <w:rPr>
                <w:rFonts w:cs="Arial"/>
                <w:sz w:val="20"/>
              </w:rPr>
              <w:t>Non-resident member ss 276-105(2)(a) or (b) assessable amounts (AMMA)</w:t>
            </w:r>
          </w:p>
        </w:tc>
        <w:tc>
          <w:tcPr>
            <w:tcW w:w="4498" w:type="dxa"/>
            <w:vAlign w:val="center"/>
          </w:tcPr>
          <w:p w14:paraId="058D1C73" w14:textId="77777777" w:rsidR="00115458" w:rsidRPr="001601AF" w:rsidRDefault="00115458" w:rsidP="001601AF">
            <w:pPr>
              <w:spacing w:after="0" w:line="240" w:lineRule="auto"/>
              <w:rPr>
                <w:rFonts w:cs="Arial"/>
                <w:sz w:val="20"/>
              </w:rPr>
            </w:pPr>
            <w:r w:rsidRPr="001601AF">
              <w:rPr>
                <w:rFonts w:cs="Arial"/>
                <w:sz w:val="20"/>
              </w:rPr>
              <w:t>Non-resident beneficiary ss98(3) or non-resident member ss276-105(2)(a) or (b) assessable amounts</w:t>
            </w:r>
          </w:p>
        </w:tc>
        <w:tc>
          <w:tcPr>
            <w:tcW w:w="1165" w:type="dxa"/>
            <w:gridSpan w:val="2"/>
            <w:vAlign w:val="center"/>
          </w:tcPr>
          <w:p w14:paraId="11891B08"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9.101</w:t>
            </w:r>
          </w:p>
        </w:tc>
      </w:tr>
      <w:tr w:rsidR="00115458" w14:paraId="441698A0" w14:textId="77777777" w:rsidTr="000C1365">
        <w:trPr>
          <w:trHeight w:val="397"/>
        </w:trPr>
        <w:tc>
          <w:tcPr>
            <w:tcW w:w="3488" w:type="dxa"/>
            <w:vAlign w:val="center"/>
          </w:tcPr>
          <w:p w14:paraId="24FEC066" w14:textId="77777777" w:rsidR="00115458" w:rsidRPr="001601AF" w:rsidRDefault="00115458" w:rsidP="001601AF">
            <w:pPr>
              <w:spacing w:after="0" w:line="240" w:lineRule="auto"/>
              <w:rPr>
                <w:rFonts w:cs="Arial"/>
                <w:sz w:val="20"/>
              </w:rPr>
            </w:pPr>
            <w:r w:rsidRPr="001601AF">
              <w:rPr>
                <w:rFonts w:cs="Arial"/>
                <w:sz w:val="20"/>
              </w:rPr>
              <w:t>Non-resident beneficiary ss 98(4) assessable amounts (SDS)</w:t>
            </w:r>
          </w:p>
        </w:tc>
        <w:tc>
          <w:tcPr>
            <w:tcW w:w="4498" w:type="dxa"/>
            <w:vAlign w:val="center"/>
          </w:tcPr>
          <w:p w14:paraId="5C27E0DF" w14:textId="77777777" w:rsidR="00115458" w:rsidRPr="001601AF" w:rsidRDefault="00115458" w:rsidP="001601AF">
            <w:pPr>
              <w:spacing w:after="0" w:line="240" w:lineRule="auto"/>
              <w:rPr>
                <w:rFonts w:cs="Arial"/>
                <w:sz w:val="20"/>
              </w:rPr>
            </w:pPr>
            <w:r w:rsidRPr="001601AF">
              <w:rPr>
                <w:rFonts w:cs="Arial"/>
                <w:sz w:val="20"/>
              </w:rPr>
              <w:t>Non-resident beneficiary ss98(4) or non-resident member ss276-105(2)(c) assessable amounts</w:t>
            </w:r>
          </w:p>
        </w:tc>
        <w:tc>
          <w:tcPr>
            <w:tcW w:w="1165" w:type="dxa"/>
            <w:gridSpan w:val="2"/>
            <w:vAlign w:val="center"/>
          </w:tcPr>
          <w:p w14:paraId="00EAA05C"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9.102</w:t>
            </w:r>
          </w:p>
        </w:tc>
      </w:tr>
      <w:tr w:rsidR="00115458" w14:paraId="5DF045B5" w14:textId="77777777" w:rsidTr="000C1365">
        <w:trPr>
          <w:trHeight w:val="397"/>
        </w:trPr>
        <w:tc>
          <w:tcPr>
            <w:tcW w:w="3488" w:type="dxa"/>
            <w:vAlign w:val="center"/>
          </w:tcPr>
          <w:p w14:paraId="31EA1C9A" w14:textId="77777777" w:rsidR="00115458" w:rsidRPr="001601AF" w:rsidRDefault="00115458" w:rsidP="001601AF">
            <w:pPr>
              <w:spacing w:after="0" w:line="240" w:lineRule="auto"/>
              <w:rPr>
                <w:rFonts w:cs="Arial"/>
                <w:sz w:val="20"/>
              </w:rPr>
            </w:pPr>
            <w:r w:rsidRPr="001601AF">
              <w:rPr>
                <w:rFonts w:cs="Arial"/>
                <w:sz w:val="20"/>
              </w:rPr>
              <w:t>Non-resident member ss 276-105(2)(c) assessable amounts (AMMA)</w:t>
            </w:r>
          </w:p>
        </w:tc>
        <w:tc>
          <w:tcPr>
            <w:tcW w:w="4498" w:type="dxa"/>
            <w:vAlign w:val="center"/>
          </w:tcPr>
          <w:p w14:paraId="7D580327" w14:textId="77777777" w:rsidR="00115458" w:rsidRPr="001601AF" w:rsidRDefault="00115458" w:rsidP="001601AF">
            <w:pPr>
              <w:spacing w:after="0" w:line="240" w:lineRule="auto"/>
              <w:rPr>
                <w:rFonts w:cs="Arial"/>
                <w:sz w:val="20"/>
              </w:rPr>
            </w:pPr>
            <w:r w:rsidRPr="001601AF">
              <w:rPr>
                <w:rFonts w:cs="Arial"/>
                <w:sz w:val="20"/>
              </w:rPr>
              <w:t>Non-resident beneficiary ss98(4) or non-resident member ss276-105(2)(c) assessable amounts</w:t>
            </w:r>
          </w:p>
        </w:tc>
        <w:tc>
          <w:tcPr>
            <w:tcW w:w="1165" w:type="dxa"/>
            <w:gridSpan w:val="2"/>
            <w:vAlign w:val="center"/>
          </w:tcPr>
          <w:p w14:paraId="347DECC0"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9.102</w:t>
            </w:r>
          </w:p>
        </w:tc>
      </w:tr>
      <w:tr w:rsidR="00115458" w14:paraId="5D532E3A" w14:textId="77777777" w:rsidTr="000C1365">
        <w:trPr>
          <w:trHeight w:val="397"/>
        </w:trPr>
        <w:tc>
          <w:tcPr>
            <w:tcW w:w="3488" w:type="dxa"/>
            <w:vAlign w:val="center"/>
          </w:tcPr>
          <w:p w14:paraId="65AF274A" w14:textId="77777777" w:rsidR="00115458" w:rsidRPr="001601AF" w:rsidRDefault="00115458" w:rsidP="001601AF">
            <w:pPr>
              <w:spacing w:after="0" w:line="240" w:lineRule="auto"/>
              <w:rPr>
                <w:rFonts w:cs="Arial"/>
                <w:sz w:val="20"/>
              </w:rPr>
            </w:pPr>
            <w:r w:rsidRPr="001601AF">
              <w:rPr>
                <w:rFonts w:cs="Arial"/>
                <w:sz w:val="20"/>
              </w:rPr>
              <w:t>Managed investment trust fund payments</w:t>
            </w:r>
          </w:p>
        </w:tc>
        <w:tc>
          <w:tcPr>
            <w:tcW w:w="4498" w:type="dxa"/>
            <w:vAlign w:val="center"/>
          </w:tcPr>
          <w:p w14:paraId="0B83295D" w14:textId="77777777" w:rsidR="00115458" w:rsidRPr="001601AF" w:rsidRDefault="00115458" w:rsidP="001601AF">
            <w:pPr>
              <w:spacing w:after="0" w:line="240" w:lineRule="auto"/>
              <w:rPr>
                <w:rFonts w:cs="Arial"/>
                <w:sz w:val="20"/>
              </w:rPr>
            </w:pPr>
            <w:r w:rsidRPr="001601AF">
              <w:rPr>
                <w:rFonts w:cs="Arial"/>
                <w:sz w:val="20"/>
              </w:rPr>
              <w:t>Managed investment trust fund payments</w:t>
            </w:r>
          </w:p>
        </w:tc>
        <w:tc>
          <w:tcPr>
            <w:tcW w:w="1165" w:type="dxa"/>
            <w:gridSpan w:val="2"/>
            <w:vAlign w:val="center"/>
          </w:tcPr>
          <w:p w14:paraId="41D68257"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9.105</w:t>
            </w:r>
          </w:p>
        </w:tc>
      </w:tr>
      <w:tr w:rsidR="00115458" w14:paraId="2604A96D" w14:textId="77777777" w:rsidTr="000C1365">
        <w:trPr>
          <w:trHeight w:val="397"/>
        </w:trPr>
        <w:tc>
          <w:tcPr>
            <w:tcW w:w="3488" w:type="dxa"/>
            <w:vAlign w:val="center"/>
          </w:tcPr>
          <w:p w14:paraId="5B21531E" w14:textId="77777777" w:rsidR="00115458" w:rsidRPr="001601AF" w:rsidRDefault="00115458" w:rsidP="001601AF">
            <w:pPr>
              <w:spacing w:after="0" w:line="240" w:lineRule="auto"/>
              <w:rPr>
                <w:rFonts w:cs="Arial"/>
                <w:sz w:val="20"/>
              </w:rPr>
            </w:pPr>
            <w:r w:rsidRPr="001601AF">
              <w:rPr>
                <w:rFonts w:cs="Arial"/>
                <w:sz w:val="20"/>
              </w:rPr>
              <w:t>Amounts withheld from managed investment trust fund payments</w:t>
            </w:r>
          </w:p>
        </w:tc>
        <w:tc>
          <w:tcPr>
            <w:tcW w:w="4498" w:type="dxa"/>
            <w:vAlign w:val="center"/>
          </w:tcPr>
          <w:p w14:paraId="287E7CE4" w14:textId="77777777" w:rsidR="00115458" w:rsidRPr="001601AF" w:rsidRDefault="00115458" w:rsidP="001601AF">
            <w:pPr>
              <w:spacing w:after="0" w:line="240" w:lineRule="auto"/>
              <w:rPr>
                <w:rFonts w:cs="Arial"/>
                <w:sz w:val="20"/>
              </w:rPr>
            </w:pPr>
            <w:r w:rsidRPr="001601AF">
              <w:rPr>
                <w:rFonts w:cs="Arial"/>
                <w:sz w:val="20"/>
              </w:rPr>
              <w:t>Amounts withheld from managed investment</w:t>
            </w:r>
          </w:p>
        </w:tc>
        <w:tc>
          <w:tcPr>
            <w:tcW w:w="1165" w:type="dxa"/>
            <w:gridSpan w:val="2"/>
            <w:vAlign w:val="center"/>
          </w:tcPr>
          <w:p w14:paraId="178A0C40"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9.106</w:t>
            </w:r>
          </w:p>
        </w:tc>
      </w:tr>
      <w:tr w:rsidR="00115458" w14:paraId="1C138BD6" w14:textId="77777777" w:rsidTr="000C1365">
        <w:trPr>
          <w:trHeight w:val="397"/>
        </w:trPr>
        <w:tc>
          <w:tcPr>
            <w:tcW w:w="3488" w:type="dxa"/>
            <w:vAlign w:val="center"/>
          </w:tcPr>
          <w:p w14:paraId="1BE47A97" w14:textId="77777777" w:rsidR="00115458" w:rsidRPr="001601AF" w:rsidRDefault="00115458" w:rsidP="001601AF">
            <w:pPr>
              <w:spacing w:after="0" w:line="240" w:lineRule="auto"/>
              <w:rPr>
                <w:rFonts w:cs="Arial"/>
                <w:sz w:val="20"/>
              </w:rPr>
            </w:pPr>
            <w:r w:rsidRPr="001601AF">
              <w:rPr>
                <w:rFonts w:cs="Arial"/>
                <w:sz w:val="20"/>
              </w:rPr>
              <w:t>Interest exempt from withholding</w:t>
            </w:r>
          </w:p>
        </w:tc>
        <w:tc>
          <w:tcPr>
            <w:tcW w:w="4498" w:type="dxa"/>
            <w:vAlign w:val="center"/>
          </w:tcPr>
          <w:p w14:paraId="273FAAFB" w14:textId="77777777" w:rsidR="00115458" w:rsidRPr="001601AF" w:rsidRDefault="00115458" w:rsidP="001601AF">
            <w:pPr>
              <w:spacing w:after="0" w:line="240" w:lineRule="auto"/>
              <w:rPr>
                <w:rFonts w:cs="Arial"/>
                <w:sz w:val="20"/>
              </w:rPr>
            </w:pPr>
            <w:r w:rsidRPr="001601AF">
              <w:rPr>
                <w:rFonts w:cs="Arial"/>
                <w:sz w:val="20"/>
              </w:rPr>
              <w:t>Interest exempt from withholding</w:t>
            </w:r>
          </w:p>
        </w:tc>
        <w:tc>
          <w:tcPr>
            <w:tcW w:w="1165" w:type="dxa"/>
            <w:gridSpan w:val="2"/>
            <w:vAlign w:val="center"/>
          </w:tcPr>
          <w:p w14:paraId="508F1488"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9.122</w:t>
            </w:r>
          </w:p>
        </w:tc>
      </w:tr>
      <w:tr w:rsidR="00115458" w14:paraId="2D5EE020" w14:textId="77777777" w:rsidTr="000C1365">
        <w:trPr>
          <w:trHeight w:val="397"/>
        </w:trPr>
        <w:tc>
          <w:tcPr>
            <w:tcW w:w="3488" w:type="dxa"/>
            <w:vAlign w:val="center"/>
          </w:tcPr>
          <w:p w14:paraId="34E84FD5" w14:textId="77777777" w:rsidR="00115458" w:rsidRPr="001601AF" w:rsidRDefault="00115458" w:rsidP="001601AF">
            <w:pPr>
              <w:spacing w:after="0" w:line="240" w:lineRule="auto"/>
              <w:rPr>
                <w:rFonts w:cs="Arial"/>
                <w:sz w:val="20"/>
              </w:rPr>
            </w:pPr>
            <w:r w:rsidRPr="001601AF">
              <w:rPr>
                <w:rFonts w:cs="Arial"/>
                <w:sz w:val="20"/>
              </w:rPr>
              <w:t>Royalties</w:t>
            </w:r>
          </w:p>
        </w:tc>
        <w:tc>
          <w:tcPr>
            <w:tcW w:w="4498" w:type="dxa"/>
            <w:vAlign w:val="center"/>
          </w:tcPr>
          <w:p w14:paraId="4F4B75F8" w14:textId="77777777" w:rsidR="00115458" w:rsidRPr="001601AF" w:rsidRDefault="00115458" w:rsidP="001601AF">
            <w:pPr>
              <w:spacing w:after="0" w:line="240" w:lineRule="auto"/>
              <w:rPr>
                <w:rFonts w:cs="Arial"/>
                <w:sz w:val="20"/>
              </w:rPr>
            </w:pPr>
            <w:r w:rsidRPr="001601AF">
              <w:rPr>
                <w:rFonts w:cs="Arial"/>
                <w:sz w:val="20"/>
              </w:rPr>
              <w:t>Royalties</w:t>
            </w:r>
          </w:p>
        </w:tc>
        <w:tc>
          <w:tcPr>
            <w:tcW w:w="1165" w:type="dxa"/>
            <w:gridSpan w:val="2"/>
            <w:vAlign w:val="center"/>
          </w:tcPr>
          <w:p w14:paraId="1CF991E6" w14:textId="77777777" w:rsidR="00115458" w:rsidRPr="001601AF" w:rsidRDefault="00115458" w:rsidP="001601AF">
            <w:pPr>
              <w:pStyle w:val="Normalright"/>
              <w:spacing w:before="0"/>
              <w:jc w:val="left"/>
              <w:rPr>
                <w:rFonts w:asciiTheme="minorHAnsi" w:hAnsiTheme="minorHAnsi"/>
                <w:sz w:val="20"/>
                <w:szCs w:val="20"/>
              </w:rPr>
            </w:pPr>
            <w:r w:rsidRPr="001601AF">
              <w:rPr>
                <w:rFonts w:asciiTheme="minorHAnsi" w:hAnsiTheme="minorHAnsi"/>
                <w:sz w:val="20"/>
                <w:szCs w:val="20"/>
              </w:rPr>
              <w:t>9.135</w:t>
            </w:r>
          </w:p>
        </w:tc>
      </w:tr>
      <w:tr w:rsidR="004546D2" w14:paraId="600E2E60" w14:textId="77777777" w:rsidTr="000C1365">
        <w:trPr>
          <w:trHeight w:val="397"/>
        </w:trPr>
        <w:tc>
          <w:tcPr>
            <w:tcW w:w="3488" w:type="dxa"/>
            <w:vAlign w:val="center"/>
          </w:tcPr>
          <w:p w14:paraId="7CE2A6F5" w14:textId="77777777" w:rsidR="004546D2" w:rsidRPr="001601AF" w:rsidRDefault="004546D2" w:rsidP="001601AF">
            <w:pPr>
              <w:spacing w:after="0" w:line="240" w:lineRule="auto"/>
              <w:rPr>
                <w:rFonts w:cs="Arial"/>
              </w:rPr>
            </w:pPr>
          </w:p>
        </w:tc>
        <w:tc>
          <w:tcPr>
            <w:tcW w:w="4498" w:type="dxa"/>
            <w:vAlign w:val="center"/>
          </w:tcPr>
          <w:p w14:paraId="1E2C0549" w14:textId="77777777" w:rsidR="004546D2" w:rsidRPr="001601AF" w:rsidRDefault="004546D2" w:rsidP="001601AF">
            <w:pPr>
              <w:spacing w:after="0" w:line="240" w:lineRule="auto"/>
              <w:rPr>
                <w:rFonts w:cs="Arial"/>
              </w:rPr>
            </w:pPr>
          </w:p>
        </w:tc>
        <w:tc>
          <w:tcPr>
            <w:tcW w:w="1165" w:type="dxa"/>
            <w:gridSpan w:val="2"/>
            <w:vAlign w:val="center"/>
          </w:tcPr>
          <w:p w14:paraId="19D373CD" w14:textId="77777777" w:rsidR="004546D2" w:rsidRPr="001601AF" w:rsidRDefault="004546D2" w:rsidP="001601AF">
            <w:pPr>
              <w:pStyle w:val="Normalright"/>
              <w:spacing w:before="0"/>
              <w:jc w:val="left"/>
              <w:rPr>
                <w:rFonts w:asciiTheme="minorHAnsi" w:hAnsiTheme="minorHAnsi"/>
                <w:sz w:val="20"/>
                <w:szCs w:val="20"/>
              </w:rPr>
            </w:pPr>
          </w:p>
        </w:tc>
      </w:tr>
      <w:tr w:rsidR="004546D2" w14:paraId="59D1366F" w14:textId="77777777" w:rsidTr="000C1365">
        <w:trPr>
          <w:trHeight w:val="397"/>
        </w:trPr>
        <w:tc>
          <w:tcPr>
            <w:tcW w:w="3488" w:type="dxa"/>
            <w:vAlign w:val="center"/>
          </w:tcPr>
          <w:p w14:paraId="10A9EC62" w14:textId="77777777" w:rsidR="004546D2" w:rsidRPr="001601AF" w:rsidRDefault="004546D2" w:rsidP="001601AF">
            <w:pPr>
              <w:spacing w:after="0" w:line="240" w:lineRule="auto"/>
              <w:rPr>
                <w:rFonts w:cs="Arial"/>
              </w:rPr>
            </w:pPr>
          </w:p>
        </w:tc>
        <w:tc>
          <w:tcPr>
            <w:tcW w:w="4498" w:type="dxa"/>
            <w:vAlign w:val="center"/>
          </w:tcPr>
          <w:p w14:paraId="61DE1902" w14:textId="77777777" w:rsidR="004546D2" w:rsidRPr="001601AF" w:rsidRDefault="004546D2" w:rsidP="001601AF">
            <w:pPr>
              <w:spacing w:after="0" w:line="240" w:lineRule="auto"/>
              <w:rPr>
                <w:rFonts w:cs="Arial"/>
              </w:rPr>
            </w:pPr>
          </w:p>
        </w:tc>
        <w:tc>
          <w:tcPr>
            <w:tcW w:w="1165" w:type="dxa"/>
            <w:gridSpan w:val="2"/>
            <w:vAlign w:val="center"/>
          </w:tcPr>
          <w:p w14:paraId="20723E6A" w14:textId="77777777" w:rsidR="004546D2" w:rsidRPr="001601AF" w:rsidRDefault="004546D2" w:rsidP="001601AF">
            <w:pPr>
              <w:pStyle w:val="Normalright"/>
              <w:spacing w:before="0"/>
              <w:jc w:val="left"/>
              <w:rPr>
                <w:rFonts w:asciiTheme="minorHAnsi" w:hAnsiTheme="minorHAnsi"/>
                <w:sz w:val="20"/>
                <w:szCs w:val="20"/>
              </w:rPr>
            </w:pPr>
          </w:p>
        </w:tc>
      </w:tr>
    </w:tbl>
    <w:p w14:paraId="2DBE87CF" w14:textId="77777777" w:rsidR="004546D2" w:rsidRDefault="004546D2" w:rsidP="0049126A">
      <w:bookmarkStart w:id="1697" w:name="_Toc5012265"/>
      <w:bookmarkStart w:id="1698" w:name="_Toc5022194"/>
      <w:bookmarkStart w:id="1699" w:name="_Toc5023617"/>
      <w:bookmarkStart w:id="1700" w:name="_Toc5025041"/>
      <w:bookmarkStart w:id="1701" w:name="_Toc5026464"/>
      <w:bookmarkStart w:id="1702" w:name="_Toc5012266"/>
      <w:bookmarkStart w:id="1703" w:name="_Toc5022195"/>
      <w:bookmarkStart w:id="1704" w:name="_Toc5023618"/>
      <w:bookmarkStart w:id="1705" w:name="_Toc5025042"/>
      <w:bookmarkStart w:id="1706" w:name="_Toc5026465"/>
      <w:bookmarkStart w:id="1707" w:name="_Toc5012282"/>
      <w:bookmarkStart w:id="1708" w:name="_Toc5022211"/>
      <w:bookmarkStart w:id="1709" w:name="_Toc5023634"/>
      <w:bookmarkStart w:id="1710" w:name="_Toc5025058"/>
      <w:bookmarkStart w:id="1711" w:name="_Toc5026481"/>
      <w:bookmarkStart w:id="1712" w:name="_Toc5012288"/>
      <w:bookmarkStart w:id="1713" w:name="_Toc5022217"/>
      <w:bookmarkStart w:id="1714" w:name="_Toc5023640"/>
      <w:bookmarkStart w:id="1715" w:name="_Toc5025064"/>
      <w:bookmarkStart w:id="1716" w:name="_Toc5026487"/>
      <w:bookmarkStart w:id="1717" w:name="_Toc5012301"/>
      <w:bookmarkStart w:id="1718" w:name="_Toc5022230"/>
      <w:bookmarkStart w:id="1719" w:name="_Toc5023653"/>
      <w:bookmarkStart w:id="1720" w:name="_Toc5025077"/>
      <w:bookmarkStart w:id="1721" w:name="_Toc5026500"/>
      <w:bookmarkStart w:id="1722" w:name="_Toc5012325"/>
      <w:bookmarkStart w:id="1723" w:name="_Toc5022254"/>
      <w:bookmarkStart w:id="1724" w:name="_Toc5023677"/>
      <w:bookmarkStart w:id="1725" w:name="_Toc5025101"/>
      <w:bookmarkStart w:id="1726" w:name="_Toc5026524"/>
      <w:bookmarkStart w:id="1727" w:name="_Toc5012331"/>
      <w:bookmarkStart w:id="1728" w:name="_Toc5022260"/>
      <w:bookmarkStart w:id="1729" w:name="_Toc5023683"/>
      <w:bookmarkStart w:id="1730" w:name="_Toc5025107"/>
      <w:bookmarkStart w:id="1731" w:name="_Toc5026530"/>
      <w:bookmarkStart w:id="1732" w:name="_Toc5012343"/>
      <w:bookmarkStart w:id="1733" w:name="_Toc5022272"/>
      <w:bookmarkStart w:id="1734" w:name="_Toc5023695"/>
      <w:bookmarkStart w:id="1735" w:name="_Toc5025119"/>
      <w:bookmarkStart w:id="1736" w:name="_Toc5026542"/>
      <w:bookmarkStart w:id="1737" w:name="_Toc5012349"/>
      <w:bookmarkStart w:id="1738" w:name="_Toc5022278"/>
      <w:bookmarkStart w:id="1739" w:name="_Toc5023701"/>
      <w:bookmarkStart w:id="1740" w:name="_Toc5025125"/>
      <w:bookmarkStart w:id="1741" w:name="_Toc5026548"/>
      <w:bookmarkStart w:id="1742" w:name="_Toc5012361"/>
      <w:bookmarkStart w:id="1743" w:name="_Toc5022290"/>
      <w:bookmarkStart w:id="1744" w:name="_Toc5023713"/>
      <w:bookmarkStart w:id="1745" w:name="_Toc5025137"/>
      <w:bookmarkStart w:id="1746" w:name="_Toc5026560"/>
      <w:bookmarkStart w:id="1747" w:name="_Toc5012367"/>
      <w:bookmarkStart w:id="1748" w:name="_Toc5022296"/>
      <w:bookmarkStart w:id="1749" w:name="_Toc5023719"/>
      <w:bookmarkStart w:id="1750" w:name="_Toc5025143"/>
      <w:bookmarkStart w:id="1751" w:name="_Toc5026566"/>
      <w:bookmarkStart w:id="1752" w:name="_Toc5012379"/>
      <w:bookmarkStart w:id="1753" w:name="_Toc5022308"/>
      <w:bookmarkStart w:id="1754" w:name="_Toc5023731"/>
      <w:bookmarkStart w:id="1755" w:name="_Toc5025155"/>
      <w:bookmarkStart w:id="1756" w:name="_Toc5026578"/>
      <w:bookmarkStart w:id="1757" w:name="_Toc5012385"/>
      <w:bookmarkStart w:id="1758" w:name="_Toc5022314"/>
      <w:bookmarkStart w:id="1759" w:name="_Toc5023737"/>
      <w:bookmarkStart w:id="1760" w:name="_Toc5025161"/>
      <w:bookmarkStart w:id="1761" w:name="_Toc5026584"/>
      <w:bookmarkStart w:id="1762" w:name="_Toc5012397"/>
      <w:bookmarkStart w:id="1763" w:name="_Toc5022326"/>
      <w:bookmarkStart w:id="1764" w:name="_Toc5023749"/>
      <w:bookmarkStart w:id="1765" w:name="_Toc5025173"/>
      <w:bookmarkStart w:id="1766" w:name="_Toc5026596"/>
      <w:bookmarkStart w:id="1767" w:name="_Toc5012403"/>
      <w:bookmarkStart w:id="1768" w:name="_Toc5022332"/>
      <w:bookmarkStart w:id="1769" w:name="_Toc5023755"/>
      <w:bookmarkStart w:id="1770" w:name="_Toc5025179"/>
      <w:bookmarkStart w:id="1771" w:name="_Toc5026602"/>
      <w:bookmarkStart w:id="1772" w:name="_Toc5012415"/>
      <w:bookmarkStart w:id="1773" w:name="_Toc5022344"/>
      <w:bookmarkStart w:id="1774" w:name="_Toc5023767"/>
      <w:bookmarkStart w:id="1775" w:name="_Toc5025191"/>
      <w:bookmarkStart w:id="1776" w:name="_Toc5026614"/>
      <w:bookmarkStart w:id="1777" w:name="_Toc5012427"/>
      <w:bookmarkStart w:id="1778" w:name="_Toc5022356"/>
      <w:bookmarkStart w:id="1779" w:name="_Toc5023779"/>
      <w:bookmarkStart w:id="1780" w:name="_Toc5025203"/>
      <w:bookmarkStart w:id="1781" w:name="_Toc5026626"/>
      <w:bookmarkStart w:id="1782" w:name="_Toc5012439"/>
      <w:bookmarkStart w:id="1783" w:name="_Toc5022368"/>
      <w:bookmarkStart w:id="1784" w:name="_Toc5023791"/>
      <w:bookmarkStart w:id="1785" w:name="_Toc5025215"/>
      <w:bookmarkStart w:id="1786" w:name="_Toc5026638"/>
      <w:bookmarkStart w:id="1787" w:name="_Toc5012451"/>
      <w:bookmarkStart w:id="1788" w:name="_Toc5022380"/>
      <w:bookmarkStart w:id="1789" w:name="_Toc5023803"/>
      <w:bookmarkStart w:id="1790" w:name="_Toc5025227"/>
      <w:bookmarkStart w:id="1791" w:name="_Toc5026650"/>
      <w:bookmarkStart w:id="1792" w:name="_Toc5012463"/>
      <w:bookmarkStart w:id="1793" w:name="_Toc5022392"/>
      <w:bookmarkStart w:id="1794" w:name="_Toc5023815"/>
      <w:bookmarkStart w:id="1795" w:name="_Toc5025239"/>
      <w:bookmarkStart w:id="1796" w:name="_Toc5026662"/>
      <w:bookmarkStart w:id="1797" w:name="_Toc5012475"/>
      <w:bookmarkStart w:id="1798" w:name="_Toc5022404"/>
      <w:bookmarkStart w:id="1799" w:name="_Toc5023827"/>
      <w:bookmarkStart w:id="1800" w:name="_Toc5025251"/>
      <w:bookmarkStart w:id="1801" w:name="_Toc5026674"/>
      <w:bookmarkStart w:id="1802" w:name="_Toc5012493"/>
      <w:bookmarkStart w:id="1803" w:name="_Toc5022422"/>
      <w:bookmarkStart w:id="1804" w:name="_Toc5023845"/>
      <w:bookmarkStart w:id="1805" w:name="_Toc5025269"/>
      <w:bookmarkStart w:id="1806" w:name="_Toc5026692"/>
      <w:bookmarkStart w:id="1807" w:name="_Toc5012499"/>
      <w:bookmarkStart w:id="1808" w:name="_Toc5022428"/>
      <w:bookmarkStart w:id="1809" w:name="_Toc5023851"/>
      <w:bookmarkStart w:id="1810" w:name="_Toc5025275"/>
      <w:bookmarkStart w:id="1811" w:name="_Toc5026698"/>
      <w:bookmarkStart w:id="1812" w:name="_Toc5012511"/>
      <w:bookmarkStart w:id="1813" w:name="_Toc5022440"/>
      <w:bookmarkStart w:id="1814" w:name="_Toc5023863"/>
      <w:bookmarkStart w:id="1815" w:name="_Toc5025287"/>
      <w:bookmarkStart w:id="1816" w:name="_Toc5026710"/>
      <w:bookmarkStart w:id="1817" w:name="_Toc5012517"/>
      <w:bookmarkStart w:id="1818" w:name="_Toc5022446"/>
      <w:bookmarkStart w:id="1819" w:name="_Toc5023869"/>
      <w:bookmarkStart w:id="1820" w:name="_Toc5025293"/>
      <w:bookmarkStart w:id="1821" w:name="_Toc5026716"/>
      <w:bookmarkStart w:id="1822" w:name="_Toc5012529"/>
      <w:bookmarkStart w:id="1823" w:name="_Toc5022458"/>
      <w:bookmarkStart w:id="1824" w:name="_Toc5023881"/>
      <w:bookmarkStart w:id="1825" w:name="_Toc5025305"/>
      <w:bookmarkStart w:id="1826" w:name="_Toc5026728"/>
      <w:bookmarkStart w:id="1827" w:name="_Toc5012535"/>
      <w:bookmarkStart w:id="1828" w:name="_Toc5022464"/>
      <w:bookmarkStart w:id="1829" w:name="_Toc5023887"/>
      <w:bookmarkStart w:id="1830" w:name="_Toc5025311"/>
      <w:bookmarkStart w:id="1831" w:name="_Toc5026734"/>
      <w:bookmarkStart w:id="1832" w:name="_Toc5012547"/>
      <w:bookmarkStart w:id="1833" w:name="_Toc5022476"/>
      <w:bookmarkStart w:id="1834" w:name="_Toc5023899"/>
      <w:bookmarkStart w:id="1835" w:name="_Toc5025323"/>
      <w:bookmarkStart w:id="1836" w:name="_Toc5026746"/>
      <w:bookmarkStart w:id="1837" w:name="_Toc5012553"/>
      <w:bookmarkStart w:id="1838" w:name="_Toc5022482"/>
      <w:bookmarkStart w:id="1839" w:name="_Toc5023905"/>
      <w:bookmarkStart w:id="1840" w:name="_Toc5025329"/>
      <w:bookmarkStart w:id="1841" w:name="_Toc5026752"/>
      <w:bookmarkStart w:id="1842" w:name="_Toc5012583"/>
      <w:bookmarkStart w:id="1843" w:name="_Toc5022512"/>
      <w:bookmarkStart w:id="1844" w:name="_Toc5023935"/>
      <w:bookmarkStart w:id="1845" w:name="_Toc5025359"/>
      <w:bookmarkStart w:id="1846" w:name="_Toc5026782"/>
      <w:bookmarkStart w:id="1847" w:name="_Toc5012607"/>
      <w:bookmarkStart w:id="1848" w:name="_Toc5022536"/>
      <w:bookmarkStart w:id="1849" w:name="_Toc5023959"/>
      <w:bookmarkStart w:id="1850" w:name="_Toc5025383"/>
      <w:bookmarkStart w:id="1851" w:name="_Toc5026806"/>
      <w:bookmarkStart w:id="1852" w:name="_Toc5012619"/>
      <w:bookmarkStart w:id="1853" w:name="_Toc5022548"/>
      <w:bookmarkStart w:id="1854" w:name="_Toc5023971"/>
      <w:bookmarkStart w:id="1855" w:name="_Toc5025395"/>
      <w:bookmarkStart w:id="1856" w:name="_Toc5026818"/>
      <w:bookmarkStart w:id="1857" w:name="_Toc5012643"/>
      <w:bookmarkStart w:id="1858" w:name="_Toc5022572"/>
      <w:bookmarkStart w:id="1859" w:name="_Toc5023995"/>
      <w:bookmarkStart w:id="1860" w:name="_Toc5025419"/>
      <w:bookmarkStart w:id="1861" w:name="_Toc5026842"/>
      <w:bookmarkStart w:id="1862" w:name="_Toc5012655"/>
      <w:bookmarkStart w:id="1863" w:name="_Toc5022584"/>
      <w:bookmarkStart w:id="1864" w:name="_Toc5024007"/>
      <w:bookmarkStart w:id="1865" w:name="_Toc5025431"/>
      <w:bookmarkStart w:id="1866" w:name="_Toc5026854"/>
      <w:bookmarkStart w:id="1867" w:name="_Toc5012703"/>
      <w:bookmarkStart w:id="1868" w:name="_Toc5022632"/>
      <w:bookmarkStart w:id="1869" w:name="_Toc5024055"/>
      <w:bookmarkStart w:id="1870" w:name="_Toc5025479"/>
      <w:bookmarkStart w:id="1871" w:name="_Toc5026902"/>
      <w:bookmarkStart w:id="1872" w:name="_Toc5012715"/>
      <w:bookmarkStart w:id="1873" w:name="_Toc5022644"/>
      <w:bookmarkStart w:id="1874" w:name="_Toc5024067"/>
      <w:bookmarkStart w:id="1875" w:name="_Toc5025491"/>
      <w:bookmarkStart w:id="1876" w:name="_Toc5026914"/>
      <w:bookmarkStart w:id="1877" w:name="_Toc5012727"/>
      <w:bookmarkStart w:id="1878" w:name="_Toc5022656"/>
      <w:bookmarkStart w:id="1879" w:name="_Toc5024079"/>
      <w:bookmarkStart w:id="1880" w:name="_Toc5025503"/>
      <w:bookmarkStart w:id="1881" w:name="_Toc5026926"/>
      <w:bookmarkStart w:id="1882" w:name="_Toc5012751"/>
      <w:bookmarkStart w:id="1883" w:name="_Toc5022680"/>
      <w:bookmarkStart w:id="1884" w:name="_Toc5024103"/>
      <w:bookmarkStart w:id="1885" w:name="_Toc5025527"/>
      <w:bookmarkStart w:id="1886" w:name="_Toc5026950"/>
      <w:bookmarkStart w:id="1887" w:name="_Toc5012763"/>
      <w:bookmarkStart w:id="1888" w:name="_Toc5022692"/>
      <w:bookmarkStart w:id="1889" w:name="_Toc5024115"/>
      <w:bookmarkStart w:id="1890" w:name="_Toc5025539"/>
      <w:bookmarkStart w:id="1891" w:name="_Toc5026962"/>
      <w:bookmarkStart w:id="1892" w:name="_Toc5012775"/>
      <w:bookmarkStart w:id="1893" w:name="_Toc5022704"/>
      <w:bookmarkStart w:id="1894" w:name="_Toc5024127"/>
      <w:bookmarkStart w:id="1895" w:name="_Toc5025551"/>
      <w:bookmarkStart w:id="1896" w:name="_Toc5026974"/>
      <w:bookmarkStart w:id="1897" w:name="_Toc5012787"/>
      <w:bookmarkStart w:id="1898" w:name="_Toc5022716"/>
      <w:bookmarkStart w:id="1899" w:name="_Toc5024139"/>
      <w:bookmarkStart w:id="1900" w:name="_Toc5025563"/>
      <w:bookmarkStart w:id="1901" w:name="_Toc5026986"/>
      <w:bookmarkStart w:id="1902" w:name="_Toc5012817"/>
      <w:bookmarkStart w:id="1903" w:name="_Toc5022746"/>
      <w:bookmarkStart w:id="1904" w:name="_Toc5024169"/>
      <w:bookmarkStart w:id="1905" w:name="_Toc5025593"/>
      <w:bookmarkStart w:id="1906" w:name="_Toc5027016"/>
      <w:bookmarkStart w:id="1907" w:name="_Toc5012853"/>
      <w:bookmarkStart w:id="1908" w:name="_Toc5022782"/>
      <w:bookmarkStart w:id="1909" w:name="_Toc5024205"/>
      <w:bookmarkStart w:id="1910" w:name="_Toc5025629"/>
      <w:bookmarkStart w:id="1911" w:name="_Toc5027052"/>
      <w:bookmarkStart w:id="1912" w:name="_Toc5012859"/>
      <w:bookmarkStart w:id="1913" w:name="_Toc5022788"/>
      <w:bookmarkStart w:id="1914" w:name="_Toc5024211"/>
      <w:bookmarkStart w:id="1915" w:name="_Toc5025635"/>
      <w:bookmarkStart w:id="1916" w:name="_Toc5027058"/>
      <w:bookmarkStart w:id="1917" w:name="_Toc5012860"/>
      <w:bookmarkStart w:id="1918" w:name="_Toc5022789"/>
      <w:bookmarkStart w:id="1919" w:name="_Toc5024212"/>
      <w:bookmarkStart w:id="1920" w:name="_Toc5025636"/>
      <w:bookmarkStart w:id="1921" w:name="_Toc5027059"/>
      <w:bookmarkStart w:id="1922" w:name="_Toc5012861"/>
      <w:bookmarkStart w:id="1923" w:name="_Toc5022790"/>
      <w:bookmarkStart w:id="1924" w:name="_Toc5024213"/>
      <w:bookmarkStart w:id="1925" w:name="_Toc5025637"/>
      <w:bookmarkStart w:id="1926" w:name="_Toc5027060"/>
      <w:bookmarkStart w:id="1927" w:name="_Toc5011025"/>
      <w:bookmarkStart w:id="1928" w:name="_Toc5011438"/>
      <w:bookmarkStart w:id="1929" w:name="_Toc5012862"/>
      <w:bookmarkStart w:id="1930" w:name="_Toc5022791"/>
      <w:bookmarkStart w:id="1931" w:name="_Toc5024214"/>
      <w:bookmarkStart w:id="1932" w:name="_Toc5025638"/>
      <w:bookmarkStart w:id="1933" w:name="_Toc5027061"/>
      <w:bookmarkStart w:id="1934" w:name="_Toc5193029"/>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p>
    <w:p w14:paraId="4A5B534E" w14:textId="77777777" w:rsidR="004546D2" w:rsidRDefault="004546D2">
      <w:pPr>
        <w:rPr>
          <w:rFonts w:asciiTheme="majorHAnsi" w:eastAsiaTheme="majorEastAsia" w:hAnsiTheme="majorHAnsi" w:cstheme="majorBidi"/>
          <w:b/>
          <w:color w:val="3844CA" w:themeColor="background2"/>
          <w:spacing w:val="-10"/>
          <w:sz w:val="44"/>
          <w:szCs w:val="32"/>
        </w:rPr>
      </w:pPr>
      <w:r>
        <w:br w:type="page"/>
      </w:r>
    </w:p>
    <w:p w14:paraId="5676BF58" w14:textId="34FFD795" w:rsidR="00115458" w:rsidRPr="00CD1104" w:rsidRDefault="00E10C31" w:rsidP="00E10C31">
      <w:pPr>
        <w:pStyle w:val="Heading1"/>
      </w:pPr>
      <w:bookmarkStart w:id="1935" w:name="_Toc232191368"/>
      <w:r>
        <w:t xml:space="preserve">9 </w:t>
      </w:r>
      <w:r w:rsidR="00115458" w:rsidRPr="00CD1104">
        <w:t>Farm management deposits</w:t>
      </w:r>
      <w:bookmarkEnd w:id="1934"/>
      <w:bookmarkEnd w:id="1935"/>
    </w:p>
    <w:bookmarkEnd w:id="1693"/>
    <w:p w14:paraId="249789A8" w14:textId="77777777" w:rsidR="00115458" w:rsidRPr="001601AF" w:rsidRDefault="00115458" w:rsidP="001601AF">
      <w:pPr>
        <w:spacing w:after="0" w:line="240" w:lineRule="auto"/>
        <w:rPr>
          <w:rFonts w:cs="Arial"/>
        </w:rPr>
      </w:pPr>
      <w:r w:rsidRPr="001601AF">
        <w:rPr>
          <w:rFonts w:cs="Arial"/>
        </w:rPr>
        <w:t xml:space="preserve">The FMD scheme enables eligible primary producers to deduct from their assessable income the amount of FMDs made in an income year. This enables primary producers to claim a tax deduction for FMDs and for before-tax income to be carried over from years of good cash flow to later years so they can better manage their exposure to seasonal fluctuations. </w:t>
      </w:r>
    </w:p>
    <w:p w14:paraId="6488C114" w14:textId="77777777" w:rsidR="00115458" w:rsidRPr="001601AF" w:rsidRDefault="00115458" w:rsidP="001601AF">
      <w:pPr>
        <w:spacing w:after="0" w:line="240" w:lineRule="auto"/>
        <w:rPr>
          <w:rFonts w:cs="Arial"/>
        </w:rPr>
      </w:pPr>
    </w:p>
    <w:p w14:paraId="6D640E4E" w14:textId="77777777" w:rsidR="00115458" w:rsidRPr="001601AF" w:rsidRDefault="00115458" w:rsidP="001601AF">
      <w:pPr>
        <w:spacing w:after="0" w:line="240" w:lineRule="auto"/>
        <w:rPr>
          <w:rFonts w:cs="Arial"/>
        </w:rPr>
      </w:pPr>
      <w:r w:rsidRPr="001601AF">
        <w:rPr>
          <w:rFonts w:cs="Arial"/>
        </w:rPr>
        <w:t xml:space="preserve">The deposits must normally remain invested for at least 12 months. The total amount of repayments is included in assessable income in the income year in which it is repaid. Deposits electronically transferred between FMD providers, deposits that are reinvested and deposits that are consolidated after 12 months maintain their FMD status. </w:t>
      </w:r>
    </w:p>
    <w:p w14:paraId="3285B1B6" w14:textId="77777777" w:rsidR="00115458" w:rsidRPr="001601AF" w:rsidRDefault="00115458" w:rsidP="001601AF">
      <w:pPr>
        <w:spacing w:after="0" w:line="240" w:lineRule="auto"/>
        <w:rPr>
          <w:rFonts w:cs="Arial"/>
        </w:rPr>
      </w:pPr>
    </w:p>
    <w:p w14:paraId="4DFF51D5" w14:textId="77777777" w:rsidR="00115458" w:rsidRPr="001601AF" w:rsidRDefault="00115458" w:rsidP="001601AF">
      <w:pPr>
        <w:spacing w:after="0" w:line="240" w:lineRule="auto"/>
        <w:rPr>
          <w:rFonts w:cs="Arial"/>
        </w:rPr>
      </w:pPr>
      <w:r w:rsidRPr="001601AF">
        <w:rPr>
          <w:rFonts w:cs="Arial"/>
        </w:rPr>
        <w:t>An eligible primary producer can open an FMD with any Authorised deposit-taking institution (ADI) – these being most banks, credit unions and building societies – that offer FMD products. An FMD can be held with more than one ADI at the same time. The minimum deposit is $1,000 and the total deposit balance amounts across all ADIs must not exceed $800,000 at any one time. All ADIs offering FMD accounts must also report monthly to the Department of Agriculture, Fisheries and Forestry (DAFF).</w:t>
      </w:r>
      <w:r w:rsidRPr="001601AF" w:rsidDel="002C070F">
        <w:rPr>
          <w:rFonts w:cs="Arial"/>
        </w:rPr>
        <w:t xml:space="preserve"> </w:t>
      </w:r>
    </w:p>
    <w:p w14:paraId="56F3337E" w14:textId="77777777" w:rsidR="00115458" w:rsidRPr="001601AF" w:rsidRDefault="00115458" w:rsidP="001601AF">
      <w:pPr>
        <w:spacing w:after="0" w:line="240" w:lineRule="auto"/>
        <w:rPr>
          <w:rFonts w:cs="Arial"/>
        </w:rPr>
      </w:pPr>
    </w:p>
    <w:p w14:paraId="4B0B3DD1" w14:textId="77777777" w:rsidR="00115458" w:rsidRPr="001601AF" w:rsidRDefault="00115458" w:rsidP="001601AF">
      <w:pPr>
        <w:spacing w:after="0" w:line="240" w:lineRule="auto"/>
        <w:rPr>
          <w:rFonts w:cs="Arial"/>
        </w:rPr>
      </w:pPr>
      <w:r w:rsidRPr="001601AF">
        <w:rPr>
          <w:rFonts w:cs="Arial"/>
        </w:rPr>
        <w:t>An FMD account owner may make multiple repayments in a financial year. The minimum repayment amount is $1,000 unless the account is being closed and the balance is less than $1,000.</w:t>
      </w:r>
    </w:p>
    <w:p w14:paraId="094F5AFD" w14:textId="77777777" w:rsidR="00115458" w:rsidRPr="001601AF" w:rsidRDefault="00115458" w:rsidP="001601AF">
      <w:pPr>
        <w:spacing w:after="0" w:line="240" w:lineRule="auto"/>
        <w:rPr>
          <w:rFonts w:cs="Arial"/>
        </w:rPr>
      </w:pPr>
    </w:p>
    <w:p w14:paraId="44624A24" w14:textId="77777777" w:rsidR="00115458" w:rsidRPr="001601AF" w:rsidRDefault="00115458" w:rsidP="001601AF">
      <w:pPr>
        <w:spacing w:after="0" w:line="240" w:lineRule="auto"/>
        <w:rPr>
          <w:rFonts w:cs="Arial"/>
        </w:rPr>
      </w:pPr>
      <w:r w:rsidRPr="001601AF">
        <w:rPr>
          <w:rFonts w:cs="Arial"/>
        </w:rPr>
        <w:t xml:space="preserve">An FMD can only be held by one individual. Interest income from FMDs is assessable, unless offset against a Primary production loan or debt, in the income year it is paid and must be reported in the </w:t>
      </w:r>
      <w:r w:rsidRPr="001601AF">
        <w:rPr>
          <w:rFonts w:cs="Arial"/>
          <w:i/>
        </w:rPr>
        <w:t xml:space="preserve">Farm management deposit account data record. </w:t>
      </w:r>
      <w:r w:rsidRPr="001601AF">
        <w:rPr>
          <w:rFonts w:cs="Arial"/>
        </w:rPr>
        <w:t>Interest earnings must be paid to the FMD owner who may reinvest it as a new FMD if they satisfy the conditions. If you offer an interest offset arrangement you must report using ERS v11 or above.</w:t>
      </w:r>
    </w:p>
    <w:p w14:paraId="09C323B1" w14:textId="77777777" w:rsidR="00115458" w:rsidRPr="001601AF" w:rsidRDefault="00115458" w:rsidP="001601AF">
      <w:pPr>
        <w:spacing w:after="0" w:line="240" w:lineRule="auto"/>
        <w:rPr>
          <w:rFonts w:cs="Arial"/>
        </w:rPr>
      </w:pPr>
    </w:p>
    <w:p w14:paraId="1E3D0443" w14:textId="77777777" w:rsidR="00115458" w:rsidRPr="001601AF" w:rsidRDefault="00115458" w:rsidP="001601AF">
      <w:pPr>
        <w:spacing w:after="0" w:line="240" w:lineRule="auto"/>
        <w:rPr>
          <w:rFonts w:cs="Arial"/>
        </w:rPr>
      </w:pPr>
      <w:r w:rsidRPr="001601AF">
        <w:rPr>
          <w:rFonts w:cs="Arial"/>
        </w:rPr>
        <w:t xml:space="preserve">The usual reporting provisions associated with investments also apply to FMDs. </w:t>
      </w:r>
    </w:p>
    <w:p w14:paraId="186D0FB2" w14:textId="77777777" w:rsidR="00115458" w:rsidRPr="00B35C0A" w:rsidRDefault="00115458" w:rsidP="001601AF">
      <w:pPr>
        <w:pStyle w:val="Heading2"/>
      </w:pPr>
      <w:bookmarkStart w:id="1936" w:name="_Toc372885445"/>
      <w:bookmarkStart w:id="1937" w:name="_Toc232191369"/>
      <w:r w:rsidRPr="00B35C0A">
        <w:t>Consolidation</w:t>
      </w:r>
      <w:bookmarkEnd w:id="1937"/>
    </w:p>
    <w:p w14:paraId="2AFFDC35" w14:textId="77777777" w:rsidR="00115458" w:rsidRPr="00B35C0A" w:rsidRDefault="00115458" w:rsidP="001601AF">
      <w:pPr>
        <w:spacing w:after="0" w:line="240" w:lineRule="auto"/>
        <w:rPr>
          <w:rFonts w:cs="Arial"/>
        </w:rPr>
      </w:pPr>
      <w:r w:rsidRPr="00B35C0A">
        <w:rPr>
          <w:rFonts w:cs="Arial"/>
        </w:rPr>
        <w:t xml:space="preserve">From 1 July 2014 two or more deposits </w:t>
      </w:r>
      <w:r>
        <w:rPr>
          <w:rFonts w:cs="Arial"/>
        </w:rPr>
        <w:t xml:space="preserve">may </w:t>
      </w:r>
      <w:r w:rsidRPr="00B35C0A">
        <w:rPr>
          <w:rFonts w:cs="Arial"/>
        </w:rPr>
        <w:t>be consolidated into a single FMD without changes to the tax concessions providing:</w:t>
      </w:r>
    </w:p>
    <w:p w14:paraId="34AFAE1A" w14:textId="77777777" w:rsidR="00115458" w:rsidRPr="00B35C0A" w:rsidRDefault="00115458" w:rsidP="001601AF">
      <w:pPr>
        <w:spacing w:after="0" w:line="240" w:lineRule="auto"/>
        <w:rPr>
          <w:rFonts w:cs="Arial"/>
        </w:rPr>
      </w:pPr>
    </w:p>
    <w:p w14:paraId="52B6F4E9" w14:textId="77777777" w:rsidR="00115458" w:rsidRPr="00B35C0A" w:rsidRDefault="00115458" w:rsidP="001601AF">
      <w:pPr>
        <w:numPr>
          <w:ilvl w:val="0"/>
          <w:numId w:val="83"/>
        </w:numPr>
        <w:spacing w:after="0" w:line="240" w:lineRule="auto"/>
        <w:rPr>
          <w:rFonts w:cs="Arial"/>
        </w:rPr>
      </w:pPr>
      <w:r w:rsidRPr="00B35C0A">
        <w:rPr>
          <w:rFonts w:cs="Arial"/>
        </w:rPr>
        <w:t>amounts being consolidated have been held for at least 12 months and</w:t>
      </w:r>
    </w:p>
    <w:p w14:paraId="4FDE63D6" w14:textId="77777777" w:rsidR="00115458" w:rsidRDefault="00115458" w:rsidP="001601AF">
      <w:pPr>
        <w:numPr>
          <w:ilvl w:val="0"/>
          <w:numId w:val="83"/>
        </w:numPr>
        <w:spacing w:after="0" w:line="240" w:lineRule="auto"/>
        <w:rPr>
          <w:rFonts w:cs="Arial"/>
        </w:rPr>
      </w:pPr>
      <w:r w:rsidRPr="00B35C0A">
        <w:rPr>
          <w:rFonts w:cs="Arial"/>
        </w:rPr>
        <w:t xml:space="preserve">the account holder has claimed a tax deduction for those amounts. </w:t>
      </w:r>
    </w:p>
    <w:p w14:paraId="21A8F6BD" w14:textId="77777777" w:rsidR="00115458" w:rsidRPr="00B35C0A" w:rsidRDefault="00115458" w:rsidP="001601AF">
      <w:pPr>
        <w:spacing w:after="0" w:line="240" w:lineRule="auto"/>
        <w:ind w:left="720"/>
        <w:rPr>
          <w:rFonts w:cs="Arial"/>
        </w:rPr>
      </w:pPr>
    </w:p>
    <w:p w14:paraId="6A0E7D03" w14:textId="77777777" w:rsidR="00115458" w:rsidRPr="00B35C0A" w:rsidRDefault="00115458" w:rsidP="001601AF">
      <w:pPr>
        <w:spacing w:after="0" w:line="240" w:lineRule="auto"/>
        <w:rPr>
          <w:rFonts w:cs="Arial"/>
        </w:rPr>
      </w:pPr>
      <w:r w:rsidRPr="00B35C0A">
        <w:rPr>
          <w:rFonts w:cs="Arial"/>
        </w:rPr>
        <w:t>Consolidation is not mandatory and it is the responsibility of the account holder to ensure the above conditions are met before FMD</w:t>
      </w:r>
      <w:r>
        <w:rPr>
          <w:rFonts w:cs="Arial"/>
        </w:rPr>
        <w:t>s</w:t>
      </w:r>
      <w:r w:rsidRPr="00B35C0A">
        <w:rPr>
          <w:rFonts w:cs="Arial"/>
        </w:rPr>
        <w:t xml:space="preserve"> are consolidated.  </w:t>
      </w:r>
    </w:p>
    <w:p w14:paraId="48DEB973" w14:textId="77777777" w:rsidR="00115458" w:rsidRPr="00B35C0A" w:rsidRDefault="00115458" w:rsidP="00115458">
      <w:pPr>
        <w:pStyle w:val="Heading2"/>
      </w:pPr>
      <w:bookmarkStart w:id="1938" w:name="_Toc232191370"/>
      <w:r w:rsidRPr="00B35C0A">
        <w:t>Reporting</w:t>
      </w:r>
      <w:bookmarkEnd w:id="1936"/>
      <w:r>
        <w:t xml:space="preserve"> information</w:t>
      </w:r>
      <w:bookmarkEnd w:id="1938"/>
    </w:p>
    <w:p w14:paraId="237D570E" w14:textId="0CE73382" w:rsidR="00115458" w:rsidRDefault="00115458" w:rsidP="001601AF">
      <w:pPr>
        <w:spacing w:after="0" w:line="240" w:lineRule="auto"/>
        <w:rPr>
          <w:rFonts w:cs="Arial"/>
        </w:rPr>
      </w:pPr>
      <w:r w:rsidRPr="001601AF">
        <w:rPr>
          <w:rFonts w:cs="Arial"/>
        </w:rPr>
        <w:t xml:space="preserve">All FMD transactions, including interest, are reported in the </w:t>
      </w:r>
      <w:r w:rsidRPr="001601AF">
        <w:rPr>
          <w:rFonts w:cs="Arial"/>
          <w:i/>
        </w:rPr>
        <w:t>FMD account data record</w:t>
      </w:r>
      <w:r w:rsidRPr="001601AF">
        <w:rPr>
          <w:rFonts w:cs="Arial"/>
        </w:rPr>
        <w:t xml:space="preserve">. FMD providers do not report an </w:t>
      </w:r>
      <w:r w:rsidRPr="001601AF">
        <w:rPr>
          <w:rFonts w:cs="Arial"/>
          <w:i/>
        </w:rPr>
        <w:t>Investment account data record</w:t>
      </w:r>
      <w:r w:rsidRPr="001601AF">
        <w:rPr>
          <w:rFonts w:cs="Arial"/>
        </w:rPr>
        <w:t xml:space="preserve">. A separate </w:t>
      </w:r>
      <w:r w:rsidRPr="001601AF">
        <w:rPr>
          <w:rFonts w:cs="Arial"/>
          <w:i/>
        </w:rPr>
        <w:t>Investor data record</w:t>
      </w:r>
      <w:r w:rsidRPr="001601AF">
        <w:rPr>
          <w:rFonts w:cs="Arial"/>
        </w:rPr>
        <w:t xml:space="preserve"> is required for each </w:t>
      </w:r>
      <w:r w:rsidRPr="001601AF">
        <w:rPr>
          <w:rFonts w:cs="Arial"/>
          <w:i/>
        </w:rPr>
        <w:t>FMD account data record</w:t>
      </w:r>
      <w:r w:rsidRPr="001601AF">
        <w:rPr>
          <w:rFonts w:cs="Arial"/>
        </w:rPr>
        <w:t xml:space="preserve"> even where multiple </w:t>
      </w:r>
      <w:r w:rsidRPr="001601AF">
        <w:rPr>
          <w:rFonts w:cs="Arial"/>
          <w:i/>
        </w:rPr>
        <w:t>FMD account data records</w:t>
      </w:r>
      <w:r w:rsidRPr="001601AF">
        <w:rPr>
          <w:rFonts w:cs="Arial"/>
        </w:rPr>
        <w:t xml:space="preserve"> are lodged for the same account.  </w:t>
      </w:r>
    </w:p>
    <w:p w14:paraId="33876A6A" w14:textId="77777777" w:rsidR="001601AF" w:rsidRPr="001601AF" w:rsidRDefault="001601AF" w:rsidP="001601AF">
      <w:pPr>
        <w:spacing w:after="0" w:line="240" w:lineRule="auto"/>
        <w:rPr>
          <w:rFonts w:cs="Arial"/>
        </w:rPr>
      </w:pPr>
    </w:p>
    <w:p w14:paraId="1A818B9B" w14:textId="04EA65C1" w:rsidR="00115458" w:rsidRDefault="00115458" w:rsidP="001601AF">
      <w:pPr>
        <w:pStyle w:val="Heading3"/>
        <w:spacing w:before="0" w:after="0" w:line="240" w:lineRule="auto"/>
      </w:pPr>
      <w:bookmarkStart w:id="1939" w:name="_Toc357677187"/>
      <w:bookmarkStart w:id="1940" w:name="_Toc372885446"/>
      <w:bookmarkStart w:id="1941" w:name="_Toc232191371"/>
      <w:r w:rsidRPr="001601AF">
        <w:t xml:space="preserve">Mandatory </w:t>
      </w:r>
      <w:bookmarkEnd w:id="1939"/>
      <w:r w:rsidRPr="001601AF">
        <w:t>requirements</w:t>
      </w:r>
      <w:bookmarkEnd w:id="1940"/>
      <w:bookmarkEnd w:id="1941"/>
    </w:p>
    <w:p w14:paraId="2F4E6306" w14:textId="77777777" w:rsidR="001601AF" w:rsidRPr="001601AF" w:rsidRDefault="001601AF" w:rsidP="001601AF">
      <w:pPr>
        <w:spacing w:after="0" w:line="240" w:lineRule="auto"/>
      </w:pPr>
    </w:p>
    <w:p w14:paraId="76D572C7" w14:textId="77777777" w:rsidR="00115458" w:rsidRPr="001601AF" w:rsidRDefault="00115458" w:rsidP="001601AF">
      <w:pPr>
        <w:spacing w:after="0" w:line="240" w:lineRule="auto"/>
        <w:rPr>
          <w:rFonts w:cs="Arial"/>
        </w:rPr>
      </w:pPr>
      <w:r w:rsidRPr="001601AF">
        <w:rPr>
          <w:rFonts w:cs="Arial"/>
        </w:rPr>
        <w:t xml:space="preserve">All FMD providers must report a </w:t>
      </w:r>
      <w:r w:rsidRPr="001601AF">
        <w:rPr>
          <w:rFonts w:cs="Arial"/>
          <w:i/>
        </w:rPr>
        <w:t xml:space="preserve">FMD account data record </w:t>
      </w:r>
      <w:r w:rsidRPr="001601AF">
        <w:rPr>
          <w:rFonts w:cs="Arial"/>
        </w:rPr>
        <w:t xml:space="preserve">each year to advise the closing balance at the end of the financial year regardless of whether any interest was paid or movements in principal (e.g. repayments, transfers) have occurred. </w:t>
      </w:r>
    </w:p>
    <w:p w14:paraId="75A12258" w14:textId="77777777" w:rsidR="00115458" w:rsidRPr="001601AF" w:rsidRDefault="00115458" w:rsidP="001601AF">
      <w:pPr>
        <w:spacing w:after="0" w:line="240" w:lineRule="auto"/>
        <w:rPr>
          <w:rFonts w:cs="Arial"/>
        </w:rPr>
      </w:pPr>
    </w:p>
    <w:p w14:paraId="41AF7318" w14:textId="77777777" w:rsidR="00115458" w:rsidRPr="001601AF" w:rsidRDefault="00115458" w:rsidP="001601AF">
      <w:pPr>
        <w:spacing w:after="0" w:line="240" w:lineRule="auto"/>
        <w:rPr>
          <w:rFonts w:cs="Arial"/>
        </w:rPr>
      </w:pPr>
      <w:r w:rsidRPr="001601AF">
        <w:rPr>
          <w:rFonts w:cs="Arial"/>
        </w:rPr>
        <w:t xml:space="preserve">The </w:t>
      </w:r>
      <w:r w:rsidRPr="001601AF">
        <w:rPr>
          <w:rFonts w:cs="Arial"/>
          <w:b/>
        </w:rPr>
        <w:t>mandatory</w:t>
      </w:r>
      <w:r w:rsidRPr="001601AF">
        <w:rPr>
          <w:rFonts w:cs="Arial"/>
        </w:rPr>
        <w:t xml:space="preserve"> fields to be completed for every record, even when a second record is provided for the same account, are:</w:t>
      </w:r>
    </w:p>
    <w:p w14:paraId="02DF3391" w14:textId="77777777" w:rsidR="00115458" w:rsidRPr="001601AF" w:rsidRDefault="00115458" w:rsidP="001601AF">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27"/>
        <w:gridCol w:w="2496"/>
        <w:gridCol w:w="5565"/>
      </w:tblGrid>
      <w:tr w:rsidR="00115458" w:rsidRPr="001601AF" w14:paraId="00F75650" w14:textId="77777777" w:rsidTr="000C1365">
        <w:trPr>
          <w:tblHeader/>
        </w:trPr>
        <w:tc>
          <w:tcPr>
            <w:tcW w:w="652" w:type="pct"/>
            <w:shd w:val="clear" w:color="auto" w:fill="BFBFBF"/>
            <w:vAlign w:val="center"/>
          </w:tcPr>
          <w:p w14:paraId="47C9FEF8" w14:textId="77777777" w:rsidR="00115458" w:rsidRPr="001601AF" w:rsidRDefault="00115458" w:rsidP="001601AF">
            <w:pPr>
              <w:spacing w:after="0" w:line="240" w:lineRule="auto"/>
              <w:rPr>
                <w:rFonts w:cs="Arial"/>
                <w:b/>
                <w:bCs/>
              </w:rPr>
            </w:pPr>
            <w:r w:rsidRPr="001601AF">
              <w:rPr>
                <w:rFonts w:cs="Arial"/>
                <w:b/>
                <w:bCs/>
              </w:rPr>
              <w:t>Reference</w:t>
            </w:r>
          </w:p>
          <w:p w14:paraId="2B4739E7" w14:textId="77777777" w:rsidR="00115458" w:rsidRPr="001601AF" w:rsidRDefault="00115458" w:rsidP="001601AF">
            <w:pPr>
              <w:spacing w:after="0" w:line="240" w:lineRule="auto"/>
              <w:rPr>
                <w:rFonts w:cs="Arial"/>
                <w:b/>
                <w:bCs/>
              </w:rPr>
            </w:pPr>
            <w:r w:rsidRPr="001601AF">
              <w:rPr>
                <w:rFonts w:cs="Arial"/>
                <w:b/>
                <w:bCs/>
              </w:rPr>
              <w:t>Number</w:t>
            </w:r>
          </w:p>
        </w:tc>
        <w:tc>
          <w:tcPr>
            <w:tcW w:w="1348" w:type="pct"/>
            <w:shd w:val="clear" w:color="auto" w:fill="BFBFBF"/>
            <w:vAlign w:val="center"/>
          </w:tcPr>
          <w:p w14:paraId="66851A2C" w14:textId="77777777" w:rsidR="00115458" w:rsidRPr="001601AF" w:rsidRDefault="00115458" w:rsidP="001601AF">
            <w:pPr>
              <w:spacing w:after="0" w:line="240" w:lineRule="auto"/>
              <w:rPr>
                <w:rFonts w:cs="Arial"/>
                <w:b/>
                <w:bCs/>
              </w:rPr>
            </w:pPr>
            <w:r w:rsidRPr="001601AF">
              <w:rPr>
                <w:rFonts w:cs="Arial"/>
                <w:b/>
                <w:bCs/>
              </w:rPr>
              <w:t>Field Name</w:t>
            </w:r>
          </w:p>
        </w:tc>
        <w:tc>
          <w:tcPr>
            <w:tcW w:w="3000" w:type="pct"/>
            <w:shd w:val="clear" w:color="auto" w:fill="BFBFBF"/>
            <w:vAlign w:val="center"/>
          </w:tcPr>
          <w:p w14:paraId="1B4A0039" w14:textId="77777777" w:rsidR="00115458" w:rsidRPr="001601AF" w:rsidRDefault="00115458" w:rsidP="001601AF">
            <w:pPr>
              <w:spacing w:after="0" w:line="240" w:lineRule="auto"/>
              <w:rPr>
                <w:rFonts w:cs="Arial"/>
                <w:b/>
                <w:bCs/>
              </w:rPr>
            </w:pPr>
            <w:r w:rsidRPr="001601AF">
              <w:rPr>
                <w:rFonts w:cs="Arial"/>
                <w:b/>
                <w:bCs/>
              </w:rPr>
              <w:t>Requirements</w:t>
            </w:r>
          </w:p>
        </w:tc>
      </w:tr>
      <w:tr w:rsidR="00115458" w:rsidRPr="001601AF" w14:paraId="019B1D0A" w14:textId="77777777" w:rsidTr="00427C84">
        <w:tc>
          <w:tcPr>
            <w:tcW w:w="652" w:type="pct"/>
            <w:vAlign w:val="center"/>
          </w:tcPr>
          <w:p w14:paraId="2BB6F91B" w14:textId="36A10BD7" w:rsidR="00115458" w:rsidRPr="001601AF" w:rsidRDefault="00115458" w:rsidP="001601AF">
            <w:pPr>
              <w:spacing w:after="0" w:line="240" w:lineRule="auto"/>
              <w:rPr>
                <w:rFonts w:cs="Arial"/>
              </w:rPr>
            </w:pPr>
            <w:r w:rsidRPr="001601AF" w:rsidDel="001A3DE8">
              <w:rPr>
                <w:rFonts w:cs="Arial"/>
              </w:rPr>
              <w:t>9.</w:t>
            </w:r>
            <w:r w:rsidR="001A3DE8">
              <w:rPr>
                <w:rFonts w:cs="Arial"/>
              </w:rPr>
              <w:t>147</w:t>
            </w:r>
          </w:p>
        </w:tc>
        <w:tc>
          <w:tcPr>
            <w:tcW w:w="1348" w:type="pct"/>
          </w:tcPr>
          <w:p w14:paraId="257F4393" w14:textId="77777777" w:rsidR="00115458" w:rsidRPr="001601AF" w:rsidRDefault="00115458" w:rsidP="001601AF">
            <w:pPr>
              <w:spacing w:after="0" w:line="240" w:lineRule="auto"/>
              <w:rPr>
                <w:rFonts w:cs="Arial"/>
              </w:rPr>
            </w:pPr>
            <w:r w:rsidRPr="001601AF">
              <w:rPr>
                <w:rFonts w:cs="Arial"/>
              </w:rPr>
              <w:t>Record identifier</w:t>
            </w:r>
          </w:p>
        </w:tc>
        <w:tc>
          <w:tcPr>
            <w:tcW w:w="3000" w:type="pct"/>
          </w:tcPr>
          <w:p w14:paraId="1E501750" w14:textId="77777777" w:rsidR="00115458" w:rsidRPr="001601AF" w:rsidRDefault="00115458" w:rsidP="001601AF">
            <w:pPr>
              <w:spacing w:after="0" w:line="240" w:lineRule="auto"/>
              <w:rPr>
                <w:rFonts w:cs="Arial"/>
                <w:b/>
              </w:rPr>
            </w:pPr>
            <w:r w:rsidRPr="001601AF">
              <w:rPr>
                <w:rFonts w:cs="Arial"/>
              </w:rPr>
              <w:t xml:space="preserve">Must equal </w:t>
            </w:r>
            <w:r w:rsidRPr="001601AF">
              <w:rPr>
                <w:rFonts w:cs="Arial"/>
                <w:b/>
              </w:rPr>
              <w:t>DFMDACCT</w:t>
            </w:r>
          </w:p>
        </w:tc>
      </w:tr>
      <w:tr w:rsidR="00115458" w:rsidRPr="001601AF" w14:paraId="053AED40" w14:textId="77777777" w:rsidTr="00427C84">
        <w:tc>
          <w:tcPr>
            <w:tcW w:w="652" w:type="pct"/>
            <w:vAlign w:val="center"/>
          </w:tcPr>
          <w:p w14:paraId="36B5B09C" w14:textId="05DD7748" w:rsidR="00115458" w:rsidRPr="001601AF" w:rsidRDefault="00115458" w:rsidP="001601AF">
            <w:pPr>
              <w:spacing w:after="0" w:line="240" w:lineRule="auto"/>
              <w:rPr>
                <w:rFonts w:cs="Arial"/>
              </w:rPr>
            </w:pPr>
            <w:r w:rsidRPr="001601AF" w:rsidDel="001544FB">
              <w:rPr>
                <w:rFonts w:cs="Arial"/>
              </w:rPr>
              <w:t>9.</w:t>
            </w:r>
            <w:r w:rsidR="009453D2">
              <w:rPr>
                <w:rFonts w:cs="Arial"/>
              </w:rPr>
              <w:t>148</w:t>
            </w:r>
          </w:p>
        </w:tc>
        <w:tc>
          <w:tcPr>
            <w:tcW w:w="1348" w:type="pct"/>
          </w:tcPr>
          <w:p w14:paraId="734513B2" w14:textId="77777777" w:rsidR="00115458" w:rsidRPr="001601AF" w:rsidRDefault="00115458" w:rsidP="001601AF">
            <w:pPr>
              <w:spacing w:after="0" w:line="240" w:lineRule="auto"/>
              <w:rPr>
                <w:rFonts w:cs="Arial"/>
              </w:rPr>
            </w:pPr>
            <w:r w:rsidRPr="001601AF">
              <w:rPr>
                <w:rFonts w:cs="Arial"/>
              </w:rPr>
              <w:t>Sequence number of DFMDACCT record</w:t>
            </w:r>
          </w:p>
        </w:tc>
        <w:tc>
          <w:tcPr>
            <w:tcW w:w="3000" w:type="pct"/>
          </w:tcPr>
          <w:p w14:paraId="3C117825" w14:textId="77777777" w:rsidR="00115458" w:rsidRPr="001601AF" w:rsidRDefault="00115458" w:rsidP="001601AF">
            <w:pPr>
              <w:spacing w:after="0" w:line="240" w:lineRule="auto"/>
              <w:rPr>
                <w:rFonts w:cs="Arial"/>
                <w:i/>
              </w:rPr>
            </w:pPr>
            <w:r w:rsidRPr="001601AF">
              <w:rPr>
                <w:rFonts w:cs="Arial"/>
              </w:rPr>
              <w:t xml:space="preserve">The sequence number of the </w:t>
            </w:r>
            <w:r w:rsidRPr="001601AF">
              <w:rPr>
                <w:rFonts w:cs="Arial"/>
                <w:i/>
              </w:rPr>
              <w:t>FMD account data record in the AIIR file.</w:t>
            </w:r>
          </w:p>
        </w:tc>
      </w:tr>
      <w:tr w:rsidR="00115458" w:rsidRPr="001601AF" w14:paraId="2F6FA339" w14:textId="77777777" w:rsidTr="00427C84">
        <w:tc>
          <w:tcPr>
            <w:tcW w:w="652" w:type="pct"/>
            <w:vAlign w:val="center"/>
          </w:tcPr>
          <w:p w14:paraId="40AC6081" w14:textId="295C9D55" w:rsidR="00115458" w:rsidRPr="001601AF" w:rsidRDefault="00115458" w:rsidP="001601AF">
            <w:pPr>
              <w:spacing w:after="0" w:line="240" w:lineRule="auto"/>
              <w:rPr>
                <w:rFonts w:cs="Arial"/>
              </w:rPr>
            </w:pPr>
            <w:r w:rsidRPr="001601AF" w:rsidDel="009453D2">
              <w:rPr>
                <w:rFonts w:cs="Arial"/>
              </w:rPr>
              <w:t>9.</w:t>
            </w:r>
            <w:r w:rsidR="00DE4F64">
              <w:rPr>
                <w:rFonts w:cs="Arial"/>
              </w:rPr>
              <w:t>14</w:t>
            </w:r>
            <w:r w:rsidR="002A10B0">
              <w:rPr>
                <w:rFonts w:cs="Arial"/>
              </w:rPr>
              <w:t>9</w:t>
            </w:r>
          </w:p>
        </w:tc>
        <w:tc>
          <w:tcPr>
            <w:tcW w:w="1348" w:type="pct"/>
          </w:tcPr>
          <w:p w14:paraId="2FFF0DCE" w14:textId="77777777" w:rsidR="00115458" w:rsidRPr="001601AF" w:rsidRDefault="00115458" w:rsidP="001601AF">
            <w:pPr>
              <w:spacing w:after="0" w:line="240" w:lineRule="auto"/>
              <w:rPr>
                <w:rFonts w:cs="Arial"/>
              </w:rPr>
            </w:pPr>
            <w:r w:rsidRPr="001601AF">
              <w:rPr>
                <w:rFonts w:cs="Arial"/>
              </w:rPr>
              <w:t>Sequence number of multiple DFMDACCT records</w:t>
            </w:r>
          </w:p>
        </w:tc>
        <w:tc>
          <w:tcPr>
            <w:tcW w:w="3000" w:type="pct"/>
          </w:tcPr>
          <w:p w14:paraId="66C1629D" w14:textId="77777777" w:rsidR="00115458" w:rsidRPr="001601AF" w:rsidRDefault="00115458" w:rsidP="001601AF">
            <w:pPr>
              <w:spacing w:after="0" w:line="240" w:lineRule="auto"/>
              <w:rPr>
                <w:rFonts w:cs="Arial"/>
              </w:rPr>
            </w:pPr>
            <w:r w:rsidRPr="001601AF">
              <w:rPr>
                <w:rFonts w:cs="Arial"/>
              </w:rPr>
              <w:t xml:space="preserve">If only one </w:t>
            </w:r>
            <w:r w:rsidRPr="001601AF">
              <w:rPr>
                <w:rFonts w:cs="Arial"/>
                <w:i/>
              </w:rPr>
              <w:t>FMD account data record</w:t>
            </w:r>
            <w:r w:rsidRPr="001601AF">
              <w:rPr>
                <w:rFonts w:cs="Arial"/>
              </w:rPr>
              <w:t xml:space="preserve"> is lodged for an account this field must equal </w:t>
            </w:r>
            <w:r w:rsidRPr="001601AF">
              <w:rPr>
                <w:rFonts w:cs="Arial"/>
                <w:b/>
              </w:rPr>
              <w:t>01.</w:t>
            </w:r>
          </w:p>
          <w:p w14:paraId="23F10584" w14:textId="77777777" w:rsidR="00115458" w:rsidRPr="001601AF" w:rsidRDefault="00115458" w:rsidP="001601AF">
            <w:pPr>
              <w:spacing w:after="0" w:line="240" w:lineRule="auto"/>
              <w:rPr>
                <w:rFonts w:cs="Arial"/>
              </w:rPr>
            </w:pPr>
          </w:p>
          <w:p w14:paraId="706D62AE" w14:textId="77777777" w:rsidR="00115458" w:rsidRPr="001601AF" w:rsidRDefault="00115458" w:rsidP="001601AF">
            <w:pPr>
              <w:spacing w:after="0" w:line="240" w:lineRule="auto"/>
              <w:rPr>
                <w:rFonts w:cs="Arial"/>
              </w:rPr>
            </w:pPr>
            <w:r w:rsidRPr="001601AF">
              <w:rPr>
                <w:rFonts w:cs="Arial"/>
              </w:rPr>
              <w:t xml:space="preserve">This field will be greater than </w:t>
            </w:r>
            <w:r w:rsidRPr="001601AF">
              <w:rPr>
                <w:rFonts w:cs="Arial"/>
                <w:b/>
              </w:rPr>
              <w:t xml:space="preserve">01 </w:t>
            </w:r>
            <w:r w:rsidRPr="001601AF">
              <w:rPr>
                <w:rFonts w:cs="Arial"/>
              </w:rPr>
              <w:t xml:space="preserve">where more than one </w:t>
            </w:r>
            <w:r w:rsidRPr="001601AF">
              <w:rPr>
                <w:rFonts w:cs="Arial"/>
                <w:i/>
              </w:rPr>
              <w:t xml:space="preserve">FMD account data record </w:t>
            </w:r>
            <w:r w:rsidRPr="001601AF">
              <w:rPr>
                <w:rFonts w:cs="Arial"/>
              </w:rPr>
              <w:t>is lodged for the same Investment reference number.</w:t>
            </w:r>
          </w:p>
        </w:tc>
      </w:tr>
      <w:tr w:rsidR="00115458" w:rsidRPr="001601AF" w14:paraId="19606E42" w14:textId="77777777" w:rsidTr="00427C84">
        <w:tc>
          <w:tcPr>
            <w:tcW w:w="652" w:type="pct"/>
            <w:vAlign w:val="center"/>
          </w:tcPr>
          <w:p w14:paraId="68D59ED7" w14:textId="77777777" w:rsidR="00115458" w:rsidRPr="001601AF" w:rsidRDefault="00115458" w:rsidP="001601AF">
            <w:pPr>
              <w:spacing w:after="0" w:line="240" w:lineRule="auto"/>
              <w:rPr>
                <w:rFonts w:cs="Arial"/>
              </w:rPr>
            </w:pPr>
            <w:r w:rsidRPr="001601AF">
              <w:rPr>
                <w:rFonts w:cs="Arial"/>
              </w:rPr>
              <w:t>9.63</w:t>
            </w:r>
          </w:p>
        </w:tc>
        <w:tc>
          <w:tcPr>
            <w:tcW w:w="1348" w:type="pct"/>
          </w:tcPr>
          <w:p w14:paraId="663B95D7" w14:textId="77777777" w:rsidR="00115458" w:rsidRPr="001601AF" w:rsidRDefault="00115458" w:rsidP="001601AF">
            <w:pPr>
              <w:spacing w:after="0" w:line="240" w:lineRule="auto"/>
              <w:rPr>
                <w:rFonts w:cs="Arial"/>
              </w:rPr>
            </w:pPr>
            <w:r w:rsidRPr="001601AF">
              <w:rPr>
                <w:rFonts w:cs="Arial"/>
              </w:rPr>
              <w:t xml:space="preserve">Investment reference number </w:t>
            </w:r>
          </w:p>
        </w:tc>
        <w:tc>
          <w:tcPr>
            <w:tcW w:w="3000" w:type="pct"/>
          </w:tcPr>
          <w:p w14:paraId="16F03CFD" w14:textId="77777777" w:rsidR="00115458" w:rsidRPr="001601AF" w:rsidRDefault="00115458" w:rsidP="001601AF">
            <w:pPr>
              <w:spacing w:after="0" w:line="240" w:lineRule="auto"/>
              <w:rPr>
                <w:rFonts w:cs="Arial"/>
              </w:rPr>
            </w:pPr>
            <w:r w:rsidRPr="001601AF">
              <w:rPr>
                <w:rFonts w:cs="Arial"/>
              </w:rPr>
              <w:t>The account number or other number that appears on the FMD owner’s account statement.</w:t>
            </w:r>
          </w:p>
        </w:tc>
      </w:tr>
      <w:tr w:rsidR="00115458" w:rsidRPr="001601AF" w14:paraId="7727DC81" w14:textId="77777777" w:rsidTr="00427C84">
        <w:tc>
          <w:tcPr>
            <w:tcW w:w="652" w:type="pct"/>
            <w:vAlign w:val="center"/>
          </w:tcPr>
          <w:p w14:paraId="2372A43C" w14:textId="77777777" w:rsidR="00115458" w:rsidRPr="001601AF" w:rsidRDefault="00115458" w:rsidP="001601AF">
            <w:pPr>
              <w:spacing w:after="0" w:line="240" w:lineRule="auto"/>
              <w:rPr>
                <w:rFonts w:cs="Arial"/>
              </w:rPr>
            </w:pPr>
            <w:r w:rsidRPr="001601AF">
              <w:rPr>
                <w:rFonts w:cs="Arial"/>
              </w:rPr>
              <w:t>9.67</w:t>
            </w:r>
          </w:p>
        </w:tc>
        <w:tc>
          <w:tcPr>
            <w:tcW w:w="1348" w:type="pct"/>
          </w:tcPr>
          <w:p w14:paraId="00134580" w14:textId="77777777" w:rsidR="00115458" w:rsidRPr="001601AF" w:rsidRDefault="00115458" w:rsidP="001601AF">
            <w:pPr>
              <w:spacing w:after="0" w:line="240" w:lineRule="auto"/>
              <w:rPr>
                <w:rFonts w:cs="Arial"/>
              </w:rPr>
            </w:pPr>
            <w:r w:rsidRPr="001601AF">
              <w:rPr>
                <w:rFonts w:cs="Arial"/>
              </w:rPr>
              <w:t>Account name</w:t>
            </w:r>
          </w:p>
        </w:tc>
        <w:tc>
          <w:tcPr>
            <w:tcW w:w="3000" w:type="pct"/>
          </w:tcPr>
          <w:p w14:paraId="7E5DFFB6" w14:textId="77777777" w:rsidR="00115458" w:rsidRPr="001601AF" w:rsidRDefault="00115458" w:rsidP="001601AF">
            <w:pPr>
              <w:spacing w:after="0" w:line="240" w:lineRule="auto"/>
              <w:rPr>
                <w:rFonts w:cs="Arial"/>
              </w:rPr>
            </w:pPr>
            <w:r w:rsidRPr="001601AF">
              <w:rPr>
                <w:rFonts w:cs="Arial"/>
              </w:rPr>
              <w:t>The full name of the FMD</w:t>
            </w:r>
          </w:p>
        </w:tc>
      </w:tr>
      <w:tr w:rsidR="00115458" w:rsidRPr="001601AF" w14:paraId="59B9FBBE" w14:textId="77777777" w:rsidTr="00427C84">
        <w:tc>
          <w:tcPr>
            <w:tcW w:w="652" w:type="pct"/>
            <w:vAlign w:val="center"/>
          </w:tcPr>
          <w:p w14:paraId="4F43445D" w14:textId="1ED87373" w:rsidR="00115458" w:rsidRPr="001601AF" w:rsidRDefault="00115458" w:rsidP="001601AF">
            <w:pPr>
              <w:spacing w:after="0" w:line="240" w:lineRule="auto"/>
              <w:rPr>
                <w:rFonts w:cs="Arial"/>
              </w:rPr>
            </w:pPr>
            <w:r w:rsidRPr="001601AF" w:rsidDel="008A3D78">
              <w:rPr>
                <w:rFonts w:cs="Arial"/>
              </w:rPr>
              <w:t>9.</w:t>
            </w:r>
            <w:r w:rsidR="008A3D78">
              <w:rPr>
                <w:rFonts w:cs="Arial"/>
              </w:rPr>
              <w:t>150</w:t>
            </w:r>
          </w:p>
        </w:tc>
        <w:tc>
          <w:tcPr>
            <w:tcW w:w="1348" w:type="pct"/>
          </w:tcPr>
          <w:p w14:paraId="62A2753B" w14:textId="77777777" w:rsidR="00115458" w:rsidRPr="001601AF" w:rsidRDefault="00115458" w:rsidP="001601AF">
            <w:pPr>
              <w:spacing w:after="0" w:line="240" w:lineRule="auto"/>
              <w:rPr>
                <w:rFonts w:cs="Arial"/>
              </w:rPr>
            </w:pPr>
            <w:r w:rsidRPr="001601AF">
              <w:rPr>
                <w:rFonts w:cs="Arial"/>
              </w:rPr>
              <w:t>*Personal identification number</w:t>
            </w:r>
            <w:r w:rsidRPr="001601AF">
              <w:rPr>
                <w:rFonts w:cs="Arial"/>
                <w:bCs/>
                <w:iCs/>
              </w:rPr>
              <w:t xml:space="preserve"> (PIN)</w:t>
            </w:r>
          </w:p>
        </w:tc>
        <w:tc>
          <w:tcPr>
            <w:tcW w:w="3000" w:type="pct"/>
          </w:tcPr>
          <w:p w14:paraId="0D784349" w14:textId="77777777" w:rsidR="00115458" w:rsidRPr="001601AF" w:rsidRDefault="00115458" w:rsidP="001601AF">
            <w:pPr>
              <w:spacing w:after="0" w:line="240" w:lineRule="auto"/>
              <w:rPr>
                <w:rFonts w:cs="Arial"/>
              </w:rPr>
            </w:pPr>
            <w:r w:rsidRPr="001601AF">
              <w:rPr>
                <w:rFonts w:cs="Arial"/>
              </w:rPr>
              <w:t>This number uniquely identifies the FMD owner in reports to DAFF, as those reports cannot disclose the identity of the FMD owner. This number remains the same while the FMD owner holds any deposits with the FMD provider. This number cannot be re-used for another FMD owner once an account is closed. The field length and format of this number may vary between FMD providers.</w:t>
            </w:r>
          </w:p>
        </w:tc>
      </w:tr>
      <w:tr w:rsidR="00115458" w:rsidRPr="001601AF" w14:paraId="2F2D3425" w14:textId="77777777" w:rsidTr="00427C84">
        <w:tc>
          <w:tcPr>
            <w:tcW w:w="652" w:type="pct"/>
            <w:vAlign w:val="center"/>
          </w:tcPr>
          <w:p w14:paraId="4EFB9904" w14:textId="5DA8B390" w:rsidR="00115458" w:rsidRPr="001601AF" w:rsidRDefault="00115458" w:rsidP="001601AF">
            <w:pPr>
              <w:spacing w:after="0" w:line="240" w:lineRule="auto"/>
              <w:rPr>
                <w:rFonts w:cs="Arial"/>
              </w:rPr>
            </w:pPr>
            <w:r w:rsidRPr="001601AF" w:rsidDel="00E06C44">
              <w:rPr>
                <w:rFonts w:cs="Arial"/>
              </w:rPr>
              <w:t>9.</w:t>
            </w:r>
            <w:r w:rsidR="00E06C44">
              <w:rPr>
                <w:rFonts w:cs="Arial"/>
              </w:rPr>
              <w:t>151</w:t>
            </w:r>
          </w:p>
        </w:tc>
        <w:tc>
          <w:tcPr>
            <w:tcW w:w="1348" w:type="pct"/>
          </w:tcPr>
          <w:p w14:paraId="252A04FF" w14:textId="77777777" w:rsidR="00115458" w:rsidRPr="001601AF" w:rsidRDefault="00115458" w:rsidP="001601AF">
            <w:pPr>
              <w:spacing w:after="0" w:line="240" w:lineRule="auto"/>
              <w:rPr>
                <w:rFonts w:cs="Arial"/>
              </w:rPr>
            </w:pPr>
            <w:r w:rsidRPr="001601AF">
              <w:rPr>
                <w:rFonts w:cs="Arial"/>
              </w:rPr>
              <w:t>*ANZSIC code</w:t>
            </w:r>
            <w:r w:rsidRPr="001601AF">
              <w:rPr>
                <w:rFonts w:cs="Arial"/>
                <w:bCs/>
                <w:iCs/>
              </w:rPr>
              <w:t xml:space="preserve"> </w:t>
            </w:r>
          </w:p>
          <w:p w14:paraId="580E7C9B" w14:textId="77777777" w:rsidR="00115458" w:rsidRPr="001601AF" w:rsidRDefault="00115458" w:rsidP="001601AF">
            <w:pPr>
              <w:spacing w:after="0" w:line="240" w:lineRule="auto"/>
              <w:rPr>
                <w:rFonts w:cs="Arial"/>
              </w:rPr>
            </w:pPr>
          </w:p>
        </w:tc>
        <w:tc>
          <w:tcPr>
            <w:tcW w:w="3000" w:type="pct"/>
          </w:tcPr>
          <w:p w14:paraId="3ECF3B92" w14:textId="77777777" w:rsidR="00115458" w:rsidRPr="001601AF" w:rsidRDefault="00115458" w:rsidP="001601AF">
            <w:pPr>
              <w:spacing w:after="0" w:line="240" w:lineRule="auto"/>
              <w:rPr>
                <w:rFonts w:cs="Arial"/>
              </w:rPr>
            </w:pPr>
            <w:r w:rsidRPr="001601AF">
              <w:rPr>
                <w:rFonts w:cs="Arial"/>
              </w:rPr>
              <w:t xml:space="preserve">The industry code for the FMD owner by reference to the Australian and New Zealand Standard Industrial Classification. </w:t>
            </w:r>
          </w:p>
        </w:tc>
      </w:tr>
      <w:tr w:rsidR="00115458" w:rsidRPr="001601AF" w14:paraId="20C607AF" w14:textId="77777777" w:rsidTr="00427C84">
        <w:tc>
          <w:tcPr>
            <w:tcW w:w="652" w:type="pct"/>
            <w:vAlign w:val="center"/>
          </w:tcPr>
          <w:p w14:paraId="74363CB1" w14:textId="64917361" w:rsidR="00115458" w:rsidRPr="001601AF" w:rsidRDefault="00115458" w:rsidP="001601AF">
            <w:pPr>
              <w:spacing w:after="0" w:line="240" w:lineRule="auto"/>
              <w:rPr>
                <w:rFonts w:cs="Arial"/>
              </w:rPr>
            </w:pPr>
            <w:r w:rsidRPr="001601AF" w:rsidDel="00803F71">
              <w:rPr>
                <w:rFonts w:cs="Arial"/>
              </w:rPr>
              <w:t>9.</w:t>
            </w:r>
            <w:r w:rsidR="00803F71">
              <w:rPr>
                <w:rFonts w:cs="Arial"/>
              </w:rPr>
              <w:t>164</w:t>
            </w:r>
          </w:p>
        </w:tc>
        <w:tc>
          <w:tcPr>
            <w:tcW w:w="1348" w:type="pct"/>
          </w:tcPr>
          <w:p w14:paraId="5FC3368E" w14:textId="77777777" w:rsidR="00115458" w:rsidRPr="001601AF" w:rsidRDefault="00115458" w:rsidP="001601AF">
            <w:pPr>
              <w:spacing w:after="0" w:line="240" w:lineRule="auto"/>
              <w:rPr>
                <w:rFonts w:cs="Arial"/>
              </w:rPr>
            </w:pPr>
            <w:r w:rsidRPr="001601AF">
              <w:rPr>
                <w:rFonts w:cs="Arial"/>
              </w:rPr>
              <w:t xml:space="preserve">*Amount of closing balance </w:t>
            </w:r>
          </w:p>
        </w:tc>
        <w:tc>
          <w:tcPr>
            <w:tcW w:w="3000" w:type="pct"/>
          </w:tcPr>
          <w:p w14:paraId="5F10C0EC" w14:textId="77777777" w:rsidR="00115458" w:rsidRPr="001601AF" w:rsidRDefault="00115458" w:rsidP="001601AF">
            <w:pPr>
              <w:spacing w:after="0" w:line="240" w:lineRule="auto"/>
              <w:rPr>
                <w:rFonts w:cs="Arial"/>
              </w:rPr>
            </w:pPr>
            <w:r w:rsidRPr="001601AF">
              <w:rPr>
                <w:rFonts w:cs="Arial"/>
              </w:rPr>
              <w:t xml:space="preserve">This amount is the closing balance as at midnight on 30 June each financial year. If multiple </w:t>
            </w:r>
            <w:r w:rsidRPr="001601AF">
              <w:rPr>
                <w:rFonts w:cs="Arial"/>
                <w:i/>
              </w:rPr>
              <w:t>FMD account data records</w:t>
            </w:r>
            <w:r w:rsidRPr="001601AF">
              <w:rPr>
                <w:rFonts w:cs="Arial"/>
              </w:rPr>
              <w:t xml:space="preserve"> are lodged for the same account this amount will be the same in each data record. It is not a running balance. </w:t>
            </w:r>
          </w:p>
        </w:tc>
      </w:tr>
      <w:tr w:rsidR="00115458" w:rsidRPr="001601AF" w14:paraId="1D84731F" w14:textId="77777777" w:rsidTr="00427C84">
        <w:tc>
          <w:tcPr>
            <w:tcW w:w="652" w:type="pct"/>
            <w:vAlign w:val="center"/>
          </w:tcPr>
          <w:p w14:paraId="68219844" w14:textId="7585BFCA" w:rsidR="00115458" w:rsidRPr="001601AF" w:rsidRDefault="00115458" w:rsidP="001601AF">
            <w:pPr>
              <w:spacing w:after="0" w:line="240" w:lineRule="auto"/>
              <w:rPr>
                <w:rFonts w:cs="Arial"/>
              </w:rPr>
            </w:pPr>
            <w:r w:rsidRPr="001601AF" w:rsidDel="00F06F58">
              <w:rPr>
                <w:rFonts w:cs="Arial"/>
              </w:rPr>
              <w:t>9.</w:t>
            </w:r>
            <w:r w:rsidR="00F06F58">
              <w:rPr>
                <w:rFonts w:cs="Arial"/>
              </w:rPr>
              <w:t>165</w:t>
            </w:r>
          </w:p>
        </w:tc>
        <w:tc>
          <w:tcPr>
            <w:tcW w:w="1348" w:type="pct"/>
          </w:tcPr>
          <w:p w14:paraId="6BDB64C8" w14:textId="77777777" w:rsidR="00115458" w:rsidRPr="001601AF" w:rsidRDefault="00115458" w:rsidP="001601AF">
            <w:pPr>
              <w:spacing w:after="0" w:line="240" w:lineRule="auto"/>
              <w:rPr>
                <w:rFonts w:cs="Arial"/>
              </w:rPr>
            </w:pPr>
            <w:r w:rsidRPr="001601AF">
              <w:rPr>
                <w:rFonts w:cs="Arial"/>
              </w:rPr>
              <w:t>Interest offset account</w:t>
            </w:r>
          </w:p>
        </w:tc>
        <w:tc>
          <w:tcPr>
            <w:tcW w:w="3000" w:type="pct"/>
          </w:tcPr>
          <w:p w14:paraId="5AB64511" w14:textId="77777777" w:rsidR="00115458" w:rsidRPr="001601AF" w:rsidRDefault="00115458" w:rsidP="001601AF">
            <w:pPr>
              <w:spacing w:after="0" w:line="240" w:lineRule="auto"/>
              <w:rPr>
                <w:rFonts w:cs="Arial"/>
              </w:rPr>
            </w:pPr>
            <w:r w:rsidRPr="001601AF">
              <w:rPr>
                <w:rFonts w:cs="Arial"/>
              </w:rPr>
              <w:t>This indicates if, at any time during the year, the FMD account was used in an interest or loan offset arrangement against a primary production loan or debt.</w:t>
            </w:r>
          </w:p>
        </w:tc>
      </w:tr>
    </w:tbl>
    <w:p w14:paraId="7D412CD9" w14:textId="77777777" w:rsidR="00115458" w:rsidRPr="001601AF" w:rsidRDefault="00115458" w:rsidP="001601AF">
      <w:pPr>
        <w:spacing w:after="0" w:line="240" w:lineRule="auto"/>
        <w:rPr>
          <w:rFonts w:eastAsia="Calibri" w:cs="Arial"/>
        </w:rPr>
      </w:pPr>
      <w:r w:rsidRPr="001601AF">
        <w:rPr>
          <w:rFonts w:eastAsia="Calibri" w:cs="Arial"/>
        </w:rPr>
        <w:t>*These items are also supplied in your monthly report to DAFF which with the ATO, jointly administer the FMD scheme and exchange information other than the identity of the FMD owner.</w:t>
      </w:r>
    </w:p>
    <w:p w14:paraId="486270B3" w14:textId="77777777" w:rsidR="00115458" w:rsidRPr="00B35C0A" w:rsidRDefault="00115458" w:rsidP="00115458">
      <w:pPr>
        <w:pStyle w:val="Heading3"/>
      </w:pPr>
      <w:bookmarkStart w:id="1942" w:name="_Toc232191372"/>
      <w:r w:rsidRPr="00B35C0A">
        <w:t>Interest payments</w:t>
      </w:r>
      <w:bookmarkEnd w:id="1942"/>
    </w:p>
    <w:p w14:paraId="038A6437" w14:textId="77777777" w:rsidR="00115458" w:rsidRPr="001601AF" w:rsidRDefault="00115458" w:rsidP="001601AF">
      <w:pPr>
        <w:spacing w:after="0" w:line="240" w:lineRule="auto"/>
        <w:rPr>
          <w:rFonts w:cs="Arial"/>
        </w:rPr>
      </w:pPr>
      <w:r w:rsidRPr="001601AF">
        <w:rPr>
          <w:rFonts w:cs="Arial"/>
        </w:rPr>
        <w:t xml:space="preserve">Interest paid or credited is reported in the </w:t>
      </w:r>
      <w:r w:rsidRPr="001601AF">
        <w:rPr>
          <w:rFonts w:cs="Arial"/>
          <w:i/>
        </w:rPr>
        <w:t>FMD account data record.</w:t>
      </w:r>
      <w:r w:rsidRPr="001601AF">
        <w:rPr>
          <w:rFonts w:cs="Arial"/>
        </w:rPr>
        <w:t xml:space="preserve"> Do not report any</w:t>
      </w:r>
      <w:r w:rsidRPr="001601AF">
        <w:rPr>
          <w:rFonts w:cs="Arial"/>
          <w:i/>
        </w:rPr>
        <w:t xml:space="preserve"> </w:t>
      </w:r>
      <w:r w:rsidRPr="001601AF">
        <w:rPr>
          <w:rFonts w:cs="Arial"/>
        </w:rPr>
        <w:t>interest again in a second</w:t>
      </w:r>
      <w:r w:rsidRPr="001601AF">
        <w:rPr>
          <w:rFonts w:cs="Arial"/>
          <w:b/>
        </w:rPr>
        <w:t xml:space="preserve"> </w:t>
      </w:r>
      <w:r w:rsidRPr="001601AF">
        <w:rPr>
          <w:rFonts w:cs="Arial"/>
          <w:i/>
        </w:rPr>
        <w:t xml:space="preserve">FMD account data record </w:t>
      </w:r>
      <w:r w:rsidRPr="001601AF">
        <w:rPr>
          <w:rFonts w:cs="Arial"/>
        </w:rPr>
        <w:t>for the same Investment reference number</w:t>
      </w:r>
      <w:r w:rsidRPr="001601AF">
        <w:rPr>
          <w:rFonts w:cs="Arial"/>
          <w:i/>
        </w:rPr>
        <w:t xml:space="preserve"> </w:t>
      </w:r>
      <w:r w:rsidRPr="001601AF">
        <w:rPr>
          <w:rFonts w:cs="Arial"/>
        </w:rPr>
        <w:t xml:space="preserve">as this may cause the record to be rejected or create pre-fill errors in your client’s tax return. </w:t>
      </w:r>
    </w:p>
    <w:p w14:paraId="4B595A4A" w14:textId="77777777" w:rsidR="00D06BCE" w:rsidRDefault="00D06BCE" w:rsidP="001601AF">
      <w:pPr>
        <w:spacing w:after="0" w:line="240" w:lineRule="auto"/>
        <w:rPr>
          <w:rFonts w:cs="Arial"/>
        </w:rPr>
      </w:pPr>
    </w:p>
    <w:p w14:paraId="1A9DE677" w14:textId="656E1646" w:rsidR="00115458" w:rsidRDefault="00115458" w:rsidP="001601AF">
      <w:pPr>
        <w:spacing w:after="0" w:line="240" w:lineRule="auto"/>
        <w:rPr>
          <w:rFonts w:cs="Arial"/>
        </w:rPr>
      </w:pPr>
      <w:r w:rsidRPr="001601AF">
        <w:rPr>
          <w:rFonts w:cs="Arial"/>
        </w:rPr>
        <w:t xml:space="preserve">The fields to be completed for interest payments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27"/>
        <w:gridCol w:w="2497"/>
        <w:gridCol w:w="5564"/>
      </w:tblGrid>
      <w:tr w:rsidR="00115458" w:rsidRPr="001601AF" w14:paraId="2D8EB723" w14:textId="77777777" w:rsidTr="000C1365">
        <w:trPr>
          <w:tblHeader/>
        </w:trPr>
        <w:tc>
          <w:tcPr>
            <w:tcW w:w="641" w:type="pct"/>
            <w:shd w:val="clear" w:color="auto" w:fill="BFBFBF"/>
            <w:vAlign w:val="center"/>
          </w:tcPr>
          <w:p w14:paraId="13FCC3FA" w14:textId="77777777" w:rsidR="00115458" w:rsidRPr="001601AF" w:rsidRDefault="00115458" w:rsidP="001601AF">
            <w:pPr>
              <w:spacing w:after="0" w:line="240" w:lineRule="auto"/>
              <w:rPr>
                <w:rFonts w:cs="Arial"/>
                <w:b/>
                <w:bCs/>
              </w:rPr>
            </w:pPr>
            <w:r w:rsidRPr="001601AF">
              <w:rPr>
                <w:rFonts w:cs="Arial"/>
                <w:b/>
                <w:bCs/>
              </w:rPr>
              <w:t>Reference</w:t>
            </w:r>
          </w:p>
          <w:p w14:paraId="62F6FD40" w14:textId="77777777" w:rsidR="00115458" w:rsidRPr="001601AF" w:rsidRDefault="00115458" w:rsidP="001601AF">
            <w:pPr>
              <w:spacing w:after="0" w:line="240" w:lineRule="auto"/>
              <w:rPr>
                <w:rFonts w:cs="Arial"/>
                <w:b/>
                <w:bCs/>
              </w:rPr>
            </w:pPr>
            <w:r w:rsidRPr="001601AF">
              <w:rPr>
                <w:rFonts w:cs="Arial"/>
                <w:b/>
                <w:bCs/>
              </w:rPr>
              <w:t>Number</w:t>
            </w:r>
          </w:p>
        </w:tc>
        <w:tc>
          <w:tcPr>
            <w:tcW w:w="1354" w:type="pct"/>
            <w:shd w:val="clear" w:color="auto" w:fill="BFBFBF"/>
            <w:vAlign w:val="center"/>
          </w:tcPr>
          <w:p w14:paraId="385E5944" w14:textId="77777777" w:rsidR="00115458" w:rsidRPr="001601AF" w:rsidRDefault="00115458" w:rsidP="001601AF">
            <w:pPr>
              <w:spacing w:after="0" w:line="240" w:lineRule="auto"/>
              <w:rPr>
                <w:rFonts w:cs="Arial"/>
                <w:b/>
                <w:bCs/>
              </w:rPr>
            </w:pPr>
            <w:r w:rsidRPr="001601AF">
              <w:rPr>
                <w:rFonts w:cs="Arial"/>
                <w:b/>
                <w:bCs/>
              </w:rPr>
              <w:t>Field Name</w:t>
            </w:r>
          </w:p>
        </w:tc>
        <w:tc>
          <w:tcPr>
            <w:tcW w:w="3005" w:type="pct"/>
            <w:shd w:val="clear" w:color="auto" w:fill="BFBFBF"/>
            <w:vAlign w:val="center"/>
          </w:tcPr>
          <w:p w14:paraId="16935774" w14:textId="77777777" w:rsidR="00115458" w:rsidRPr="001601AF" w:rsidRDefault="00115458" w:rsidP="001601AF">
            <w:pPr>
              <w:spacing w:after="0" w:line="240" w:lineRule="auto"/>
              <w:rPr>
                <w:rFonts w:cs="Arial"/>
                <w:b/>
                <w:bCs/>
              </w:rPr>
            </w:pPr>
            <w:r w:rsidRPr="001601AF">
              <w:rPr>
                <w:rFonts w:cs="Arial"/>
                <w:b/>
                <w:bCs/>
              </w:rPr>
              <w:t>Requirements</w:t>
            </w:r>
          </w:p>
        </w:tc>
      </w:tr>
      <w:tr w:rsidR="00115458" w:rsidRPr="001601AF" w14:paraId="2E4B42CB" w14:textId="77777777" w:rsidTr="00A919EB">
        <w:tc>
          <w:tcPr>
            <w:tcW w:w="641" w:type="pct"/>
            <w:vAlign w:val="center"/>
          </w:tcPr>
          <w:p w14:paraId="571483D1" w14:textId="77777777" w:rsidR="00115458" w:rsidRPr="001601AF" w:rsidRDefault="00115458" w:rsidP="001601AF">
            <w:pPr>
              <w:spacing w:after="0" w:line="240" w:lineRule="auto"/>
              <w:rPr>
                <w:rFonts w:cs="Arial"/>
              </w:rPr>
            </w:pPr>
            <w:r w:rsidRPr="001601AF">
              <w:rPr>
                <w:rFonts w:cs="Arial"/>
              </w:rPr>
              <w:t>9.70</w:t>
            </w:r>
          </w:p>
        </w:tc>
        <w:tc>
          <w:tcPr>
            <w:tcW w:w="1354" w:type="pct"/>
            <w:vAlign w:val="center"/>
          </w:tcPr>
          <w:p w14:paraId="4911DB6A" w14:textId="77777777" w:rsidR="00115458" w:rsidRPr="001601AF" w:rsidRDefault="00115458" w:rsidP="001601AF">
            <w:pPr>
              <w:spacing w:after="0" w:line="240" w:lineRule="auto"/>
              <w:rPr>
                <w:rFonts w:cs="Arial"/>
              </w:rPr>
            </w:pPr>
            <w:r w:rsidRPr="001601AF">
              <w:rPr>
                <w:rFonts w:cs="Arial"/>
              </w:rPr>
              <w:t>Date of payment</w:t>
            </w:r>
          </w:p>
        </w:tc>
        <w:tc>
          <w:tcPr>
            <w:tcW w:w="3005" w:type="pct"/>
          </w:tcPr>
          <w:p w14:paraId="4D1B6054" w14:textId="77777777" w:rsidR="00115458" w:rsidRPr="001601AF" w:rsidRDefault="00115458" w:rsidP="001601AF">
            <w:pPr>
              <w:spacing w:after="0" w:line="240" w:lineRule="auto"/>
              <w:rPr>
                <w:rFonts w:cs="Arial"/>
              </w:rPr>
            </w:pPr>
            <w:r w:rsidRPr="001601AF">
              <w:rPr>
                <w:rFonts w:cs="Arial"/>
              </w:rPr>
              <w:t>The date the interest amount was paid or credited. If more than one interest payment is made during the financial year, the date of payment should be set to 3006CCYY.</w:t>
            </w:r>
          </w:p>
        </w:tc>
      </w:tr>
      <w:tr w:rsidR="00115458" w:rsidRPr="001601AF" w14:paraId="4A4D4034" w14:textId="77777777" w:rsidTr="00427C84">
        <w:tc>
          <w:tcPr>
            <w:tcW w:w="641" w:type="pct"/>
            <w:vAlign w:val="center"/>
          </w:tcPr>
          <w:p w14:paraId="184E3C24" w14:textId="77777777" w:rsidR="00115458" w:rsidRPr="001601AF" w:rsidRDefault="00115458" w:rsidP="001601AF">
            <w:pPr>
              <w:spacing w:after="0" w:line="240" w:lineRule="auto"/>
              <w:rPr>
                <w:rFonts w:cs="Arial"/>
              </w:rPr>
            </w:pPr>
            <w:r w:rsidRPr="001601AF">
              <w:rPr>
                <w:rFonts w:cs="Arial"/>
              </w:rPr>
              <w:t>9.71</w:t>
            </w:r>
          </w:p>
        </w:tc>
        <w:tc>
          <w:tcPr>
            <w:tcW w:w="1354" w:type="pct"/>
          </w:tcPr>
          <w:p w14:paraId="0C65F51E" w14:textId="77777777" w:rsidR="00115458" w:rsidRPr="001601AF" w:rsidRDefault="00115458" w:rsidP="001601AF">
            <w:pPr>
              <w:spacing w:after="0" w:line="240" w:lineRule="auto"/>
              <w:rPr>
                <w:rFonts w:cs="Arial"/>
              </w:rPr>
            </w:pPr>
            <w:r w:rsidRPr="001601AF">
              <w:rPr>
                <w:rFonts w:cs="Arial"/>
              </w:rPr>
              <w:t>Type of investment</w:t>
            </w:r>
          </w:p>
        </w:tc>
        <w:tc>
          <w:tcPr>
            <w:tcW w:w="3005" w:type="pct"/>
          </w:tcPr>
          <w:p w14:paraId="3E7930AD" w14:textId="77777777" w:rsidR="00115458" w:rsidRPr="001601AF" w:rsidRDefault="00115458" w:rsidP="001601AF">
            <w:pPr>
              <w:spacing w:after="0" w:line="240" w:lineRule="auto"/>
              <w:rPr>
                <w:rFonts w:cs="Arial"/>
                <w:i/>
              </w:rPr>
            </w:pPr>
            <w:r w:rsidRPr="001601AF">
              <w:rPr>
                <w:rFonts w:cs="Arial"/>
              </w:rPr>
              <w:t xml:space="preserve">Must equal </w:t>
            </w:r>
            <w:r w:rsidRPr="001601AF">
              <w:rPr>
                <w:rFonts w:cs="Arial"/>
                <w:b/>
              </w:rPr>
              <w:t>2</w:t>
            </w:r>
          </w:p>
        </w:tc>
      </w:tr>
      <w:tr w:rsidR="00115458" w:rsidRPr="001601AF" w14:paraId="52299C3F" w14:textId="77777777" w:rsidTr="00427C84">
        <w:tc>
          <w:tcPr>
            <w:tcW w:w="641" w:type="pct"/>
            <w:vAlign w:val="center"/>
          </w:tcPr>
          <w:p w14:paraId="10A4DF30" w14:textId="77777777" w:rsidR="00115458" w:rsidRPr="001601AF" w:rsidRDefault="00115458" w:rsidP="001601AF">
            <w:pPr>
              <w:spacing w:after="0" w:line="240" w:lineRule="auto"/>
              <w:rPr>
                <w:rFonts w:cs="Arial"/>
              </w:rPr>
            </w:pPr>
            <w:r w:rsidRPr="001601AF">
              <w:rPr>
                <w:rFonts w:cs="Arial"/>
              </w:rPr>
              <w:t>9.72</w:t>
            </w:r>
          </w:p>
        </w:tc>
        <w:tc>
          <w:tcPr>
            <w:tcW w:w="1354" w:type="pct"/>
          </w:tcPr>
          <w:p w14:paraId="2012F52E" w14:textId="77777777" w:rsidR="00115458" w:rsidRPr="001601AF" w:rsidRDefault="00115458" w:rsidP="001601AF">
            <w:pPr>
              <w:spacing w:after="0" w:line="240" w:lineRule="auto"/>
              <w:rPr>
                <w:rFonts w:cs="Arial"/>
              </w:rPr>
            </w:pPr>
            <w:r w:rsidRPr="001601AF">
              <w:rPr>
                <w:rFonts w:cs="Arial"/>
              </w:rPr>
              <w:t>Type of payment</w:t>
            </w:r>
          </w:p>
        </w:tc>
        <w:tc>
          <w:tcPr>
            <w:tcW w:w="3005" w:type="pct"/>
          </w:tcPr>
          <w:p w14:paraId="125496CB" w14:textId="77777777" w:rsidR="00115458" w:rsidRPr="001601AF" w:rsidRDefault="00115458" w:rsidP="001601AF">
            <w:pPr>
              <w:spacing w:after="0" w:line="240" w:lineRule="auto"/>
              <w:rPr>
                <w:rFonts w:cs="Arial"/>
              </w:rPr>
            </w:pPr>
            <w:r w:rsidRPr="001601AF">
              <w:rPr>
                <w:rFonts w:cs="Arial"/>
              </w:rPr>
              <w:t xml:space="preserve">Must equal </w:t>
            </w:r>
            <w:r w:rsidRPr="001601AF">
              <w:rPr>
                <w:rFonts w:cs="Arial"/>
                <w:b/>
              </w:rPr>
              <w:t>FMD</w:t>
            </w:r>
          </w:p>
        </w:tc>
      </w:tr>
      <w:tr w:rsidR="00115458" w:rsidRPr="001601AF" w14:paraId="5C30F0CD" w14:textId="77777777" w:rsidTr="00427C84">
        <w:tc>
          <w:tcPr>
            <w:tcW w:w="641" w:type="pct"/>
            <w:vAlign w:val="center"/>
          </w:tcPr>
          <w:p w14:paraId="215C0710" w14:textId="77777777" w:rsidR="00115458" w:rsidRPr="001601AF" w:rsidRDefault="00115458" w:rsidP="001601AF">
            <w:pPr>
              <w:spacing w:after="0" w:line="240" w:lineRule="auto"/>
              <w:rPr>
                <w:rFonts w:cs="Arial"/>
              </w:rPr>
            </w:pPr>
            <w:r w:rsidRPr="001601AF">
              <w:rPr>
                <w:rFonts w:cs="Arial"/>
              </w:rPr>
              <w:t>9.79</w:t>
            </w:r>
          </w:p>
        </w:tc>
        <w:tc>
          <w:tcPr>
            <w:tcW w:w="1354" w:type="pct"/>
            <w:vAlign w:val="center"/>
          </w:tcPr>
          <w:p w14:paraId="6287B30C" w14:textId="77777777" w:rsidR="00115458" w:rsidRPr="001601AF" w:rsidRDefault="00115458" w:rsidP="001601AF">
            <w:pPr>
              <w:spacing w:after="0" w:line="240" w:lineRule="auto"/>
              <w:rPr>
                <w:rFonts w:cs="Arial"/>
              </w:rPr>
            </w:pPr>
            <w:r w:rsidRPr="001601AF">
              <w:rPr>
                <w:rFonts w:cs="Arial"/>
              </w:rPr>
              <w:t>Interest</w:t>
            </w:r>
          </w:p>
        </w:tc>
        <w:tc>
          <w:tcPr>
            <w:tcW w:w="3005" w:type="pct"/>
          </w:tcPr>
          <w:p w14:paraId="0AECC315" w14:textId="77777777" w:rsidR="00115458" w:rsidRPr="001601AF" w:rsidRDefault="00115458" w:rsidP="001601AF">
            <w:pPr>
              <w:spacing w:after="0" w:line="240" w:lineRule="auto"/>
              <w:rPr>
                <w:rFonts w:cs="Arial"/>
              </w:rPr>
            </w:pPr>
            <w:r w:rsidRPr="001601AF">
              <w:rPr>
                <w:rFonts w:cs="Arial"/>
                <w:bCs/>
                <w:iCs/>
              </w:rPr>
              <w:t>I</w:t>
            </w:r>
            <w:r w:rsidRPr="001601AF">
              <w:rPr>
                <w:rFonts w:cs="Arial"/>
              </w:rPr>
              <w:t>nterest amounts paid or credited. If more than one interest payment is made during a financial year, the amounts must be aggregated.</w:t>
            </w:r>
          </w:p>
          <w:p w14:paraId="3804A970" w14:textId="77777777" w:rsidR="00115458" w:rsidRPr="001601AF" w:rsidRDefault="00115458" w:rsidP="001601AF">
            <w:pPr>
              <w:spacing w:after="0" w:line="240" w:lineRule="auto"/>
              <w:rPr>
                <w:rFonts w:cs="Arial"/>
              </w:rPr>
            </w:pPr>
          </w:p>
          <w:p w14:paraId="25E4F8FE" w14:textId="77777777" w:rsidR="00115458" w:rsidRPr="001601AF" w:rsidRDefault="00115458" w:rsidP="001601AF">
            <w:pPr>
              <w:spacing w:after="0" w:line="240" w:lineRule="auto"/>
              <w:rPr>
                <w:rFonts w:cs="Arial"/>
                <w:b/>
                <w:bCs/>
              </w:rPr>
            </w:pPr>
            <w:r w:rsidRPr="001601AF">
              <w:rPr>
                <w:rFonts w:cs="Arial"/>
                <w:b/>
                <w:bCs/>
              </w:rPr>
              <w:t>Do not report interest amounts from an FMD interest or loan offset arrangement.</w:t>
            </w:r>
          </w:p>
        </w:tc>
      </w:tr>
      <w:tr w:rsidR="00115458" w:rsidRPr="001601AF" w14:paraId="2B2E5D23" w14:textId="77777777" w:rsidTr="00427C84">
        <w:tc>
          <w:tcPr>
            <w:tcW w:w="641" w:type="pct"/>
            <w:vAlign w:val="center"/>
          </w:tcPr>
          <w:p w14:paraId="5C92E214" w14:textId="77777777" w:rsidR="00115458" w:rsidRPr="001601AF" w:rsidRDefault="00115458" w:rsidP="001601AF">
            <w:pPr>
              <w:spacing w:after="0" w:line="240" w:lineRule="auto"/>
              <w:rPr>
                <w:rFonts w:cs="Arial"/>
              </w:rPr>
            </w:pPr>
            <w:r w:rsidRPr="001601AF">
              <w:rPr>
                <w:rFonts w:cs="Arial"/>
              </w:rPr>
              <w:t>9.74</w:t>
            </w:r>
          </w:p>
        </w:tc>
        <w:tc>
          <w:tcPr>
            <w:tcW w:w="1354" w:type="pct"/>
            <w:vAlign w:val="center"/>
          </w:tcPr>
          <w:p w14:paraId="09F811E7" w14:textId="77777777" w:rsidR="00115458" w:rsidRPr="001601AF" w:rsidRDefault="00115458" w:rsidP="001601AF">
            <w:pPr>
              <w:spacing w:after="0" w:line="240" w:lineRule="auto"/>
              <w:rPr>
                <w:rFonts w:cs="Arial"/>
              </w:rPr>
            </w:pPr>
            <w:r w:rsidRPr="001601AF">
              <w:rPr>
                <w:rFonts w:cs="Arial"/>
              </w:rPr>
              <w:t>TFN withholding tax deducted</w:t>
            </w:r>
          </w:p>
        </w:tc>
        <w:tc>
          <w:tcPr>
            <w:tcW w:w="3005" w:type="pct"/>
          </w:tcPr>
          <w:p w14:paraId="0CD38F55" w14:textId="77777777" w:rsidR="00115458" w:rsidRPr="001601AF" w:rsidRDefault="00115458" w:rsidP="001601AF">
            <w:pPr>
              <w:spacing w:after="0" w:line="240" w:lineRule="auto"/>
              <w:rPr>
                <w:rFonts w:cs="Arial"/>
              </w:rPr>
            </w:pPr>
            <w:r w:rsidRPr="001601AF">
              <w:rPr>
                <w:rFonts w:cs="Arial"/>
              </w:rPr>
              <w:t>This field is completed if the FMD owner does not quote a TFN or ABN. Interest paid or credited is subject to withholding tax at the top marginal rate plus the Medicare levy. If tax is withheld from more than one interest payment during a financial year, the amounts must be aggregated.</w:t>
            </w:r>
          </w:p>
        </w:tc>
      </w:tr>
      <w:tr w:rsidR="00115458" w:rsidRPr="001601AF" w14:paraId="4EA1764E" w14:textId="77777777" w:rsidTr="00427C84">
        <w:tc>
          <w:tcPr>
            <w:tcW w:w="641" w:type="pct"/>
            <w:vAlign w:val="center"/>
          </w:tcPr>
          <w:p w14:paraId="2CB7D677" w14:textId="77777777" w:rsidR="00115458" w:rsidRPr="001601AF" w:rsidRDefault="00115458" w:rsidP="001601AF">
            <w:pPr>
              <w:spacing w:after="0" w:line="240" w:lineRule="auto"/>
              <w:rPr>
                <w:rFonts w:cs="Arial"/>
              </w:rPr>
            </w:pPr>
            <w:r w:rsidRPr="001601AF">
              <w:rPr>
                <w:rFonts w:cs="Arial"/>
              </w:rPr>
              <w:t>9.75</w:t>
            </w:r>
          </w:p>
        </w:tc>
        <w:tc>
          <w:tcPr>
            <w:tcW w:w="1354" w:type="pct"/>
            <w:vAlign w:val="center"/>
          </w:tcPr>
          <w:p w14:paraId="23AB6966" w14:textId="77777777" w:rsidR="00115458" w:rsidRPr="001601AF" w:rsidRDefault="00115458" w:rsidP="001601AF">
            <w:pPr>
              <w:spacing w:after="0" w:line="240" w:lineRule="auto"/>
              <w:rPr>
                <w:rFonts w:cs="Arial"/>
              </w:rPr>
            </w:pPr>
            <w:r w:rsidRPr="001601AF">
              <w:rPr>
                <w:rFonts w:cs="Arial"/>
              </w:rPr>
              <w:t>TFN withholding tax refunded</w:t>
            </w:r>
          </w:p>
        </w:tc>
        <w:tc>
          <w:tcPr>
            <w:tcW w:w="3005" w:type="pct"/>
          </w:tcPr>
          <w:p w14:paraId="01F7438D" w14:textId="77777777" w:rsidR="00115458" w:rsidRPr="001601AF" w:rsidRDefault="00115458" w:rsidP="001601AF">
            <w:pPr>
              <w:spacing w:after="0" w:line="240" w:lineRule="auto"/>
              <w:rPr>
                <w:rFonts w:cs="Arial"/>
              </w:rPr>
            </w:pPr>
            <w:r w:rsidRPr="001601AF">
              <w:rPr>
                <w:rFonts w:cs="Arial"/>
              </w:rPr>
              <w:t>Report any TFN or ABN withholding amounts refunded from interest paid or credited that has been offset by TFN withholding tax remitted at this field. If more than one refund is made during a financial year, the amounts must be aggregated.</w:t>
            </w:r>
          </w:p>
          <w:p w14:paraId="05E7355E" w14:textId="77777777" w:rsidR="00115458" w:rsidRPr="001601AF" w:rsidRDefault="00115458" w:rsidP="001601AF">
            <w:pPr>
              <w:spacing w:after="0" w:line="240" w:lineRule="auto"/>
              <w:rPr>
                <w:rFonts w:cs="Arial"/>
              </w:rPr>
            </w:pPr>
          </w:p>
          <w:p w14:paraId="11F71306" w14:textId="77777777" w:rsidR="00115458" w:rsidRPr="001601AF" w:rsidRDefault="00115458" w:rsidP="001601AF">
            <w:pPr>
              <w:spacing w:after="0" w:line="240" w:lineRule="auto"/>
              <w:rPr>
                <w:rFonts w:cs="Arial"/>
              </w:rPr>
            </w:pPr>
            <w:r w:rsidRPr="001601AF">
              <w:rPr>
                <w:rFonts w:cs="Arial"/>
              </w:rPr>
              <w:t>This field is completed if the TFN withholding tax refunded is stored separately otherwise the net amount of TFN withholding tax deducted is reported at field 9.74.</w:t>
            </w:r>
          </w:p>
        </w:tc>
      </w:tr>
    </w:tbl>
    <w:p w14:paraId="23447494" w14:textId="77777777" w:rsidR="00115458" w:rsidRPr="00B35C0A" w:rsidRDefault="00115458" w:rsidP="00115458">
      <w:pPr>
        <w:pStyle w:val="Heading2"/>
      </w:pPr>
      <w:bookmarkStart w:id="1943" w:name="_Toc372885447"/>
      <w:bookmarkStart w:id="1944" w:name="_Toc232191373"/>
      <w:r w:rsidRPr="00B35C0A">
        <w:t>Simplified reporting</w:t>
      </w:r>
      <w:bookmarkEnd w:id="1944"/>
      <w:r w:rsidRPr="00B35C0A">
        <w:t xml:space="preserve"> </w:t>
      </w:r>
      <w:bookmarkEnd w:id="1943"/>
    </w:p>
    <w:p w14:paraId="6C8D760B" w14:textId="5D36E759" w:rsidR="00115458" w:rsidRPr="001601AF" w:rsidRDefault="00115458" w:rsidP="001601AF">
      <w:pPr>
        <w:spacing w:after="0" w:line="240" w:lineRule="auto"/>
        <w:rPr>
          <w:rFonts w:cs="Arial"/>
        </w:rPr>
      </w:pPr>
      <w:r w:rsidRPr="001601AF">
        <w:rPr>
          <w:rFonts w:cs="Arial"/>
        </w:rPr>
        <w:t xml:space="preserve">FMD reporting was simplified from 1 July 2015 onwards for new, existing and consolidated accounts. The requirement to report some fields depends on whether your system collects and stores the data.  To maximise the data available for your investors in pre-fill, all fields should be reported if the data is available.  </w:t>
      </w:r>
    </w:p>
    <w:p w14:paraId="09F67AFC" w14:textId="77777777" w:rsidR="00115458" w:rsidRPr="001601AF" w:rsidRDefault="00115458" w:rsidP="001601AF">
      <w:pPr>
        <w:pStyle w:val="Heading3"/>
      </w:pPr>
      <w:bookmarkStart w:id="1945" w:name="_Toc232191374"/>
      <w:r w:rsidRPr="001601AF">
        <w:t>Reporting Date fields (excluding Date of payment (9.70) field)</w:t>
      </w:r>
      <w:bookmarkEnd w:id="1945"/>
    </w:p>
    <w:p w14:paraId="4D341F5D" w14:textId="1E04A75F" w:rsidR="00115458" w:rsidRPr="001601AF" w:rsidRDefault="00115458" w:rsidP="001601AF">
      <w:pPr>
        <w:spacing w:after="0" w:line="240" w:lineRule="auto"/>
        <w:contextualSpacing/>
        <w:rPr>
          <w:rFonts w:cs="Arial"/>
        </w:rPr>
      </w:pPr>
      <w:r w:rsidRPr="001601AF">
        <w:rPr>
          <w:rFonts w:cs="Arial"/>
        </w:rPr>
        <w:t>If the full date for date fields is not available you may report the month and year and zero fill the day. For example, November 202</w:t>
      </w:r>
      <w:r w:rsidR="00EF446B">
        <w:rPr>
          <w:rFonts w:cs="Arial"/>
        </w:rPr>
        <w:t>5</w:t>
      </w:r>
      <w:r w:rsidRPr="001601AF">
        <w:rPr>
          <w:rFonts w:cs="Arial"/>
        </w:rPr>
        <w:t xml:space="preserve"> is reported as 0011202</w:t>
      </w:r>
      <w:r w:rsidR="00EF446B">
        <w:rPr>
          <w:rFonts w:cs="Arial"/>
        </w:rPr>
        <w:t>5</w:t>
      </w:r>
      <w:r w:rsidRPr="001601AF">
        <w:rPr>
          <w:rFonts w:cs="Arial"/>
        </w:rPr>
        <w:t>.  This will allow data to be matched with the DAFF monthly data.  Due to ATO system constraints where a partial date is provided this will be converted to 01/MM/CCYY.</w:t>
      </w:r>
    </w:p>
    <w:p w14:paraId="63A41FA7" w14:textId="77777777" w:rsidR="00115458" w:rsidRPr="001601AF" w:rsidRDefault="00115458" w:rsidP="001601AF">
      <w:pPr>
        <w:spacing w:after="0" w:line="240" w:lineRule="auto"/>
        <w:rPr>
          <w:rFonts w:cs="Arial"/>
        </w:rPr>
      </w:pPr>
    </w:p>
    <w:p w14:paraId="2A5F46F3" w14:textId="34AFE353" w:rsidR="00115458" w:rsidRPr="001601AF" w:rsidRDefault="00115458" w:rsidP="001601AF">
      <w:pPr>
        <w:spacing w:after="0" w:line="240" w:lineRule="auto"/>
        <w:contextualSpacing/>
        <w:rPr>
          <w:rFonts w:cs="Arial"/>
        </w:rPr>
      </w:pPr>
      <w:r w:rsidRPr="001601AF">
        <w:rPr>
          <w:rFonts w:cs="Arial"/>
        </w:rPr>
        <w:t xml:space="preserve">If it is not possible to distinguish between types of credits (deposits and transfers in) and debits (repayments and transfers out), the credit should be reported in the </w:t>
      </w:r>
      <w:r w:rsidRPr="001601AF">
        <w:rPr>
          <w:rFonts w:cs="Arial"/>
          <w:i/>
        </w:rPr>
        <w:t xml:space="preserve">Amount of deductible deposit </w:t>
      </w:r>
      <w:r w:rsidRPr="001601AF">
        <w:rPr>
          <w:rFonts w:cs="Arial"/>
        </w:rPr>
        <w:t>(</w:t>
      </w:r>
      <w:r w:rsidRPr="001601AF" w:rsidDel="00B6090E">
        <w:rPr>
          <w:rFonts w:cs="Arial"/>
        </w:rPr>
        <w:t>9.</w:t>
      </w:r>
      <w:r w:rsidR="00E548B4">
        <w:rPr>
          <w:rFonts w:cs="Arial"/>
        </w:rPr>
        <w:t>152</w:t>
      </w:r>
      <w:r w:rsidRPr="001601AF">
        <w:rPr>
          <w:rFonts w:cs="Arial"/>
        </w:rPr>
        <w:t>)</w:t>
      </w:r>
      <w:r w:rsidRPr="001601AF">
        <w:rPr>
          <w:rFonts w:cs="Arial"/>
          <w:i/>
        </w:rPr>
        <w:t xml:space="preserve"> </w:t>
      </w:r>
      <w:r w:rsidRPr="001601AF">
        <w:rPr>
          <w:rFonts w:cs="Arial"/>
        </w:rPr>
        <w:t xml:space="preserve">field and the debit reported in the </w:t>
      </w:r>
      <w:r w:rsidRPr="001601AF">
        <w:rPr>
          <w:rFonts w:cs="Arial"/>
          <w:i/>
        </w:rPr>
        <w:t>Amount of repayment</w:t>
      </w:r>
      <w:r w:rsidRPr="001601AF">
        <w:rPr>
          <w:rFonts w:cs="Arial"/>
        </w:rPr>
        <w:t xml:space="preserve"> (</w:t>
      </w:r>
      <w:r w:rsidDel="00182B00">
        <w:t>9.</w:t>
      </w:r>
      <w:r w:rsidR="00182B00">
        <w:t>155</w:t>
      </w:r>
      <w:r w:rsidRPr="001601AF">
        <w:rPr>
          <w:rFonts w:cs="Arial"/>
        </w:rPr>
        <w:t>) field.</w:t>
      </w:r>
    </w:p>
    <w:p w14:paraId="2431A6BB" w14:textId="77777777" w:rsidR="00115458" w:rsidRPr="001601AF" w:rsidRDefault="00115458" w:rsidP="001601AF">
      <w:pPr>
        <w:spacing w:after="0" w:line="240" w:lineRule="auto"/>
        <w:contextualSpacing/>
        <w:rPr>
          <w:rFonts w:cs="Arial"/>
        </w:rPr>
      </w:pPr>
      <w:r w:rsidRPr="001601AF">
        <w:rPr>
          <w:rFonts w:cs="Arial"/>
        </w:rPr>
        <w:t>If more than eight debit transactions occur within the financial year for:</w:t>
      </w:r>
    </w:p>
    <w:p w14:paraId="1FD60E3B" w14:textId="77777777" w:rsidR="00115458" w:rsidRPr="001601AF" w:rsidRDefault="00115458" w:rsidP="001601AF">
      <w:pPr>
        <w:spacing w:after="0" w:line="240" w:lineRule="auto"/>
        <w:rPr>
          <w:rFonts w:cs="Arial"/>
        </w:rPr>
      </w:pPr>
    </w:p>
    <w:p w14:paraId="71ECAD0C" w14:textId="77777777" w:rsidR="00115458" w:rsidRPr="001601AF" w:rsidRDefault="00115458" w:rsidP="001601AF">
      <w:pPr>
        <w:numPr>
          <w:ilvl w:val="0"/>
          <w:numId w:val="85"/>
        </w:numPr>
        <w:spacing w:after="0" w:line="240" w:lineRule="auto"/>
        <w:rPr>
          <w:rFonts w:cs="Arial"/>
        </w:rPr>
      </w:pPr>
      <w:r w:rsidRPr="001601AF">
        <w:rPr>
          <w:rFonts w:cs="Arial"/>
        </w:rPr>
        <w:t xml:space="preserve">accounts held less than 12 months use all the repayment and transfer out fields before a second </w:t>
      </w:r>
      <w:r w:rsidRPr="001601AF">
        <w:rPr>
          <w:rFonts w:cs="Arial"/>
          <w:i/>
        </w:rPr>
        <w:t>FMD account data record</w:t>
      </w:r>
      <w:r w:rsidRPr="001601AF">
        <w:rPr>
          <w:rFonts w:cs="Arial"/>
        </w:rPr>
        <w:t xml:space="preserve"> is required</w:t>
      </w:r>
    </w:p>
    <w:p w14:paraId="1FB7875E" w14:textId="1ED0C840" w:rsidR="00115458" w:rsidRPr="001601AF" w:rsidRDefault="00115458" w:rsidP="001601AF">
      <w:pPr>
        <w:numPr>
          <w:ilvl w:val="0"/>
          <w:numId w:val="85"/>
        </w:numPr>
        <w:spacing w:after="0" w:line="240" w:lineRule="auto"/>
        <w:rPr>
          <w:rFonts w:cs="Arial"/>
        </w:rPr>
      </w:pPr>
      <w:r w:rsidRPr="001601AF">
        <w:rPr>
          <w:rFonts w:cs="Arial"/>
        </w:rPr>
        <w:t xml:space="preserve">consolidated accounts and accounts held longer than 12 months, report the first debit at the </w:t>
      </w:r>
      <w:r w:rsidRPr="001601AF">
        <w:rPr>
          <w:rFonts w:cs="Arial"/>
          <w:i/>
        </w:rPr>
        <w:t>Amount of repayment (first)</w:t>
      </w:r>
      <w:r w:rsidRPr="001601AF">
        <w:rPr>
          <w:rFonts w:cs="Arial"/>
        </w:rPr>
        <w:t xml:space="preserve"> (</w:t>
      </w:r>
      <w:r w:rsidDel="00182B00">
        <w:t>9.</w:t>
      </w:r>
      <w:r w:rsidR="00182B00">
        <w:t>155</w:t>
      </w:r>
      <w:r w:rsidRPr="001601AF">
        <w:rPr>
          <w:rFonts w:cs="Arial"/>
        </w:rPr>
        <w:t xml:space="preserve">) field and aggregate the remaining debit transactions and report at the </w:t>
      </w:r>
      <w:r w:rsidRPr="001601AF">
        <w:rPr>
          <w:rFonts w:cs="Arial"/>
          <w:i/>
        </w:rPr>
        <w:t>Amount of repayment</w:t>
      </w:r>
      <w:r w:rsidRPr="001601AF">
        <w:rPr>
          <w:rFonts w:cs="Arial"/>
        </w:rPr>
        <w:t xml:space="preserve"> </w:t>
      </w:r>
      <w:r w:rsidRPr="001601AF">
        <w:rPr>
          <w:rFonts w:cs="Arial"/>
          <w:i/>
        </w:rPr>
        <w:t>(second)</w:t>
      </w:r>
      <w:r w:rsidRPr="001601AF">
        <w:rPr>
          <w:rFonts w:cs="Arial"/>
        </w:rPr>
        <w:t xml:space="preserve"> (</w:t>
      </w:r>
      <w:r w:rsidDel="00182B00">
        <w:t>9.</w:t>
      </w:r>
      <w:r w:rsidR="00182B00">
        <w:t>155</w:t>
      </w:r>
      <w:r w:rsidRPr="001601AF">
        <w:rPr>
          <w:rFonts w:cs="Arial"/>
        </w:rPr>
        <w:t>) field.</w:t>
      </w:r>
    </w:p>
    <w:p w14:paraId="5ED0EB1A" w14:textId="77777777" w:rsidR="00115458" w:rsidRPr="001601AF" w:rsidRDefault="00115458" w:rsidP="001601AF">
      <w:pPr>
        <w:spacing w:after="0" w:line="240" w:lineRule="auto"/>
        <w:rPr>
          <w:rFonts w:cs="Arial"/>
        </w:rPr>
      </w:pPr>
    </w:p>
    <w:p w14:paraId="0FD82901" w14:textId="77777777" w:rsidR="00115458" w:rsidRPr="001601AF" w:rsidRDefault="00115458" w:rsidP="001601AF">
      <w:pPr>
        <w:spacing w:after="0" w:line="240" w:lineRule="auto"/>
        <w:contextualSpacing/>
        <w:rPr>
          <w:rFonts w:cs="Arial"/>
        </w:rPr>
      </w:pPr>
      <w:r w:rsidRPr="001601AF">
        <w:rPr>
          <w:rFonts w:cs="Arial"/>
        </w:rPr>
        <w:t xml:space="preserve">If the data is not available for the following fields, they may be blank or zero filled in accordance with their field format:  </w:t>
      </w:r>
    </w:p>
    <w:p w14:paraId="72A9B5B2" w14:textId="77777777" w:rsidR="00115458" w:rsidRPr="001601AF" w:rsidRDefault="00115458" w:rsidP="001601AF">
      <w:pPr>
        <w:spacing w:after="0" w:line="240" w:lineRule="auto"/>
        <w:rPr>
          <w:rFonts w:cs="Arial"/>
        </w:rPr>
      </w:pPr>
    </w:p>
    <w:p w14:paraId="73AC5F8D" w14:textId="77777777" w:rsidR="00115458" w:rsidRPr="001601AF" w:rsidRDefault="00115458" w:rsidP="001601AF">
      <w:pPr>
        <w:numPr>
          <w:ilvl w:val="0"/>
          <w:numId w:val="84"/>
        </w:numPr>
        <w:spacing w:after="0" w:line="240" w:lineRule="auto"/>
        <w:rPr>
          <w:rFonts w:cs="Arial"/>
        </w:rPr>
      </w:pPr>
      <w:r w:rsidRPr="001601AF">
        <w:rPr>
          <w:rFonts w:cs="Arial"/>
          <w:i/>
        </w:rPr>
        <w:t>Account reference number</w:t>
      </w:r>
      <w:r w:rsidRPr="001601AF">
        <w:rPr>
          <w:rFonts w:cs="Arial"/>
        </w:rPr>
        <w:t xml:space="preserve"> (9.64)</w:t>
      </w:r>
    </w:p>
    <w:p w14:paraId="36DAA806" w14:textId="77777777" w:rsidR="00115458" w:rsidRPr="001601AF" w:rsidRDefault="00115458" w:rsidP="001601AF">
      <w:pPr>
        <w:numPr>
          <w:ilvl w:val="0"/>
          <w:numId w:val="84"/>
        </w:numPr>
        <w:spacing w:after="0" w:line="240" w:lineRule="auto"/>
        <w:rPr>
          <w:rFonts w:cs="Arial"/>
        </w:rPr>
      </w:pPr>
      <w:r w:rsidRPr="001601AF">
        <w:rPr>
          <w:rFonts w:cs="Arial"/>
          <w:i/>
        </w:rPr>
        <w:t>BSB number</w:t>
      </w:r>
      <w:r w:rsidRPr="001601AF">
        <w:rPr>
          <w:rFonts w:cs="Arial"/>
        </w:rPr>
        <w:t xml:space="preserve"> (9.65)</w:t>
      </w:r>
    </w:p>
    <w:p w14:paraId="7D6CB522" w14:textId="77777777" w:rsidR="00115458" w:rsidRPr="001601AF" w:rsidRDefault="00115458" w:rsidP="001601AF">
      <w:pPr>
        <w:numPr>
          <w:ilvl w:val="0"/>
          <w:numId w:val="84"/>
        </w:numPr>
        <w:spacing w:after="0" w:line="240" w:lineRule="auto"/>
        <w:rPr>
          <w:rFonts w:cs="Arial"/>
        </w:rPr>
      </w:pPr>
      <w:r w:rsidRPr="001601AF">
        <w:rPr>
          <w:rFonts w:cs="Arial"/>
          <w:i/>
        </w:rPr>
        <w:t>Branch location</w:t>
      </w:r>
      <w:r w:rsidRPr="001601AF">
        <w:rPr>
          <w:rFonts w:cs="Arial"/>
        </w:rPr>
        <w:t xml:space="preserve"> (9.66)</w:t>
      </w:r>
    </w:p>
    <w:p w14:paraId="4E6DDA14" w14:textId="736712F4" w:rsidR="00115458" w:rsidRPr="001601AF" w:rsidRDefault="00115458" w:rsidP="001601AF">
      <w:pPr>
        <w:numPr>
          <w:ilvl w:val="0"/>
          <w:numId w:val="84"/>
        </w:numPr>
        <w:spacing w:after="0" w:line="240" w:lineRule="auto"/>
        <w:rPr>
          <w:rFonts w:cs="Arial"/>
        </w:rPr>
      </w:pPr>
      <w:r w:rsidRPr="001601AF">
        <w:rPr>
          <w:rFonts w:cs="Arial"/>
          <w:i/>
        </w:rPr>
        <w:t>Transferor BSB number</w:t>
      </w:r>
      <w:r w:rsidRPr="001601AF">
        <w:rPr>
          <w:rFonts w:cs="Arial"/>
        </w:rPr>
        <w:t xml:space="preserve"> (</w:t>
      </w:r>
      <w:r w:rsidRPr="001601AF" w:rsidDel="006B0646">
        <w:rPr>
          <w:rFonts w:cs="Arial"/>
        </w:rPr>
        <w:t>9.</w:t>
      </w:r>
      <w:r w:rsidR="006B0646">
        <w:rPr>
          <w:rFonts w:cs="Arial"/>
        </w:rPr>
        <w:t>159</w:t>
      </w:r>
      <w:r w:rsidRPr="001601AF">
        <w:rPr>
          <w:rFonts w:cs="Arial"/>
        </w:rPr>
        <w:t>)</w:t>
      </w:r>
    </w:p>
    <w:p w14:paraId="67540D80" w14:textId="36D1DC9C" w:rsidR="00115458" w:rsidRPr="001601AF" w:rsidRDefault="00115458" w:rsidP="001601AF">
      <w:pPr>
        <w:numPr>
          <w:ilvl w:val="0"/>
          <w:numId w:val="84"/>
        </w:numPr>
        <w:spacing w:after="0" w:line="240" w:lineRule="auto"/>
        <w:rPr>
          <w:rFonts w:cs="Arial"/>
        </w:rPr>
      </w:pPr>
      <w:r w:rsidRPr="001601AF">
        <w:rPr>
          <w:rFonts w:cs="Arial"/>
          <w:i/>
        </w:rPr>
        <w:t>Transferee BSB number</w:t>
      </w:r>
      <w:r w:rsidRPr="001601AF">
        <w:rPr>
          <w:rFonts w:cs="Arial"/>
        </w:rPr>
        <w:t xml:space="preserve"> (</w:t>
      </w:r>
      <w:r w:rsidRPr="001601AF" w:rsidDel="00334EA3">
        <w:rPr>
          <w:rFonts w:cs="Arial"/>
        </w:rPr>
        <w:t>9.</w:t>
      </w:r>
      <w:r w:rsidR="00334EA3">
        <w:rPr>
          <w:rFonts w:cs="Arial"/>
        </w:rPr>
        <w:t>162</w:t>
      </w:r>
      <w:r w:rsidRPr="001601AF">
        <w:rPr>
          <w:rFonts w:cs="Arial"/>
        </w:rPr>
        <w:t>)</w:t>
      </w:r>
    </w:p>
    <w:p w14:paraId="1E96D858" w14:textId="77777777" w:rsidR="00115458" w:rsidRPr="00B35C0A" w:rsidRDefault="00115458" w:rsidP="00115458">
      <w:pPr>
        <w:pStyle w:val="Heading3"/>
      </w:pPr>
      <w:bookmarkStart w:id="1946" w:name="_Toc232191375"/>
      <w:r w:rsidRPr="00B35C0A">
        <w:t>Accounts held for less than 12 months</w:t>
      </w:r>
      <w:bookmarkEnd w:id="1946"/>
      <w:r>
        <w:t xml:space="preserve"> </w:t>
      </w:r>
    </w:p>
    <w:p w14:paraId="1BF67094" w14:textId="77777777" w:rsidR="00115458" w:rsidRPr="00B35C0A" w:rsidRDefault="00115458" w:rsidP="001601AF">
      <w:pPr>
        <w:spacing w:after="0" w:line="240" w:lineRule="auto"/>
        <w:rPr>
          <w:rFonts w:cs="Arial"/>
        </w:rPr>
      </w:pPr>
      <w:r w:rsidRPr="00B35C0A">
        <w:rPr>
          <w:rFonts w:cs="Arial"/>
        </w:rPr>
        <w:t>Reporting requirements for conditional FMD transaction fields (excluding interest) are:</w:t>
      </w:r>
    </w:p>
    <w:p w14:paraId="5849919D" w14:textId="77777777" w:rsidR="00115458" w:rsidRPr="00B35C0A" w:rsidRDefault="00115458" w:rsidP="001601AF">
      <w:pPr>
        <w:spacing w:after="0" w:line="240" w:lineRule="auto"/>
        <w:rPr>
          <w:rFonts w:eastAsia="Calibri"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27"/>
        <w:gridCol w:w="2497"/>
        <w:gridCol w:w="5564"/>
      </w:tblGrid>
      <w:tr w:rsidR="00115458" w:rsidRPr="00B257C4" w14:paraId="004441F1" w14:textId="77777777" w:rsidTr="000C1365">
        <w:trPr>
          <w:tblHeader/>
        </w:trPr>
        <w:tc>
          <w:tcPr>
            <w:tcW w:w="641" w:type="pct"/>
            <w:shd w:val="clear" w:color="auto" w:fill="BFBFBF"/>
            <w:vAlign w:val="center"/>
          </w:tcPr>
          <w:p w14:paraId="1964288D" w14:textId="77777777" w:rsidR="00115458" w:rsidRPr="00D06BCE" w:rsidRDefault="00115458" w:rsidP="00D06BCE">
            <w:pPr>
              <w:spacing w:after="0" w:line="240" w:lineRule="auto"/>
              <w:rPr>
                <w:rFonts w:cs="Arial"/>
                <w:b/>
                <w:bCs/>
              </w:rPr>
            </w:pPr>
            <w:r w:rsidRPr="00D06BCE">
              <w:rPr>
                <w:rFonts w:cs="Arial"/>
                <w:b/>
                <w:bCs/>
              </w:rPr>
              <w:t>Reference</w:t>
            </w:r>
          </w:p>
          <w:p w14:paraId="32746E02" w14:textId="77777777" w:rsidR="00115458" w:rsidRPr="00D06BCE" w:rsidRDefault="00115458" w:rsidP="00D06BCE">
            <w:pPr>
              <w:spacing w:after="0" w:line="240" w:lineRule="auto"/>
              <w:rPr>
                <w:rFonts w:cs="Arial"/>
                <w:b/>
                <w:bCs/>
              </w:rPr>
            </w:pPr>
            <w:r w:rsidRPr="00D06BCE">
              <w:rPr>
                <w:rFonts w:cs="Arial"/>
                <w:b/>
                <w:bCs/>
              </w:rPr>
              <w:t>Number</w:t>
            </w:r>
          </w:p>
        </w:tc>
        <w:tc>
          <w:tcPr>
            <w:tcW w:w="1354" w:type="pct"/>
            <w:shd w:val="clear" w:color="auto" w:fill="BFBFBF"/>
            <w:vAlign w:val="center"/>
          </w:tcPr>
          <w:p w14:paraId="37AD12D3" w14:textId="77777777" w:rsidR="00115458" w:rsidRPr="00D06BCE" w:rsidRDefault="00115458" w:rsidP="00D06BCE">
            <w:pPr>
              <w:spacing w:after="0" w:line="240" w:lineRule="auto"/>
              <w:rPr>
                <w:rFonts w:cs="Arial"/>
                <w:b/>
                <w:bCs/>
              </w:rPr>
            </w:pPr>
            <w:r w:rsidRPr="00D06BCE">
              <w:rPr>
                <w:rFonts w:cs="Arial"/>
                <w:b/>
                <w:bCs/>
              </w:rPr>
              <w:t>Field Name</w:t>
            </w:r>
          </w:p>
        </w:tc>
        <w:tc>
          <w:tcPr>
            <w:tcW w:w="3005" w:type="pct"/>
            <w:shd w:val="clear" w:color="auto" w:fill="BFBFBF"/>
            <w:vAlign w:val="center"/>
          </w:tcPr>
          <w:p w14:paraId="05B8092A" w14:textId="77777777" w:rsidR="00115458" w:rsidRPr="00D06BCE" w:rsidRDefault="00115458" w:rsidP="00D06BCE">
            <w:pPr>
              <w:spacing w:after="0" w:line="240" w:lineRule="auto"/>
              <w:rPr>
                <w:rFonts w:cs="Arial"/>
                <w:b/>
                <w:bCs/>
              </w:rPr>
            </w:pPr>
            <w:r w:rsidRPr="00D06BCE">
              <w:rPr>
                <w:rFonts w:cs="Arial"/>
                <w:b/>
                <w:bCs/>
              </w:rPr>
              <w:t>Requirements</w:t>
            </w:r>
          </w:p>
        </w:tc>
      </w:tr>
      <w:tr w:rsidR="00115458" w:rsidRPr="00B257C4" w14:paraId="25B56E92" w14:textId="77777777" w:rsidTr="00427C84">
        <w:tc>
          <w:tcPr>
            <w:tcW w:w="641" w:type="pct"/>
            <w:vAlign w:val="center"/>
          </w:tcPr>
          <w:p w14:paraId="55A25812" w14:textId="6439E8F5" w:rsidR="00115458" w:rsidRPr="00D06BCE" w:rsidRDefault="00115458" w:rsidP="00D06BCE">
            <w:pPr>
              <w:spacing w:after="0" w:line="240" w:lineRule="auto"/>
              <w:rPr>
                <w:rFonts w:cs="Arial"/>
              </w:rPr>
            </w:pPr>
            <w:r w:rsidRPr="00D06BCE" w:rsidDel="00E548B4">
              <w:rPr>
                <w:rFonts w:cs="Arial"/>
              </w:rPr>
              <w:t>9.</w:t>
            </w:r>
            <w:r w:rsidR="00E548B4">
              <w:rPr>
                <w:rFonts w:cs="Arial"/>
              </w:rPr>
              <w:t>152</w:t>
            </w:r>
          </w:p>
        </w:tc>
        <w:tc>
          <w:tcPr>
            <w:tcW w:w="1354" w:type="pct"/>
            <w:vAlign w:val="center"/>
          </w:tcPr>
          <w:p w14:paraId="50199A1C" w14:textId="77777777" w:rsidR="00115458" w:rsidRPr="00D06BCE" w:rsidRDefault="00115458" w:rsidP="00D06BCE">
            <w:pPr>
              <w:spacing w:after="0" w:line="240" w:lineRule="auto"/>
              <w:rPr>
                <w:rFonts w:cs="Arial"/>
              </w:rPr>
            </w:pPr>
            <w:r w:rsidRPr="00D06BCE">
              <w:rPr>
                <w:rFonts w:cs="Arial"/>
              </w:rPr>
              <w:t>Amount of deductible deposit</w:t>
            </w:r>
          </w:p>
        </w:tc>
        <w:tc>
          <w:tcPr>
            <w:tcW w:w="3005" w:type="pct"/>
          </w:tcPr>
          <w:p w14:paraId="0139F7CC" w14:textId="77777777" w:rsidR="00115458" w:rsidRPr="00D06BCE" w:rsidRDefault="00115458" w:rsidP="00D06BCE">
            <w:pPr>
              <w:spacing w:after="0" w:line="240" w:lineRule="auto"/>
              <w:rPr>
                <w:rFonts w:cs="Arial"/>
              </w:rPr>
            </w:pPr>
            <w:r w:rsidRPr="00D06BCE">
              <w:rPr>
                <w:rFonts w:cs="Arial"/>
              </w:rPr>
              <w:t xml:space="preserve">This field is used for reporting a new deposit within the financial year.  </w:t>
            </w:r>
          </w:p>
          <w:p w14:paraId="27E3F57F" w14:textId="77777777" w:rsidR="00115458" w:rsidRPr="00D06BCE" w:rsidRDefault="00115458" w:rsidP="00D06BCE">
            <w:pPr>
              <w:spacing w:after="0" w:line="240" w:lineRule="auto"/>
              <w:rPr>
                <w:rFonts w:cs="Arial"/>
              </w:rPr>
            </w:pPr>
          </w:p>
          <w:p w14:paraId="6F4DDF4E" w14:textId="77777777" w:rsidR="00115458" w:rsidRPr="00D06BCE" w:rsidRDefault="00115458" w:rsidP="00D06BCE">
            <w:pPr>
              <w:spacing w:after="0" w:line="240" w:lineRule="auto"/>
              <w:rPr>
                <w:rFonts w:cs="Arial"/>
              </w:rPr>
            </w:pPr>
            <w:r w:rsidRPr="00D06BCE">
              <w:rPr>
                <w:rFonts w:cs="Arial"/>
              </w:rPr>
              <w:t>If reporters cannot distinguish between deposits and transfers in, the credit transaction can be reported at this field.</w:t>
            </w:r>
          </w:p>
          <w:p w14:paraId="197C9455" w14:textId="77777777" w:rsidR="00115458" w:rsidRPr="00D06BCE" w:rsidRDefault="00115458" w:rsidP="00D06BCE">
            <w:pPr>
              <w:spacing w:after="0" w:line="240" w:lineRule="auto"/>
              <w:rPr>
                <w:rFonts w:cs="Arial"/>
              </w:rPr>
            </w:pPr>
          </w:p>
          <w:p w14:paraId="5B534CC8" w14:textId="77777777" w:rsidR="00115458" w:rsidRPr="00D06BCE" w:rsidRDefault="00115458" w:rsidP="00D06BCE">
            <w:pPr>
              <w:spacing w:after="0" w:line="240" w:lineRule="auto"/>
              <w:rPr>
                <w:rFonts w:cs="Arial"/>
              </w:rPr>
            </w:pPr>
            <w:r w:rsidRPr="00D06BCE">
              <w:rPr>
                <w:rFonts w:cs="Arial"/>
              </w:rPr>
              <w:t xml:space="preserve">If multiple deposits or credits are made during the financial year each deposit must be reported on a separate </w:t>
            </w:r>
            <w:r w:rsidRPr="00D06BCE">
              <w:rPr>
                <w:rFonts w:cs="Arial"/>
                <w:i/>
              </w:rPr>
              <w:t>FMD account data record.</w:t>
            </w:r>
          </w:p>
        </w:tc>
      </w:tr>
      <w:tr w:rsidR="00115458" w:rsidRPr="00B257C4" w14:paraId="1DE45018" w14:textId="77777777" w:rsidTr="00427C84">
        <w:tc>
          <w:tcPr>
            <w:tcW w:w="641" w:type="pct"/>
            <w:vAlign w:val="center"/>
          </w:tcPr>
          <w:p w14:paraId="3C5FAFAE" w14:textId="27F06169" w:rsidR="00115458" w:rsidRPr="00D06BCE" w:rsidRDefault="00115458" w:rsidP="00D06BCE">
            <w:pPr>
              <w:spacing w:after="0" w:line="240" w:lineRule="auto"/>
              <w:rPr>
                <w:rFonts w:cs="Arial"/>
              </w:rPr>
            </w:pPr>
            <w:r w:rsidDel="00704E70">
              <w:t>9.</w:t>
            </w:r>
            <w:r w:rsidR="00704E70">
              <w:t>153</w:t>
            </w:r>
          </w:p>
        </w:tc>
        <w:tc>
          <w:tcPr>
            <w:tcW w:w="1354" w:type="pct"/>
            <w:vAlign w:val="center"/>
          </w:tcPr>
          <w:p w14:paraId="3DE37B7B" w14:textId="77777777" w:rsidR="00115458" w:rsidRPr="00D06BCE" w:rsidRDefault="00115458" w:rsidP="00D06BCE">
            <w:pPr>
              <w:spacing w:after="0" w:line="240" w:lineRule="auto"/>
              <w:rPr>
                <w:rFonts w:cs="Arial"/>
              </w:rPr>
            </w:pPr>
            <w:r w:rsidRPr="00D06BCE">
              <w:rPr>
                <w:rFonts w:cs="Arial"/>
              </w:rPr>
              <w:t>Date of deductible deposit</w:t>
            </w:r>
          </w:p>
        </w:tc>
        <w:tc>
          <w:tcPr>
            <w:tcW w:w="3005" w:type="pct"/>
          </w:tcPr>
          <w:p w14:paraId="5B04EC48" w14:textId="77777777" w:rsidR="00115458" w:rsidRPr="00D06BCE" w:rsidRDefault="00115458" w:rsidP="00D06BCE">
            <w:pPr>
              <w:spacing w:after="0" w:line="240" w:lineRule="auto"/>
              <w:rPr>
                <w:rFonts w:cs="Arial"/>
              </w:rPr>
            </w:pPr>
            <w:r w:rsidRPr="00D06BCE">
              <w:rPr>
                <w:rFonts w:cs="Arial"/>
              </w:rPr>
              <w:t xml:space="preserve">The date the deductible deposit was made with the FMD provider. This field is required for new deposits held for less than 12 months. </w:t>
            </w:r>
          </w:p>
          <w:p w14:paraId="66E974C0" w14:textId="77777777" w:rsidR="00115458" w:rsidRPr="00D06BCE" w:rsidRDefault="00115458" w:rsidP="00D06BCE">
            <w:pPr>
              <w:spacing w:after="0" w:line="240" w:lineRule="auto"/>
              <w:rPr>
                <w:rFonts w:cs="Arial"/>
              </w:rPr>
            </w:pPr>
          </w:p>
          <w:p w14:paraId="2530C77D" w14:textId="77777777" w:rsidR="00115458" w:rsidRPr="00D06BCE" w:rsidRDefault="00115458" w:rsidP="00D06BCE">
            <w:pPr>
              <w:spacing w:after="0" w:line="240" w:lineRule="auto"/>
              <w:rPr>
                <w:rFonts w:cs="Arial"/>
              </w:rPr>
            </w:pPr>
            <w:r w:rsidRPr="00D06BCE">
              <w:rPr>
                <w:rFonts w:cs="Arial"/>
              </w:rPr>
              <w:t>This date enables tracking of each individual deposit and to determine whether a repayment has been made within 12 months of the deposit.</w:t>
            </w:r>
          </w:p>
          <w:p w14:paraId="5B61C2CD" w14:textId="77777777" w:rsidR="00115458" w:rsidRPr="00D06BCE" w:rsidRDefault="00115458" w:rsidP="00D06BCE">
            <w:pPr>
              <w:spacing w:after="0" w:line="240" w:lineRule="auto"/>
              <w:rPr>
                <w:rFonts w:cs="Arial"/>
              </w:rPr>
            </w:pPr>
          </w:p>
          <w:p w14:paraId="507B1BBF" w14:textId="77777777" w:rsidR="00115458" w:rsidRPr="00D06BCE" w:rsidRDefault="00115458" w:rsidP="00D06BCE">
            <w:pPr>
              <w:spacing w:after="0" w:line="240" w:lineRule="auto"/>
              <w:rPr>
                <w:rFonts w:cs="Arial"/>
              </w:rPr>
            </w:pPr>
            <w:r w:rsidRPr="00D06BCE">
              <w:rPr>
                <w:rFonts w:cs="Arial"/>
              </w:rPr>
              <w:t xml:space="preserve">If the full date the deposit was made is not available report the month and year only. </w:t>
            </w:r>
          </w:p>
        </w:tc>
      </w:tr>
      <w:tr w:rsidR="00115458" w:rsidRPr="00B257C4" w14:paraId="77D161AB" w14:textId="77777777" w:rsidTr="00427C84">
        <w:tc>
          <w:tcPr>
            <w:tcW w:w="641" w:type="pct"/>
            <w:vAlign w:val="center"/>
          </w:tcPr>
          <w:p w14:paraId="5AE17D29" w14:textId="3FD9E087" w:rsidR="00115458" w:rsidRPr="00D06BCE" w:rsidRDefault="00115458" w:rsidP="00D06BCE">
            <w:pPr>
              <w:spacing w:after="0" w:line="240" w:lineRule="auto"/>
              <w:rPr>
                <w:rFonts w:cs="Arial"/>
              </w:rPr>
            </w:pPr>
            <w:r w:rsidDel="00D428B9">
              <w:t>9.</w:t>
            </w:r>
            <w:r w:rsidR="00D428B9">
              <w:t>154</w:t>
            </w:r>
          </w:p>
        </w:tc>
        <w:tc>
          <w:tcPr>
            <w:tcW w:w="1354" w:type="pct"/>
            <w:vAlign w:val="center"/>
          </w:tcPr>
          <w:p w14:paraId="178B82EF" w14:textId="77777777" w:rsidR="00115458" w:rsidRPr="00D06BCE" w:rsidRDefault="00115458" w:rsidP="00D06BCE">
            <w:pPr>
              <w:spacing w:after="0" w:line="240" w:lineRule="auto"/>
              <w:rPr>
                <w:rFonts w:cs="Arial"/>
              </w:rPr>
            </w:pPr>
            <w:r w:rsidRPr="00D06BCE">
              <w:rPr>
                <w:rFonts w:cs="Arial"/>
              </w:rPr>
              <w:t>Date of original deductible deposit</w:t>
            </w:r>
          </w:p>
        </w:tc>
        <w:tc>
          <w:tcPr>
            <w:tcW w:w="3005" w:type="pct"/>
          </w:tcPr>
          <w:p w14:paraId="5E2ADA06" w14:textId="77777777" w:rsidR="00115458" w:rsidRPr="00D06BCE" w:rsidRDefault="00115458" w:rsidP="00D06BCE">
            <w:pPr>
              <w:spacing w:after="0" w:line="240" w:lineRule="auto"/>
              <w:rPr>
                <w:rFonts w:cs="Arial"/>
              </w:rPr>
            </w:pPr>
            <w:r w:rsidRPr="00D06BCE">
              <w:rPr>
                <w:rFonts w:cs="Arial"/>
              </w:rPr>
              <w:t>This date is optional for accounts held for less than 12 months.</w:t>
            </w:r>
          </w:p>
          <w:p w14:paraId="2CFAF1CC" w14:textId="77777777" w:rsidR="00115458" w:rsidRPr="00D06BCE" w:rsidRDefault="00115458" w:rsidP="00D06BCE">
            <w:pPr>
              <w:spacing w:after="0" w:line="240" w:lineRule="auto"/>
              <w:rPr>
                <w:rFonts w:cs="Arial"/>
              </w:rPr>
            </w:pPr>
          </w:p>
          <w:p w14:paraId="321ADBE1" w14:textId="77777777" w:rsidR="00115458" w:rsidRPr="00D06BCE" w:rsidRDefault="00115458" w:rsidP="00D06BCE">
            <w:pPr>
              <w:spacing w:after="0" w:line="240" w:lineRule="auto"/>
              <w:rPr>
                <w:rFonts w:cs="Arial"/>
              </w:rPr>
            </w:pPr>
            <w:r w:rsidRPr="00D06BCE">
              <w:rPr>
                <w:rFonts w:cs="Arial"/>
              </w:rPr>
              <w:t xml:space="preserve">The date the deductible (e.g. original) deposit was made with the FMD provider.  This date may be within or outside the current financial year and is determined by the original deposit date.  </w:t>
            </w:r>
          </w:p>
          <w:p w14:paraId="4B720621" w14:textId="77777777" w:rsidR="00115458" w:rsidRPr="00D06BCE" w:rsidRDefault="00115458" w:rsidP="00D06BCE">
            <w:pPr>
              <w:spacing w:after="0" w:line="240" w:lineRule="auto"/>
              <w:rPr>
                <w:rFonts w:cs="Arial"/>
              </w:rPr>
            </w:pPr>
          </w:p>
          <w:p w14:paraId="7061ED16" w14:textId="77777777" w:rsidR="00115458" w:rsidRPr="00D06BCE" w:rsidRDefault="00115458" w:rsidP="00D06BCE">
            <w:pPr>
              <w:spacing w:after="0" w:line="240" w:lineRule="auto"/>
              <w:rPr>
                <w:rFonts w:cs="Arial"/>
              </w:rPr>
            </w:pPr>
            <w:r w:rsidRPr="00D06BCE">
              <w:rPr>
                <w:rFonts w:cs="Arial"/>
              </w:rPr>
              <w:t xml:space="preserve">If the full date the deposit was made is not available report the month and year only. </w:t>
            </w:r>
          </w:p>
        </w:tc>
      </w:tr>
      <w:tr w:rsidR="00115458" w:rsidRPr="00B257C4" w14:paraId="5A4A1A3D" w14:textId="77777777" w:rsidTr="00427C84">
        <w:tc>
          <w:tcPr>
            <w:tcW w:w="641" w:type="pct"/>
            <w:vAlign w:val="center"/>
          </w:tcPr>
          <w:p w14:paraId="369CE6EA" w14:textId="32C73214" w:rsidR="00115458" w:rsidRPr="00D06BCE" w:rsidRDefault="00115458" w:rsidP="00D06BCE">
            <w:pPr>
              <w:spacing w:after="0" w:line="240" w:lineRule="auto"/>
              <w:rPr>
                <w:rFonts w:cs="Arial"/>
              </w:rPr>
            </w:pPr>
            <w:r w:rsidDel="00182B00">
              <w:t>9.</w:t>
            </w:r>
            <w:r w:rsidR="00182B00">
              <w:t>155</w:t>
            </w:r>
          </w:p>
        </w:tc>
        <w:tc>
          <w:tcPr>
            <w:tcW w:w="1354" w:type="pct"/>
            <w:vAlign w:val="center"/>
          </w:tcPr>
          <w:p w14:paraId="3C537A59" w14:textId="77777777" w:rsidR="00115458" w:rsidRPr="00D06BCE" w:rsidRDefault="00115458" w:rsidP="00D06BCE">
            <w:pPr>
              <w:spacing w:after="0" w:line="240" w:lineRule="auto"/>
              <w:rPr>
                <w:rFonts w:cs="Arial"/>
              </w:rPr>
            </w:pPr>
            <w:r w:rsidRPr="00D06BCE">
              <w:rPr>
                <w:rFonts w:cs="Arial"/>
              </w:rPr>
              <w:t>Amount of repayment</w:t>
            </w:r>
          </w:p>
        </w:tc>
        <w:tc>
          <w:tcPr>
            <w:tcW w:w="3005" w:type="pct"/>
          </w:tcPr>
          <w:p w14:paraId="69896BEA" w14:textId="77777777" w:rsidR="00115458" w:rsidRPr="00D06BCE" w:rsidRDefault="00115458" w:rsidP="00D06BCE">
            <w:pPr>
              <w:spacing w:after="0" w:line="240" w:lineRule="auto"/>
              <w:rPr>
                <w:rFonts w:cs="Arial"/>
              </w:rPr>
            </w:pPr>
            <w:r w:rsidRPr="00D06BCE">
              <w:rPr>
                <w:rFonts w:cs="Arial"/>
              </w:rPr>
              <w:t xml:space="preserve">Each repayment should be reported separately </w:t>
            </w:r>
          </w:p>
          <w:p w14:paraId="57FDEA11" w14:textId="77777777" w:rsidR="00115458" w:rsidRPr="00D06BCE" w:rsidRDefault="00115458" w:rsidP="00D06BCE">
            <w:pPr>
              <w:spacing w:after="0" w:line="240" w:lineRule="auto"/>
              <w:rPr>
                <w:rFonts w:cs="Arial"/>
              </w:rPr>
            </w:pPr>
          </w:p>
          <w:p w14:paraId="430963E5" w14:textId="77777777" w:rsidR="00115458" w:rsidRPr="00D06BCE" w:rsidRDefault="00115458" w:rsidP="00D06BCE">
            <w:pPr>
              <w:spacing w:after="0" w:line="240" w:lineRule="auto"/>
              <w:rPr>
                <w:rFonts w:cs="Arial"/>
              </w:rPr>
            </w:pPr>
            <w:r w:rsidRPr="00D06BCE">
              <w:rPr>
                <w:rFonts w:cs="Arial"/>
              </w:rPr>
              <w:t>If reporters cannot distinguish between repayments and transfers out, the debit transaction can be reported at this field.</w:t>
            </w:r>
          </w:p>
        </w:tc>
      </w:tr>
      <w:tr w:rsidR="00115458" w:rsidRPr="00B257C4" w14:paraId="4670CB1D" w14:textId="77777777" w:rsidTr="00427C84">
        <w:tc>
          <w:tcPr>
            <w:tcW w:w="641" w:type="pct"/>
            <w:vAlign w:val="center"/>
          </w:tcPr>
          <w:p w14:paraId="67DD6C07" w14:textId="2DFC1E1D" w:rsidR="00115458" w:rsidRPr="00D06BCE" w:rsidRDefault="00115458" w:rsidP="00D06BCE">
            <w:pPr>
              <w:spacing w:after="0" w:line="240" w:lineRule="auto"/>
              <w:rPr>
                <w:rFonts w:cs="Arial"/>
              </w:rPr>
            </w:pPr>
            <w:r w:rsidDel="00D84C2A">
              <w:t>9.</w:t>
            </w:r>
            <w:r w:rsidR="00D84C2A">
              <w:t>156</w:t>
            </w:r>
          </w:p>
        </w:tc>
        <w:tc>
          <w:tcPr>
            <w:tcW w:w="1354" w:type="pct"/>
            <w:vAlign w:val="center"/>
          </w:tcPr>
          <w:p w14:paraId="34862887" w14:textId="77777777" w:rsidR="00115458" w:rsidRPr="00D06BCE" w:rsidRDefault="00115458" w:rsidP="00D06BCE">
            <w:pPr>
              <w:spacing w:after="0" w:line="240" w:lineRule="auto"/>
              <w:rPr>
                <w:rFonts w:cs="Arial"/>
              </w:rPr>
            </w:pPr>
            <w:r w:rsidRPr="00D06BCE">
              <w:rPr>
                <w:rFonts w:cs="Arial"/>
              </w:rPr>
              <w:t>Date of repayment</w:t>
            </w:r>
          </w:p>
        </w:tc>
        <w:tc>
          <w:tcPr>
            <w:tcW w:w="3005" w:type="pct"/>
          </w:tcPr>
          <w:p w14:paraId="19CD90AC" w14:textId="77777777" w:rsidR="00115458" w:rsidRPr="00D06BCE" w:rsidRDefault="00115458" w:rsidP="00D06BCE">
            <w:pPr>
              <w:spacing w:after="0" w:line="240" w:lineRule="auto"/>
              <w:rPr>
                <w:rFonts w:cs="Arial"/>
              </w:rPr>
            </w:pPr>
            <w:r w:rsidRPr="00D06BCE">
              <w:rPr>
                <w:rFonts w:cs="Arial"/>
              </w:rPr>
              <w:t xml:space="preserve">The date each repayment was made. </w:t>
            </w:r>
          </w:p>
          <w:p w14:paraId="7E33D0DA" w14:textId="77777777" w:rsidR="00115458" w:rsidRPr="00D06BCE" w:rsidRDefault="00115458" w:rsidP="00D06BCE">
            <w:pPr>
              <w:spacing w:after="0" w:line="240" w:lineRule="auto"/>
              <w:rPr>
                <w:rFonts w:cs="Arial"/>
              </w:rPr>
            </w:pPr>
          </w:p>
          <w:p w14:paraId="24E02825" w14:textId="77777777" w:rsidR="00115458" w:rsidRPr="00D06BCE" w:rsidRDefault="00115458" w:rsidP="00D06BCE">
            <w:pPr>
              <w:spacing w:after="0" w:line="240" w:lineRule="auto"/>
              <w:rPr>
                <w:rFonts w:cs="Arial"/>
              </w:rPr>
            </w:pPr>
            <w:r w:rsidRPr="00D06BCE">
              <w:rPr>
                <w:rFonts w:cs="Arial"/>
              </w:rPr>
              <w:t xml:space="preserve">If the full date of the repayment is not available report the month and year only. </w:t>
            </w:r>
          </w:p>
        </w:tc>
      </w:tr>
      <w:tr w:rsidR="00115458" w:rsidRPr="00B257C4" w14:paraId="50813E16" w14:textId="77777777" w:rsidTr="00427C84">
        <w:tc>
          <w:tcPr>
            <w:tcW w:w="641" w:type="pct"/>
            <w:vAlign w:val="center"/>
          </w:tcPr>
          <w:p w14:paraId="702CEFCC" w14:textId="085B22BB" w:rsidR="00115458" w:rsidRPr="00D06BCE" w:rsidRDefault="00115458" w:rsidP="00D06BCE">
            <w:pPr>
              <w:spacing w:after="0" w:line="240" w:lineRule="auto"/>
              <w:rPr>
                <w:rFonts w:cs="Arial"/>
              </w:rPr>
            </w:pPr>
            <w:r w:rsidDel="003B64C6">
              <w:t>9.</w:t>
            </w:r>
            <w:r w:rsidR="003B64C6">
              <w:t>157</w:t>
            </w:r>
          </w:p>
        </w:tc>
        <w:tc>
          <w:tcPr>
            <w:tcW w:w="1354" w:type="pct"/>
            <w:vAlign w:val="center"/>
          </w:tcPr>
          <w:p w14:paraId="06F86444" w14:textId="77777777" w:rsidR="00115458" w:rsidRPr="00D06BCE" w:rsidRDefault="00115458" w:rsidP="00D06BCE">
            <w:pPr>
              <w:spacing w:after="0" w:line="240" w:lineRule="auto"/>
              <w:rPr>
                <w:rFonts w:cs="Arial"/>
              </w:rPr>
            </w:pPr>
            <w:r w:rsidRPr="00D06BCE">
              <w:rPr>
                <w:rFonts w:cs="Arial"/>
              </w:rPr>
              <w:t>Amount of transfer in</w:t>
            </w:r>
          </w:p>
        </w:tc>
        <w:tc>
          <w:tcPr>
            <w:tcW w:w="3005" w:type="pct"/>
          </w:tcPr>
          <w:p w14:paraId="022B41A0" w14:textId="77777777" w:rsidR="00115458" w:rsidRPr="00D06BCE" w:rsidRDefault="00115458" w:rsidP="00D06BCE">
            <w:pPr>
              <w:spacing w:after="0" w:line="240" w:lineRule="auto"/>
              <w:rPr>
                <w:rFonts w:cs="Arial"/>
              </w:rPr>
            </w:pPr>
            <w:r w:rsidRPr="00D06BCE">
              <w:rPr>
                <w:rFonts w:cs="Arial"/>
              </w:rPr>
              <w:t>This field is used for reporting a transfer in where reporters can distinguish between deposits and transfers in.</w:t>
            </w:r>
          </w:p>
        </w:tc>
      </w:tr>
      <w:tr w:rsidR="00115458" w:rsidRPr="00B257C4" w14:paraId="376E3DA5" w14:textId="77777777" w:rsidTr="00427C84">
        <w:tc>
          <w:tcPr>
            <w:tcW w:w="641" w:type="pct"/>
            <w:vAlign w:val="center"/>
          </w:tcPr>
          <w:p w14:paraId="0937BD38" w14:textId="0B33952D" w:rsidR="00115458" w:rsidRPr="00D06BCE" w:rsidRDefault="00115458" w:rsidP="00D06BCE">
            <w:pPr>
              <w:spacing w:after="0" w:line="240" w:lineRule="auto"/>
              <w:rPr>
                <w:rFonts w:cs="Arial"/>
              </w:rPr>
            </w:pPr>
            <w:r w:rsidDel="003B64C6">
              <w:t>9.</w:t>
            </w:r>
            <w:r w:rsidR="003B64C6">
              <w:t>15</w:t>
            </w:r>
            <w:r w:rsidR="00423041">
              <w:t>8</w:t>
            </w:r>
          </w:p>
        </w:tc>
        <w:tc>
          <w:tcPr>
            <w:tcW w:w="1354" w:type="pct"/>
            <w:vAlign w:val="center"/>
          </w:tcPr>
          <w:p w14:paraId="3A62D50D" w14:textId="77777777" w:rsidR="00115458" w:rsidRPr="00D06BCE" w:rsidRDefault="00115458" w:rsidP="00D06BCE">
            <w:pPr>
              <w:spacing w:after="0" w:line="240" w:lineRule="auto"/>
              <w:rPr>
                <w:rFonts w:cs="Arial"/>
              </w:rPr>
            </w:pPr>
            <w:r w:rsidRPr="00D06BCE">
              <w:rPr>
                <w:rFonts w:cs="Arial"/>
              </w:rPr>
              <w:t>Date of transfer in</w:t>
            </w:r>
          </w:p>
        </w:tc>
        <w:tc>
          <w:tcPr>
            <w:tcW w:w="3005" w:type="pct"/>
          </w:tcPr>
          <w:p w14:paraId="7C94270A" w14:textId="77777777" w:rsidR="00115458" w:rsidRPr="00D06BCE" w:rsidRDefault="00115458" w:rsidP="00D06BCE">
            <w:pPr>
              <w:spacing w:after="0" w:line="240" w:lineRule="auto"/>
              <w:rPr>
                <w:rFonts w:cs="Arial"/>
              </w:rPr>
            </w:pPr>
            <w:r w:rsidRPr="00D06BCE">
              <w:rPr>
                <w:rFonts w:cs="Arial"/>
              </w:rPr>
              <w:t xml:space="preserve">This field is used to report a date when the amount of transfer in is reported. </w:t>
            </w:r>
          </w:p>
          <w:p w14:paraId="5AAAAA3C" w14:textId="77777777" w:rsidR="00115458" w:rsidRPr="00D06BCE" w:rsidRDefault="00115458" w:rsidP="00D06BCE">
            <w:pPr>
              <w:spacing w:after="0" w:line="240" w:lineRule="auto"/>
              <w:rPr>
                <w:rFonts w:cs="Arial"/>
              </w:rPr>
            </w:pPr>
          </w:p>
          <w:p w14:paraId="6051A686" w14:textId="77777777" w:rsidR="00115458" w:rsidRPr="00D06BCE" w:rsidRDefault="00115458" w:rsidP="00D06BCE">
            <w:pPr>
              <w:spacing w:after="0" w:line="240" w:lineRule="auto"/>
              <w:rPr>
                <w:rFonts w:cs="Arial"/>
              </w:rPr>
            </w:pPr>
            <w:r w:rsidRPr="00D06BCE">
              <w:rPr>
                <w:rFonts w:cs="Arial"/>
              </w:rPr>
              <w:t xml:space="preserve">If the full date of the transfer is not available report the month and year only. </w:t>
            </w:r>
          </w:p>
        </w:tc>
      </w:tr>
      <w:tr w:rsidR="00115458" w:rsidRPr="00B257C4" w14:paraId="6A39D8E3" w14:textId="77777777" w:rsidTr="00427C84">
        <w:tc>
          <w:tcPr>
            <w:tcW w:w="641" w:type="pct"/>
            <w:vAlign w:val="center"/>
          </w:tcPr>
          <w:p w14:paraId="1B3FAA0D" w14:textId="4EF901E8" w:rsidR="00115458" w:rsidRPr="00D06BCE" w:rsidRDefault="00115458" w:rsidP="00D06BCE">
            <w:pPr>
              <w:spacing w:after="0" w:line="240" w:lineRule="auto"/>
              <w:rPr>
                <w:rFonts w:cs="Arial"/>
              </w:rPr>
            </w:pPr>
            <w:r w:rsidRPr="00D06BCE" w:rsidDel="003B5EEC">
              <w:rPr>
                <w:rFonts w:cs="Arial"/>
              </w:rPr>
              <w:t>9.</w:t>
            </w:r>
            <w:r w:rsidR="00D25F88">
              <w:rPr>
                <w:rFonts w:cs="Arial"/>
              </w:rPr>
              <w:t>163</w:t>
            </w:r>
          </w:p>
        </w:tc>
        <w:tc>
          <w:tcPr>
            <w:tcW w:w="1354" w:type="pct"/>
            <w:vAlign w:val="center"/>
          </w:tcPr>
          <w:p w14:paraId="746B76A8" w14:textId="77777777" w:rsidR="00115458" w:rsidRPr="00D06BCE" w:rsidRDefault="00115458" w:rsidP="00D06BCE">
            <w:pPr>
              <w:spacing w:after="0" w:line="240" w:lineRule="auto"/>
              <w:rPr>
                <w:rFonts w:cs="Arial"/>
              </w:rPr>
            </w:pPr>
            <w:r w:rsidRPr="00D06BCE">
              <w:rPr>
                <w:rFonts w:cs="Arial"/>
              </w:rPr>
              <w:t xml:space="preserve">TFN withholding tax deducted from repayments in the financial year </w:t>
            </w:r>
          </w:p>
        </w:tc>
        <w:tc>
          <w:tcPr>
            <w:tcW w:w="3005" w:type="pct"/>
          </w:tcPr>
          <w:p w14:paraId="59B4053D" w14:textId="77777777" w:rsidR="00115458" w:rsidRPr="00D06BCE" w:rsidRDefault="00115458" w:rsidP="00D06BCE">
            <w:pPr>
              <w:spacing w:after="0" w:line="240" w:lineRule="auto"/>
              <w:rPr>
                <w:rFonts w:cs="Arial"/>
              </w:rPr>
            </w:pPr>
            <w:r w:rsidRPr="00D06BCE">
              <w:rPr>
                <w:rFonts w:cs="Arial"/>
              </w:rPr>
              <w:t>If an FMD owner has not provided a TFN for the FMD TFN withholding tax must be deducted from repayments in the financial year and reported at this field.  There is no withholding threshold for TFN withholding deducted from repayments</w:t>
            </w:r>
          </w:p>
        </w:tc>
      </w:tr>
    </w:tbl>
    <w:p w14:paraId="4842739A" w14:textId="77777777" w:rsidR="00115458" w:rsidRPr="00B35C0A" w:rsidRDefault="00115458" w:rsidP="00115458">
      <w:pPr>
        <w:pStyle w:val="Heading3"/>
      </w:pPr>
      <w:bookmarkStart w:id="1947" w:name="_Toc232191376"/>
      <w:r w:rsidRPr="00B35C0A">
        <w:t>Consolidated accounts and accounts held for more than 12 months</w:t>
      </w:r>
      <w:bookmarkEnd w:id="1947"/>
    </w:p>
    <w:p w14:paraId="3859AD71" w14:textId="77777777" w:rsidR="00115458" w:rsidRPr="00D06BCE" w:rsidRDefault="00115458" w:rsidP="00D06BCE">
      <w:pPr>
        <w:spacing w:after="0" w:line="240" w:lineRule="auto"/>
        <w:rPr>
          <w:rFonts w:cs="Arial"/>
        </w:rPr>
      </w:pPr>
      <w:r w:rsidRPr="00D06BCE">
        <w:rPr>
          <w:rFonts w:cs="Arial"/>
        </w:rPr>
        <w:t xml:space="preserve">Reporting requirements for conditional/optional FMD transaction fields (excluding interest) are:  </w:t>
      </w:r>
    </w:p>
    <w:p w14:paraId="635FA15D" w14:textId="77777777" w:rsidR="00115458" w:rsidRPr="00D06BCE" w:rsidRDefault="00115458" w:rsidP="00D06BCE">
      <w:pPr>
        <w:spacing w:after="0" w:line="24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27"/>
        <w:gridCol w:w="2497"/>
        <w:gridCol w:w="5564"/>
      </w:tblGrid>
      <w:tr w:rsidR="00115458" w:rsidRPr="00D06BCE" w14:paraId="09F470BE" w14:textId="77777777" w:rsidTr="000C1365">
        <w:trPr>
          <w:tblHeader/>
        </w:trPr>
        <w:tc>
          <w:tcPr>
            <w:tcW w:w="641" w:type="pct"/>
            <w:shd w:val="clear" w:color="auto" w:fill="BFBFBF" w:themeFill="background1" w:themeFillShade="BF"/>
            <w:vAlign w:val="center"/>
          </w:tcPr>
          <w:p w14:paraId="66BE5A67" w14:textId="77777777" w:rsidR="00115458" w:rsidRPr="00D06BCE" w:rsidRDefault="00115458" w:rsidP="00D06BCE">
            <w:pPr>
              <w:spacing w:after="0" w:line="240" w:lineRule="auto"/>
              <w:rPr>
                <w:rFonts w:cs="Arial"/>
                <w:b/>
                <w:bCs/>
              </w:rPr>
            </w:pPr>
            <w:r w:rsidRPr="00D06BCE">
              <w:rPr>
                <w:rFonts w:cs="Arial"/>
                <w:b/>
                <w:bCs/>
              </w:rPr>
              <w:t>Reference</w:t>
            </w:r>
          </w:p>
          <w:p w14:paraId="2F9F17A8" w14:textId="77777777" w:rsidR="00115458" w:rsidRPr="00D06BCE" w:rsidRDefault="00115458" w:rsidP="00D06BCE">
            <w:pPr>
              <w:spacing w:after="0" w:line="240" w:lineRule="auto"/>
              <w:rPr>
                <w:rFonts w:cs="Arial"/>
                <w:b/>
                <w:bCs/>
              </w:rPr>
            </w:pPr>
            <w:r w:rsidRPr="00D06BCE">
              <w:rPr>
                <w:rFonts w:cs="Arial"/>
                <w:b/>
                <w:bCs/>
              </w:rPr>
              <w:t>Number</w:t>
            </w:r>
          </w:p>
        </w:tc>
        <w:tc>
          <w:tcPr>
            <w:tcW w:w="1354" w:type="pct"/>
            <w:shd w:val="clear" w:color="auto" w:fill="BFBFBF" w:themeFill="background1" w:themeFillShade="BF"/>
            <w:vAlign w:val="center"/>
          </w:tcPr>
          <w:p w14:paraId="055B53A3" w14:textId="77777777" w:rsidR="00115458" w:rsidRPr="00D06BCE" w:rsidRDefault="00115458" w:rsidP="00D06BCE">
            <w:pPr>
              <w:spacing w:after="0" w:line="240" w:lineRule="auto"/>
              <w:rPr>
                <w:rFonts w:cs="Arial"/>
                <w:b/>
                <w:bCs/>
              </w:rPr>
            </w:pPr>
            <w:r w:rsidRPr="00D06BCE">
              <w:rPr>
                <w:rFonts w:cs="Arial"/>
                <w:b/>
                <w:bCs/>
              </w:rPr>
              <w:t>Field Name</w:t>
            </w:r>
          </w:p>
        </w:tc>
        <w:tc>
          <w:tcPr>
            <w:tcW w:w="3005" w:type="pct"/>
            <w:shd w:val="clear" w:color="auto" w:fill="BFBFBF" w:themeFill="background1" w:themeFillShade="BF"/>
            <w:vAlign w:val="center"/>
          </w:tcPr>
          <w:p w14:paraId="1BA45242" w14:textId="77777777" w:rsidR="00115458" w:rsidRPr="00D06BCE" w:rsidRDefault="00115458" w:rsidP="00D06BCE">
            <w:pPr>
              <w:spacing w:after="0" w:line="240" w:lineRule="auto"/>
              <w:rPr>
                <w:rFonts w:cs="Arial"/>
                <w:b/>
                <w:bCs/>
              </w:rPr>
            </w:pPr>
            <w:r w:rsidRPr="00D06BCE">
              <w:rPr>
                <w:rFonts w:cs="Arial"/>
                <w:b/>
                <w:bCs/>
              </w:rPr>
              <w:t>Requirements</w:t>
            </w:r>
          </w:p>
        </w:tc>
      </w:tr>
      <w:tr w:rsidR="00115458" w:rsidRPr="00D06BCE" w14:paraId="24B93538" w14:textId="77777777" w:rsidTr="00427C84">
        <w:tc>
          <w:tcPr>
            <w:tcW w:w="641" w:type="pct"/>
            <w:vAlign w:val="center"/>
          </w:tcPr>
          <w:p w14:paraId="0195D66F" w14:textId="1E5436E4" w:rsidR="00115458" w:rsidRPr="00D06BCE" w:rsidRDefault="00E548B4" w:rsidP="00D06BCE">
            <w:pPr>
              <w:spacing w:after="0" w:line="240" w:lineRule="auto"/>
              <w:rPr>
                <w:rFonts w:cs="Arial"/>
              </w:rPr>
            </w:pPr>
            <w:r>
              <w:rPr>
                <w:rFonts w:cs="Arial"/>
              </w:rPr>
              <w:t>9.152</w:t>
            </w:r>
          </w:p>
        </w:tc>
        <w:tc>
          <w:tcPr>
            <w:tcW w:w="1354" w:type="pct"/>
            <w:vAlign w:val="center"/>
          </w:tcPr>
          <w:p w14:paraId="6C5016A5" w14:textId="77777777" w:rsidR="00115458" w:rsidRPr="00D06BCE" w:rsidRDefault="00115458" w:rsidP="00D06BCE">
            <w:pPr>
              <w:spacing w:after="0" w:line="240" w:lineRule="auto"/>
              <w:rPr>
                <w:rFonts w:cs="Arial"/>
              </w:rPr>
            </w:pPr>
            <w:r w:rsidRPr="00D06BCE">
              <w:rPr>
                <w:rFonts w:cs="Arial"/>
              </w:rPr>
              <w:t>Amount of deductible deposit</w:t>
            </w:r>
          </w:p>
        </w:tc>
        <w:tc>
          <w:tcPr>
            <w:tcW w:w="3005" w:type="pct"/>
          </w:tcPr>
          <w:p w14:paraId="5781AC3B" w14:textId="34260899" w:rsidR="00115458" w:rsidRPr="00D06BCE" w:rsidRDefault="00115458" w:rsidP="00D06BCE">
            <w:pPr>
              <w:spacing w:after="0" w:line="240" w:lineRule="auto"/>
              <w:rPr>
                <w:rFonts w:cs="Arial"/>
              </w:rPr>
            </w:pPr>
            <w:r w:rsidRPr="00D06BCE">
              <w:rPr>
                <w:rFonts w:cs="Arial"/>
              </w:rPr>
              <w:t xml:space="preserve">This field is used to report the first deposit being consolidated if this is a new account. The second and subsequent deposits to be consolidated can be aggregated and reported as one amount at the </w:t>
            </w:r>
            <w:r w:rsidRPr="00D06BCE">
              <w:rPr>
                <w:rFonts w:cs="Arial"/>
                <w:i/>
              </w:rPr>
              <w:t>Amount of transfer in</w:t>
            </w:r>
            <w:r w:rsidRPr="00D06BCE">
              <w:rPr>
                <w:rFonts w:cs="Arial"/>
              </w:rPr>
              <w:t xml:space="preserve"> (</w:t>
            </w:r>
            <w:r w:rsidDel="003B64C6">
              <w:t>9.</w:t>
            </w:r>
            <w:r w:rsidR="003B64C6">
              <w:t>157</w:t>
            </w:r>
            <w:r w:rsidRPr="00D06BCE">
              <w:rPr>
                <w:rFonts w:cs="Arial"/>
              </w:rPr>
              <w:t xml:space="preserve">) field. If an existing account is being used to accept other accounts then this field is left blank and the accounts being consolidated in to this existing account aggregated and reported as one amount at the </w:t>
            </w:r>
            <w:r w:rsidRPr="00D06BCE">
              <w:rPr>
                <w:rFonts w:cs="Arial"/>
                <w:i/>
              </w:rPr>
              <w:t>Amount of transfer in</w:t>
            </w:r>
            <w:r w:rsidRPr="00D06BCE">
              <w:rPr>
                <w:rFonts w:cs="Arial"/>
              </w:rPr>
              <w:t xml:space="preserve"> (</w:t>
            </w:r>
            <w:r w:rsidDel="003B64C6">
              <w:t>9.</w:t>
            </w:r>
            <w:r w:rsidR="003B64C6">
              <w:t>157</w:t>
            </w:r>
            <w:r w:rsidRPr="00D06BCE">
              <w:rPr>
                <w:rFonts w:cs="Arial"/>
              </w:rPr>
              <w:t>) field</w:t>
            </w:r>
          </w:p>
        </w:tc>
      </w:tr>
      <w:tr w:rsidR="00115458" w:rsidRPr="00D06BCE" w14:paraId="37157BD5" w14:textId="77777777" w:rsidTr="00427C84">
        <w:tc>
          <w:tcPr>
            <w:tcW w:w="641" w:type="pct"/>
            <w:vAlign w:val="center"/>
          </w:tcPr>
          <w:p w14:paraId="703B5A64" w14:textId="75923DD3" w:rsidR="00115458" w:rsidRPr="00D06BCE" w:rsidRDefault="00115458" w:rsidP="00D06BCE">
            <w:pPr>
              <w:spacing w:after="0" w:line="240" w:lineRule="auto"/>
              <w:rPr>
                <w:rFonts w:cs="Arial"/>
              </w:rPr>
            </w:pPr>
            <w:r w:rsidDel="00704E70">
              <w:t>9.</w:t>
            </w:r>
            <w:r w:rsidR="00704E70">
              <w:t>153</w:t>
            </w:r>
          </w:p>
        </w:tc>
        <w:tc>
          <w:tcPr>
            <w:tcW w:w="1354" w:type="pct"/>
            <w:vAlign w:val="center"/>
          </w:tcPr>
          <w:p w14:paraId="30079F3F" w14:textId="77777777" w:rsidR="00115458" w:rsidRPr="00D06BCE" w:rsidRDefault="00115458" w:rsidP="00D06BCE">
            <w:pPr>
              <w:spacing w:after="0" w:line="240" w:lineRule="auto"/>
              <w:rPr>
                <w:rFonts w:cs="Arial"/>
              </w:rPr>
            </w:pPr>
            <w:r w:rsidRPr="00D06BCE">
              <w:rPr>
                <w:rFonts w:cs="Arial"/>
              </w:rPr>
              <w:t>Date of deductible deposit</w:t>
            </w:r>
          </w:p>
        </w:tc>
        <w:tc>
          <w:tcPr>
            <w:tcW w:w="3005" w:type="pct"/>
          </w:tcPr>
          <w:p w14:paraId="2F750389" w14:textId="77777777" w:rsidR="00115458" w:rsidRPr="00D06BCE" w:rsidRDefault="00115458" w:rsidP="00D06BCE">
            <w:pPr>
              <w:spacing w:after="0" w:line="240" w:lineRule="auto"/>
              <w:rPr>
                <w:rFonts w:cs="Arial"/>
              </w:rPr>
            </w:pPr>
            <w:r w:rsidRPr="00D06BCE">
              <w:rPr>
                <w:rFonts w:cs="Arial"/>
              </w:rPr>
              <w:t>This field is not required for deposits more than 12 months old. Deposits less than 12 months old should not be consolidated.</w:t>
            </w:r>
          </w:p>
        </w:tc>
      </w:tr>
      <w:tr w:rsidR="00115458" w:rsidRPr="00D06BCE" w14:paraId="561FFBFD" w14:textId="77777777" w:rsidTr="00427C84">
        <w:tc>
          <w:tcPr>
            <w:tcW w:w="641" w:type="pct"/>
            <w:vAlign w:val="center"/>
          </w:tcPr>
          <w:p w14:paraId="4E3C64C8" w14:textId="0FA923D2" w:rsidR="00115458" w:rsidRPr="00A002E5" w:rsidRDefault="00115458" w:rsidP="00D06BCE">
            <w:pPr>
              <w:spacing w:after="0" w:line="240" w:lineRule="auto"/>
              <w:rPr>
                <w:rFonts w:cs="Arial"/>
                <w:b/>
                <w:bCs/>
              </w:rPr>
            </w:pPr>
            <w:r w:rsidDel="00D428B9">
              <w:t>9.</w:t>
            </w:r>
            <w:r w:rsidR="00D428B9">
              <w:t>154</w:t>
            </w:r>
          </w:p>
        </w:tc>
        <w:tc>
          <w:tcPr>
            <w:tcW w:w="1354" w:type="pct"/>
            <w:vAlign w:val="center"/>
          </w:tcPr>
          <w:p w14:paraId="7DF334A7" w14:textId="77777777" w:rsidR="00115458" w:rsidRPr="00D06BCE" w:rsidRDefault="00115458" w:rsidP="00D06BCE">
            <w:pPr>
              <w:spacing w:after="0" w:line="240" w:lineRule="auto"/>
              <w:rPr>
                <w:rFonts w:cs="Arial"/>
              </w:rPr>
            </w:pPr>
            <w:r w:rsidRPr="00D06BCE">
              <w:rPr>
                <w:rFonts w:cs="Arial"/>
              </w:rPr>
              <w:t>Date of original deductible deposit</w:t>
            </w:r>
          </w:p>
        </w:tc>
        <w:tc>
          <w:tcPr>
            <w:tcW w:w="3005" w:type="pct"/>
          </w:tcPr>
          <w:p w14:paraId="7637EF5D" w14:textId="77777777" w:rsidR="00115458" w:rsidRPr="00D06BCE" w:rsidRDefault="00115458" w:rsidP="00D06BCE">
            <w:pPr>
              <w:spacing w:after="0" w:line="240" w:lineRule="auto"/>
              <w:rPr>
                <w:rFonts w:cs="Arial"/>
              </w:rPr>
            </w:pPr>
            <w:r w:rsidRPr="00D06BCE">
              <w:rPr>
                <w:rFonts w:cs="Arial"/>
              </w:rPr>
              <w:t xml:space="preserve">This field is required for deposits and transfers in more than 12 months old including consolidated accounts. This should be the original date of the latest FMD deposit or the end of the financial year of the previous year.  </w:t>
            </w:r>
          </w:p>
          <w:p w14:paraId="5AE6B6FF" w14:textId="77777777" w:rsidR="00115458" w:rsidRPr="00D06BCE" w:rsidRDefault="00115458" w:rsidP="00D06BCE">
            <w:pPr>
              <w:spacing w:after="0" w:line="240" w:lineRule="auto"/>
              <w:rPr>
                <w:rFonts w:cs="Arial"/>
              </w:rPr>
            </w:pPr>
          </w:p>
          <w:p w14:paraId="60074A59" w14:textId="4DCB0800" w:rsidR="00115458" w:rsidRPr="00D06BCE" w:rsidRDefault="00115458" w:rsidP="00D06BCE">
            <w:pPr>
              <w:spacing w:after="0" w:line="240" w:lineRule="auto"/>
              <w:rPr>
                <w:rFonts w:cs="Arial"/>
              </w:rPr>
            </w:pPr>
            <w:r w:rsidRPr="00D06BCE">
              <w:rPr>
                <w:rFonts w:cs="Arial"/>
              </w:rPr>
              <w:t>For example, two deposits are to be consolidated.  Date of deposit for the first deposit was 10/12/20</w:t>
            </w:r>
            <w:r w:rsidR="00EF446B">
              <w:rPr>
                <w:rFonts w:cs="Arial"/>
              </w:rPr>
              <w:t>25</w:t>
            </w:r>
            <w:r w:rsidRPr="00D06BCE">
              <w:rPr>
                <w:rFonts w:cs="Arial"/>
              </w:rPr>
              <w:t xml:space="preserve"> and the date of deposit of the second deposit was 27/08/20</w:t>
            </w:r>
            <w:r w:rsidR="00EF446B">
              <w:rPr>
                <w:rFonts w:cs="Arial"/>
              </w:rPr>
              <w:t>26</w:t>
            </w:r>
            <w:r w:rsidRPr="00D06BCE">
              <w:rPr>
                <w:rFonts w:cs="Arial"/>
              </w:rPr>
              <w:t>, report 27/08/20</w:t>
            </w:r>
            <w:r w:rsidR="00EF446B">
              <w:rPr>
                <w:rFonts w:cs="Arial"/>
              </w:rPr>
              <w:t>26</w:t>
            </w:r>
            <w:r w:rsidRPr="00D06BCE">
              <w:rPr>
                <w:rFonts w:cs="Arial"/>
              </w:rPr>
              <w:t xml:space="preserve"> or 30/06/CCYY where CCYY = the previous financial year. </w:t>
            </w:r>
          </w:p>
          <w:p w14:paraId="12BC1FE3" w14:textId="77777777" w:rsidR="00115458" w:rsidRPr="00D06BCE" w:rsidRDefault="00115458" w:rsidP="00D06BCE">
            <w:pPr>
              <w:spacing w:after="0" w:line="240" w:lineRule="auto"/>
              <w:rPr>
                <w:rFonts w:cs="Arial"/>
              </w:rPr>
            </w:pPr>
            <w:r w:rsidRPr="00D06BCE">
              <w:rPr>
                <w:rFonts w:cs="Arial"/>
              </w:rPr>
              <w:t>If the full date the deposit was made is not available report the month and year only.</w:t>
            </w:r>
          </w:p>
        </w:tc>
      </w:tr>
      <w:tr w:rsidR="00115458" w:rsidRPr="00D06BCE" w14:paraId="19D2EB9F" w14:textId="77777777" w:rsidTr="00427C84">
        <w:tc>
          <w:tcPr>
            <w:tcW w:w="641" w:type="pct"/>
            <w:vAlign w:val="center"/>
          </w:tcPr>
          <w:p w14:paraId="2412FF6A" w14:textId="04129B30" w:rsidR="00115458" w:rsidRPr="00D06BCE" w:rsidRDefault="00115458" w:rsidP="00D06BCE">
            <w:pPr>
              <w:spacing w:after="0" w:line="240" w:lineRule="auto"/>
              <w:rPr>
                <w:rFonts w:cs="Arial"/>
              </w:rPr>
            </w:pPr>
            <w:r w:rsidDel="003B64C6">
              <w:t>9.</w:t>
            </w:r>
            <w:r w:rsidR="003B64C6">
              <w:t>157</w:t>
            </w:r>
          </w:p>
        </w:tc>
        <w:tc>
          <w:tcPr>
            <w:tcW w:w="1354" w:type="pct"/>
            <w:vAlign w:val="center"/>
          </w:tcPr>
          <w:p w14:paraId="07DD4B92" w14:textId="77777777" w:rsidR="00115458" w:rsidRPr="00D06BCE" w:rsidRDefault="00115458" w:rsidP="00D06BCE">
            <w:pPr>
              <w:spacing w:after="0" w:line="240" w:lineRule="auto"/>
              <w:rPr>
                <w:rFonts w:cs="Arial"/>
              </w:rPr>
            </w:pPr>
            <w:r w:rsidRPr="00D06BCE">
              <w:rPr>
                <w:rFonts w:cs="Arial"/>
              </w:rPr>
              <w:t>Amount of transfer in</w:t>
            </w:r>
          </w:p>
        </w:tc>
        <w:tc>
          <w:tcPr>
            <w:tcW w:w="3005" w:type="pct"/>
          </w:tcPr>
          <w:p w14:paraId="4FA8CD25" w14:textId="77777777" w:rsidR="00115458" w:rsidRPr="00D06BCE" w:rsidRDefault="00115458" w:rsidP="00D06BCE">
            <w:pPr>
              <w:spacing w:after="0" w:line="240" w:lineRule="auto"/>
              <w:rPr>
                <w:rFonts w:cs="Arial"/>
              </w:rPr>
            </w:pPr>
            <w:r w:rsidRPr="00D06BCE">
              <w:rPr>
                <w:rFonts w:cs="Arial"/>
              </w:rPr>
              <w:t>This field is used to report the additional deposits, after the first one, being consolidated. The additional deposits can be aggregated and reported here as one amount. Interest that is payable on an account should not be treated as a transfer in and a transfer out – it only appears at 9.79</w:t>
            </w:r>
          </w:p>
        </w:tc>
      </w:tr>
      <w:tr w:rsidR="00115458" w:rsidRPr="00D06BCE" w14:paraId="75DDB8A3" w14:textId="77777777" w:rsidTr="00427C84">
        <w:tc>
          <w:tcPr>
            <w:tcW w:w="641" w:type="pct"/>
            <w:vAlign w:val="center"/>
          </w:tcPr>
          <w:p w14:paraId="4BA5EACF" w14:textId="7029E285" w:rsidR="00115458" w:rsidRPr="00D06BCE" w:rsidRDefault="00115458" w:rsidP="00D06BCE">
            <w:pPr>
              <w:spacing w:after="0" w:line="240" w:lineRule="auto"/>
              <w:rPr>
                <w:rFonts w:cs="Arial"/>
              </w:rPr>
            </w:pPr>
            <w:r w:rsidDel="00423041">
              <w:t>9.</w:t>
            </w:r>
            <w:r w:rsidR="00423041">
              <w:t>158</w:t>
            </w:r>
          </w:p>
        </w:tc>
        <w:tc>
          <w:tcPr>
            <w:tcW w:w="1354" w:type="pct"/>
            <w:vAlign w:val="center"/>
          </w:tcPr>
          <w:p w14:paraId="372DDBF2" w14:textId="77777777" w:rsidR="00115458" w:rsidRPr="00D06BCE" w:rsidRDefault="00115458" w:rsidP="00D06BCE">
            <w:pPr>
              <w:spacing w:after="0" w:line="240" w:lineRule="auto"/>
              <w:rPr>
                <w:rFonts w:cs="Arial"/>
              </w:rPr>
            </w:pPr>
            <w:r w:rsidRPr="00D06BCE">
              <w:rPr>
                <w:rFonts w:cs="Arial"/>
              </w:rPr>
              <w:t>Date of transfer in</w:t>
            </w:r>
          </w:p>
        </w:tc>
        <w:tc>
          <w:tcPr>
            <w:tcW w:w="3005" w:type="pct"/>
          </w:tcPr>
          <w:p w14:paraId="755B9719" w14:textId="41F7A7B0" w:rsidR="00115458" w:rsidRPr="00D06BCE" w:rsidRDefault="00115458" w:rsidP="00D06BCE">
            <w:pPr>
              <w:spacing w:after="0" w:line="240" w:lineRule="auto"/>
              <w:rPr>
                <w:rFonts w:cs="Arial"/>
              </w:rPr>
            </w:pPr>
            <w:r w:rsidRPr="00D06BCE">
              <w:rPr>
                <w:rFonts w:cs="Arial"/>
              </w:rPr>
              <w:t xml:space="preserve">This field is used to report a date when the amount of transfer in is reported. If an aggregated amount is reported at </w:t>
            </w:r>
            <w:r w:rsidRPr="00D06BCE">
              <w:rPr>
                <w:rFonts w:cs="Arial"/>
                <w:i/>
              </w:rPr>
              <w:t>Amount of transfer in</w:t>
            </w:r>
            <w:r w:rsidRPr="00D06BCE">
              <w:rPr>
                <w:rFonts w:cs="Arial"/>
              </w:rPr>
              <w:t xml:space="preserve"> (</w:t>
            </w:r>
            <w:r w:rsidDel="003B64C6">
              <w:t>9.</w:t>
            </w:r>
            <w:r w:rsidR="003B64C6">
              <w:t>157</w:t>
            </w:r>
            <w:r w:rsidRPr="00D06BCE">
              <w:rPr>
                <w:rFonts w:cs="Arial"/>
              </w:rPr>
              <w:t xml:space="preserve">) field this date should be 30 June of the last financial year. </w:t>
            </w:r>
          </w:p>
          <w:p w14:paraId="55C07F29" w14:textId="77777777" w:rsidR="00115458" w:rsidRPr="00D06BCE" w:rsidRDefault="00115458" w:rsidP="00D06BCE">
            <w:pPr>
              <w:spacing w:after="0" w:line="240" w:lineRule="auto"/>
              <w:rPr>
                <w:rFonts w:cs="Arial"/>
              </w:rPr>
            </w:pPr>
          </w:p>
          <w:p w14:paraId="54DB2315" w14:textId="77777777" w:rsidR="00115458" w:rsidRPr="00D06BCE" w:rsidRDefault="00115458" w:rsidP="00D06BCE">
            <w:pPr>
              <w:spacing w:after="0" w:line="240" w:lineRule="auto"/>
              <w:rPr>
                <w:rFonts w:cs="Arial"/>
              </w:rPr>
            </w:pPr>
            <w:r w:rsidRPr="00D06BCE">
              <w:rPr>
                <w:rFonts w:cs="Arial"/>
              </w:rPr>
              <w:t xml:space="preserve">If the full date of the transfer is not available report the month and year only. </w:t>
            </w:r>
          </w:p>
        </w:tc>
      </w:tr>
      <w:tr w:rsidR="00115458" w:rsidRPr="00D06BCE" w14:paraId="370DF5D0" w14:textId="77777777" w:rsidTr="00427C84">
        <w:tc>
          <w:tcPr>
            <w:tcW w:w="641" w:type="pct"/>
            <w:vAlign w:val="center"/>
          </w:tcPr>
          <w:p w14:paraId="56014784" w14:textId="46B6D631" w:rsidR="00115458" w:rsidRPr="00D06BCE" w:rsidRDefault="00115458" w:rsidP="00D06BCE">
            <w:pPr>
              <w:spacing w:after="0" w:line="240" w:lineRule="auto"/>
              <w:rPr>
                <w:rFonts w:cs="Arial"/>
              </w:rPr>
            </w:pPr>
            <w:r w:rsidDel="00182B00">
              <w:t>9.</w:t>
            </w:r>
            <w:r w:rsidR="00182B00">
              <w:t>155</w:t>
            </w:r>
          </w:p>
        </w:tc>
        <w:tc>
          <w:tcPr>
            <w:tcW w:w="1354" w:type="pct"/>
            <w:vAlign w:val="center"/>
          </w:tcPr>
          <w:p w14:paraId="0A216800" w14:textId="77777777" w:rsidR="00115458" w:rsidRPr="00D06BCE" w:rsidRDefault="00115458" w:rsidP="00D06BCE">
            <w:pPr>
              <w:spacing w:after="0" w:line="240" w:lineRule="auto"/>
              <w:rPr>
                <w:rFonts w:cs="Arial"/>
              </w:rPr>
            </w:pPr>
            <w:r w:rsidRPr="00D06BCE">
              <w:rPr>
                <w:rFonts w:cs="Arial"/>
              </w:rPr>
              <w:t>Amount of Repayment</w:t>
            </w:r>
          </w:p>
        </w:tc>
        <w:tc>
          <w:tcPr>
            <w:tcW w:w="3005" w:type="pct"/>
          </w:tcPr>
          <w:p w14:paraId="3E9F81B2" w14:textId="7B9E9772" w:rsidR="00115458" w:rsidRPr="00D06BCE" w:rsidRDefault="00115458" w:rsidP="00D06BCE">
            <w:pPr>
              <w:spacing w:after="0" w:line="240" w:lineRule="auto"/>
              <w:rPr>
                <w:rFonts w:cs="Arial"/>
              </w:rPr>
            </w:pPr>
            <w:r w:rsidRPr="00D06BCE">
              <w:rPr>
                <w:rFonts w:cs="Arial"/>
              </w:rPr>
              <w:t xml:space="preserve">Report the first debit transaction in the first </w:t>
            </w:r>
            <w:r w:rsidRPr="00D06BCE">
              <w:rPr>
                <w:rFonts w:cs="Arial"/>
                <w:i/>
              </w:rPr>
              <w:t>Amount of repayment</w:t>
            </w:r>
            <w:r w:rsidRPr="00D06BCE">
              <w:rPr>
                <w:rFonts w:cs="Arial"/>
              </w:rPr>
              <w:t xml:space="preserve"> (</w:t>
            </w:r>
            <w:r w:rsidR="00D84C2A" w:rsidRPr="00D06BCE">
              <w:rPr>
                <w:rFonts w:cs="Arial"/>
              </w:rPr>
              <w:t>9.</w:t>
            </w:r>
            <w:r w:rsidR="00D84C2A">
              <w:t>156</w:t>
            </w:r>
            <w:r w:rsidRPr="00D06BCE">
              <w:rPr>
                <w:rFonts w:cs="Arial"/>
              </w:rPr>
              <w:t xml:space="preserve">) field and any others as an aggregated amount in the second </w:t>
            </w:r>
            <w:r w:rsidRPr="00D06BCE">
              <w:rPr>
                <w:rFonts w:cs="Arial"/>
                <w:i/>
              </w:rPr>
              <w:t>Amount of repayment</w:t>
            </w:r>
            <w:r w:rsidRPr="00D06BCE">
              <w:rPr>
                <w:rFonts w:cs="Arial"/>
              </w:rPr>
              <w:t xml:space="preserve"> (</w:t>
            </w:r>
            <w:r w:rsidR="00D84C2A" w:rsidRPr="00D06BCE">
              <w:rPr>
                <w:rFonts w:cs="Arial"/>
              </w:rPr>
              <w:t>9.</w:t>
            </w:r>
            <w:r w:rsidR="00D84C2A">
              <w:t>156</w:t>
            </w:r>
            <w:r w:rsidRPr="00D06BCE">
              <w:rPr>
                <w:rFonts w:cs="Arial"/>
              </w:rPr>
              <w:t xml:space="preserve">) field.  </w:t>
            </w:r>
          </w:p>
          <w:p w14:paraId="083F5E43" w14:textId="77777777" w:rsidR="00115458" w:rsidRPr="00D06BCE" w:rsidRDefault="00115458" w:rsidP="00D06BCE">
            <w:pPr>
              <w:spacing w:after="0" w:line="240" w:lineRule="auto"/>
              <w:rPr>
                <w:rFonts w:cs="Arial"/>
              </w:rPr>
            </w:pPr>
          </w:p>
          <w:p w14:paraId="020FE698" w14:textId="77777777" w:rsidR="00115458" w:rsidRPr="00D06BCE" w:rsidRDefault="00115458" w:rsidP="00D06BCE">
            <w:pPr>
              <w:spacing w:after="0" w:line="240" w:lineRule="auto"/>
              <w:rPr>
                <w:rFonts w:cs="Arial"/>
              </w:rPr>
            </w:pPr>
            <w:r w:rsidRPr="00D06BCE">
              <w:rPr>
                <w:rFonts w:cs="Arial"/>
              </w:rPr>
              <w:t>If reporters cannot distinguish between repayments and transfers out, the debit transaction can be reported at this field.</w:t>
            </w:r>
          </w:p>
        </w:tc>
      </w:tr>
      <w:tr w:rsidR="00115458" w:rsidRPr="00D06BCE" w14:paraId="1A31A0FD" w14:textId="77777777" w:rsidTr="00427C84">
        <w:tc>
          <w:tcPr>
            <w:tcW w:w="641" w:type="pct"/>
            <w:vAlign w:val="center"/>
          </w:tcPr>
          <w:p w14:paraId="2D9C06EE" w14:textId="06DD29F6" w:rsidR="00115458" w:rsidRPr="00D06BCE" w:rsidRDefault="00115458" w:rsidP="00D06BCE">
            <w:pPr>
              <w:spacing w:after="0" w:line="240" w:lineRule="auto"/>
              <w:rPr>
                <w:rFonts w:cs="Arial"/>
              </w:rPr>
            </w:pPr>
            <w:r w:rsidDel="00D84C2A">
              <w:t>9.</w:t>
            </w:r>
            <w:r w:rsidR="00D84C2A">
              <w:t>156</w:t>
            </w:r>
          </w:p>
        </w:tc>
        <w:tc>
          <w:tcPr>
            <w:tcW w:w="1354" w:type="pct"/>
            <w:vAlign w:val="center"/>
          </w:tcPr>
          <w:p w14:paraId="55C2A530" w14:textId="77777777" w:rsidR="00115458" w:rsidRPr="00D06BCE" w:rsidRDefault="00115458" w:rsidP="00D06BCE">
            <w:pPr>
              <w:spacing w:after="0" w:line="240" w:lineRule="auto"/>
              <w:rPr>
                <w:rFonts w:cs="Arial"/>
              </w:rPr>
            </w:pPr>
            <w:r w:rsidRPr="00D06BCE">
              <w:rPr>
                <w:rFonts w:cs="Arial"/>
              </w:rPr>
              <w:t>Date of repayment (first)</w:t>
            </w:r>
          </w:p>
        </w:tc>
        <w:tc>
          <w:tcPr>
            <w:tcW w:w="3005" w:type="pct"/>
          </w:tcPr>
          <w:p w14:paraId="2747FC47" w14:textId="77777777" w:rsidR="00115458" w:rsidRPr="00D06BCE" w:rsidRDefault="00115458" w:rsidP="00D06BCE">
            <w:pPr>
              <w:spacing w:after="0" w:line="240" w:lineRule="auto"/>
              <w:rPr>
                <w:rFonts w:cs="Arial"/>
              </w:rPr>
            </w:pPr>
            <w:r w:rsidRPr="00D06BCE">
              <w:rPr>
                <w:rFonts w:cs="Arial"/>
              </w:rPr>
              <w:t>Report the date of the first debit transaction</w:t>
            </w:r>
          </w:p>
          <w:p w14:paraId="0FA60178" w14:textId="77777777" w:rsidR="00115458" w:rsidRPr="00D06BCE" w:rsidRDefault="00115458" w:rsidP="00D06BCE">
            <w:pPr>
              <w:spacing w:after="0" w:line="240" w:lineRule="auto"/>
              <w:rPr>
                <w:rFonts w:cs="Arial"/>
              </w:rPr>
            </w:pPr>
          </w:p>
          <w:p w14:paraId="6E930B9E" w14:textId="77777777" w:rsidR="00115458" w:rsidRPr="00D06BCE" w:rsidRDefault="00115458" w:rsidP="00D06BCE">
            <w:pPr>
              <w:spacing w:after="0" w:line="240" w:lineRule="auto"/>
              <w:rPr>
                <w:rFonts w:cs="Arial"/>
              </w:rPr>
            </w:pPr>
            <w:r w:rsidRPr="00D06BCE">
              <w:rPr>
                <w:rFonts w:cs="Arial"/>
              </w:rPr>
              <w:t xml:space="preserve">If the full date of the repayment is not available report the month and year only. </w:t>
            </w:r>
          </w:p>
        </w:tc>
      </w:tr>
      <w:tr w:rsidR="00115458" w:rsidRPr="00D06BCE" w14:paraId="7BF44BBF" w14:textId="77777777" w:rsidTr="00427C84">
        <w:tc>
          <w:tcPr>
            <w:tcW w:w="641" w:type="pct"/>
            <w:vAlign w:val="center"/>
          </w:tcPr>
          <w:p w14:paraId="7CF9D5A9" w14:textId="11A7A073" w:rsidR="00115458" w:rsidRPr="00D06BCE" w:rsidRDefault="00115458" w:rsidP="00D06BCE">
            <w:pPr>
              <w:spacing w:after="0" w:line="240" w:lineRule="auto"/>
              <w:rPr>
                <w:rFonts w:cs="Arial"/>
              </w:rPr>
            </w:pPr>
            <w:r w:rsidDel="00D84C2A">
              <w:t>9.</w:t>
            </w:r>
            <w:r w:rsidR="00D84C2A">
              <w:t>156</w:t>
            </w:r>
          </w:p>
        </w:tc>
        <w:tc>
          <w:tcPr>
            <w:tcW w:w="1354" w:type="pct"/>
            <w:vAlign w:val="center"/>
          </w:tcPr>
          <w:p w14:paraId="1786A6BD" w14:textId="77777777" w:rsidR="00115458" w:rsidRPr="00D06BCE" w:rsidRDefault="00115458" w:rsidP="00D06BCE">
            <w:pPr>
              <w:spacing w:after="0" w:line="240" w:lineRule="auto"/>
              <w:rPr>
                <w:rFonts w:cs="Arial"/>
              </w:rPr>
            </w:pPr>
            <w:r w:rsidRPr="00D06BCE">
              <w:rPr>
                <w:rFonts w:cs="Arial"/>
              </w:rPr>
              <w:t>Date of repayment (second)</w:t>
            </w:r>
          </w:p>
        </w:tc>
        <w:tc>
          <w:tcPr>
            <w:tcW w:w="3005" w:type="pct"/>
          </w:tcPr>
          <w:p w14:paraId="23B75B55" w14:textId="6F14A7B8" w:rsidR="00115458" w:rsidRPr="00D06BCE" w:rsidRDefault="00115458" w:rsidP="00D06BCE">
            <w:pPr>
              <w:spacing w:after="0" w:line="240" w:lineRule="auto"/>
              <w:rPr>
                <w:rFonts w:cs="Arial"/>
              </w:rPr>
            </w:pPr>
            <w:r w:rsidRPr="00D06BCE">
              <w:rPr>
                <w:rFonts w:cs="Arial"/>
              </w:rPr>
              <w:t>If multiple debit transactions have been aggregated, report the date of the last transaction. For example: three repayments were made on 27/11/20</w:t>
            </w:r>
            <w:r w:rsidR="008A1396">
              <w:rPr>
                <w:rFonts w:cs="Arial"/>
              </w:rPr>
              <w:t>25</w:t>
            </w:r>
            <w:r w:rsidRPr="00D06BCE">
              <w:rPr>
                <w:rFonts w:cs="Arial"/>
              </w:rPr>
              <w:t>, 01/02/202</w:t>
            </w:r>
            <w:r w:rsidR="008A1396">
              <w:rPr>
                <w:rFonts w:cs="Arial"/>
              </w:rPr>
              <w:t>6</w:t>
            </w:r>
            <w:r w:rsidRPr="00D06BCE">
              <w:rPr>
                <w:rFonts w:cs="Arial"/>
              </w:rPr>
              <w:t xml:space="preserve"> and 09/03/202</w:t>
            </w:r>
            <w:r w:rsidR="008A1396">
              <w:rPr>
                <w:rFonts w:cs="Arial"/>
              </w:rPr>
              <w:t>6</w:t>
            </w:r>
            <w:r w:rsidRPr="00D06BCE">
              <w:rPr>
                <w:rFonts w:cs="Arial"/>
              </w:rPr>
              <w:t xml:space="preserve"> and are aggregated. The date reported is 09/03/202</w:t>
            </w:r>
            <w:r w:rsidR="008A1396">
              <w:rPr>
                <w:rFonts w:cs="Arial"/>
              </w:rPr>
              <w:t>6</w:t>
            </w:r>
            <w:r w:rsidRPr="00D06BCE">
              <w:rPr>
                <w:rFonts w:cs="Arial"/>
              </w:rPr>
              <w:t>.</w:t>
            </w:r>
          </w:p>
          <w:p w14:paraId="4C3787F9" w14:textId="77777777" w:rsidR="00115458" w:rsidRPr="00D06BCE" w:rsidRDefault="00115458" w:rsidP="00D06BCE">
            <w:pPr>
              <w:spacing w:after="0" w:line="240" w:lineRule="auto"/>
              <w:rPr>
                <w:rFonts w:cs="Arial"/>
              </w:rPr>
            </w:pPr>
          </w:p>
          <w:p w14:paraId="096828DD" w14:textId="77777777" w:rsidR="00115458" w:rsidRPr="00D06BCE" w:rsidRDefault="00115458" w:rsidP="00D06BCE">
            <w:pPr>
              <w:spacing w:after="0" w:line="240" w:lineRule="auto"/>
              <w:rPr>
                <w:rFonts w:cs="Arial"/>
              </w:rPr>
            </w:pPr>
            <w:r w:rsidRPr="00D06BCE">
              <w:rPr>
                <w:rFonts w:cs="Arial"/>
              </w:rPr>
              <w:t>If the full date of the repayment is not available report the month and year only.</w:t>
            </w:r>
          </w:p>
        </w:tc>
      </w:tr>
      <w:tr w:rsidR="00115458" w:rsidRPr="00D06BCE" w14:paraId="36A1B33B" w14:textId="77777777" w:rsidTr="00427C84">
        <w:tc>
          <w:tcPr>
            <w:tcW w:w="641" w:type="pct"/>
            <w:vAlign w:val="center"/>
          </w:tcPr>
          <w:p w14:paraId="660AD7B2" w14:textId="6CEFC707" w:rsidR="00115458" w:rsidRPr="00D06BCE" w:rsidRDefault="00115458" w:rsidP="00D06BCE">
            <w:pPr>
              <w:spacing w:after="0" w:line="240" w:lineRule="auto"/>
              <w:rPr>
                <w:rFonts w:cs="Arial"/>
              </w:rPr>
            </w:pPr>
            <w:r w:rsidRPr="00D06BCE" w:rsidDel="00D25F88">
              <w:rPr>
                <w:rFonts w:cs="Arial"/>
              </w:rPr>
              <w:t>9.</w:t>
            </w:r>
            <w:r w:rsidR="00D25F88">
              <w:rPr>
                <w:rFonts w:cs="Arial"/>
              </w:rPr>
              <w:t>163</w:t>
            </w:r>
          </w:p>
        </w:tc>
        <w:tc>
          <w:tcPr>
            <w:tcW w:w="1354" w:type="pct"/>
            <w:vAlign w:val="center"/>
          </w:tcPr>
          <w:p w14:paraId="4901A480" w14:textId="77777777" w:rsidR="00115458" w:rsidRPr="00D06BCE" w:rsidRDefault="00115458" w:rsidP="00D06BCE">
            <w:pPr>
              <w:spacing w:after="0" w:line="240" w:lineRule="auto"/>
              <w:rPr>
                <w:rFonts w:cs="Arial"/>
              </w:rPr>
            </w:pPr>
            <w:r w:rsidRPr="00D06BCE">
              <w:rPr>
                <w:rFonts w:cs="Arial"/>
              </w:rPr>
              <w:t xml:space="preserve">TFN withholding tax deducted from repayments in the financial year </w:t>
            </w:r>
          </w:p>
        </w:tc>
        <w:tc>
          <w:tcPr>
            <w:tcW w:w="3005" w:type="pct"/>
          </w:tcPr>
          <w:p w14:paraId="5F109E5C" w14:textId="77777777" w:rsidR="00115458" w:rsidRPr="00D06BCE" w:rsidRDefault="00115458" w:rsidP="00D06BCE">
            <w:pPr>
              <w:spacing w:after="0" w:line="240" w:lineRule="auto"/>
              <w:rPr>
                <w:rFonts w:cs="Arial"/>
              </w:rPr>
            </w:pPr>
            <w:r w:rsidRPr="00D06BCE">
              <w:rPr>
                <w:rFonts w:cs="Arial"/>
              </w:rPr>
              <w:t>If an FMD owner has not provided a TFN for the FMD account TFN withholding tax must be deducted from repayments in the financial year and reported at this field.</w:t>
            </w:r>
          </w:p>
          <w:p w14:paraId="1B9823CA" w14:textId="77777777" w:rsidR="00115458" w:rsidRPr="00D06BCE" w:rsidRDefault="00115458" w:rsidP="00D06BCE">
            <w:pPr>
              <w:spacing w:after="0" w:line="240" w:lineRule="auto"/>
              <w:rPr>
                <w:rFonts w:cs="Arial"/>
              </w:rPr>
            </w:pPr>
          </w:p>
        </w:tc>
      </w:tr>
    </w:tbl>
    <w:p w14:paraId="7465B6C5" w14:textId="0C7440C3" w:rsidR="00115458" w:rsidRPr="00B35C0A" w:rsidRDefault="00115458" w:rsidP="00115458">
      <w:pPr>
        <w:spacing w:after="200"/>
        <w:rPr>
          <w:rFonts w:eastAsia="Calibri" w:cs="Arial"/>
          <w:szCs w:val="22"/>
        </w:rPr>
      </w:pPr>
      <w:bookmarkStart w:id="1948" w:name="_Toc372885453"/>
      <w:r w:rsidRPr="00B35C0A">
        <w:rPr>
          <w:rFonts w:eastAsia="Calibri" w:cs="Arial"/>
          <w:szCs w:val="22"/>
        </w:rPr>
        <w:t xml:space="preserve">An alternative to aggregating the repayment amounts is to report each repayment or debit transaction separately in the </w:t>
      </w:r>
      <w:r w:rsidRPr="00B35C0A">
        <w:rPr>
          <w:rFonts w:eastAsia="Calibri" w:cs="Arial"/>
          <w:i/>
          <w:szCs w:val="22"/>
        </w:rPr>
        <w:t>Amount of Repayment</w:t>
      </w:r>
      <w:r w:rsidRPr="00B35C0A">
        <w:rPr>
          <w:rFonts w:eastAsia="Calibri" w:cs="Arial"/>
          <w:szCs w:val="22"/>
        </w:rPr>
        <w:t xml:space="preserve"> </w:t>
      </w:r>
      <w:r>
        <w:rPr>
          <w:rFonts w:eastAsia="Calibri" w:cs="Arial"/>
          <w:szCs w:val="22"/>
        </w:rPr>
        <w:t>(</w:t>
      </w:r>
      <w:r w:rsidDel="00182B00">
        <w:t>9.</w:t>
      </w:r>
      <w:r w:rsidR="00182B00">
        <w:t>155</w:t>
      </w:r>
      <w:r>
        <w:rPr>
          <w:rFonts w:eastAsia="Calibri" w:cs="Arial"/>
          <w:szCs w:val="22"/>
        </w:rPr>
        <w:t xml:space="preserve">) </w:t>
      </w:r>
      <w:r w:rsidRPr="00B35C0A">
        <w:rPr>
          <w:rFonts w:eastAsia="Calibri" w:cs="Arial"/>
          <w:szCs w:val="22"/>
        </w:rPr>
        <w:t xml:space="preserve">fields and </w:t>
      </w:r>
      <w:r w:rsidRPr="00B35C0A">
        <w:rPr>
          <w:rFonts w:eastAsia="Calibri" w:cs="Arial"/>
          <w:i/>
          <w:szCs w:val="22"/>
        </w:rPr>
        <w:t>Transfer Out</w:t>
      </w:r>
      <w:r w:rsidRPr="00B35C0A">
        <w:rPr>
          <w:rFonts w:eastAsia="Calibri" w:cs="Arial"/>
          <w:szCs w:val="22"/>
        </w:rPr>
        <w:t xml:space="preserve"> </w:t>
      </w:r>
      <w:r>
        <w:rPr>
          <w:rFonts w:eastAsia="Calibri" w:cs="Arial"/>
          <w:szCs w:val="22"/>
        </w:rPr>
        <w:t>(</w:t>
      </w:r>
      <w:r w:rsidDel="00FB51AD">
        <w:t>9.</w:t>
      </w:r>
      <w:r w:rsidR="00FB51AD">
        <w:t>160</w:t>
      </w:r>
      <w:r>
        <w:rPr>
          <w:rFonts w:eastAsia="Calibri" w:cs="Arial"/>
          <w:szCs w:val="22"/>
        </w:rPr>
        <w:t xml:space="preserve">) </w:t>
      </w:r>
      <w:r w:rsidRPr="00B35C0A">
        <w:rPr>
          <w:rFonts w:eastAsia="Calibri" w:cs="Arial"/>
          <w:szCs w:val="22"/>
        </w:rPr>
        <w:t>fields.</w:t>
      </w:r>
    </w:p>
    <w:p w14:paraId="7D21A9AF" w14:textId="77777777" w:rsidR="00115458" w:rsidRDefault="00115458" w:rsidP="00D06BCE">
      <w:pPr>
        <w:pStyle w:val="Heading2"/>
      </w:pPr>
      <w:bookmarkStart w:id="1949" w:name="_Toc232191377"/>
      <w:r w:rsidRPr="00B35C0A">
        <w:t xml:space="preserve">Reporting </w:t>
      </w:r>
      <w:bookmarkStart w:id="1950" w:name="_Toc357677191"/>
      <w:r w:rsidRPr="00B35C0A">
        <w:t>examples</w:t>
      </w:r>
      <w:bookmarkEnd w:id="1948"/>
      <w:bookmarkEnd w:id="1949"/>
      <w:bookmarkEnd w:id="1950"/>
    </w:p>
    <w:p w14:paraId="0F77A42D" w14:textId="5100F178" w:rsidR="00115458" w:rsidRDefault="00115458" w:rsidP="00D06BCE">
      <w:pPr>
        <w:keepNext/>
        <w:spacing w:after="0" w:line="240" w:lineRule="auto"/>
        <w:outlineLvl w:val="3"/>
        <w:rPr>
          <w:rFonts w:cs="Arial"/>
          <w:b/>
        </w:rPr>
      </w:pPr>
      <w:r w:rsidRPr="00D06BCE">
        <w:rPr>
          <w:rFonts w:cs="Arial"/>
          <w:b/>
        </w:rPr>
        <w:t>Example 9.1 – Interest offset against a primary production loan for whole year</w:t>
      </w:r>
    </w:p>
    <w:p w14:paraId="2C3C76BD" w14:textId="77777777" w:rsidR="00D06BCE" w:rsidRPr="00D06BCE" w:rsidRDefault="00D06BCE" w:rsidP="00C505D3"/>
    <w:p w14:paraId="7BE200BA" w14:textId="77777777" w:rsidR="00115458" w:rsidRPr="00D06BCE" w:rsidRDefault="00115458" w:rsidP="00D06BCE">
      <w:pPr>
        <w:spacing w:after="0" w:line="240" w:lineRule="auto"/>
        <w:rPr>
          <w:rFonts w:cs="Arial"/>
        </w:rPr>
      </w:pPr>
      <w:r w:rsidRPr="00D06BCE">
        <w:rPr>
          <w:rFonts w:cs="Arial"/>
        </w:rPr>
        <w:t>Meg Billings has an FMD account and a Primary production loan with the same bank. The interest earned on the FMD is offset against the loan for the whole financial year.</w:t>
      </w:r>
    </w:p>
    <w:p w14:paraId="2842CA1F" w14:textId="77777777" w:rsidR="00115458" w:rsidRPr="00D06BCE" w:rsidRDefault="00115458" w:rsidP="00D06BCE">
      <w:pPr>
        <w:spacing w:after="0" w:line="240" w:lineRule="auto"/>
        <w:rPr>
          <w:rFonts w:cs="Arial"/>
        </w:rPr>
      </w:pPr>
    </w:p>
    <w:p w14:paraId="2550C621" w14:textId="5DFABBF0" w:rsidR="00115458" w:rsidRPr="00D06BCE" w:rsidRDefault="00115458" w:rsidP="00D06BCE">
      <w:pPr>
        <w:spacing w:after="0" w:line="240" w:lineRule="auto"/>
        <w:rPr>
          <w:rFonts w:cs="Arial"/>
        </w:rPr>
      </w:pPr>
      <w:r w:rsidRPr="00D06BCE">
        <w:rPr>
          <w:rFonts w:cs="Arial"/>
        </w:rPr>
        <w:t>There are no transactions and the closing balance as at 30 June 202</w:t>
      </w:r>
      <w:r w:rsidR="008A1396">
        <w:rPr>
          <w:rFonts w:cs="Arial"/>
        </w:rPr>
        <w:t>6</w:t>
      </w:r>
      <w:r w:rsidRPr="00D06BCE">
        <w:rPr>
          <w:rFonts w:cs="Arial"/>
        </w:rPr>
        <w:t xml:space="preserve"> is $97,200.00.</w:t>
      </w:r>
    </w:p>
    <w:p w14:paraId="26CDA2AD" w14:textId="77777777" w:rsidR="00115458" w:rsidRPr="00D06BCE" w:rsidRDefault="00115458" w:rsidP="00D06BCE">
      <w:pPr>
        <w:spacing w:after="0" w:line="240" w:lineRule="auto"/>
        <w:rPr>
          <w:rFonts w:cs="Arial"/>
        </w:rPr>
      </w:pPr>
    </w:p>
    <w:tbl>
      <w:tblPr>
        <w:tblW w:w="9195" w:type="dxa"/>
        <w:tblInd w:w="93" w:type="dxa"/>
        <w:tblLook w:val="0000" w:firstRow="0" w:lastRow="0" w:firstColumn="0" w:lastColumn="0" w:noHBand="0" w:noVBand="0"/>
      </w:tblPr>
      <w:tblGrid>
        <w:gridCol w:w="1227"/>
        <w:gridCol w:w="5145"/>
        <w:gridCol w:w="2823"/>
      </w:tblGrid>
      <w:tr w:rsidR="00115458" w:rsidRPr="00D06BCE" w14:paraId="18695BC2" w14:textId="77777777" w:rsidTr="00C71E12">
        <w:trPr>
          <w:trHeight w:val="495"/>
          <w:tblHeader/>
        </w:trPr>
        <w:tc>
          <w:tcPr>
            <w:tcW w:w="667" w:type="pct"/>
            <w:tcBorders>
              <w:top w:val="single" w:sz="4" w:space="0" w:color="auto"/>
              <w:left w:val="single" w:sz="4" w:space="0" w:color="auto"/>
              <w:bottom w:val="single" w:sz="4" w:space="0" w:color="auto"/>
              <w:right w:val="single" w:sz="4" w:space="0" w:color="auto"/>
            </w:tcBorders>
            <w:shd w:val="clear" w:color="auto" w:fill="B3B3B3"/>
            <w:vAlign w:val="center"/>
          </w:tcPr>
          <w:p w14:paraId="39E693A6" w14:textId="77777777" w:rsidR="00115458" w:rsidRPr="00D06BCE" w:rsidRDefault="00115458" w:rsidP="00D06BCE">
            <w:pPr>
              <w:spacing w:after="0" w:line="240" w:lineRule="auto"/>
              <w:rPr>
                <w:rFonts w:cs="Arial"/>
                <w:b/>
                <w:bCs/>
              </w:rPr>
            </w:pPr>
            <w:r w:rsidRPr="00D06BCE">
              <w:rPr>
                <w:rFonts w:eastAsiaTheme="minorHAnsi" w:cs="Arial"/>
                <w:b/>
              </w:rPr>
              <w:t>Reference number</w:t>
            </w:r>
          </w:p>
        </w:tc>
        <w:tc>
          <w:tcPr>
            <w:tcW w:w="2798" w:type="pct"/>
            <w:tcBorders>
              <w:top w:val="single" w:sz="4" w:space="0" w:color="auto"/>
              <w:left w:val="single" w:sz="4" w:space="0" w:color="auto"/>
              <w:bottom w:val="single" w:sz="4" w:space="0" w:color="auto"/>
              <w:right w:val="single" w:sz="4" w:space="0" w:color="auto"/>
            </w:tcBorders>
            <w:shd w:val="clear" w:color="auto" w:fill="B3B3B3"/>
            <w:vAlign w:val="center"/>
          </w:tcPr>
          <w:p w14:paraId="5DBB281C" w14:textId="77777777" w:rsidR="00115458" w:rsidRPr="00D06BCE" w:rsidRDefault="00115458" w:rsidP="00D06BCE">
            <w:pPr>
              <w:spacing w:after="0" w:line="240" w:lineRule="auto"/>
              <w:rPr>
                <w:rFonts w:cs="Arial"/>
                <w:b/>
                <w:bCs/>
              </w:rPr>
            </w:pPr>
            <w:r w:rsidRPr="00D06BCE">
              <w:rPr>
                <w:rFonts w:cs="Arial"/>
                <w:b/>
                <w:bCs/>
              </w:rPr>
              <w:t>Field name</w:t>
            </w:r>
          </w:p>
        </w:tc>
        <w:tc>
          <w:tcPr>
            <w:tcW w:w="1535" w:type="pct"/>
            <w:tcBorders>
              <w:top w:val="single" w:sz="4" w:space="0" w:color="auto"/>
              <w:left w:val="single" w:sz="4" w:space="0" w:color="auto"/>
              <w:bottom w:val="single" w:sz="4" w:space="0" w:color="auto"/>
              <w:right w:val="single" w:sz="4" w:space="0" w:color="auto"/>
            </w:tcBorders>
            <w:shd w:val="clear" w:color="auto" w:fill="B3B3B3"/>
            <w:vAlign w:val="center"/>
          </w:tcPr>
          <w:p w14:paraId="6FFEAE15"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4F62C3A1"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1CF1EC55" w14:textId="77777777" w:rsidR="00115458" w:rsidRPr="00D06BCE" w:rsidRDefault="00115458" w:rsidP="00D06BCE">
            <w:pPr>
              <w:spacing w:after="0" w:line="240" w:lineRule="auto"/>
              <w:rPr>
                <w:rFonts w:cs="Arial"/>
              </w:rPr>
            </w:pPr>
            <w:r w:rsidRPr="00D06BCE">
              <w:rPr>
                <w:rFonts w:eastAsiaTheme="minorHAnsi" w:cs="Arial"/>
              </w:rPr>
              <w:t>9.1</w:t>
            </w:r>
          </w:p>
        </w:tc>
        <w:tc>
          <w:tcPr>
            <w:tcW w:w="2798" w:type="pct"/>
            <w:tcBorders>
              <w:top w:val="nil"/>
              <w:left w:val="nil"/>
              <w:bottom w:val="single" w:sz="8" w:space="0" w:color="auto"/>
              <w:right w:val="single" w:sz="8" w:space="0" w:color="auto"/>
            </w:tcBorders>
            <w:vAlign w:val="center"/>
          </w:tcPr>
          <w:p w14:paraId="08043DF7" w14:textId="77777777" w:rsidR="00115458" w:rsidRPr="00D06BCE" w:rsidRDefault="00115458" w:rsidP="00D06BCE">
            <w:pPr>
              <w:spacing w:after="0" w:line="240" w:lineRule="auto"/>
              <w:rPr>
                <w:rFonts w:cs="Arial"/>
              </w:rPr>
            </w:pPr>
            <w:r w:rsidRPr="00D06BCE">
              <w:rPr>
                <w:rFonts w:cs="Arial"/>
              </w:rPr>
              <w:t>Record length (=850)</w:t>
            </w:r>
          </w:p>
        </w:tc>
        <w:tc>
          <w:tcPr>
            <w:tcW w:w="1535" w:type="pct"/>
            <w:tcBorders>
              <w:top w:val="nil"/>
              <w:left w:val="nil"/>
              <w:bottom w:val="single" w:sz="8" w:space="0" w:color="auto"/>
              <w:right w:val="single" w:sz="8" w:space="0" w:color="auto"/>
            </w:tcBorders>
            <w:vAlign w:val="center"/>
          </w:tcPr>
          <w:p w14:paraId="25C9F257" w14:textId="77777777" w:rsidR="00115458" w:rsidRPr="00D06BCE" w:rsidRDefault="00115458" w:rsidP="00D06BCE">
            <w:pPr>
              <w:spacing w:after="0" w:line="240" w:lineRule="auto"/>
              <w:rPr>
                <w:rFonts w:cs="Arial"/>
              </w:rPr>
            </w:pPr>
            <w:r w:rsidRPr="00D06BCE">
              <w:rPr>
                <w:rFonts w:cs="Arial"/>
              </w:rPr>
              <w:t>850</w:t>
            </w:r>
          </w:p>
        </w:tc>
      </w:tr>
      <w:tr w:rsidR="00115458" w:rsidRPr="00D06BCE" w14:paraId="6398B16E"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1AF7D108" w14:textId="7A72822D" w:rsidR="00115458" w:rsidRPr="00D06BCE" w:rsidRDefault="00944D41" w:rsidP="00D06BCE">
            <w:pPr>
              <w:spacing w:after="0" w:line="240" w:lineRule="auto"/>
              <w:rPr>
                <w:rFonts w:cs="Arial"/>
                <w:b/>
              </w:rPr>
            </w:pPr>
            <w:r>
              <w:rPr>
                <w:rFonts w:cs="Arial"/>
              </w:rPr>
              <w:t>9.147</w:t>
            </w:r>
          </w:p>
        </w:tc>
        <w:tc>
          <w:tcPr>
            <w:tcW w:w="2798" w:type="pct"/>
            <w:tcBorders>
              <w:top w:val="nil"/>
              <w:left w:val="nil"/>
              <w:bottom w:val="single" w:sz="8" w:space="0" w:color="auto"/>
              <w:right w:val="single" w:sz="8" w:space="0" w:color="auto"/>
            </w:tcBorders>
            <w:vAlign w:val="center"/>
          </w:tcPr>
          <w:p w14:paraId="301AD5B5"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35" w:type="pct"/>
            <w:tcBorders>
              <w:top w:val="nil"/>
              <w:left w:val="nil"/>
              <w:bottom w:val="single" w:sz="8" w:space="0" w:color="auto"/>
              <w:right w:val="single" w:sz="8" w:space="0" w:color="auto"/>
            </w:tcBorders>
            <w:vAlign w:val="center"/>
          </w:tcPr>
          <w:p w14:paraId="10854444"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7BA45158"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73DBA2CC" w14:textId="5B6BBBFD" w:rsidR="00115458" w:rsidRPr="00D06BCE" w:rsidRDefault="00DE4F64" w:rsidP="00D06BCE">
            <w:pPr>
              <w:spacing w:after="0" w:line="240" w:lineRule="auto"/>
              <w:rPr>
                <w:rFonts w:cs="Arial"/>
                <w:b/>
              </w:rPr>
            </w:pPr>
            <w:r>
              <w:rPr>
                <w:rFonts w:cs="Arial"/>
              </w:rPr>
              <w:t>9.148</w:t>
            </w:r>
          </w:p>
        </w:tc>
        <w:tc>
          <w:tcPr>
            <w:tcW w:w="2798" w:type="pct"/>
            <w:tcBorders>
              <w:top w:val="nil"/>
              <w:left w:val="nil"/>
              <w:bottom w:val="single" w:sz="8" w:space="0" w:color="auto"/>
              <w:right w:val="single" w:sz="8" w:space="0" w:color="auto"/>
            </w:tcBorders>
            <w:vAlign w:val="center"/>
          </w:tcPr>
          <w:p w14:paraId="4C016425"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35" w:type="pct"/>
            <w:tcBorders>
              <w:top w:val="nil"/>
              <w:left w:val="nil"/>
              <w:bottom w:val="single" w:sz="8" w:space="0" w:color="auto"/>
              <w:right w:val="single" w:sz="8" w:space="0" w:color="auto"/>
            </w:tcBorders>
            <w:vAlign w:val="center"/>
          </w:tcPr>
          <w:p w14:paraId="6C6BB8FA"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635D5B54"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69D186FD" w14:textId="402C9D45" w:rsidR="00115458" w:rsidRPr="00D06BCE" w:rsidRDefault="002A10B0" w:rsidP="00D06BCE">
            <w:pPr>
              <w:spacing w:after="0" w:line="240" w:lineRule="auto"/>
              <w:rPr>
                <w:rFonts w:cs="Arial"/>
                <w:b/>
              </w:rPr>
            </w:pPr>
            <w:r>
              <w:rPr>
                <w:rFonts w:cs="Arial"/>
              </w:rPr>
              <w:t>9.149</w:t>
            </w:r>
          </w:p>
        </w:tc>
        <w:tc>
          <w:tcPr>
            <w:tcW w:w="2798" w:type="pct"/>
            <w:tcBorders>
              <w:top w:val="nil"/>
              <w:left w:val="nil"/>
              <w:bottom w:val="single" w:sz="8" w:space="0" w:color="auto"/>
              <w:right w:val="single" w:sz="8" w:space="0" w:color="auto"/>
            </w:tcBorders>
            <w:vAlign w:val="center"/>
          </w:tcPr>
          <w:p w14:paraId="26349903"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35" w:type="pct"/>
            <w:tcBorders>
              <w:top w:val="nil"/>
              <w:left w:val="nil"/>
              <w:bottom w:val="single" w:sz="8" w:space="0" w:color="auto"/>
              <w:right w:val="single" w:sz="8" w:space="0" w:color="auto"/>
            </w:tcBorders>
            <w:vAlign w:val="center"/>
          </w:tcPr>
          <w:p w14:paraId="4ADEE0A8" w14:textId="77777777" w:rsidR="00115458" w:rsidRPr="00D06BCE" w:rsidRDefault="00115458" w:rsidP="00D06BCE">
            <w:pPr>
              <w:spacing w:after="0" w:line="240" w:lineRule="auto"/>
              <w:rPr>
                <w:rFonts w:cs="Arial"/>
              </w:rPr>
            </w:pPr>
            <w:r w:rsidRPr="00D06BCE">
              <w:rPr>
                <w:rFonts w:cs="Arial"/>
              </w:rPr>
              <w:t>01</w:t>
            </w:r>
          </w:p>
        </w:tc>
      </w:tr>
      <w:tr w:rsidR="00115458" w:rsidRPr="00D06BCE" w14:paraId="0A9774EF"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0F859E9A" w14:textId="77777777" w:rsidR="00115458" w:rsidRPr="00D06BCE" w:rsidRDefault="00115458" w:rsidP="00D06BCE">
            <w:pPr>
              <w:spacing w:after="0" w:line="240" w:lineRule="auto"/>
              <w:rPr>
                <w:rFonts w:cs="Arial"/>
                <w:b/>
              </w:rPr>
            </w:pPr>
            <w:hyperlink w:anchor="d7_061" w:history="1">
              <w:r w:rsidRPr="00D06BCE">
                <w:rPr>
                  <w:rFonts w:eastAsiaTheme="minorHAnsi" w:cs="Arial"/>
                  <w:noProof/>
                </w:rPr>
                <w:t>9.63</w:t>
              </w:r>
            </w:hyperlink>
          </w:p>
        </w:tc>
        <w:tc>
          <w:tcPr>
            <w:tcW w:w="2798" w:type="pct"/>
            <w:tcBorders>
              <w:top w:val="nil"/>
              <w:left w:val="nil"/>
              <w:bottom w:val="single" w:sz="8" w:space="0" w:color="auto"/>
              <w:right w:val="single" w:sz="8" w:space="0" w:color="auto"/>
            </w:tcBorders>
            <w:vAlign w:val="center"/>
          </w:tcPr>
          <w:p w14:paraId="142241CE" w14:textId="77777777" w:rsidR="00115458" w:rsidRPr="00D06BCE" w:rsidRDefault="00115458" w:rsidP="00D06BCE">
            <w:pPr>
              <w:spacing w:after="0" w:line="240" w:lineRule="auto"/>
              <w:rPr>
                <w:rFonts w:cs="Arial"/>
              </w:rPr>
            </w:pPr>
            <w:r w:rsidRPr="00D06BCE">
              <w:rPr>
                <w:rFonts w:cs="Arial"/>
              </w:rPr>
              <w:t>Investment reference number</w:t>
            </w:r>
          </w:p>
        </w:tc>
        <w:tc>
          <w:tcPr>
            <w:tcW w:w="1535" w:type="pct"/>
            <w:tcBorders>
              <w:top w:val="nil"/>
              <w:left w:val="nil"/>
              <w:bottom w:val="single" w:sz="8" w:space="0" w:color="auto"/>
              <w:right w:val="single" w:sz="8" w:space="0" w:color="auto"/>
            </w:tcBorders>
            <w:vAlign w:val="center"/>
          </w:tcPr>
          <w:p w14:paraId="014336BC" w14:textId="77777777" w:rsidR="00115458" w:rsidRPr="00D06BCE" w:rsidRDefault="00115458" w:rsidP="00D06BCE">
            <w:pPr>
              <w:spacing w:after="0" w:line="240" w:lineRule="auto"/>
              <w:rPr>
                <w:rFonts w:cs="Arial"/>
              </w:rPr>
            </w:pPr>
            <w:r w:rsidRPr="00D06BCE">
              <w:rPr>
                <w:rFonts w:cs="Arial"/>
              </w:rPr>
              <w:t>233344566</w:t>
            </w:r>
          </w:p>
        </w:tc>
      </w:tr>
      <w:tr w:rsidR="00115458" w:rsidRPr="00D06BCE" w14:paraId="76762FD3"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6F6DB5DC" w14:textId="77777777" w:rsidR="00115458" w:rsidRPr="00D06BCE" w:rsidRDefault="00115458" w:rsidP="00D06BCE">
            <w:pPr>
              <w:spacing w:after="0" w:line="240" w:lineRule="auto"/>
              <w:rPr>
                <w:rFonts w:cs="Arial"/>
                <w:b/>
              </w:rPr>
            </w:pPr>
            <w:hyperlink w:anchor="d7_062" w:history="1">
              <w:r w:rsidRPr="00D06BCE">
                <w:rPr>
                  <w:rFonts w:eastAsiaTheme="minorHAnsi" w:cs="Arial"/>
                  <w:noProof/>
                </w:rPr>
                <w:t>9.64</w:t>
              </w:r>
            </w:hyperlink>
          </w:p>
        </w:tc>
        <w:tc>
          <w:tcPr>
            <w:tcW w:w="2798" w:type="pct"/>
            <w:tcBorders>
              <w:top w:val="nil"/>
              <w:left w:val="nil"/>
              <w:bottom w:val="single" w:sz="8" w:space="0" w:color="auto"/>
              <w:right w:val="single" w:sz="8" w:space="0" w:color="auto"/>
            </w:tcBorders>
            <w:vAlign w:val="center"/>
          </w:tcPr>
          <w:p w14:paraId="5EE6B7BD" w14:textId="77777777" w:rsidR="00115458" w:rsidRPr="00D06BCE" w:rsidRDefault="00115458" w:rsidP="00D06BCE">
            <w:pPr>
              <w:spacing w:after="0" w:line="240" w:lineRule="auto"/>
              <w:rPr>
                <w:rFonts w:cs="Arial"/>
              </w:rPr>
            </w:pPr>
            <w:r w:rsidRPr="00D06BCE">
              <w:rPr>
                <w:rFonts w:cs="Arial"/>
              </w:rPr>
              <w:t>Account reference number</w:t>
            </w:r>
          </w:p>
        </w:tc>
        <w:tc>
          <w:tcPr>
            <w:tcW w:w="1535" w:type="pct"/>
            <w:tcBorders>
              <w:top w:val="nil"/>
              <w:left w:val="nil"/>
              <w:bottom w:val="single" w:sz="8" w:space="0" w:color="auto"/>
              <w:right w:val="single" w:sz="8" w:space="0" w:color="auto"/>
            </w:tcBorders>
            <w:vAlign w:val="center"/>
          </w:tcPr>
          <w:p w14:paraId="5423A4CD" w14:textId="77777777" w:rsidR="00115458" w:rsidRPr="00D06BCE" w:rsidRDefault="00115458" w:rsidP="00D06BCE">
            <w:pPr>
              <w:spacing w:after="0" w:line="240" w:lineRule="auto"/>
              <w:rPr>
                <w:rFonts w:cs="Arial"/>
              </w:rPr>
            </w:pPr>
            <w:r w:rsidRPr="00D06BCE">
              <w:rPr>
                <w:rFonts w:cs="Arial"/>
              </w:rPr>
              <w:t>FMDOA</w:t>
            </w:r>
          </w:p>
        </w:tc>
      </w:tr>
      <w:tr w:rsidR="00115458" w:rsidRPr="00D06BCE" w14:paraId="0A4507C4"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2F15AC50" w14:textId="77777777" w:rsidR="00115458" w:rsidRPr="00D06BCE" w:rsidRDefault="00115458" w:rsidP="00D06BCE">
            <w:pPr>
              <w:spacing w:after="0" w:line="240" w:lineRule="auto"/>
              <w:rPr>
                <w:rFonts w:cs="Arial"/>
                <w:b/>
              </w:rPr>
            </w:pPr>
            <w:hyperlink w:anchor="d7_063" w:history="1">
              <w:r w:rsidRPr="00D06BCE">
                <w:rPr>
                  <w:rFonts w:eastAsiaTheme="minorHAnsi" w:cs="Arial"/>
                  <w:noProof/>
                </w:rPr>
                <w:t>9.65</w:t>
              </w:r>
            </w:hyperlink>
          </w:p>
        </w:tc>
        <w:tc>
          <w:tcPr>
            <w:tcW w:w="2798" w:type="pct"/>
            <w:tcBorders>
              <w:top w:val="nil"/>
              <w:left w:val="nil"/>
              <w:bottom w:val="single" w:sz="8" w:space="0" w:color="auto"/>
              <w:right w:val="single" w:sz="8" w:space="0" w:color="auto"/>
            </w:tcBorders>
            <w:vAlign w:val="center"/>
          </w:tcPr>
          <w:p w14:paraId="6D8039DF" w14:textId="77777777" w:rsidR="00115458" w:rsidRPr="00D06BCE" w:rsidRDefault="00115458" w:rsidP="00D06BCE">
            <w:pPr>
              <w:spacing w:after="0" w:line="240" w:lineRule="auto"/>
              <w:rPr>
                <w:rFonts w:cs="Arial"/>
              </w:rPr>
            </w:pPr>
            <w:r w:rsidRPr="00D06BCE">
              <w:rPr>
                <w:rFonts w:cs="Arial"/>
              </w:rPr>
              <w:t>BSB number</w:t>
            </w:r>
          </w:p>
        </w:tc>
        <w:tc>
          <w:tcPr>
            <w:tcW w:w="1535" w:type="pct"/>
            <w:tcBorders>
              <w:top w:val="nil"/>
              <w:left w:val="nil"/>
              <w:bottom w:val="single" w:sz="8" w:space="0" w:color="auto"/>
              <w:right w:val="single" w:sz="8" w:space="0" w:color="auto"/>
            </w:tcBorders>
            <w:vAlign w:val="center"/>
          </w:tcPr>
          <w:p w14:paraId="6B3924C8" w14:textId="77777777" w:rsidR="00115458" w:rsidRPr="00D06BCE" w:rsidRDefault="00115458" w:rsidP="00D06BCE">
            <w:pPr>
              <w:spacing w:after="0" w:line="240" w:lineRule="auto"/>
              <w:rPr>
                <w:rFonts w:cs="Arial"/>
              </w:rPr>
            </w:pPr>
            <w:r w:rsidRPr="00D06BCE">
              <w:rPr>
                <w:rFonts w:cs="Arial"/>
              </w:rPr>
              <w:t>142809</w:t>
            </w:r>
          </w:p>
        </w:tc>
      </w:tr>
      <w:tr w:rsidR="00115458" w:rsidRPr="00D06BCE" w14:paraId="34F36D7F"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1547AE77" w14:textId="77777777" w:rsidR="00115458" w:rsidRPr="00D06BCE" w:rsidRDefault="00115458" w:rsidP="00D06BCE">
            <w:pPr>
              <w:spacing w:after="0" w:line="240" w:lineRule="auto"/>
              <w:rPr>
                <w:rFonts w:cs="Arial"/>
                <w:b/>
              </w:rPr>
            </w:pPr>
            <w:hyperlink w:anchor="d7_064" w:history="1">
              <w:r w:rsidRPr="00D06BCE">
                <w:rPr>
                  <w:rFonts w:eastAsiaTheme="minorHAnsi" w:cs="Arial"/>
                  <w:noProof/>
                </w:rPr>
                <w:t>9.66</w:t>
              </w:r>
            </w:hyperlink>
          </w:p>
        </w:tc>
        <w:tc>
          <w:tcPr>
            <w:tcW w:w="2798" w:type="pct"/>
            <w:tcBorders>
              <w:top w:val="nil"/>
              <w:left w:val="nil"/>
              <w:bottom w:val="single" w:sz="8" w:space="0" w:color="auto"/>
              <w:right w:val="single" w:sz="8" w:space="0" w:color="auto"/>
            </w:tcBorders>
            <w:vAlign w:val="center"/>
          </w:tcPr>
          <w:p w14:paraId="79FCD0E9" w14:textId="77777777" w:rsidR="00115458" w:rsidRPr="00D06BCE" w:rsidRDefault="00115458" w:rsidP="00D06BCE">
            <w:pPr>
              <w:spacing w:after="0" w:line="240" w:lineRule="auto"/>
              <w:rPr>
                <w:rFonts w:cs="Arial"/>
              </w:rPr>
            </w:pPr>
            <w:r w:rsidRPr="00D06BCE">
              <w:rPr>
                <w:rFonts w:cs="Arial"/>
              </w:rPr>
              <w:t>Branch location</w:t>
            </w:r>
          </w:p>
        </w:tc>
        <w:tc>
          <w:tcPr>
            <w:tcW w:w="1535" w:type="pct"/>
            <w:tcBorders>
              <w:top w:val="nil"/>
              <w:left w:val="nil"/>
              <w:bottom w:val="single" w:sz="8" w:space="0" w:color="auto"/>
              <w:right w:val="single" w:sz="8" w:space="0" w:color="auto"/>
            </w:tcBorders>
            <w:vAlign w:val="center"/>
          </w:tcPr>
          <w:p w14:paraId="72E777FF"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1F1D4507"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79BC5E5A" w14:textId="77777777" w:rsidR="00115458" w:rsidRPr="00D06BCE" w:rsidRDefault="00115458" w:rsidP="00D06BCE">
            <w:pPr>
              <w:spacing w:after="0" w:line="240" w:lineRule="auto"/>
              <w:rPr>
                <w:rFonts w:cs="Arial"/>
                <w:b/>
              </w:rPr>
            </w:pPr>
            <w:hyperlink w:anchor="d7_065" w:history="1">
              <w:r w:rsidRPr="00D06BCE">
                <w:rPr>
                  <w:rFonts w:eastAsiaTheme="minorHAnsi" w:cs="Arial"/>
                  <w:noProof/>
                </w:rPr>
                <w:t>9.67</w:t>
              </w:r>
            </w:hyperlink>
          </w:p>
        </w:tc>
        <w:tc>
          <w:tcPr>
            <w:tcW w:w="2798" w:type="pct"/>
            <w:tcBorders>
              <w:top w:val="nil"/>
              <w:left w:val="nil"/>
              <w:bottom w:val="single" w:sz="8" w:space="0" w:color="auto"/>
              <w:right w:val="single" w:sz="8" w:space="0" w:color="auto"/>
            </w:tcBorders>
            <w:vAlign w:val="center"/>
          </w:tcPr>
          <w:p w14:paraId="4A7C8BE5" w14:textId="77777777" w:rsidR="00115458" w:rsidRPr="00D06BCE" w:rsidRDefault="00115458" w:rsidP="00D06BCE">
            <w:pPr>
              <w:spacing w:after="0" w:line="240" w:lineRule="auto"/>
              <w:rPr>
                <w:rFonts w:cs="Arial"/>
              </w:rPr>
            </w:pPr>
            <w:r w:rsidRPr="00D06BCE">
              <w:rPr>
                <w:rFonts w:cs="Arial"/>
              </w:rPr>
              <w:t>Account name</w:t>
            </w:r>
          </w:p>
        </w:tc>
        <w:tc>
          <w:tcPr>
            <w:tcW w:w="1535" w:type="pct"/>
            <w:tcBorders>
              <w:top w:val="nil"/>
              <w:left w:val="nil"/>
              <w:bottom w:val="single" w:sz="8" w:space="0" w:color="auto"/>
              <w:right w:val="single" w:sz="8" w:space="0" w:color="auto"/>
            </w:tcBorders>
            <w:vAlign w:val="center"/>
          </w:tcPr>
          <w:p w14:paraId="270FAAEE" w14:textId="77777777" w:rsidR="00115458" w:rsidRPr="00D06BCE" w:rsidRDefault="00115458" w:rsidP="00D06BCE">
            <w:pPr>
              <w:spacing w:after="0" w:line="240" w:lineRule="auto"/>
              <w:rPr>
                <w:rFonts w:cs="Arial"/>
              </w:rPr>
            </w:pPr>
            <w:r w:rsidRPr="00D06BCE">
              <w:rPr>
                <w:rFonts w:cs="Arial"/>
              </w:rPr>
              <w:t>MEG BILLINGS</w:t>
            </w:r>
          </w:p>
        </w:tc>
      </w:tr>
      <w:tr w:rsidR="00115458" w:rsidRPr="00D06BCE" w14:paraId="05F5614B"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40EDEBD8" w14:textId="27666AD8" w:rsidR="00115458" w:rsidRPr="00D06BCE" w:rsidRDefault="005575D6" w:rsidP="00D06BCE">
            <w:pPr>
              <w:spacing w:after="0" w:line="240" w:lineRule="auto"/>
              <w:rPr>
                <w:rFonts w:cs="Arial"/>
                <w:b/>
              </w:rPr>
            </w:pPr>
            <w:r>
              <w:t>9.150</w:t>
            </w:r>
          </w:p>
        </w:tc>
        <w:tc>
          <w:tcPr>
            <w:tcW w:w="2798" w:type="pct"/>
            <w:tcBorders>
              <w:top w:val="nil"/>
              <w:left w:val="nil"/>
              <w:bottom w:val="single" w:sz="8" w:space="0" w:color="auto"/>
              <w:right w:val="single" w:sz="8" w:space="0" w:color="auto"/>
            </w:tcBorders>
            <w:vAlign w:val="center"/>
          </w:tcPr>
          <w:p w14:paraId="027D9032"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35" w:type="pct"/>
            <w:tcBorders>
              <w:top w:val="nil"/>
              <w:left w:val="nil"/>
              <w:bottom w:val="single" w:sz="8" w:space="0" w:color="auto"/>
              <w:right w:val="single" w:sz="8" w:space="0" w:color="auto"/>
            </w:tcBorders>
            <w:vAlign w:val="center"/>
          </w:tcPr>
          <w:p w14:paraId="26116FA9" w14:textId="77777777" w:rsidR="00115458" w:rsidRPr="00D06BCE" w:rsidRDefault="00115458" w:rsidP="00D06BCE">
            <w:pPr>
              <w:spacing w:after="0" w:line="240" w:lineRule="auto"/>
              <w:rPr>
                <w:rFonts w:cs="Arial"/>
              </w:rPr>
            </w:pPr>
            <w:r w:rsidRPr="00D06BCE">
              <w:rPr>
                <w:rFonts w:cs="Arial"/>
              </w:rPr>
              <w:t>7598632</w:t>
            </w:r>
          </w:p>
        </w:tc>
      </w:tr>
      <w:tr w:rsidR="00115458" w:rsidRPr="00D06BCE" w14:paraId="4CE2DE89"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31A23BE2" w14:textId="46C1CAF5" w:rsidR="00115458" w:rsidRPr="00D06BCE" w:rsidRDefault="00115458" w:rsidP="00D06BCE">
            <w:pPr>
              <w:spacing w:after="0" w:line="240" w:lineRule="auto"/>
              <w:rPr>
                <w:rFonts w:cs="Arial"/>
                <w:b/>
              </w:rPr>
            </w:pPr>
            <w:r w:rsidRPr="00D06BCE" w:rsidDel="00107A53">
              <w:rPr>
                <w:rFonts w:eastAsiaTheme="minorHAnsi" w:cs="Arial"/>
                <w:noProof/>
              </w:rPr>
              <w:t>9.</w:t>
            </w:r>
            <w:r w:rsidR="00107A53">
              <w:rPr>
                <w:rFonts w:cs="Arial"/>
              </w:rPr>
              <w:t>151</w:t>
            </w:r>
          </w:p>
        </w:tc>
        <w:tc>
          <w:tcPr>
            <w:tcW w:w="2798" w:type="pct"/>
            <w:tcBorders>
              <w:top w:val="nil"/>
              <w:left w:val="nil"/>
              <w:bottom w:val="single" w:sz="8" w:space="0" w:color="auto"/>
              <w:right w:val="single" w:sz="8" w:space="0" w:color="auto"/>
            </w:tcBorders>
            <w:vAlign w:val="center"/>
          </w:tcPr>
          <w:p w14:paraId="37E02B70" w14:textId="77777777" w:rsidR="00115458" w:rsidRPr="00D06BCE" w:rsidRDefault="00115458" w:rsidP="00D06BCE">
            <w:pPr>
              <w:spacing w:after="0" w:line="240" w:lineRule="auto"/>
              <w:rPr>
                <w:rFonts w:cs="Arial"/>
              </w:rPr>
            </w:pPr>
            <w:r w:rsidRPr="00D06BCE">
              <w:rPr>
                <w:rFonts w:cs="Arial"/>
              </w:rPr>
              <w:t>ANZSIC code</w:t>
            </w:r>
          </w:p>
        </w:tc>
        <w:tc>
          <w:tcPr>
            <w:tcW w:w="1535" w:type="pct"/>
            <w:tcBorders>
              <w:top w:val="nil"/>
              <w:left w:val="nil"/>
              <w:bottom w:val="single" w:sz="8" w:space="0" w:color="auto"/>
              <w:right w:val="single" w:sz="8" w:space="0" w:color="auto"/>
            </w:tcBorders>
            <w:vAlign w:val="center"/>
          </w:tcPr>
          <w:p w14:paraId="2DEF3577"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606CAF0C"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36801279" w14:textId="77777777" w:rsidR="00115458" w:rsidRPr="00D06BCE" w:rsidRDefault="00115458" w:rsidP="00D06BCE">
            <w:pPr>
              <w:spacing w:after="0" w:line="240" w:lineRule="auto"/>
              <w:rPr>
                <w:rFonts w:cs="Arial"/>
                <w:b/>
              </w:rPr>
            </w:pPr>
            <w:hyperlink w:anchor="d7_068" w:history="1">
              <w:r w:rsidRPr="00D06BCE">
                <w:rPr>
                  <w:rFonts w:eastAsiaTheme="minorHAnsi" w:cs="Arial"/>
                  <w:noProof/>
                </w:rPr>
                <w:t>9.70</w:t>
              </w:r>
            </w:hyperlink>
          </w:p>
        </w:tc>
        <w:tc>
          <w:tcPr>
            <w:tcW w:w="2798" w:type="pct"/>
            <w:tcBorders>
              <w:top w:val="nil"/>
              <w:left w:val="nil"/>
              <w:bottom w:val="single" w:sz="8" w:space="0" w:color="auto"/>
              <w:right w:val="single" w:sz="8" w:space="0" w:color="auto"/>
            </w:tcBorders>
            <w:vAlign w:val="center"/>
          </w:tcPr>
          <w:p w14:paraId="6A518A97" w14:textId="77777777" w:rsidR="00115458" w:rsidRPr="00D06BCE" w:rsidRDefault="00115458" w:rsidP="00D06BCE">
            <w:pPr>
              <w:spacing w:after="0" w:line="240" w:lineRule="auto"/>
              <w:rPr>
                <w:rFonts w:cs="Arial"/>
              </w:rPr>
            </w:pPr>
            <w:r w:rsidRPr="00D06BCE">
              <w:rPr>
                <w:rFonts w:cs="Arial"/>
              </w:rPr>
              <w:t>Date of payment (DDMMCCYY)</w:t>
            </w:r>
          </w:p>
        </w:tc>
        <w:tc>
          <w:tcPr>
            <w:tcW w:w="1535" w:type="pct"/>
            <w:tcBorders>
              <w:top w:val="nil"/>
              <w:left w:val="nil"/>
              <w:bottom w:val="single" w:sz="8" w:space="0" w:color="auto"/>
              <w:right w:val="single" w:sz="8" w:space="0" w:color="auto"/>
            </w:tcBorders>
            <w:vAlign w:val="center"/>
          </w:tcPr>
          <w:p w14:paraId="553EAC8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2AAE30E"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44844590" w14:textId="77777777" w:rsidR="00115458" w:rsidRPr="00D06BCE" w:rsidRDefault="00115458" w:rsidP="00D06BCE">
            <w:pPr>
              <w:spacing w:after="0" w:line="240" w:lineRule="auto"/>
              <w:rPr>
                <w:rFonts w:cs="Arial"/>
                <w:b/>
              </w:rPr>
            </w:pPr>
            <w:hyperlink w:anchor="d7_069" w:history="1">
              <w:r w:rsidRPr="00D06BCE">
                <w:rPr>
                  <w:rFonts w:eastAsiaTheme="minorHAnsi" w:cs="Arial"/>
                  <w:noProof/>
                </w:rPr>
                <w:t>9.71</w:t>
              </w:r>
            </w:hyperlink>
          </w:p>
        </w:tc>
        <w:tc>
          <w:tcPr>
            <w:tcW w:w="2798" w:type="pct"/>
            <w:tcBorders>
              <w:top w:val="nil"/>
              <w:left w:val="nil"/>
              <w:bottom w:val="single" w:sz="8" w:space="0" w:color="auto"/>
              <w:right w:val="single" w:sz="8" w:space="0" w:color="auto"/>
            </w:tcBorders>
            <w:vAlign w:val="center"/>
          </w:tcPr>
          <w:p w14:paraId="216D75DD" w14:textId="77777777" w:rsidR="00115458" w:rsidRPr="00D06BCE" w:rsidRDefault="00115458" w:rsidP="00D06BCE">
            <w:pPr>
              <w:spacing w:after="0" w:line="240" w:lineRule="auto"/>
              <w:rPr>
                <w:rFonts w:cs="Arial"/>
              </w:rPr>
            </w:pPr>
            <w:r w:rsidRPr="00D06BCE">
              <w:rPr>
                <w:rFonts w:cs="Arial"/>
              </w:rPr>
              <w:t>Type of investment</w:t>
            </w:r>
          </w:p>
        </w:tc>
        <w:tc>
          <w:tcPr>
            <w:tcW w:w="1535" w:type="pct"/>
            <w:tcBorders>
              <w:top w:val="nil"/>
              <w:left w:val="nil"/>
              <w:bottom w:val="single" w:sz="8" w:space="0" w:color="auto"/>
              <w:right w:val="single" w:sz="8" w:space="0" w:color="auto"/>
            </w:tcBorders>
            <w:vAlign w:val="center"/>
          </w:tcPr>
          <w:p w14:paraId="7F4F5CDF"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6F56601A"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10D5564C" w14:textId="77777777" w:rsidR="00115458" w:rsidRPr="00D06BCE" w:rsidRDefault="00115458" w:rsidP="00D06BCE">
            <w:pPr>
              <w:spacing w:after="0" w:line="240" w:lineRule="auto"/>
              <w:rPr>
                <w:rFonts w:cs="Arial"/>
                <w:b/>
              </w:rPr>
            </w:pPr>
            <w:hyperlink w:anchor="d7_070" w:history="1">
              <w:r w:rsidRPr="00D06BCE">
                <w:rPr>
                  <w:rFonts w:eastAsiaTheme="minorHAnsi" w:cs="Arial"/>
                  <w:noProof/>
                </w:rPr>
                <w:t>9.72</w:t>
              </w:r>
            </w:hyperlink>
          </w:p>
        </w:tc>
        <w:tc>
          <w:tcPr>
            <w:tcW w:w="2798" w:type="pct"/>
            <w:tcBorders>
              <w:top w:val="nil"/>
              <w:left w:val="nil"/>
              <w:bottom w:val="single" w:sz="8" w:space="0" w:color="auto"/>
              <w:right w:val="single" w:sz="8" w:space="0" w:color="auto"/>
            </w:tcBorders>
            <w:vAlign w:val="center"/>
          </w:tcPr>
          <w:p w14:paraId="635C5CA7" w14:textId="77777777" w:rsidR="00115458" w:rsidRPr="00D06BCE" w:rsidRDefault="00115458" w:rsidP="00D06BCE">
            <w:pPr>
              <w:spacing w:after="0" w:line="240" w:lineRule="auto"/>
              <w:rPr>
                <w:rFonts w:cs="Arial"/>
              </w:rPr>
            </w:pPr>
            <w:r w:rsidRPr="00D06BCE">
              <w:rPr>
                <w:rFonts w:cs="Arial"/>
              </w:rPr>
              <w:t>Type of payment</w:t>
            </w:r>
          </w:p>
        </w:tc>
        <w:tc>
          <w:tcPr>
            <w:tcW w:w="1535" w:type="pct"/>
            <w:tcBorders>
              <w:top w:val="nil"/>
              <w:left w:val="nil"/>
              <w:bottom w:val="single" w:sz="8" w:space="0" w:color="auto"/>
              <w:right w:val="single" w:sz="8" w:space="0" w:color="auto"/>
            </w:tcBorders>
            <w:vAlign w:val="center"/>
          </w:tcPr>
          <w:p w14:paraId="695B519A"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1EDD70E3"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5FB1B982" w14:textId="77777777" w:rsidR="00115458" w:rsidRPr="00D06BCE" w:rsidRDefault="00115458" w:rsidP="00D06BCE">
            <w:pPr>
              <w:spacing w:after="0" w:line="240" w:lineRule="auto"/>
              <w:rPr>
                <w:rFonts w:cs="Arial"/>
                <w:b/>
              </w:rPr>
            </w:pPr>
            <w:hyperlink w:anchor="d7_076" w:history="1">
              <w:r w:rsidRPr="00D06BCE">
                <w:rPr>
                  <w:rFonts w:eastAsiaTheme="minorHAnsi" w:cs="Arial"/>
                  <w:noProof/>
                </w:rPr>
                <w:t>9.79</w:t>
              </w:r>
            </w:hyperlink>
          </w:p>
        </w:tc>
        <w:tc>
          <w:tcPr>
            <w:tcW w:w="2798" w:type="pct"/>
            <w:tcBorders>
              <w:top w:val="nil"/>
              <w:left w:val="nil"/>
              <w:bottom w:val="single" w:sz="8" w:space="0" w:color="auto"/>
              <w:right w:val="single" w:sz="8" w:space="0" w:color="auto"/>
            </w:tcBorders>
            <w:vAlign w:val="center"/>
          </w:tcPr>
          <w:p w14:paraId="40269801" w14:textId="77777777" w:rsidR="00115458" w:rsidRPr="00D06BCE" w:rsidRDefault="00115458" w:rsidP="00D06BCE">
            <w:pPr>
              <w:spacing w:after="0" w:line="240" w:lineRule="auto"/>
              <w:rPr>
                <w:rFonts w:cs="Arial"/>
              </w:rPr>
            </w:pPr>
            <w:r w:rsidRPr="00D06BCE">
              <w:rPr>
                <w:rFonts w:cs="Arial"/>
              </w:rPr>
              <w:t>Interest (cents)</w:t>
            </w:r>
          </w:p>
        </w:tc>
        <w:tc>
          <w:tcPr>
            <w:tcW w:w="1535" w:type="pct"/>
            <w:tcBorders>
              <w:top w:val="nil"/>
              <w:left w:val="nil"/>
              <w:bottom w:val="single" w:sz="8" w:space="0" w:color="auto"/>
              <w:right w:val="single" w:sz="8" w:space="0" w:color="auto"/>
            </w:tcBorders>
            <w:vAlign w:val="center"/>
          </w:tcPr>
          <w:p w14:paraId="23A227C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3ACF0A2"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30407BA6" w14:textId="77777777" w:rsidR="00115458" w:rsidRPr="00D06BCE" w:rsidRDefault="00115458" w:rsidP="00D06BCE">
            <w:pPr>
              <w:spacing w:after="0" w:line="240" w:lineRule="auto"/>
              <w:rPr>
                <w:rFonts w:cs="Arial"/>
                <w:b/>
              </w:rPr>
            </w:pPr>
            <w:hyperlink w:anchor="d7_072" w:history="1">
              <w:r w:rsidRPr="00D06BCE">
                <w:rPr>
                  <w:rFonts w:eastAsiaTheme="minorHAnsi" w:cs="Arial"/>
                  <w:noProof/>
                </w:rPr>
                <w:t>9.74</w:t>
              </w:r>
            </w:hyperlink>
          </w:p>
        </w:tc>
        <w:tc>
          <w:tcPr>
            <w:tcW w:w="2798" w:type="pct"/>
            <w:tcBorders>
              <w:top w:val="nil"/>
              <w:left w:val="nil"/>
              <w:bottom w:val="single" w:sz="8" w:space="0" w:color="auto"/>
              <w:right w:val="single" w:sz="8" w:space="0" w:color="auto"/>
            </w:tcBorders>
            <w:vAlign w:val="center"/>
          </w:tcPr>
          <w:p w14:paraId="34D45836"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35" w:type="pct"/>
            <w:tcBorders>
              <w:top w:val="nil"/>
              <w:left w:val="nil"/>
              <w:bottom w:val="single" w:sz="8" w:space="0" w:color="auto"/>
              <w:right w:val="single" w:sz="8" w:space="0" w:color="auto"/>
            </w:tcBorders>
            <w:vAlign w:val="center"/>
          </w:tcPr>
          <w:p w14:paraId="5148DF5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A738DBC"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4C98637F" w14:textId="77777777" w:rsidR="00115458" w:rsidRPr="00D06BCE" w:rsidRDefault="00115458" w:rsidP="00D06BCE">
            <w:pPr>
              <w:spacing w:after="0" w:line="240" w:lineRule="auto"/>
              <w:rPr>
                <w:rFonts w:cs="Arial"/>
                <w:b/>
              </w:rPr>
            </w:pPr>
            <w:hyperlink w:anchor="d7_073" w:history="1">
              <w:r w:rsidRPr="00D06BCE">
                <w:rPr>
                  <w:rFonts w:eastAsiaTheme="minorHAnsi" w:cs="Arial"/>
                  <w:noProof/>
                </w:rPr>
                <w:t>9.75</w:t>
              </w:r>
            </w:hyperlink>
          </w:p>
        </w:tc>
        <w:tc>
          <w:tcPr>
            <w:tcW w:w="2798" w:type="pct"/>
            <w:tcBorders>
              <w:top w:val="nil"/>
              <w:left w:val="nil"/>
              <w:bottom w:val="single" w:sz="8" w:space="0" w:color="auto"/>
              <w:right w:val="single" w:sz="8" w:space="0" w:color="auto"/>
            </w:tcBorders>
            <w:vAlign w:val="center"/>
          </w:tcPr>
          <w:p w14:paraId="0D2DE7AA"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35" w:type="pct"/>
            <w:tcBorders>
              <w:top w:val="nil"/>
              <w:left w:val="nil"/>
              <w:bottom w:val="single" w:sz="8" w:space="0" w:color="auto"/>
              <w:right w:val="single" w:sz="8" w:space="0" w:color="auto"/>
            </w:tcBorders>
            <w:vAlign w:val="center"/>
          </w:tcPr>
          <w:p w14:paraId="351D272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36056E1"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7E113039" w14:textId="34516887" w:rsidR="00115458" w:rsidRPr="00D06BCE" w:rsidRDefault="00E548B4" w:rsidP="00D06BCE">
            <w:pPr>
              <w:spacing w:after="0" w:line="240" w:lineRule="auto"/>
              <w:rPr>
                <w:rFonts w:cs="Arial"/>
                <w:b/>
              </w:rPr>
            </w:pPr>
            <w:r>
              <w:rPr>
                <w:rFonts w:cs="Arial"/>
              </w:rPr>
              <w:t>9.152</w:t>
            </w:r>
          </w:p>
        </w:tc>
        <w:tc>
          <w:tcPr>
            <w:tcW w:w="2798" w:type="pct"/>
            <w:tcBorders>
              <w:top w:val="nil"/>
              <w:left w:val="nil"/>
              <w:bottom w:val="single" w:sz="8" w:space="0" w:color="auto"/>
              <w:right w:val="single" w:sz="8" w:space="0" w:color="auto"/>
            </w:tcBorders>
            <w:vAlign w:val="center"/>
          </w:tcPr>
          <w:p w14:paraId="7473ED1F"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35" w:type="pct"/>
            <w:tcBorders>
              <w:top w:val="nil"/>
              <w:left w:val="nil"/>
              <w:bottom w:val="single" w:sz="8" w:space="0" w:color="auto"/>
              <w:right w:val="single" w:sz="8" w:space="0" w:color="auto"/>
            </w:tcBorders>
            <w:vAlign w:val="center"/>
          </w:tcPr>
          <w:p w14:paraId="1E5CA63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62DEDDC"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01F1CE9B" w14:textId="58ECBEE9" w:rsidR="00115458" w:rsidRPr="00D06BCE" w:rsidRDefault="00115458" w:rsidP="00D06BCE">
            <w:pPr>
              <w:spacing w:after="0" w:line="240" w:lineRule="auto"/>
              <w:rPr>
                <w:rFonts w:cs="Arial"/>
                <w:b/>
              </w:rPr>
            </w:pPr>
            <w:hyperlink w:anchor="d7_139" w:history="1">
              <w:r w:rsidRPr="00D06BCE">
                <w:rPr>
                  <w:rFonts w:eastAsiaTheme="minorHAnsi" w:cs="Arial"/>
                  <w:noProof/>
                </w:rPr>
                <w:t>9</w:t>
              </w:r>
            </w:hyperlink>
            <w:r w:rsidR="00704E70">
              <w:t>.153</w:t>
            </w:r>
          </w:p>
        </w:tc>
        <w:tc>
          <w:tcPr>
            <w:tcW w:w="2798" w:type="pct"/>
            <w:tcBorders>
              <w:top w:val="nil"/>
              <w:left w:val="nil"/>
              <w:bottom w:val="single" w:sz="8" w:space="0" w:color="auto"/>
              <w:right w:val="single" w:sz="8" w:space="0" w:color="auto"/>
            </w:tcBorders>
            <w:vAlign w:val="center"/>
          </w:tcPr>
          <w:p w14:paraId="348FD41F"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35" w:type="pct"/>
            <w:tcBorders>
              <w:top w:val="nil"/>
              <w:left w:val="nil"/>
              <w:bottom w:val="single" w:sz="8" w:space="0" w:color="auto"/>
              <w:right w:val="single" w:sz="8" w:space="0" w:color="auto"/>
            </w:tcBorders>
            <w:vAlign w:val="center"/>
          </w:tcPr>
          <w:p w14:paraId="0CC96B8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2EB5EE7"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4B0ADB07" w14:textId="59F3C9AC" w:rsidR="00115458" w:rsidRPr="00D06BCE" w:rsidRDefault="00D428B9" w:rsidP="00D06BCE">
            <w:pPr>
              <w:spacing w:after="0" w:line="240" w:lineRule="auto"/>
              <w:rPr>
                <w:rFonts w:cs="Arial"/>
                <w:b/>
              </w:rPr>
            </w:pPr>
            <w:r>
              <w:t>9.154</w:t>
            </w:r>
          </w:p>
        </w:tc>
        <w:tc>
          <w:tcPr>
            <w:tcW w:w="2798" w:type="pct"/>
            <w:tcBorders>
              <w:top w:val="nil"/>
              <w:left w:val="nil"/>
              <w:bottom w:val="single" w:sz="8" w:space="0" w:color="auto"/>
              <w:right w:val="single" w:sz="8" w:space="0" w:color="auto"/>
            </w:tcBorders>
            <w:vAlign w:val="center"/>
          </w:tcPr>
          <w:p w14:paraId="7A8167AB"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35" w:type="pct"/>
            <w:tcBorders>
              <w:top w:val="nil"/>
              <w:left w:val="nil"/>
              <w:bottom w:val="single" w:sz="8" w:space="0" w:color="auto"/>
              <w:right w:val="single" w:sz="8" w:space="0" w:color="auto"/>
            </w:tcBorders>
            <w:vAlign w:val="center"/>
          </w:tcPr>
          <w:p w14:paraId="5172F9F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08C99EB"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5AA4A147" w14:textId="663BAFA9" w:rsidR="00115458" w:rsidRPr="00D06BCE" w:rsidRDefault="00623CAC" w:rsidP="00D06BCE">
            <w:pPr>
              <w:spacing w:after="0" w:line="240" w:lineRule="auto"/>
              <w:rPr>
                <w:rFonts w:cs="Arial"/>
                <w:b/>
              </w:rPr>
            </w:pPr>
            <w:r>
              <w:t>9.155</w:t>
            </w:r>
          </w:p>
        </w:tc>
        <w:tc>
          <w:tcPr>
            <w:tcW w:w="2798" w:type="pct"/>
            <w:tcBorders>
              <w:top w:val="nil"/>
              <w:left w:val="nil"/>
              <w:bottom w:val="single" w:sz="8" w:space="0" w:color="auto"/>
              <w:right w:val="single" w:sz="8" w:space="0" w:color="auto"/>
            </w:tcBorders>
            <w:vAlign w:val="center"/>
          </w:tcPr>
          <w:p w14:paraId="78CC0711" w14:textId="77777777" w:rsidR="00115458" w:rsidRPr="00D06BCE" w:rsidRDefault="00115458" w:rsidP="00D06BCE">
            <w:pPr>
              <w:spacing w:after="0" w:line="240" w:lineRule="auto"/>
              <w:rPr>
                <w:rFonts w:cs="Arial"/>
              </w:rPr>
            </w:pPr>
            <w:r w:rsidRPr="00D06BCE">
              <w:rPr>
                <w:rFonts w:cs="Arial"/>
              </w:rPr>
              <w:t>Amount of repayment (first) (cents)</w:t>
            </w:r>
          </w:p>
        </w:tc>
        <w:tc>
          <w:tcPr>
            <w:tcW w:w="1535" w:type="pct"/>
            <w:tcBorders>
              <w:top w:val="nil"/>
              <w:left w:val="nil"/>
              <w:bottom w:val="single" w:sz="8" w:space="0" w:color="auto"/>
              <w:right w:val="single" w:sz="8" w:space="0" w:color="auto"/>
            </w:tcBorders>
            <w:vAlign w:val="center"/>
          </w:tcPr>
          <w:p w14:paraId="4638150E"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D8D8FA3"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5CF9B26C" w14:textId="7838B122" w:rsidR="00115458" w:rsidRPr="00D06BCE" w:rsidRDefault="00D84C2A" w:rsidP="00D06BCE">
            <w:pPr>
              <w:spacing w:after="0" w:line="240" w:lineRule="auto"/>
              <w:rPr>
                <w:rFonts w:cs="Arial"/>
                <w:b/>
              </w:rPr>
            </w:pPr>
            <w:r>
              <w:t>9.156</w:t>
            </w:r>
          </w:p>
        </w:tc>
        <w:tc>
          <w:tcPr>
            <w:tcW w:w="2798" w:type="pct"/>
            <w:tcBorders>
              <w:top w:val="nil"/>
              <w:left w:val="nil"/>
              <w:bottom w:val="single" w:sz="8" w:space="0" w:color="auto"/>
              <w:right w:val="single" w:sz="8" w:space="0" w:color="auto"/>
            </w:tcBorders>
            <w:vAlign w:val="center"/>
          </w:tcPr>
          <w:p w14:paraId="723EC25B" w14:textId="77777777" w:rsidR="00115458" w:rsidRPr="00D06BCE" w:rsidRDefault="00115458" w:rsidP="00D06BCE">
            <w:pPr>
              <w:spacing w:after="0" w:line="240" w:lineRule="auto"/>
              <w:rPr>
                <w:rFonts w:cs="Arial"/>
              </w:rPr>
            </w:pPr>
            <w:r w:rsidRPr="00D06BCE">
              <w:rPr>
                <w:rFonts w:cs="Arial"/>
              </w:rPr>
              <w:t>Date of repayment (first) (DDMMCCYY)</w:t>
            </w:r>
          </w:p>
        </w:tc>
        <w:tc>
          <w:tcPr>
            <w:tcW w:w="1535" w:type="pct"/>
            <w:tcBorders>
              <w:top w:val="nil"/>
              <w:left w:val="nil"/>
              <w:bottom w:val="single" w:sz="8" w:space="0" w:color="auto"/>
              <w:right w:val="single" w:sz="8" w:space="0" w:color="auto"/>
            </w:tcBorders>
            <w:vAlign w:val="center"/>
          </w:tcPr>
          <w:p w14:paraId="6CB3173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76813A1"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2ACC3C27" w14:textId="4E1CD0D0" w:rsidR="00115458" w:rsidRPr="00D06BCE" w:rsidRDefault="00623CAC" w:rsidP="00D06BCE">
            <w:pPr>
              <w:spacing w:after="0" w:line="240" w:lineRule="auto"/>
              <w:rPr>
                <w:rFonts w:cs="Arial"/>
                <w:b/>
              </w:rPr>
            </w:pPr>
            <w:r>
              <w:t>9.155</w:t>
            </w:r>
          </w:p>
        </w:tc>
        <w:tc>
          <w:tcPr>
            <w:tcW w:w="2798" w:type="pct"/>
            <w:tcBorders>
              <w:top w:val="nil"/>
              <w:left w:val="nil"/>
              <w:bottom w:val="single" w:sz="8" w:space="0" w:color="auto"/>
              <w:right w:val="single" w:sz="8" w:space="0" w:color="auto"/>
            </w:tcBorders>
            <w:vAlign w:val="center"/>
          </w:tcPr>
          <w:p w14:paraId="782C7922" w14:textId="77777777" w:rsidR="00115458" w:rsidRPr="00D06BCE" w:rsidRDefault="00115458" w:rsidP="00D06BCE">
            <w:pPr>
              <w:spacing w:after="0" w:line="240" w:lineRule="auto"/>
              <w:rPr>
                <w:rFonts w:cs="Arial"/>
              </w:rPr>
            </w:pPr>
            <w:r w:rsidRPr="00D06BCE">
              <w:rPr>
                <w:rFonts w:cs="Arial"/>
              </w:rPr>
              <w:t>Amount of repayment (second) (cents)</w:t>
            </w:r>
          </w:p>
        </w:tc>
        <w:tc>
          <w:tcPr>
            <w:tcW w:w="1535" w:type="pct"/>
            <w:tcBorders>
              <w:top w:val="nil"/>
              <w:left w:val="nil"/>
              <w:bottom w:val="single" w:sz="8" w:space="0" w:color="auto"/>
              <w:right w:val="single" w:sz="8" w:space="0" w:color="auto"/>
            </w:tcBorders>
            <w:vAlign w:val="center"/>
          </w:tcPr>
          <w:p w14:paraId="5D300CCE"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3F303C5"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0EC5C455" w14:textId="781CFAA0" w:rsidR="00115458" w:rsidRPr="00D06BCE" w:rsidRDefault="00D84C2A" w:rsidP="00D06BCE">
            <w:pPr>
              <w:spacing w:after="0" w:line="240" w:lineRule="auto"/>
              <w:rPr>
                <w:rFonts w:cs="Arial"/>
                <w:b/>
              </w:rPr>
            </w:pPr>
            <w:r>
              <w:t>9.156</w:t>
            </w:r>
          </w:p>
        </w:tc>
        <w:tc>
          <w:tcPr>
            <w:tcW w:w="2798" w:type="pct"/>
            <w:tcBorders>
              <w:top w:val="nil"/>
              <w:left w:val="nil"/>
              <w:bottom w:val="single" w:sz="8" w:space="0" w:color="auto"/>
              <w:right w:val="single" w:sz="8" w:space="0" w:color="auto"/>
            </w:tcBorders>
            <w:vAlign w:val="center"/>
          </w:tcPr>
          <w:p w14:paraId="5409B73C" w14:textId="77777777" w:rsidR="00115458" w:rsidRPr="00D06BCE" w:rsidRDefault="00115458" w:rsidP="00D06BCE">
            <w:pPr>
              <w:spacing w:after="0" w:line="240" w:lineRule="auto"/>
              <w:rPr>
                <w:rFonts w:cs="Arial"/>
              </w:rPr>
            </w:pPr>
            <w:r w:rsidRPr="00D06BCE">
              <w:rPr>
                <w:rFonts w:cs="Arial"/>
              </w:rPr>
              <w:t>Date of repayment (second) (DDMMCCYY)</w:t>
            </w:r>
          </w:p>
        </w:tc>
        <w:tc>
          <w:tcPr>
            <w:tcW w:w="1535" w:type="pct"/>
            <w:tcBorders>
              <w:top w:val="nil"/>
              <w:left w:val="nil"/>
              <w:bottom w:val="single" w:sz="8" w:space="0" w:color="auto"/>
              <w:right w:val="single" w:sz="8" w:space="0" w:color="auto"/>
            </w:tcBorders>
            <w:vAlign w:val="center"/>
          </w:tcPr>
          <w:p w14:paraId="13C7682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6050BED"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7CE47C79" w14:textId="362846A8" w:rsidR="00115458" w:rsidRPr="00D06BCE" w:rsidRDefault="00623CAC" w:rsidP="00D06BCE">
            <w:pPr>
              <w:spacing w:after="0" w:line="240" w:lineRule="auto"/>
              <w:rPr>
                <w:rFonts w:cs="Arial"/>
                <w:b/>
              </w:rPr>
            </w:pPr>
            <w:r>
              <w:t>9.155</w:t>
            </w:r>
          </w:p>
        </w:tc>
        <w:tc>
          <w:tcPr>
            <w:tcW w:w="2798" w:type="pct"/>
            <w:tcBorders>
              <w:top w:val="nil"/>
              <w:left w:val="nil"/>
              <w:bottom w:val="single" w:sz="8" w:space="0" w:color="auto"/>
              <w:right w:val="single" w:sz="8" w:space="0" w:color="auto"/>
            </w:tcBorders>
            <w:vAlign w:val="center"/>
          </w:tcPr>
          <w:p w14:paraId="64881AFA" w14:textId="77777777" w:rsidR="00115458" w:rsidRPr="00D06BCE" w:rsidRDefault="00115458" w:rsidP="00D06BCE">
            <w:pPr>
              <w:spacing w:after="0" w:line="240" w:lineRule="auto"/>
              <w:rPr>
                <w:rFonts w:cs="Arial"/>
              </w:rPr>
            </w:pPr>
            <w:r w:rsidRPr="00D06BCE">
              <w:rPr>
                <w:rFonts w:cs="Arial"/>
              </w:rPr>
              <w:t>Amount of repayment (third) (cents)</w:t>
            </w:r>
          </w:p>
        </w:tc>
        <w:tc>
          <w:tcPr>
            <w:tcW w:w="1535" w:type="pct"/>
            <w:tcBorders>
              <w:top w:val="nil"/>
              <w:left w:val="nil"/>
              <w:bottom w:val="single" w:sz="8" w:space="0" w:color="auto"/>
              <w:right w:val="single" w:sz="8" w:space="0" w:color="auto"/>
            </w:tcBorders>
            <w:vAlign w:val="center"/>
          </w:tcPr>
          <w:p w14:paraId="547FCDB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D93F59D"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4AA76062" w14:textId="247E71A1" w:rsidR="00115458" w:rsidRPr="00D06BCE" w:rsidRDefault="00D84C2A" w:rsidP="00D06BCE">
            <w:pPr>
              <w:spacing w:after="0" w:line="240" w:lineRule="auto"/>
              <w:rPr>
                <w:rFonts w:cs="Arial"/>
                <w:b/>
              </w:rPr>
            </w:pPr>
            <w:r>
              <w:t>9.156</w:t>
            </w:r>
          </w:p>
        </w:tc>
        <w:tc>
          <w:tcPr>
            <w:tcW w:w="2798" w:type="pct"/>
            <w:tcBorders>
              <w:top w:val="nil"/>
              <w:left w:val="nil"/>
              <w:bottom w:val="single" w:sz="8" w:space="0" w:color="auto"/>
              <w:right w:val="single" w:sz="8" w:space="0" w:color="auto"/>
            </w:tcBorders>
            <w:vAlign w:val="center"/>
          </w:tcPr>
          <w:p w14:paraId="12296EEA" w14:textId="77777777" w:rsidR="00115458" w:rsidRPr="00D06BCE" w:rsidRDefault="00115458" w:rsidP="00D06BCE">
            <w:pPr>
              <w:spacing w:after="0" w:line="240" w:lineRule="auto"/>
              <w:rPr>
                <w:rFonts w:cs="Arial"/>
              </w:rPr>
            </w:pPr>
            <w:r w:rsidRPr="00D06BCE">
              <w:rPr>
                <w:rFonts w:cs="Arial"/>
              </w:rPr>
              <w:t>Date of repayment (third) (DDMMCCYY)</w:t>
            </w:r>
          </w:p>
        </w:tc>
        <w:tc>
          <w:tcPr>
            <w:tcW w:w="1535" w:type="pct"/>
            <w:tcBorders>
              <w:top w:val="nil"/>
              <w:left w:val="nil"/>
              <w:bottom w:val="single" w:sz="8" w:space="0" w:color="auto"/>
              <w:right w:val="single" w:sz="8" w:space="0" w:color="auto"/>
            </w:tcBorders>
            <w:vAlign w:val="center"/>
          </w:tcPr>
          <w:p w14:paraId="5A90BC48"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2705972"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3042719C" w14:textId="15A8048C" w:rsidR="00115458" w:rsidRPr="00D06BCE" w:rsidRDefault="00623CAC" w:rsidP="00D06BCE">
            <w:pPr>
              <w:spacing w:after="0" w:line="240" w:lineRule="auto"/>
              <w:rPr>
                <w:rFonts w:cs="Arial"/>
                <w:b/>
              </w:rPr>
            </w:pPr>
            <w:r>
              <w:t>9.155</w:t>
            </w:r>
          </w:p>
        </w:tc>
        <w:tc>
          <w:tcPr>
            <w:tcW w:w="2798" w:type="pct"/>
            <w:tcBorders>
              <w:top w:val="nil"/>
              <w:left w:val="nil"/>
              <w:bottom w:val="single" w:sz="8" w:space="0" w:color="auto"/>
              <w:right w:val="single" w:sz="8" w:space="0" w:color="auto"/>
            </w:tcBorders>
            <w:vAlign w:val="center"/>
          </w:tcPr>
          <w:p w14:paraId="000D44F8" w14:textId="77777777" w:rsidR="00115458" w:rsidRPr="00D06BCE" w:rsidRDefault="00115458" w:rsidP="00D06BCE">
            <w:pPr>
              <w:spacing w:after="0" w:line="240" w:lineRule="auto"/>
              <w:rPr>
                <w:rFonts w:cs="Arial"/>
              </w:rPr>
            </w:pPr>
            <w:r w:rsidRPr="00D06BCE">
              <w:rPr>
                <w:rFonts w:cs="Arial"/>
              </w:rPr>
              <w:t>Amount of repayment (fourth) (cents)</w:t>
            </w:r>
          </w:p>
        </w:tc>
        <w:tc>
          <w:tcPr>
            <w:tcW w:w="1535" w:type="pct"/>
            <w:tcBorders>
              <w:top w:val="nil"/>
              <w:left w:val="nil"/>
              <w:bottom w:val="single" w:sz="8" w:space="0" w:color="auto"/>
              <w:right w:val="single" w:sz="8" w:space="0" w:color="auto"/>
            </w:tcBorders>
            <w:vAlign w:val="center"/>
          </w:tcPr>
          <w:p w14:paraId="181B82A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54FD728"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5B245FEB" w14:textId="40DB2C11" w:rsidR="00115458" w:rsidRPr="00D06BCE" w:rsidRDefault="00115458" w:rsidP="00D06BCE">
            <w:pPr>
              <w:spacing w:after="0" w:line="240" w:lineRule="auto"/>
              <w:rPr>
                <w:rFonts w:cs="Arial"/>
                <w:b/>
              </w:rPr>
            </w:pPr>
            <w:r w:rsidDel="00D84C2A">
              <w:t>9.</w:t>
            </w:r>
            <w:r w:rsidR="00D84C2A">
              <w:t>156</w:t>
            </w:r>
          </w:p>
        </w:tc>
        <w:tc>
          <w:tcPr>
            <w:tcW w:w="2798" w:type="pct"/>
            <w:tcBorders>
              <w:top w:val="nil"/>
              <w:left w:val="nil"/>
              <w:bottom w:val="single" w:sz="8" w:space="0" w:color="auto"/>
              <w:right w:val="single" w:sz="8" w:space="0" w:color="auto"/>
            </w:tcBorders>
            <w:vAlign w:val="center"/>
          </w:tcPr>
          <w:p w14:paraId="1D80AB97" w14:textId="77777777" w:rsidR="00115458" w:rsidRPr="00D06BCE" w:rsidRDefault="00115458" w:rsidP="00D06BCE">
            <w:pPr>
              <w:spacing w:after="0" w:line="240" w:lineRule="auto"/>
              <w:rPr>
                <w:rFonts w:cs="Arial"/>
              </w:rPr>
            </w:pPr>
            <w:r w:rsidRPr="00D06BCE">
              <w:rPr>
                <w:rFonts w:cs="Arial"/>
              </w:rPr>
              <w:t>Date of repayment (fourth) (DDMMCCYY)</w:t>
            </w:r>
          </w:p>
        </w:tc>
        <w:tc>
          <w:tcPr>
            <w:tcW w:w="1535" w:type="pct"/>
            <w:tcBorders>
              <w:top w:val="nil"/>
              <w:left w:val="nil"/>
              <w:bottom w:val="single" w:sz="8" w:space="0" w:color="auto"/>
              <w:right w:val="single" w:sz="8" w:space="0" w:color="auto"/>
            </w:tcBorders>
            <w:vAlign w:val="center"/>
          </w:tcPr>
          <w:p w14:paraId="6C4384F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0B84BCF"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12FE0FFF" w14:textId="1FA0A670" w:rsidR="00115458" w:rsidRPr="00D06BCE" w:rsidRDefault="003B64C6" w:rsidP="00D06BCE">
            <w:pPr>
              <w:spacing w:after="0" w:line="240" w:lineRule="auto"/>
              <w:rPr>
                <w:rFonts w:cs="Arial"/>
                <w:b/>
              </w:rPr>
            </w:pPr>
            <w:r>
              <w:t>9.157</w:t>
            </w:r>
          </w:p>
        </w:tc>
        <w:tc>
          <w:tcPr>
            <w:tcW w:w="2798" w:type="pct"/>
            <w:tcBorders>
              <w:top w:val="nil"/>
              <w:left w:val="nil"/>
              <w:bottom w:val="single" w:sz="8" w:space="0" w:color="auto"/>
              <w:right w:val="single" w:sz="8" w:space="0" w:color="auto"/>
            </w:tcBorders>
            <w:vAlign w:val="center"/>
          </w:tcPr>
          <w:p w14:paraId="37B863DB"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35" w:type="pct"/>
            <w:tcBorders>
              <w:top w:val="nil"/>
              <w:left w:val="nil"/>
              <w:bottom w:val="single" w:sz="8" w:space="0" w:color="auto"/>
              <w:right w:val="single" w:sz="8" w:space="0" w:color="auto"/>
            </w:tcBorders>
            <w:vAlign w:val="center"/>
          </w:tcPr>
          <w:p w14:paraId="37DBA79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B900A32"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3940E76B" w14:textId="31B87889" w:rsidR="00115458" w:rsidRPr="00D06BCE" w:rsidRDefault="00423041" w:rsidP="00D06BCE">
            <w:pPr>
              <w:spacing w:after="0" w:line="240" w:lineRule="auto"/>
              <w:rPr>
                <w:rFonts w:cs="Arial"/>
                <w:b/>
              </w:rPr>
            </w:pPr>
            <w:r>
              <w:t>9.158</w:t>
            </w:r>
          </w:p>
        </w:tc>
        <w:tc>
          <w:tcPr>
            <w:tcW w:w="2798" w:type="pct"/>
            <w:tcBorders>
              <w:top w:val="nil"/>
              <w:left w:val="nil"/>
              <w:bottom w:val="single" w:sz="8" w:space="0" w:color="auto"/>
              <w:right w:val="single" w:sz="8" w:space="0" w:color="auto"/>
            </w:tcBorders>
            <w:vAlign w:val="center"/>
          </w:tcPr>
          <w:p w14:paraId="09FAB597"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35" w:type="pct"/>
            <w:tcBorders>
              <w:top w:val="nil"/>
              <w:left w:val="nil"/>
              <w:bottom w:val="single" w:sz="8" w:space="0" w:color="auto"/>
              <w:right w:val="single" w:sz="8" w:space="0" w:color="auto"/>
            </w:tcBorders>
            <w:vAlign w:val="center"/>
          </w:tcPr>
          <w:p w14:paraId="721505E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9074A0B"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4FE3D823" w14:textId="54B45150" w:rsidR="00115458" w:rsidRPr="00D06BCE" w:rsidRDefault="00096F4C" w:rsidP="00D06BCE">
            <w:pPr>
              <w:spacing w:after="0" w:line="240" w:lineRule="auto"/>
              <w:rPr>
                <w:rFonts w:cs="Arial"/>
                <w:b/>
              </w:rPr>
            </w:pPr>
            <w:r>
              <w:t>9.159</w:t>
            </w:r>
          </w:p>
        </w:tc>
        <w:tc>
          <w:tcPr>
            <w:tcW w:w="2798" w:type="pct"/>
            <w:tcBorders>
              <w:top w:val="nil"/>
              <w:left w:val="nil"/>
              <w:bottom w:val="single" w:sz="8" w:space="0" w:color="auto"/>
              <w:right w:val="single" w:sz="8" w:space="0" w:color="auto"/>
            </w:tcBorders>
            <w:vAlign w:val="center"/>
          </w:tcPr>
          <w:p w14:paraId="72E7847D"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35" w:type="pct"/>
            <w:tcBorders>
              <w:top w:val="nil"/>
              <w:left w:val="nil"/>
              <w:bottom w:val="single" w:sz="8" w:space="0" w:color="auto"/>
              <w:right w:val="single" w:sz="8" w:space="0" w:color="auto"/>
            </w:tcBorders>
            <w:vAlign w:val="center"/>
          </w:tcPr>
          <w:p w14:paraId="36D29E15"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A3D849D"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37B06D9A" w14:textId="36DB668E" w:rsidR="00115458" w:rsidRPr="00D06BCE" w:rsidRDefault="00115458" w:rsidP="00D06BCE">
            <w:pPr>
              <w:spacing w:after="0" w:line="240" w:lineRule="auto"/>
              <w:rPr>
                <w:rFonts w:cs="Arial"/>
                <w:b/>
              </w:rPr>
            </w:pPr>
            <w:r w:rsidDel="00FB51AD">
              <w:t>9.</w:t>
            </w:r>
            <w:r w:rsidR="00FB51AD">
              <w:t>160</w:t>
            </w:r>
          </w:p>
        </w:tc>
        <w:tc>
          <w:tcPr>
            <w:tcW w:w="2798" w:type="pct"/>
            <w:tcBorders>
              <w:top w:val="nil"/>
              <w:left w:val="nil"/>
              <w:bottom w:val="single" w:sz="8" w:space="0" w:color="auto"/>
              <w:right w:val="single" w:sz="8" w:space="0" w:color="auto"/>
            </w:tcBorders>
            <w:vAlign w:val="center"/>
          </w:tcPr>
          <w:p w14:paraId="06696C1D"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35" w:type="pct"/>
            <w:tcBorders>
              <w:top w:val="nil"/>
              <w:left w:val="nil"/>
              <w:bottom w:val="single" w:sz="8" w:space="0" w:color="auto"/>
              <w:right w:val="single" w:sz="8" w:space="0" w:color="auto"/>
            </w:tcBorders>
            <w:vAlign w:val="center"/>
          </w:tcPr>
          <w:p w14:paraId="15654CB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3364AE4"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55155D57" w14:textId="20F2CCE0" w:rsidR="00115458" w:rsidRPr="00D06BCE" w:rsidRDefault="00115458" w:rsidP="00D06BCE">
            <w:pPr>
              <w:spacing w:after="0" w:line="240" w:lineRule="auto"/>
              <w:rPr>
                <w:rFonts w:cs="Arial"/>
                <w:b/>
              </w:rPr>
            </w:pPr>
            <w:r w:rsidDel="00613ECB">
              <w:t>9.</w:t>
            </w:r>
            <w:r w:rsidR="00A93820">
              <w:t>161</w:t>
            </w:r>
          </w:p>
        </w:tc>
        <w:tc>
          <w:tcPr>
            <w:tcW w:w="2798" w:type="pct"/>
            <w:tcBorders>
              <w:top w:val="nil"/>
              <w:left w:val="nil"/>
              <w:bottom w:val="single" w:sz="8" w:space="0" w:color="auto"/>
              <w:right w:val="single" w:sz="8" w:space="0" w:color="auto"/>
            </w:tcBorders>
            <w:vAlign w:val="center"/>
          </w:tcPr>
          <w:p w14:paraId="2FAAB86F"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35" w:type="pct"/>
            <w:tcBorders>
              <w:top w:val="nil"/>
              <w:left w:val="nil"/>
              <w:bottom w:val="single" w:sz="8" w:space="0" w:color="auto"/>
              <w:right w:val="single" w:sz="8" w:space="0" w:color="auto"/>
            </w:tcBorders>
            <w:vAlign w:val="center"/>
          </w:tcPr>
          <w:p w14:paraId="43724E6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BCC9817"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24E3CA45" w14:textId="795311A9" w:rsidR="00115458" w:rsidRPr="00D06BCE" w:rsidRDefault="00C71E12" w:rsidP="00D06BCE">
            <w:pPr>
              <w:spacing w:after="0" w:line="240" w:lineRule="auto"/>
              <w:rPr>
                <w:rFonts w:cs="Arial"/>
                <w:b/>
              </w:rPr>
            </w:pPr>
            <w:r>
              <w:t>9.162</w:t>
            </w:r>
          </w:p>
        </w:tc>
        <w:tc>
          <w:tcPr>
            <w:tcW w:w="2798" w:type="pct"/>
            <w:tcBorders>
              <w:top w:val="nil"/>
              <w:left w:val="nil"/>
              <w:bottom w:val="single" w:sz="8" w:space="0" w:color="auto"/>
              <w:right w:val="single" w:sz="8" w:space="0" w:color="auto"/>
            </w:tcBorders>
            <w:vAlign w:val="center"/>
          </w:tcPr>
          <w:p w14:paraId="51D390CF" w14:textId="77777777" w:rsidR="00115458" w:rsidRPr="00D06BCE" w:rsidRDefault="00115458" w:rsidP="00D06BCE">
            <w:pPr>
              <w:spacing w:after="0" w:line="240" w:lineRule="auto"/>
              <w:rPr>
                <w:rFonts w:cs="Arial"/>
              </w:rPr>
            </w:pPr>
            <w:r w:rsidRPr="00D06BCE">
              <w:rPr>
                <w:rFonts w:cs="Arial"/>
              </w:rPr>
              <w:t>Transferee BSB number (first)</w:t>
            </w:r>
          </w:p>
        </w:tc>
        <w:tc>
          <w:tcPr>
            <w:tcW w:w="1535" w:type="pct"/>
            <w:tcBorders>
              <w:top w:val="nil"/>
              <w:left w:val="nil"/>
              <w:bottom w:val="single" w:sz="8" w:space="0" w:color="auto"/>
              <w:right w:val="single" w:sz="8" w:space="0" w:color="auto"/>
            </w:tcBorders>
            <w:vAlign w:val="center"/>
          </w:tcPr>
          <w:p w14:paraId="3C672393"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D1BDC94"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52F39474" w14:textId="029ADD83" w:rsidR="00115458" w:rsidRPr="00D06BCE" w:rsidRDefault="00C71E12" w:rsidP="00D06BCE">
            <w:pPr>
              <w:spacing w:after="0" w:line="240" w:lineRule="auto"/>
              <w:rPr>
                <w:rFonts w:cs="Arial"/>
                <w:b/>
              </w:rPr>
            </w:pPr>
            <w:r>
              <w:t>9.160</w:t>
            </w:r>
          </w:p>
        </w:tc>
        <w:tc>
          <w:tcPr>
            <w:tcW w:w="2798" w:type="pct"/>
            <w:tcBorders>
              <w:top w:val="nil"/>
              <w:left w:val="nil"/>
              <w:bottom w:val="single" w:sz="8" w:space="0" w:color="auto"/>
              <w:right w:val="single" w:sz="8" w:space="0" w:color="auto"/>
            </w:tcBorders>
            <w:vAlign w:val="center"/>
          </w:tcPr>
          <w:p w14:paraId="659307C5"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35" w:type="pct"/>
            <w:tcBorders>
              <w:top w:val="nil"/>
              <w:left w:val="nil"/>
              <w:bottom w:val="single" w:sz="8" w:space="0" w:color="auto"/>
              <w:right w:val="single" w:sz="8" w:space="0" w:color="auto"/>
            </w:tcBorders>
            <w:vAlign w:val="center"/>
          </w:tcPr>
          <w:p w14:paraId="549E046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8FF07D3"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40E9E897" w14:textId="4C349009" w:rsidR="00115458" w:rsidRPr="00D06BCE" w:rsidRDefault="00C71E12" w:rsidP="00D06BCE">
            <w:pPr>
              <w:spacing w:after="0" w:line="240" w:lineRule="auto"/>
              <w:rPr>
                <w:rFonts w:cs="Arial"/>
                <w:b/>
              </w:rPr>
            </w:pPr>
            <w:r>
              <w:t>9.161</w:t>
            </w:r>
          </w:p>
        </w:tc>
        <w:tc>
          <w:tcPr>
            <w:tcW w:w="2798" w:type="pct"/>
            <w:tcBorders>
              <w:top w:val="nil"/>
              <w:left w:val="nil"/>
              <w:bottom w:val="single" w:sz="8" w:space="0" w:color="auto"/>
              <w:right w:val="single" w:sz="8" w:space="0" w:color="auto"/>
            </w:tcBorders>
            <w:vAlign w:val="center"/>
          </w:tcPr>
          <w:p w14:paraId="688CC5FD"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35" w:type="pct"/>
            <w:tcBorders>
              <w:top w:val="nil"/>
              <w:left w:val="nil"/>
              <w:bottom w:val="single" w:sz="8" w:space="0" w:color="auto"/>
              <w:right w:val="single" w:sz="8" w:space="0" w:color="auto"/>
            </w:tcBorders>
            <w:vAlign w:val="center"/>
          </w:tcPr>
          <w:p w14:paraId="7B9472A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91A02A0"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3ADBE213" w14:textId="595ECEB8" w:rsidR="00115458" w:rsidRPr="00D06BCE" w:rsidRDefault="00115458" w:rsidP="00D06BCE">
            <w:pPr>
              <w:spacing w:after="0" w:line="240" w:lineRule="auto"/>
              <w:rPr>
                <w:rFonts w:cs="Arial"/>
                <w:b/>
              </w:rPr>
            </w:pPr>
            <w:r w:rsidDel="00613ECB">
              <w:t>9.</w:t>
            </w:r>
            <w:r w:rsidR="00A93820">
              <w:t>162</w:t>
            </w:r>
          </w:p>
        </w:tc>
        <w:tc>
          <w:tcPr>
            <w:tcW w:w="2798" w:type="pct"/>
            <w:tcBorders>
              <w:top w:val="nil"/>
              <w:left w:val="nil"/>
              <w:bottom w:val="single" w:sz="8" w:space="0" w:color="auto"/>
              <w:right w:val="single" w:sz="8" w:space="0" w:color="auto"/>
            </w:tcBorders>
            <w:vAlign w:val="center"/>
          </w:tcPr>
          <w:p w14:paraId="207CC420" w14:textId="77777777" w:rsidR="00115458" w:rsidRPr="00D06BCE" w:rsidRDefault="00115458" w:rsidP="00D06BCE">
            <w:pPr>
              <w:spacing w:after="0" w:line="240" w:lineRule="auto"/>
              <w:rPr>
                <w:rFonts w:cs="Arial"/>
              </w:rPr>
            </w:pPr>
            <w:r w:rsidRPr="00D06BCE">
              <w:rPr>
                <w:rFonts w:cs="Arial"/>
              </w:rPr>
              <w:t>Transferee BSB number (second)</w:t>
            </w:r>
          </w:p>
        </w:tc>
        <w:tc>
          <w:tcPr>
            <w:tcW w:w="1535" w:type="pct"/>
            <w:tcBorders>
              <w:top w:val="nil"/>
              <w:left w:val="nil"/>
              <w:bottom w:val="single" w:sz="8" w:space="0" w:color="auto"/>
              <w:right w:val="single" w:sz="8" w:space="0" w:color="auto"/>
            </w:tcBorders>
            <w:vAlign w:val="center"/>
          </w:tcPr>
          <w:p w14:paraId="6D7CD591"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159B572"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25E3A425" w14:textId="0A6CB9B7" w:rsidR="00115458" w:rsidRPr="00D06BCE" w:rsidRDefault="00C71E12" w:rsidP="00D06BCE">
            <w:pPr>
              <w:spacing w:after="0" w:line="240" w:lineRule="auto"/>
              <w:rPr>
                <w:rFonts w:cs="Arial"/>
                <w:b/>
              </w:rPr>
            </w:pPr>
            <w:r>
              <w:t>9.160</w:t>
            </w:r>
          </w:p>
        </w:tc>
        <w:tc>
          <w:tcPr>
            <w:tcW w:w="2798" w:type="pct"/>
            <w:tcBorders>
              <w:top w:val="nil"/>
              <w:left w:val="nil"/>
              <w:bottom w:val="single" w:sz="8" w:space="0" w:color="auto"/>
              <w:right w:val="single" w:sz="8" w:space="0" w:color="auto"/>
            </w:tcBorders>
            <w:vAlign w:val="center"/>
          </w:tcPr>
          <w:p w14:paraId="291CE820"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35" w:type="pct"/>
            <w:tcBorders>
              <w:top w:val="nil"/>
              <w:left w:val="nil"/>
              <w:bottom w:val="single" w:sz="8" w:space="0" w:color="auto"/>
              <w:right w:val="single" w:sz="8" w:space="0" w:color="auto"/>
            </w:tcBorders>
            <w:vAlign w:val="center"/>
          </w:tcPr>
          <w:p w14:paraId="5501CE7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309FCFC"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29929B93" w14:textId="7E88C232" w:rsidR="00115458" w:rsidRPr="00D06BCE" w:rsidRDefault="00115458" w:rsidP="00D06BCE">
            <w:pPr>
              <w:spacing w:after="0" w:line="240" w:lineRule="auto"/>
              <w:rPr>
                <w:rFonts w:cs="Arial"/>
                <w:b/>
              </w:rPr>
            </w:pPr>
            <w:r w:rsidDel="00613ECB">
              <w:t>9.</w:t>
            </w:r>
            <w:r w:rsidR="00A93820">
              <w:t>161</w:t>
            </w:r>
          </w:p>
        </w:tc>
        <w:tc>
          <w:tcPr>
            <w:tcW w:w="2798" w:type="pct"/>
            <w:tcBorders>
              <w:top w:val="nil"/>
              <w:left w:val="nil"/>
              <w:bottom w:val="single" w:sz="8" w:space="0" w:color="auto"/>
              <w:right w:val="single" w:sz="8" w:space="0" w:color="auto"/>
            </w:tcBorders>
            <w:vAlign w:val="center"/>
          </w:tcPr>
          <w:p w14:paraId="786722FA"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35" w:type="pct"/>
            <w:tcBorders>
              <w:top w:val="nil"/>
              <w:left w:val="nil"/>
              <w:bottom w:val="single" w:sz="8" w:space="0" w:color="auto"/>
              <w:right w:val="single" w:sz="8" w:space="0" w:color="auto"/>
            </w:tcBorders>
            <w:vAlign w:val="center"/>
          </w:tcPr>
          <w:p w14:paraId="27B5C31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E0992A1"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313B08CB" w14:textId="39D4C7BB" w:rsidR="00115458" w:rsidRPr="00D06BCE" w:rsidRDefault="00115458" w:rsidP="00D06BCE">
            <w:pPr>
              <w:spacing w:after="0" w:line="240" w:lineRule="auto"/>
              <w:rPr>
                <w:rFonts w:cs="Arial"/>
                <w:b/>
              </w:rPr>
            </w:pPr>
            <w:r w:rsidDel="00613ECB">
              <w:t>9.</w:t>
            </w:r>
            <w:r w:rsidR="00A93820">
              <w:t>162</w:t>
            </w:r>
          </w:p>
        </w:tc>
        <w:tc>
          <w:tcPr>
            <w:tcW w:w="2798" w:type="pct"/>
            <w:tcBorders>
              <w:top w:val="nil"/>
              <w:left w:val="nil"/>
              <w:bottom w:val="single" w:sz="8" w:space="0" w:color="auto"/>
              <w:right w:val="single" w:sz="8" w:space="0" w:color="auto"/>
            </w:tcBorders>
            <w:vAlign w:val="center"/>
          </w:tcPr>
          <w:p w14:paraId="40CD24E5" w14:textId="77777777" w:rsidR="00115458" w:rsidRPr="00D06BCE" w:rsidRDefault="00115458" w:rsidP="00D06BCE">
            <w:pPr>
              <w:spacing w:after="0" w:line="240" w:lineRule="auto"/>
              <w:rPr>
                <w:rFonts w:cs="Arial"/>
              </w:rPr>
            </w:pPr>
            <w:r w:rsidRPr="00D06BCE">
              <w:rPr>
                <w:rFonts w:cs="Arial"/>
              </w:rPr>
              <w:t>Transferee BSB number (third)</w:t>
            </w:r>
          </w:p>
        </w:tc>
        <w:tc>
          <w:tcPr>
            <w:tcW w:w="1535" w:type="pct"/>
            <w:tcBorders>
              <w:top w:val="nil"/>
              <w:left w:val="nil"/>
              <w:bottom w:val="single" w:sz="8" w:space="0" w:color="auto"/>
              <w:right w:val="single" w:sz="8" w:space="0" w:color="auto"/>
            </w:tcBorders>
            <w:vAlign w:val="center"/>
          </w:tcPr>
          <w:p w14:paraId="190D4B2C"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790F8640"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404AF471" w14:textId="2DC4AF06" w:rsidR="00115458" w:rsidRPr="00D06BCE" w:rsidRDefault="00C71E12" w:rsidP="00D06BCE">
            <w:pPr>
              <w:spacing w:after="0" w:line="240" w:lineRule="auto"/>
              <w:rPr>
                <w:rFonts w:cs="Arial"/>
                <w:b/>
              </w:rPr>
            </w:pPr>
            <w:r>
              <w:t>9.160</w:t>
            </w:r>
          </w:p>
        </w:tc>
        <w:tc>
          <w:tcPr>
            <w:tcW w:w="2798" w:type="pct"/>
            <w:tcBorders>
              <w:top w:val="nil"/>
              <w:left w:val="nil"/>
              <w:bottom w:val="single" w:sz="8" w:space="0" w:color="auto"/>
              <w:right w:val="single" w:sz="8" w:space="0" w:color="auto"/>
            </w:tcBorders>
            <w:vAlign w:val="center"/>
          </w:tcPr>
          <w:p w14:paraId="1690779B"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35" w:type="pct"/>
            <w:tcBorders>
              <w:top w:val="nil"/>
              <w:left w:val="nil"/>
              <w:bottom w:val="single" w:sz="8" w:space="0" w:color="auto"/>
              <w:right w:val="single" w:sz="8" w:space="0" w:color="auto"/>
            </w:tcBorders>
            <w:vAlign w:val="center"/>
          </w:tcPr>
          <w:p w14:paraId="3F49460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9B8AA7E"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639E490C" w14:textId="03DEC4CE" w:rsidR="00115458" w:rsidRPr="00D06BCE" w:rsidRDefault="00115458" w:rsidP="00D06BCE">
            <w:pPr>
              <w:spacing w:after="0" w:line="240" w:lineRule="auto"/>
              <w:rPr>
                <w:rFonts w:cs="Arial"/>
                <w:b/>
              </w:rPr>
            </w:pPr>
            <w:r w:rsidRPr="00D06BCE" w:rsidDel="00613ECB">
              <w:rPr>
                <w:rFonts w:eastAsiaTheme="minorHAnsi" w:cs="Arial"/>
                <w:noProof/>
              </w:rPr>
              <w:t>9.</w:t>
            </w:r>
            <w:r w:rsidR="00A93820">
              <w:t>161</w:t>
            </w:r>
          </w:p>
        </w:tc>
        <w:tc>
          <w:tcPr>
            <w:tcW w:w="2798" w:type="pct"/>
            <w:tcBorders>
              <w:top w:val="nil"/>
              <w:left w:val="nil"/>
              <w:bottom w:val="single" w:sz="8" w:space="0" w:color="auto"/>
              <w:right w:val="single" w:sz="8" w:space="0" w:color="auto"/>
            </w:tcBorders>
            <w:vAlign w:val="center"/>
          </w:tcPr>
          <w:p w14:paraId="4A653EAE"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35" w:type="pct"/>
            <w:tcBorders>
              <w:top w:val="nil"/>
              <w:left w:val="nil"/>
              <w:bottom w:val="single" w:sz="8" w:space="0" w:color="auto"/>
              <w:right w:val="single" w:sz="8" w:space="0" w:color="auto"/>
            </w:tcBorders>
            <w:vAlign w:val="center"/>
          </w:tcPr>
          <w:p w14:paraId="2922739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95FD863"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2C716051" w14:textId="77E073A4" w:rsidR="00115458" w:rsidRPr="00D06BCE" w:rsidRDefault="00115458" w:rsidP="00D06BCE">
            <w:pPr>
              <w:spacing w:after="0" w:line="240" w:lineRule="auto"/>
              <w:rPr>
                <w:rFonts w:cs="Arial"/>
                <w:b/>
              </w:rPr>
            </w:pPr>
            <w:r w:rsidDel="00613ECB">
              <w:t>9.</w:t>
            </w:r>
            <w:r w:rsidR="00A93820">
              <w:t>162</w:t>
            </w:r>
          </w:p>
        </w:tc>
        <w:tc>
          <w:tcPr>
            <w:tcW w:w="2798" w:type="pct"/>
            <w:tcBorders>
              <w:top w:val="nil"/>
              <w:left w:val="nil"/>
              <w:bottom w:val="single" w:sz="8" w:space="0" w:color="auto"/>
              <w:right w:val="single" w:sz="8" w:space="0" w:color="auto"/>
            </w:tcBorders>
            <w:vAlign w:val="center"/>
          </w:tcPr>
          <w:p w14:paraId="1488D447" w14:textId="77777777" w:rsidR="00115458" w:rsidRPr="00D06BCE" w:rsidRDefault="00115458" w:rsidP="00D06BCE">
            <w:pPr>
              <w:spacing w:after="0" w:line="240" w:lineRule="auto"/>
              <w:rPr>
                <w:rFonts w:cs="Arial"/>
              </w:rPr>
            </w:pPr>
            <w:r w:rsidRPr="00D06BCE">
              <w:rPr>
                <w:rFonts w:cs="Arial"/>
              </w:rPr>
              <w:t>Transferee BSB number (fourth)</w:t>
            </w:r>
          </w:p>
        </w:tc>
        <w:tc>
          <w:tcPr>
            <w:tcW w:w="1535" w:type="pct"/>
            <w:tcBorders>
              <w:top w:val="nil"/>
              <w:left w:val="nil"/>
              <w:bottom w:val="single" w:sz="8" w:space="0" w:color="auto"/>
              <w:right w:val="single" w:sz="8" w:space="0" w:color="auto"/>
            </w:tcBorders>
            <w:vAlign w:val="center"/>
          </w:tcPr>
          <w:p w14:paraId="60445AE4"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391D15A"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2CFD1599" w14:textId="7DC2001D" w:rsidR="00115458" w:rsidRPr="00D06BCE" w:rsidRDefault="00115458" w:rsidP="00D06BCE">
            <w:pPr>
              <w:spacing w:after="0" w:line="240" w:lineRule="auto"/>
              <w:rPr>
                <w:rFonts w:cs="Arial"/>
                <w:b/>
              </w:rPr>
            </w:pPr>
            <w:r w:rsidRPr="00D06BCE" w:rsidDel="00613ECB">
              <w:rPr>
                <w:rFonts w:eastAsiaTheme="minorHAnsi" w:cs="Arial"/>
                <w:noProof/>
              </w:rPr>
              <w:t>9.</w:t>
            </w:r>
            <w:r w:rsidR="00613ECB">
              <w:t>163</w:t>
            </w:r>
          </w:p>
        </w:tc>
        <w:tc>
          <w:tcPr>
            <w:tcW w:w="2798" w:type="pct"/>
            <w:tcBorders>
              <w:top w:val="nil"/>
              <w:left w:val="nil"/>
              <w:bottom w:val="single" w:sz="8" w:space="0" w:color="auto"/>
              <w:right w:val="single" w:sz="8" w:space="0" w:color="auto"/>
            </w:tcBorders>
            <w:vAlign w:val="center"/>
          </w:tcPr>
          <w:p w14:paraId="04325AF0"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35" w:type="pct"/>
            <w:tcBorders>
              <w:top w:val="nil"/>
              <w:left w:val="nil"/>
              <w:bottom w:val="single" w:sz="8" w:space="0" w:color="auto"/>
              <w:right w:val="single" w:sz="8" w:space="0" w:color="auto"/>
            </w:tcBorders>
            <w:vAlign w:val="center"/>
          </w:tcPr>
          <w:p w14:paraId="1AD7603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F1BDEFD"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1C194137" w14:textId="4AACFF5E" w:rsidR="00115458" w:rsidRPr="00D06BCE" w:rsidRDefault="00C71E12" w:rsidP="00D06BCE">
            <w:pPr>
              <w:spacing w:after="0" w:line="240" w:lineRule="auto"/>
              <w:rPr>
                <w:rFonts w:cs="Arial"/>
                <w:b/>
              </w:rPr>
            </w:pPr>
            <w:r>
              <w:t>9.164</w:t>
            </w:r>
          </w:p>
        </w:tc>
        <w:tc>
          <w:tcPr>
            <w:tcW w:w="2798" w:type="pct"/>
            <w:tcBorders>
              <w:top w:val="nil"/>
              <w:left w:val="nil"/>
              <w:bottom w:val="single" w:sz="8" w:space="0" w:color="auto"/>
              <w:right w:val="single" w:sz="8" w:space="0" w:color="auto"/>
            </w:tcBorders>
            <w:vAlign w:val="center"/>
          </w:tcPr>
          <w:p w14:paraId="0FE79474"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35" w:type="pct"/>
            <w:tcBorders>
              <w:top w:val="nil"/>
              <w:left w:val="nil"/>
              <w:bottom w:val="single" w:sz="8" w:space="0" w:color="auto"/>
              <w:right w:val="single" w:sz="8" w:space="0" w:color="auto"/>
            </w:tcBorders>
            <w:vAlign w:val="center"/>
          </w:tcPr>
          <w:p w14:paraId="4236E5D4" w14:textId="77777777" w:rsidR="00115458" w:rsidRPr="00D06BCE" w:rsidRDefault="00115458" w:rsidP="00D06BCE">
            <w:pPr>
              <w:spacing w:after="0" w:line="240" w:lineRule="auto"/>
              <w:rPr>
                <w:rFonts w:cs="Arial"/>
              </w:rPr>
            </w:pPr>
            <w:r w:rsidRPr="00D06BCE">
              <w:rPr>
                <w:rFonts w:cs="Arial"/>
              </w:rPr>
              <w:t>000009720000</w:t>
            </w:r>
          </w:p>
        </w:tc>
      </w:tr>
      <w:tr w:rsidR="00115458" w:rsidRPr="00D06BCE" w14:paraId="1276EDE7"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7B467C1A" w14:textId="1E86CB57" w:rsidR="00115458" w:rsidRPr="00D06BCE" w:rsidRDefault="00C71E12" w:rsidP="00D06BCE">
            <w:pPr>
              <w:spacing w:after="0" w:line="240" w:lineRule="auto"/>
              <w:rPr>
                <w:rFonts w:cs="Arial"/>
                <w:b/>
              </w:rPr>
            </w:pPr>
            <w:r>
              <w:t>9.165</w:t>
            </w:r>
          </w:p>
        </w:tc>
        <w:tc>
          <w:tcPr>
            <w:tcW w:w="2798" w:type="pct"/>
            <w:tcBorders>
              <w:top w:val="nil"/>
              <w:left w:val="nil"/>
              <w:bottom w:val="single" w:sz="8" w:space="0" w:color="auto"/>
              <w:right w:val="single" w:sz="8" w:space="0" w:color="auto"/>
            </w:tcBorders>
            <w:vAlign w:val="center"/>
          </w:tcPr>
          <w:p w14:paraId="5A13FCBC" w14:textId="77777777" w:rsidR="00115458" w:rsidRPr="00D06BCE" w:rsidRDefault="00115458" w:rsidP="00D06BCE">
            <w:pPr>
              <w:spacing w:after="0" w:line="240" w:lineRule="auto"/>
              <w:rPr>
                <w:rFonts w:cs="Arial"/>
              </w:rPr>
            </w:pPr>
            <w:r w:rsidRPr="00D06BCE">
              <w:rPr>
                <w:rFonts w:cs="Arial"/>
              </w:rPr>
              <w:t>Interest offset account (=Y or N)</w:t>
            </w:r>
          </w:p>
        </w:tc>
        <w:tc>
          <w:tcPr>
            <w:tcW w:w="1535" w:type="pct"/>
            <w:tcBorders>
              <w:top w:val="nil"/>
              <w:left w:val="nil"/>
              <w:bottom w:val="single" w:sz="8" w:space="0" w:color="auto"/>
              <w:right w:val="single" w:sz="8" w:space="0" w:color="auto"/>
            </w:tcBorders>
            <w:vAlign w:val="center"/>
          </w:tcPr>
          <w:p w14:paraId="4BD3ABE9" w14:textId="77777777" w:rsidR="00115458" w:rsidRPr="00D06BCE" w:rsidRDefault="00115458" w:rsidP="00D06BCE">
            <w:pPr>
              <w:spacing w:after="0" w:line="240" w:lineRule="auto"/>
              <w:rPr>
                <w:rFonts w:cs="Arial"/>
              </w:rPr>
            </w:pPr>
            <w:r w:rsidRPr="00D06BCE">
              <w:rPr>
                <w:rFonts w:cs="Arial"/>
              </w:rPr>
              <w:t>Y</w:t>
            </w:r>
          </w:p>
        </w:tc>
      </w:tr>
      <w:tr w:rsidR="00115458" w:rsidRPr="00D06BCE" w14:paraId="6FBFDB38" w14:textId="77777777" w:rsidTr="00C71E12">
        <w:trPr>
          <w:trHeight w:val="270"/>
        </w:trPr>
        <w:tc>
          <w:tcPr>
            <w:tcW w:w="667" w:type="pct"/>
            <w:tcBorders>
              <w:top w:val="nil"/>
              <w:left w:val="single" w:sz="8" w:space="0" w:color="auto"/>
              <w:bottom w:val="single" w:sz="8" w:space="0" w:color="auto"/>
              <w:right w:val="single" w:sz="8" w:space="0" w:color="auto"/>
            </w:tcBorders>
            <w:vAlign w:val="center"/>
          </w:tcPr>
          <w:p w14:paraId="77916BBD" w14:textId="77777777" w:rsidR="00115458" w:rsidRPr="00D06BCE" w:rsidRDefault="00115458" w:rsidP="00D06BCE">
            <w:pPr>
              <w:spacing w:after="0" w:line="240" w:lineRule="auto"/>
              <w:rPr>
                <w:rFonts w:cs="Arial"/>
              </w:rPr>
            </w:pPr>
            <w:r w:rsidRPr="00D06BCE">
              <w:rPr>
                <w:rFonts w:eastAsiaTheme="minorHAnsi" w:cs="Arial"/>
              </w:rPr>
              <w:t>9.6</w:t>
            </w:r>
          </w:p>
        </w:tc>
        <w:tc>
          <w:tcPr>
            <w:tcW w:w="2798" w:type="pct"/>
            <w:tcBorders>
              <w:top w:val="nil"/>
              <w:left w:val="nil"/>
              <w:bottom w:val="single" w:sz="8" w:space="0" w:color="auto"/>
              <w:right w:val="single" w:sz="8" w:space="0" w:color="auto"/>
            </w:tcBorders>
            <w:vAlign w:val="center"/>
          </w:tcPr>
          <w:p w14:paraId="20DF340A" w14:textId="77777777" w:rsidR="00115458" w:rsidRPr="00D06BCE" w:rsidRDefault="00115458" w:rsidP="00D06BCE">
            <w:pPr>
              <w:spacing w:after="0" w:line="240" w:lineRule="auto"/>
              <w:rPr>
                <w:rFonts w:cs="Arial"/>
              </w:rPr>
            </w:pPr>
            <w:r w:rsidRPr="00D06BCE">
              <w:rPr>
                <w:rFonts w:cs="Arial"/>
              </w:rPr>
              <w:t>Filler</w:t>
            </w:r>
          </w:p>
        </w:tc>
        <w:tc>
          <w:tcPr>
            <w:tcW w:w="1535" w:type="pct"/>
            <w:tcBorders>
              <w:top w:val="nil"/>
              <w:left w:val="nil"/>
              <w:bottom w:val="single" w:sz="8" w:space="0" w:color="auto"/>
              <w:right w:val="single" w:sz="8" w:space="0" w:color="auto"/>
            </w:tcBorders>
            <w:vAlign w:val="center"/>
          </w:tcPr>
          <w:p w14:paraId="2DDC1935" w14:textId="77777777" w:rsidR="00115458" w:rsidRPr="00D06BCE" w:rsidRDefault="00115458" w:rsidP="00D06BCE">
            <w:pPr>
              <w:spacing w:after="0" w:line="240" w:lineRule="auto"/>
              <w:rPr>
                <w:rFonts w:cs="Arial"/>
              </w:rPr>
            </w:pPr>
            <w:r w:rsidRPr="00D06BCE">
              <w:rPr>
                <w:rFonts w:cs="Arial"/>
              </w:rPr>
              <w:t>Blank fill</w:t>
            </w:r>
          </w:p>
        </w:tc>
      </w:tr>
    </w:tbl>
    <w:p w14:paraId="6BEBCEDC" w14:textId="77777777" w:rsidR="00D06BCE" w:rsidRDefault="00D06BCE" w:rsidP="00A002E5"/>
    <w:p w14:paraId="2E49F2CC" w14:textId="6A46CF55" w:rsidR="00115458" w:rsidRDefault="00115458" w:rsidP="00D06BCE">
      <w:pPr>
        <w:keepNext/>
        <w:spacing w:after="0" w:line="240" w:lineRule="auto"/>
        <w:outlineLvl w:val="3"/>
        <w:rPr>
          <w:rFonts w:cs="Arial"/>
          <w:b/>
        </w:rPr>
      </w:pPr>
      <w:r w:rsidRPr="00D06BCE">
        <w:rPr>
          <w:rFonts w:cs="Arial"/>
          <w:b/>
        </w:rPr>
        <w:t>Example 9.2 – Interest offset against a primary production loan for partial year</w:t>
      </w:r>
    </w:p>
    <w:p w14:paraId="398CD46F" w14:textId="77777777" w:rsidR="00D06BCE" w:rsidRPr="00D06BCE" w:rsidRDefault="00D06BCE" w:rsidP="00A002E5"/>
    <w:p w14:paraId="65F454E6" w14:textId="0EE57602" w:rsidR="00115458" w:rsidRPr="00D06BCE" w:rsidRDefault="00115458" w:rsidP="00D06BCE">
      <w:pPr>
        <w:spacing w:after="0" w:line="240" w:lineRule="auto"/>
        <w:rPr>
          <w:rFonts w:cs="Arial"/>
        </w:rPr>
      </w:pPr>
      <w:r w:rsidRPr="00D06BCE">
        <w:rPr>
          <w:rFonts w:cs="Arial"/>
        </w:rPr>
        <w:t>Bill Billings has an FMD account opened 1 September 20</w:t>
      </w:r>
      <w:r w:rsidR="0012428D">
        <w:rPr>
          <w:rFonts w:cs="Arial"/>
        </w:rPr>
        <w:t>20</w:t>
      </w:r>
      <w:r w:rsidRPr="00D06BCE">
        <w:rPr>
          <w:rFonts w:cs="Arial"/>
        </w:rPr>
        <w:t>. On 1 January 202</w:t>
      </w:r>
      <w:r w:rsidR="0012428D">
        <w:rPr>
          <w:rFonts w:cs="Arial"/>
        </w:rPr>
        <w:t>6</w:t>
      </w:r>
      <w:r w:rsidRPr="00D06BCE">
        <w:rPr>
          <w:rFonts w:cs="Arial"/>
        </w:rPr>
        <w:t xml:space="preserve"> Bill was provided with a Primary production loan and the interest earned on the FMD is offset against the loan.</w:t>
      </w:r>
    </w:p>
    <w:p w14:paraId="6969DEC2" w14:textId="77777777" w:rsidR="00115458" w:rsidRPr="00D06BCE" w:rsidRDefault="00115458" w:rsidP="00D06BCE">
      <w:pPr>
        <w:spacing w:after="0" w:line="240" w:lineRule="auto"/>
        <w:rPr>
          <w:rFonts w:cs="Arial"/>
        </w:rPr>
      </w:pPr>
    </w:p>
    <w:p w14:paraId="1D93A533" w14:textId="73AC33BA" w:rsidR="00115458" w:rsidRPr="00D06BCE" w:rsidRDefault="00115458" w:rsidP="00D06BCE">
      <w:pPr>
        <w:spacing w:after="0" w:line="240" w:lineRule="auto"/>
        <w:rPr>
          <w:rFonts w:cs="Arial"/>
        </w:rPr>
      </w:pPr>
      <w:r w:rsidRPr="00D06BCE">
        <w:rPr>
          <w:rFonts w:cs="Arial"/>
        </w:rPr>
        <w:t>Total interest earned from 1 July 20</w:t>
      </w:r>
      <w:r w:rsidR="00EA3F7E">
        <w:rPr>
          <w:rFonts w:cs="Arial"/>
        </w:rPr>
        <w:t>25</w:t>
      </w:r>
      <w:r w:rsidRPr="00D06BCE">
        <w:rPr>
          <w:rFonts w:cs="Arial"/>
        </w:rPr>
        <w:t xml:space="preserve"> to 31 December 20</w:t>
      </w:r>
      <w:r w:rsidR="00EA3F7E">
        <w:rPr>
          <w:rFonts w:cs="Arial"/>
        </w:rPr>
        <w:t>25</w:t>
      </w:r>
      <w:r w:rsidRPr="00D06BCE">
        <w:rPr>
          <w:rFonts w:cs="Arial"/>
        </w:rPr>
        <w:t xml:space="preserve"> was $210.00.</w:t>
      </w:r>
    </w:p>
    <w:p w14:paraId="44355E82" w14:textId="04534648" w:rsidR="00115458" w:rsidRPr="00D06BCE" w:rsidRDefault="00115458" w:rsidP="00D06BCE">
      <w:pPr>
        <w:spacing w:after="0" w:line="240" w:lineRule="auto"/>
        <w:rPr>
          <w:rFonts w:cs="Arial"/>
        </w:rPr>
      </w:pPr>
      <w:r w:rsidRPr="00D06BCE">
        <w:rPr>
          <w:rFonts w:cs="Arial"/>
        </w:rPr>
        <w:t>Interest earned from 1 January 202</w:t>
      </w:r>
      <w:r w:rsidR="00EA3F7E">
        <w:rPr>
          <w:rFonts w:cs="Arial"/>
        </w:rPr>
        <w:t>6</w:t>
      </w:r>
      <w:r w:rsidRPr="00D06BCE">
        <w:rPr>
          <w:rFonts w:cs="Arial"/>
        </w:rPr>
        <w:t xml:space="preserve"> to 30 June 202</w:t>
      </w:r>
      <w:r w:rsidR="00EA3F7E">
        <w:rPr>
          <w:rFonts w:cs="Arial"/>
        </w:rPr>
        <w:t>6</w:t>
      </w:r>
      <w:r w:rsidRPr="00D06BCE">
        <w:rPr>
          <w:rFonts w:cs="Arial"/>
        </w:rPr>
        <w:t xml:space="preserve"> was $250.00 and was offset against the loan and not reported in the </w:t>
      </w:r>
      <w:r w:rsidRPr="00D06BCE">
        <w:rPr>
          <w:rFonts w:cs="Arial"/>
          <w:i/>
          <w:iCs/>
        </w:rPr>
        <w:t>FMD account data record.</w:t>
      </w:r>
    </w:p>
    <w:p w14:paraId="4E7777EB" w14:textId="77777777" w:rsidR="00115458" w:rsidRPr="00D06BCE" w:rsidRDefault="00115458" w:rsidP="00D06BCE">
      <w:pPr>
        <w:spacing w:after="0" w:line="240" w:lineRule="auto"/>
        <w:rPr>
          <w:rFonts w:cs="Arial"/>
        </w:rPr>
      </w:pPr>
    </w:p>
    <w:p w14:paraId="58405247" w14:textId="27B4F1AE" w:rsidR="00115458" w:rsidRPr="00D06BCE" w:rsidRDefault="00115458" w:rsidP="00D06BCE">
      <w:pPr>
        <w:spacing w:after="0" w:line="240" w:lineRule="auto"/>
        <w:rPr>
          <w:rFonts w:cs="Arial"/>
        </w:rPr>
      </w:pPr>
      <w:r w:rsidRPr="00D06BCE">
        <w:rPr>
          <w:rFonts w:cs="Arial"/>
        </w:rPr>
        <w:t>There are no other transactions and the closing balance as at 30 June 202</w:t>
      </w:r>
      <w:r w:rsidR="00E33A78">
        <w:rPr>
          <w:rFonts w:cs="Arial"/>
        </w:rPr>
        <w:t>6</w:t>
      </w:r>
      <w:r w:rsidRPr="00D06BCE">
        <w:rPr>
          <w:rFonts w:cs="Arial"/>
        </w:rPr>
        <w:t xml:space="preserve"> is $20,000.00.</w:t>
      </w:r>
    </w:p>
    <w:p w14:paraId="36A15AD1" w14:textId="77777777" w:rsidR="00115458" w:rsidRPr="00D06BCE" w:rsidRDefault="00115458" w:rsidP="00D06BCE">
      <w:pPr>
        <w:spacing w:after="0" w:line="240" w:lineRule="auto"/>
        <w:rPr>
          <w:rFonts w:cs="Arial"/>
        </w:rPr>
      </w:pPr>
    </w:p>
    <w:tbl>
      <w:tblPr>
        <w:tblW w:w="9195" w:type="dxa"/>
        <w:tblInd w:w="93" w:type="dxa"/>
        <w:tblCellMar>
          <w:top w:w="28" w:type="dxa"/>
          <w:bottom w:w="28" w:type="dxa"/>
        </w:tblCellMar>
        <w:tblLook w:val="0000" w:firstRow="0" w:lastRow="0" w:firstColumn="0" w:lastColumn="0" w:noHBand="0" w:noVBand="0"/>
      </w:tblPr>
      <w:tblGrid>
        <w:gridCol w:w="1227"/>
        <w:gridCol w:w="5146"/>
        <w:gridCol w:w="2822"/>
      </w:tblGrid>
      <w:tr w:rsidR="00115458" w:rsidRPr="00D06BCE" w14:paraId="33E9566B" w14:textId="77777777" w:rsidTr="000C1365">
        <w:trPr>
          <w:trHeight w:val="495"/>
          <w:tblHeader/>
        </w:trPr>
        <w:tc>
          <w:tcPr>
            <w:tcW w:w="612" w:type="pct"/>
            <w:tcBorders>
              <w:top w:val="single" w:sz="4" w:space="0" w:color="auto"/>
              <w:left w:val="single" w:sz="4" w:space="0" w:color="auto"/>
              <w:bottom w:val="single" w:sz="4" w:space="0" w:color="auto"/>
              <w:right w:val="single" w:sz="4" w:space="0" w:color="auto"/>
            </w:tcBorders>
            <w:shd w:val="clear" w:color="auto" w:fill="B3B3B3"/>
            <w:vAlign w:val="center"/>
          </w:tcPr>
          <w:p w14:paraId="6725C26A" w14:textId="77777777" w:rsidR="00115458" w:rsidRPr="00D06BCE" w:rsidRDefault="00115458" w:rsidP="00D06BCE">
            <w:pPr>
              <w:spacing w:after="0" w:line="240" w:lineRule="auto"/>
              <w:rPr>
                <w:rFonts w:cs="Arial"/>
                <w:b/>
                <w:bCs/>
              </w:rPr>
            </w:pPr>
            <w:r w:rsidRPr="00D06BCE">
              <w:rPr>
                <w:rFonts w:eastAsiaTheme="minorHAnsi" w:cs="Arial"/>
                <w:b/>
              </w:rPr>
              <w:t>Reference number</w:t>
            </w:r>
          </w:p>
        </w:tc>
        <w:tc>
          <w:tcPr>
            <w:tcW w:w="2825" w:type="pct"/>
            <w:tcBorders>
              <w:top w:val="single" w:sz="4" w:space="0" w:color="auto"/>
              <w:left w:val="single" w:sz="4" w:space="0" w:color="auto"/>
              <w:bottom w:val="single" w:sz="4" w:space="0" w:color="auto"/>
              <w:right w:val="single" w:sz="4" w:space="0" w:color="auto"/>
            </w:tcBorders>
            <w:shd w:val="clear" w:color="auto" w:fill="B3B3B3"/>
            <w:vAlign w:val="center"/>
          </w:tcPr>
          <w:p w14:paraId="2EA04915" w14:textId="77777777" w:rsidR="00115458" w:rsidRPr="00D06BCE" w:rsidRDefault="00115458" w:rsidP="00D06BCE">
            <w:pPr>
              <w:spacing w:after="0" w:line="240" w:lineRule="auto"/>
              <w:rPr>
                <w:rFonts w:cs="Arial"/>
                <w:b/>
                <w:bCs/>
              </w:rPr>
            </w:pPr>
            <w:r w:rsidRPr="00D06BCE">
              <w:rPr>
                <w:rFonts w:cs="Arial"/>
                <w:b/>
                <w:bCs/>
              </w:rPr>
              <w:t>Field name</w:t>
            </w:r>
          </w:p>
        </w:tc>
        <w:tc>
          <w:tcPr>
            <w:tcW w:w="1562" w:type="pct"/>
            <w:tcBorders>
              <w:top w:val="single" w:sz="4" w:space="0" w:color="auto"/>
              <w:left w:val="single" w:sz="4" w:space="0" w:color="auto"/>
              <w:bottom w:val="single" w:sz="4" w:space="0" w:color="auto"/>
              <w:right w:val="single" w:sz="4" w:space="0" w:color="auto"/>
            </w:tcBorders>
            <w:shd w:val="clear" w:color="auto" w:fill="B3B3B3"/>
            <w:vAlign w:val="center"/>
          </w:tcPr>
          <w:p w14:paraId="562065AC"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40214D8D"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9A52608" w14:textId="77777777" w:rsidR="00115458" w:rsidRPr="00D06BCE" w:rsidRDefault="00115458" w:rsidP="00D06BCE">
            <w:pPr>
              <w:spacing w:after="0" w:line="240" w:lineRule="auto"/>
              <w:rPr>
                <w:rFonts w:cs="Arial"/>
              </w:rPr>
            </w:pPr>
            <w:r w:rsidRPr="00D06BCE">
              <w:rPr>
                <w:rFonts w:eastAsiaTheme="minorHAnsi" w:cs="Arial"/>
              </w:rPr>
              <w:t>9.1</w:t>
            </w:r>
          </w:p>
        </w:tc>
        <w:tc>
          <w:tcPr>
            <w:tcW w:w="2825" w:type="pct"/>
            <w:tcBorders>
              <w:top w:val="nil"/>
              <w:left w:val="nil"/>
              <w:bottom w:val="single" w:sz="8" w:space="0" w:color="auto"/>
              <w:right w:val="single" w:sz="8" w:space="0" w:color="auto"/>
            </w:tcBorders>
            <w:vAlign w:val="center"/>
          </w:tcPr>
          <w:p w14:paraId="6FB0CE9B" w14:textId="77777777" w:rsidR="00115458" w:rsidRPr="00D06BCE" w:rsidRDefault="00115458" w:rsidP="00D06BCE">
            <w:pPr>
              <w:spacing w:after="0" w:line="240" w:lineRule="auto"/>
              <w:rPr>
                <w:rFonts w:cs="Arial"/>
              </w:rPr>
            </w:pPr>
            <w:r w:rsidRPr="00D06BCE">
              <w:rPr>
                <w:rFonts w:cs="Arial"/>
              </w:rPr>
              <w:t>Record length (=850)</w:t>
            </w:r>
          </w:p>
        </w:tc>
        <w:tc>
          <w:tcPr>
            <w:tcW w:w="1562" w:type="pct"/>
            <w:tcBorders>
              <w:top w:val="nil"/>
              <w:left w:val="nil"/>
              <w:bottom w:val="single" w:sz="8" w:space="0" w:color="auto"/>
              <w:right w:val="single" w:sz="8" w:space="0" w:color="auto"/>
            </w:tcBorders>
            <w:vAlign w:val="center"/>
          </w:tcPr>
          <w:p w14:paraId="6CF2F802" w14:textId="77777777" w:rsidR="00115458" w:rsidRPr="00D06BCE" w:rsidRDefault="00115458" w:rsidP="00D06BCE">
            <w:pPr>
              <w:spacing w:after="0" w:line="240" w:lineRule="auto"/>
              <w:rPr>
                <w:rFonts w:cs="Arial"/>
              </w:rPr>
            </w:pPr>
            <w:r w:rsidRPr="00D06BCE">
              <w:rPr>
                <w:rFonts w:cs="Arial"/>
              </w:rPr>
              <w:t>850</w:t>
            </w:r>
          </w:p>
        </w:tc>
      </w:tr>
      <w:tr w:rsidR="00115458" w:rsidRPr="00D06BCE" w14:paraId="3F394C14"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58A8F88E" w14:textId="7DC770C3" w:rsidR="00115458" w:rsidRPr="00D06BCE" w:rsidRDefault="00944D41" w:rsidP="00D06BCE">
            <w:pPr>
              <w:spacing w:after="0" w:line="240" w:lineRule="auto"/>
              <w:rPr>
                <w:rFonts w:cs="Arial"/>
                <w:b/>
              </w:rPr>
            </w:pPr>
            <w:r>
              <w:rPr>
                <w:rFonts w:cs="Arial"/>
              </w:rPr>
              <w:t>9.147</w:t>
            </w:r>
          </w:p>
        </w:tc>
        <w:tc>
          <w:tcPr>
            <w:tcW w:w="2825" w:type="pct"/>
            <w:tcBorders>
              <w:top w:val="nil"/>
              <w:left w:val="nil"/>
              <w:bottom w:val="single" w:sz="8" w:space="0" w:color="auto"/>
              <w:right w:val="single" w:sz="8" w:space="0" w:color="auto"/>
            </w:tcBorders>
            <w:vAlign w:val="center"/>
          </w:tcPr>
          <w:p w14:paraId="655453B9"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62" w:type="pct"/>
            <w:tcBorders>
              <w:top w:val="nil"/>
              <w:left w:val="nil"/>
              <w:bottom w:val="single" w:sz="8" w:space="0" w:color="auto"/>
              <w:right w:val="single" w:sz="8" w:space="0" w:color="auto"/>
            </w:tcBorders>
            <w:vAlign w:val="center"/>
          </w:tcPr>
          <w:p w14:paraId="6F1CCEE0"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72C9AA2D"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42879E7" w14:textId="1A62D0C8" w:rsidR="00115458" w:rsidRPr="00D06BCE" w:rsidRDefault="00DE4F64" w:rsidP="00D06BCE">
            <w:pPr>
              <w:spacing w:after="0" w:line="240" w:lineRule="auto"/>
              <w:rPr>
                <w:rFonts w:cs="Arial"/>
                <w:b/>
              </w:rPr>
            </w:pPr>
            <w:r>
              <w:rPr>
                <w:rFonts w:cs="Arial"/>
              </w:rPr>
              <w:t>9.148</w:t>
            </w:r>
          </w:p>
        </w:tc>
        <w:tc>
          <w:tcPr>
            <w:tcW w:w="2825" w:type="pct"/>
            <w:tcBorders>
              <w:top w:val="nil"/>
              <w:left w:val="nil"/>
              <w:bottom w:val="single" w:sz="8" w:space="0" w:color="auto"/>
              <w:right w:val="single" w:sz="8" w:space="0" w:color="auto"/>
            </w:tcBorders>
            <w:vAlign w:val="center"/>
          </w:tcPr>
          <w:p w14:paraId="6FD95633"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62" w:type="pct"/>
            <w:tcBorders>
              <w:top w:val="nil"/>
              <w:left w:val="nil"/>
              <w:bottom w:val="single" w:sz="8" w:space="0" w:color="auto"/>
              <w:right w:val="single" w:sz="8" w:space="0" w:color="auto"/>
            </w:tcBorders>
            <w:vAlign w:val="center"/>
          </w:tcPr>
          <w:p w14:paraId="7FCCE712"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1A03EA2A"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3D927E4D" w14:textId="7BAB2FF2" w:rsidR="00115458" w:rsidRPr="00D06BCE" w:rsidRDefault="002A10B0" w:rsidP="00D06BCE">
            <w:pPr>
              <w:spacing w:after="0" w:line="240" w:lineRule="auto"/>
              <w:rPr>
                <w:rFonts w:cs="Arial"/>
                <w:b/>
              </w:rPr>
            </w:pPr>
            <w:r>
              <w:rPr>
                <w:rFonts w:cs="Arial"/>
              </w:rPr>
              <w:t>9.149</w:t>
            </w:r>
          </w:p>
        </w:tc>
        <w:tc>
          <w:tcPr>
            <w:tcW w:w="2825" w:type="pct"/>
            <w:tcBorders>
              <w:top w:val="nil"/>
              <w:left w:val="nil"/>
              <w:bottom w:val="single" w:sz="8" w:space="0" w:color="auto"/>
              <w:right w:val="single" w:sz="8" w:space="0" w:color="auto"/>
            </w:tcBorders>
            <w:vAlign w:val="center"/>
          </w:tcPr>
          <w:p w14:paraId="380436DA"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62" w:type="pct"/>
            <w:tcBorders>
              <w:top w:val="nil"/>
              <w:left w:val="nil"/>
              <w:bottom w:val="single" w:sz="8" w:space="0" w:color="auto"/>
              <w:right w:val="single" w:sz="8" w:space="0" w:color="auto"/>
            </w:tcBorders>
            <w:vAlign w:val="center"/>
          </w:tcPr>
          <w:p w14:paraId="14B90BBC" w14:textId="77777777" w:rsidR="00115458" w:rsidRPr="00D06BCE" w:rsidRDefault="00115458" w:rsidP="00D06BCE">
            <w:pPr>
              <w:spacing w:after="0" w:line="240" w:lineRule="auto"/>
              <w:rPr>
                <w:rFonts w:cs="Arial"/>
              </w:rPr>
            </w:pPr>
            <w:r w:rsidRPr="00D06BCE">
              <w:rPr>
                <w:rFonts w:cs="Arial"/>
              </w:rPr>
              <w:t>01</w:t>
            </w:r>
          </w:p>
        </w:tc>
      </w:tr>
      <w:tr w:rsidR="00115458" w:rsidRPr="00D06BCE" w14:paraId="275EB86F"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33B0FF2" w14:textId="77777777" w:rsidR="00115458" w:rsidRPr="00D06BCE" w:rsidRDefault="00115458" w:rsidP="00D06BCE">
            <w:pPr>
              <w:spacing w:after="0" w:line="240" w:lineRule="auto"/>
              <w:rPr>
                <w:rFonts w:cs="Arial"/>
                <w:b/>
              </w:rPr>
            </w:pPr>
            <w:hyperlink w:anchor="d7_061" w:history="1">
              <w:r w:rsidRPr="00D06BCE">
                <w:rPr>
                  <w:rFonts w:eastAsiaTheme="minorHAnsi" w:cs="Arial"/>
                  <w:noProof/>
                </w:rPr>
                <w:t>9.63</w:t>
              </w:r>
            </w:hyperlink>
          </w:p>
        </w:tc>
        <w:tc>
          <w:tcPr>
            <w:tcW w:w="2825" w:type="pct"/>
            <w:tcBorders>
              <w:top w:val="nil"/>
              <w:left w:val="nil"/>
              <w:bottom w:val="single" w:sz="8" w:space="0" w:color="auto"/>
              <w:right w:val="single" w:sz="8" w:space="0" w:color="auto"/>
            </w:tcBorders>
            <w:vAlign w:val="center"/>
          </w:tcPr>
          <w:p w14:paraId="2BDF83B8" w14:textId="77777777" w:rsidR="00115458" w:rsidRPr="00D06BCE" w:rsidRDefault="00115458" w:rsidP="00D06BCE">
            <w:pPr>
              <w:spacing w:after="0" w:line="240" w:lineRule="auto"/>
              <w:rPr>
                <w:rFonts w:cs="Arial"/>
              </w:rPr>
            </w:pPr>
            <w:r w:rsidRPr="00D06BCE">
              <w:rPr>
                <w:rFonts w:cs="Arial"/>
              </w:rPr>
              <w:t>Investment reference number</w:t>
            </w:r>
          </w:p>
        </w:tc>
        <w:tc>
          <w:tcPr>
            <w:tcW w:w="1562" w:type="pct"/>
            <w:tcBorders>
              <w:top w:val="nil"/>
              <w:left w:val="nil"/>
              <w:bottom w:val="single" w:sz="8" w:space="0" w:color="auto"/>
              <w:right w:val="single" w:sz="8" w:space="0" w:color="auto"/>
            </w:tcBorders>
            <w:vAlign w:val="center"/>
          </w:tcPr>
          <w:p w14:paraId="38CCE44A" w14:textId="77777777" w:rsidR="00115458" w:rsidRPr="00D06BCE" w:rsidRDefault="00115458" w:rsidP="00D06BCE">
            <w:pPr>
              <w:spacing w:after="0" w:line="240" w:lineRule="auto"/>
              <w:rPr>
                <w:rFonts w:cs="Arial"/>
              </w:rPr>
            </w:pPr>
            <w:r w:rsidRPr="00D06BCE">
              <w:rPr>
                <w:rFonts w:cs="Arial"/>
              </w:rPr>
              <w:t>583344558</w:t>
            </w:r>
          </w:p>
        </w:tc>
      </w:tr>
      <w:tr w:rsidR="00115458" w:rsidRPr="00D06BCE" w14:paraId="72724029"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77D65416" w14:textId="77777777" w:rsidR="00115458" w:rsidRPr="00D06BCE" w:rsidRDefault="00115458" w:rsidP="00D06BCE">
            <w:pPr>
              <w:spacing w:after="0" w:line="240" w:lineRule="auto"/>
              <w:rPr>
                <w:rFonts w:cs="Arial"/>
                <w:b/>
              </w:rPr>
            </w:pPr>
            <w:hyperlink w:anchor="d7_062" w:history="1">
              <w:r w:rsidRPr="00D06BCE">
                <w:rPr>
                  <w:rFonts w:eastAsiaTheme="minorHAnsi" w:cs="Arial"/>
                  <w:noProof/>
                </w:rPr>
                <w:t>9.64</w:t>
              </w:r>
            </w:hyperlink>
          </w:p>
        </w:tc>
        <w:tc>
          <w:tcPr>
            <w:tcW w:w="2825" w:type="pct"/>
            <w:tcBorders>
              <w:top w:val="nil"/>
              <w:left w:val="nil"/>
              <w:bottom w:val="single" w:sz="8" w:space="0" w:color="auto"/>
              <w:right w:val="single" w:sz="8" w:space="0" w:color="auto"/>
            </w:tcBorders>
            <w:vAlign w:val="center"/>
          </w:tcPr>
          <w:p w14:paraId="7464C10E" w14:textId="77777777" w:rsidR="00115458" w:rsidRPr="00D06BCE" w:rsidRDefault="00115458" w:rsidP="00D06BCE">
            <w:pPr>
              <w:spacing w:after="0" w:line="240" w:lineRule="auto"/>
              <w:rPr>
                <w:rFonts w:cs="Arial"/>
              </w:rPr>
            </w:pPr>
            <w:r w:rsidRPr="00D06BCE">
              <w:rPr>
                <w:rFonts w:cs="Arial"/>
              </w:rPr>
              <w:t>Account reference number</w:t>
            </w:r>
          </w:p>
        </w:tc>
        <w:tc>
          <w:tcPr>
            <w:tcW w:w="1562" w:type="pct"/>
            <w:tcBorders>
              <w:top w:val="nil"/>
              <w:left w:val="nil"/>
              <w:bottom w:val="single" w:sz="8" w:space="0" w:color="auto"/>
              <w:right w:val="single" w:sz="8" w:space="0" w:color="auto"/>
            </w:tcBorders>
            <w:vAlign w:val="center"/>
          </w:tcPr>
          <w:p w14:paraId="584F3A09" w14:textId="77777777" w:rsidR="00115458" w:rsidRPr="00D06BCE" w:rsidRDefault="00115458" w:rsidP="00D06BCE">
            <w:pPr>
              <w:spacing w:after="0" w:line="240" w:lineRule="auto"/>
              <w:rPr>
                <w:rFonts w:cs="Arial"/>
              </w:rPr>
            </w:pPr>
            <w:r w:rsidRPr="00D06BCE">
              <w:rPr>
                <w:rFonts w:cs="Arial"/>
              </w:rPr>
              <w:t>FMDOA2</w:t>
            </w:r>
          </w:p>
        </w:tc>
      </w:tr>
      <w:tr w:rsidR="00115458" w:rsidRPr="00D06BCE" w14:paraId="25757835"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4145D62" w14:textId="77777777" w:rsidR="00115458" w:rsidRPr="00D06BCE" w:rsidRDefault="00115458" w:rsidP="00D06BCE">
            <w:pPr>
              <w:spacing w:after="0" w:line="240" w:lineRule="auto"/>
              <w:rPr>
                <w:rFonts w:cs="Arial"/>
                <w:b/>
              </w:rPr>
            </w:pPr>
            <w:hyperlink w:anchor="d7_063" w:history="1">
              <w:r w:rsidRPr="00D06BCE">
                <w:rPr>
                  <w:rFonts w:eastAsiaTheme="minorHAnsi" w:cs="Arial"/>
                  <w:noProof/>
                </w:rPr>
                <w:t>9.65</w:t>
              </w:r>
            </w:hyperlink>
          </w:p>
        </w:tc>
        <w:tc>
          <w:tcPr>
            <w:tcW w:w="2825" w:type="pct"/>
            <w:tcBorders>
              <w:top w:val="nil"/>
              <w:left w:val="nil"/>
              <w:bottom w:val="single" w:sz="8" w:space="0" w:color="auto"/>
              <w:right w:val="single" w:sz="8" w:space="0" w:color="auto"/>
            </w:tcBorders>
            <w:vAlign w:val="center"/>
          </w:tcPr>
          <w:p w14:paraId="3C4F2F13" w14:textId="77777777" w:rsidR="00115458" w:rsidRPr="00D06BCE" w:rsidRDefault="00115458" w:rsidP="00D06BCE">
            <w:pPr>
              <w:spacing w:after="0" w:line="240" w:lineRule="auto"/>
              <w:rPr>
                <w:rFonts w:cs="Arial"/>
              </w:rPr>
            </w:pPr>
            <w:r w:rsidRPr="00D06BCE">
              <w:rPr>
                <w:rFonts w:cs="Arial"/>
              </w:rPr>
              <w:t>BSB number</w:t>
            </w:r>
          </w:p>
        </w:tc>
        <w:tc>
          <w:tcPr>
            <w:tcW w:w="1562" w:type="pct"/>
            <w:tcBorders>
              <w:top w:val="nil"/>
              <w:left w:val="nil"/>
              <w:bottom w:val="single" w:sz="8" w:space="0" w:color="auto"/>
              <w:right w:val="single" w:sz="8" w:space="0" w:color="auto"/>
            </w:tcBorders>
            <w:vAlign w:val="center"/>
          </w:tcPr>
          <w:p w14:paraId="44CDC7C4" w14:textId="77777777" w:rsidR="00115458" w:rsidRPr="00D06BCE" w:rsidRDefault="00115458" w:rsidP="00D06BCE">
            <w:pPr>
              <w:spacing w:after="0" w:line="240" w:lineRule="auto"/>
              <w:rPr>
                <w:rFonts w:cs="Arial"/>
              </w:rPr>
            </w:pPr>
            <w:r w:rsidRPr="00D06BCE">
              <w:rPr>
                <w:rFonts w:cs="Arial"/>
              </w:rPr>
              <w:t>142809</w:t>
            </w:r>
          </w:p>
        </w:tc>
      </w:tr>
      <w:tr w:rsidR="00115458" w:rsidRPr="00D06BCE" w14:paraId="75009C60"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691401A" w14:textId="77777777" w:rsidR="00115458" w:rsidRPr="00D06BCE" w:rsidRDefault="00115458" w:rsidP="00D06BCE">
            <w:pPr>
              <w:spacing w:after="0" w:line="240" w:lineRule="auto"/>
              <w:rPr>
                <w:rFonts w:cs="Arial"/>
                <w:b/>
              </w:rPr>
            </w:pPr>
            <w:hyperlink w:anchor="d7_064" w:history="1">
              <w:r w:rsidRPr="00D06BCE">
                <w:rPr>
                  <w:rFonts w:eastAsiaTheme="minorHAnsi" w:cs="Arial"/>
                  <w:noProof/>
                </w:rPr>
                <w:t>9.66</w:t>
              </w:r>
            </w:hyperlink>
          </w:p>
        </w:tc>
        <w:tc>
          <w:tcPr>
            <w:tcW w:w="2825" w:type="pct"/>
            <w:tcBorders>
              <w:top w:val="nil"/>
              <w:left w:val="nil"/>
              <w:bottom w:val="single" w:sz="8" w:space="0" w:color="auto"/>
              <w:right w:val="single" w:sz="8" w:space="0" w:color="auto"/>
            </w:tcBorders>
            <w:vAlign w:val="center"/>
          </w:tcPr>
          <w:p w14:paraId="2D54FDCA" w14:textId="77777777" w:rsidR="00115458" w:rsidRPr="00D06BCE" w:rsidRDefault="00115458" w:rsidP="00D06BCE">
            <w:pPr>
              <w:spacing w:after="0" w:line="240" w:lineRule="auto"/>
              <w:rPr>
                <w:rFonts w:cs="Arial"/>
              </w:rPr>
            </w:pPr>
            <w:r w:rsidRPr="00D06BCE">
              <w:rPr>
                <w:rFonts w:cs="Arial"/>
              </w:rPr>
              <w:t>Branch location</w:t>
            </w:r>
          </w:p>
        </w:tc>
        <w:tc>
          <w:tcPr>
            <w:tcW w:w="1562" w:type="pct"/>
            <w:tcBorders>
              <w:top w:val="nil"/>
              <w:left w:val="nil"/>
              <w:bottom w:val="single" w:sz="8" w:space="0" w:color="auto"/>
              <w:right w:val="single" w:sz="8" w:space="0" w:color="auto"/>
            </w:tcBorders>
            <w:vAlign w:val="center"/>
          </w:tcPr>
          <w:p w14:paraId="3098E7C7"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57D94349"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337BFBF9" w14:textId="77777777" w:rsidR="00115458" w:rsidRPr="00D06BCE" w:rsidRDefault="00115458" w:rsidP="00D06BCE">
            <w:pPr>
              <w:spacing w:after="0" w:line="240" w:lineRule="auto"/>
              <w:rPr>
                <w:rFonts w:cs="Arial"/>
                <w:b/>
              </w:rPr>
            </w:pPr>
            <w:hyperlink w:anchor="d7_065" w:history="1">
              <w:r w:rsidRPr="00D06BCE">
                <w:rPr>
                  <w:rFonts w:eastAsiaTheme="minorHAnsi" w:cs="Arial"/>
                  <w:noProof/>
                </w:rPr>
                <w:t>9.67</w:t>
              </w:r>
            </w:hyperlink>
          </w:p>
        </w:tc>
        <w:tc>
          <w:tcPr>
            <w:tcW w:w="2825" w:type="pct"/>
            <w:tcBorders>
              <w:top w:val="nil"/>
              <w:left w:val="nil"/>
              <w:bottom w:val="single" w:sz="8" w:space="0" w:color="auto"/>
              <w:right w:val="single" w:sz="8" w:space="0" w:color="auto"/>
            </w:tcBorders>
            <w:vAlign w:val="center"/>
          </w:tcPr>
          <w:p w14:paraId="367E44EB" w14:textId="77777777" w:rsidR="00115458" w:rsidRPr="00D06BCE" w:rsidRDefault="00115458" w:rsidP="00D06BCE">
            <w:pPr>
              <w:spacing w:after="0" w:line="240" w:lineRule="auto"/>
              <w:rPr>
                <w:rFonts w:cs="Arial"/>
              </w:rPr>
            </w:pPr>
            <w:r w:rsidRPr="00D06BCE">
              <w:rPr>
                <w:rFonts w:cs="Arial"/>
              </w:rPr>
              <w:t>Account name</w:t>
            </w:r>
          </w:p>
        </w:tc>
        <w:tc>
          <w:tcPr>
            <w:tcW w:w="1562" w:type="pct"/>
            <w:tcBorders>
              <w:top w:val="nil"/>
              <w:left w:val="nil"/>
              <w:bottom w:val="single" w:sz="8" w:space="0" w:color="auto"/>
              <w:right w:val="single" w:sz="8" w:space="0" w:color="auto"/>
            </w:tcBorders>
            <w:vAlign w:val="center"/>
          </w:tcPr>
          <w:p w14:paraId="2526AD76" w14:textId="77777777" w:rsidR="00115458" w:rsidRPr="00D06BCE" w:rsidRDefault="00115458" w:rsidP="00D06BCE">
            <w:pPr>
              <w:spacing w:after="0" w:line="240" w:lineRule="auto"/>
              <w:rPr>
                <w:rFonts w:cs="Arial"/>
              </w:rPr>
            </w:pPr>
            <w:r w:rsidRPr="00D06BCE">
              <w:rPr>
                <w:rFonts w:cs="Arial"/>
              </w:rPr>
              <w:t>BILL BILLINGS</w:t>
            </w:r>
          </w:p>
        </w:tc>
      </w:tr>
      <w:tr w:rsidR="00115458" w:rsidRPr="00D06BCE" w14:paraId="552756A7"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44F722EF" w14:textId="12D03886" w:rsidR="00115458" w:rsidRPr="00D06BCE" w:rsidRDefault="005575D6" w:rsidP="00D06BCE">
            <w:pPr>
              <w:spacing w:after="0" w:line="240" w:lineRule="auto"/>
              <w:rPr>
                <w:rFonts w:cs="Arial"/>
                <w:b/>
              </w:rPr>
            </w:pPr>
            <w:r>
              <w:t>9.150</w:t>
            </w:r>
          </w:p>
        </w:tc>
        <w:tc>
          <w:tcPr>
            <w:tcW w:w="2825" w:type="pct"/>
            <w:tcBorders>
              <w:top w:val="nil"/>
              <w:left w:val="nil"/>
              <w:bottom w:val="single" w:sz="8" w:space="0" w:color="auto"/>
              <w:right w:val="single" w:sz="8" w:space="0" w:color="auto"/>
            </w:tcBorders>
            <w:vAlign w:val="center"/>
          </w:tcPr>
          <w:p w14:paraId="5803F560"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62" w:type="pct"/>
            <w:tcBorders>
              <w:top w:val="nil"/>
              <w:left w:val="nil"/>
              <w:bottom w:val="single" w:sz="8" w:space="0" w:color="auto"/>
              <w:right w:val="single" w:sz="8" w:space="0" w:color="auto"/>
            </w:tcBorders>
            <w:vAlign w:val="center"/>
          </w:tcPr>
          <w:p w14:paraId="2AE959D0" w14:textId="77777777" w:rsidR="00115458" w:rsidRPr="00D06BCE" w:rsidRDefault="00115458" w:rsidP="00D06BCE">
            <w:pPr>
              <w:spacing w:after="0" w:line="240" w:lineRule="auto"/>
              <w:rPr>
                <w:rFonts w:cs="Arial"/>
              </w:rPr>
            </w:pPr>
            <w:r w:rsidRPr="00D06BCE">
              <w:rPr>
                <w:rFonts w:cs="Arial"/>
              </w:rPr>
              <w:t>78352</w:t>
            </w:r>
          </w:p>
        </w:tc>
      </w:tr>
      <w:tr w:rsidR="00115458" w:rsidRPr="00D06BCE" w14:paraId="57CA7D56"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6134398E" w14:textId="3C788CDA" w:rsidR="00115458" w:rsidRPr="00D06BCE" w:rsidRDefault="00107A53" w:rsidP="00D06BCE">
            <w:pPr>
              <w:spacing w:after="0" w:line="240" w:lineRule="auto"/>
              <w:rPr>
                <w:rFonts w:cs="Arial"/>
                <w:b/>
              </w:rPr>
            </w:pPr>
            <w:r>
              <w:rPr>
                <w:rFonts w:cs="Arial"/>
              </w:rPr>
              <w:t>9.151</w:t>
            </w:r>
          </w:p>
        </w:tc>
        <w:tc>
          <w:tcPr>
            <w:tcW w:w="2825" w:type="pct"/>
            <w:tcBorders>
              <w:top w:val="nil"/>
              <w:left w:val="nil"/>
              <w:bottom w:val="single" w:sz="8" w:space="0" w:color="auto"/>
              <w:right w:val="single" w:sz="8" w:space="0" w:color="auto"/>
            </w:tcBorders>
            <w:vAlign w:val="center"/>
          </w:tcPr>
          <w:p w14:paraId="2B90E437" w14:textId="77777777" w:rsidR="00115458" w:rsidRPr="00D06BCE" w:rsidRDefault="00115458" w:rsidP="00D06BCE">
            <w:pPr>
              <w:spacing w:after="0" w:line="240" w:lineRule="auto"/>
              <w:rPr>
                <w:rFonts w:cs="Arial"/>
              </w:rPr>
            </w:pPr>
            <w:r w:rsidRPr="00D06BCE">
              <w:rPr>
                <w:rFonts w:cs="Arial"/>
              </w:rPr>
              <w:t>ANZSIC code</w:t>
            </w:r>
          </w:p>
        </w:tc>
        <w:tc>
          <w:tcPr>
            <w:tcW w:w="1562" w:type="pct"/>
            <w:tcBorders>
              <w:top w:val="nil"/>
              <w:left w:val="nil"/>
              <w:bottom w:val="single" w:sz="8" w:space="0" w:color="auto"/>
              <w:right w:val="single" w:sz="8" w:space="0" w:color="auto"/>
            </w:tcBorders>
            <w:vAlign w:val="center"/>
          </w:tcPr>
          <w:p w14:paraId="708FCD79"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5807F596"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0E37391E" w14:textId="77777777" w:rsidR="00115458" w:rsidRPr="00D06BCE" w:rsidRDefault="00115458" w:rsidP="00D06BCE">
            <w:pPr>
              <w:spacing w:after="0" w:line="240" w:lineRule="auto"/>
              <w:rPr>
                <w:rFonts w:cs="Arial"/>
                <w:b/>
              </w:rPr>
            </w:pPr>
            <w:hyperlink w:anchor="d7_068" w:history="1">
              <w:r w:rsidRPr="00D06BCE">
                <w:rPr>
                  <w:rFonts w:eastAsiaTheme="minorHAnsi" w:cs="Arial"/>
                  <w:noProof/>
                </w:rPr>
                <w:t>9.70</w:t>
              </w:r>
            </w:hyperlink>
          </w:p>
        </w:tc>
        <w:tc>
          <w:tcPr>
            <w:tcW w:w="2825" w:type="pct"/>
            <w:tcBorders>
              <w:top w:val="nil"/>
              <w:left w:val="nil"/>
              <w:bottom w:val="single" w:sz="8" w:space="0" w:color="auto"/>
              <w:right w:val="single" w:sz="8" w:space="0" w:color="auto"/>
            </w:tcBorders>
            <w:vAlign w:val="center"/>
          </w:tcPr>
          <w:p w14:paraId="7796E473" w14:textId="77777777" w:rsidR="00115458" w:rsidRPr="00D06BCE" w:rsidRDefault="00115458" w:rsidP="00D06BCE">
            <w:pPr>
              <w:spacing w:after="0" w:line="240" w:lineRule="auto"/>
              <w:rPr>
                <w:rFonts w:cs="Arial"/>
              </w:rPr>
            </w:pPr>
            <w:r w:rsidRPr="00D06BCE">
              <w:rPr>
                <w:rFonts w:cs="Arial"/>
              </w:rPr>
              <w:t>Date of payment (DDMMCCYY)</w:t>
            </w:r>
          </w:p>
        </w:tc>
        <w:tc>
          <w:tcPr>
            <w:tcW w:w="1562" w:type="pct"/>
            <w:tcBorders>
              <w:top w:val="nil"/>
              <w:left w:val="nil"/>
              <w:bottom w:val="single" w:sz="8" w:space="0" w:color="auto"/>
              <w:right w:val="single" w:sz="8" w:space="0" w:color="auto"/>
            </w:tcBorders>
            <w:vAlign w:val="center"/>
          </w:tcPr>
          <w:p w14:paraId="72C70496" w14:textId="171E316A" w:rsidR="00115458" w:rsidRPr="00D06BCE" w:rsidRDefault="00115458" w:rsidP="00D06BCE">
            <w:pPr>
              <w:spacing w:after="0" w:line="240" w:lineRule="auto"/>
              <w:rPr>
                <w:rFonts w:cs="Arial"/>
              </w:rPr>
            </w:pPr>
            <w:r w:rsidRPr="00D06BCE">
              <w:rPr>
                <w:rFonts w:cs="Arial"/>
              </w:rPr>
              <w:t>3006202</w:t>
            </w:r>
            <w:r w:rsidR="00E33A78">
              <w:rPr>
                <w:rFonts w:cs="Arial"/>
              </w:rPr>
              <w:t>6</w:t>
            </w:r>
          </w:p>
        </w:tc>
      </w:tr>
      <w:tr w:rsidR="00115458" w:rsidRPr="00D06BCE" w14:paraId="7431822B"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44656883" w14:textId="77777777" w:rsidR="00115458" w:rsidRPr="00D06BCE" w:rsidRDefault="00115458" w:rsidP="00D06BCE">
            <w:pPr>
              <w:spacing w:after="0" w:line="240" w:lineRule="auto"/>
              <w:rPr>
                <w:rFonts w:cs="Arial"/>
                <w:b/>
              </w:rPr>
            </w:pPr>
            <w:hyperlink w:anchor="d7_069" w:history="1">
              <w:r w:rsidRPr="00D06BCE">
                <w:rPr>
                  <w:rFonts w:eastAsiaTheme="minorHAnsi" w:cs="Arial"/>
                  <w:noProof/>
                </w:rPr>
                <w:t>9.71</w:t>
              </w:r>
            </w:hyperlink>
          </w:p>
        </w:tc>
        <w:tc>
          <w:tcPr>
            <w:tcW w:w="2825" w:type="pct"/>
            <w:tcBorders>
              <w:top w:val="nil"/>
              <w:left w:val="nil"/>
              <w:bottom w:val="single" w:sz="8" w:space="0" w:color="auto"/>
              <w:right w:val="single" w:sz="8" w:space="0" w:color="auto"/>
            </w:tcBorders>
            <w:vAlign w:val="center"/>
          </w:tcPr>
          <w:p w14:paraId="01674E73" w14:textId="77777777" w:rsidR="00115458" w:rsidRPr="00D06BCE" w:rsidRDefault="00115458" w:rsidP="00D06BCE">
            <w:pPr>
              <w:spacing w:after="0" w:line="240" w:lineRule="auto"/>
              <w:rPr>
                <w:rFonts w:cs="Arial"/>
              </w:rPr>
            </w:pPr>
            <w:r w:rsidRPr="00D06BCE">
              <w:rPr>
                <w:rFonts w:cs="Arial"/>
              </w:rPr>
              <w:t>Type of investment</w:t>
            </w:r>
          </w:p>
        </w:tc>
        <w:tc>
          <w:tcPr>
            <w:tcW w:w="1562" w:type="pct"/>
            <w:tcBorders>
              <w:top w:val="nil"/>
              <w:left w:val="nil"/>
              <w:bottom w:val="single" w:sz="8" w:space="0" w:color="auto"/>
              <w:right w:val="single" w:sz="8" w:space="0" w:color="auto"/>
            </w:tcBorders>
            <w:vAlign w:val="center"/>
          </w:tcPr>
          <w:p w14:paraId="7339319E" w14:textId="77777777" w:rsidR="00115458" w:rsidRPr="00D06BCE" w:rsidRDefault="00115458" w:rsidP="00D06BCE">
            <w:pPr>
              <w:spacing w:after="0" w:line="240" w:lineRule="auto"/>
              <w:rPr>
                <w:rFonts w:cs="Arial"/>
              </w:rPr>
            </w:pPr>
            <w:r w:rsidRPr="00D06BCE">
              <w:rPr>
                <w:rFonts w:cs="Arial"/>
              </w:rPr>
              <w:t>2</w:t>
            </w:r>
          </w:p>
        </w:tc>
      </w:tr>
      <w:tr w:rsidR="00115458" w:rsidRPr="00D06BCE" w14:paraId="7CF0FDCE"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A5B9619" w14:textId="77777777" w:rsidR="00115458" w:rsidRPr="00D06BCE" w:rsidRDefault="00115458" w:rsidP="00D06BCE">
            <w:pPr>
              <w:spacing w:after="0" w:line="240" w:lineRule="auto"/>
              <w:rPr>
                <w:rFonts w:cs="Arial"/>
                <w:b/>
              </w:rPr>
            </w:pPr>
            <w:hyperlink w:anchor="d7_070" w:history="1">
              <w:r w:rsidRPr="00D06BCE">
                <w:rPr>
                  <w:rFonts w:eastAsiaTheme="minorHAnsi" w:cs="Arial"/>
                  <w:noProof/>
                </w:rPr>
                <w:t>9.72</w:t>
              </w:r>
            </w:hyperlink>
          </w:p>
        </w:tc>
        <w:tc>
          <w:tcPr>
            <w:tcW w:w="2825" w:type="pct"/>
            <w:tcBorders>
              <w:top w:val="nil"/>
              <w:left w:val="nil"/>
              <w:bottom w:val="single" w:sz="8" w:space="0" w:color="auto"/>
              <w:right w:val="single" w:sz="8" w:space="0" w:color="auto"/>
            </w:tcBorders>
            <w:vAlign w:val="center"/>
          </w:tcPr>
          <w:p w14:paraId="1699F4E8" w14:textId="77777777" w:rsidR="00115458" w:rsidRPr="00D06BCE" w:rsidRDefault="00115458" w:rsidP="00D06BCE">
            <w:pPr>
              <w:spacing w:after="0" w:line="240" w:lineRule="auto"/>
              <w:rPr>
                <w:rFonts w:cs="Arial"/>
              </w:rPr>
            </w:pPr>
            <w:r w:rsidRPr="00D06BCE">
              <w:rPr>
                <w:rFonts w:cs="Arial"/>
              </w:rPr>
              <w:t>Type of payment</w:t>
            </w:r>
          </w:p>
        </w:tc>
        <w:tc>
          <w:tcPr>
            <w:tcW w:w="1562" w:type="pct"/>
            <w:tcBorders>
              <w:top w:val="nil"/>
              <w:left w:val="nil"/>
              <w:bottom w:val="single" w:sz="8" w:space="0" w:color="auto"/>
              <w:right w:val="single" w:sz="8" w:space="0" w:color="auto"/>
            </w:tcBorders>
            <w:vAlign w:val="center"/>
          </w:tcPr>
          <w:p w14:paraId="2B55281F" w14:textId="77777777" w:rsidR="00115458" w:rsidRPr="00D06BCE" w:rsidRDefault="00115458" w:rsidP="00D06BCE">
            <w:pPr>
              <w:spacing w:after="0" w:line="240" w:lineRule="auto"/>
              <w:rPr>
                <w:rFonts w:cs="Arial"/>
              </w:rPr>
            </w:pPr>
            <w:r w:rsidRPr="00D06BCE">
              <w:rPr>
                <w:rFonts w:cs="Arial"/>
              </w:rPr>
              <w:t>FMD</w:t>
            </w:r>
          </w:p>
        </w:tc>
      </w:tr>
      <w:tr w:rsidR="00115458" w:rsidRPr="00D06BCE" w14:paraId="21DB12F4"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4445D227" w14:textId="77777777" w:rsidR="00115458" w:rsidRPr="00D06BCE" w:rsidRDefault="00115458" w:rsidP="00D06BCE">
            <w:pPr>
              <w:spacing w:after="0" w:line="240" w:lineRule="auto"/>
              <w:rPr>
                <w:rFonts w:cs="Arial"/>
                <w:b/>
              </w:rPr>
            </w:pPr>
            <w:hyperlink w:anchor="d7_076" w:history="1">
              <w:r w:rsidRPr="00D06BCE">
                <w:rPr>
                  <w:rFonts w:eastAsiaTheme="minorHAnsi" w:cs="Arial"/>
                  <w:noProof/>
                </w:rPr>
                <w:t>9.79</w:t>
              </w:r>
            </w:hyperlink>
          </w:p>
        </w:tc>
        <w:tc>
          <w:tcPr>
            <w:tcW w:w="2825" w:type="pct"/>
            <w:tcBorders>
              <w:top w:val="nil"/>
              <w:left w:val="nil"/>
              <w:bottom w:val="single" w:sz="8" w:space="0" w:color="auto"/>
              <w:right w:val="single" w:sz="8" w:space="0" w:color="auto"/>
            </w:tcBorders>
            <w:vAlign w:val="center"/>
          </w:tcPr>
          <w:p w14:paraId="459C07FF" w14:textId="77777777" w:rsidR="00115458" w:rsidRPr="00D06BCE" w:rsidRDefault="00115458" w:rsidP="00D06BCE">
            <w:pPr>
              <w:spacing w:after="0" w:line="240" w:lineRule="auto"/>
              <w:rPr>
                <w:rFonts w:cs="Arial"/>
              </w:rPr>
            </w:pPr>
            <w:r w:rsidRPr="00D06BCE">
              <w:rPr>
                <w:rFonts w:cs="Arial"/>
              </w:rPr>
              <w:t>Interest (cents)</w:t>
            </w:r>
          </w:p>
        </w:tc>
        <w:tc>
          <w:tcPr>
            <w:tcW w:w="1562" w:type="pct"/>
            <w:tcBorders>
              <w:top w:val="nil"/>
              <w:left w:val="nil"/>
              <w:bottom w:val="single" w:sz="8" w:space="0" w:color="auto"/>
              <w:right w:val="single" w:sz="8" w:space="0" w:color="auto"/>
            </w:tcBorders>
            <w:vAlign w:val="center"/>
          </w:tcPr>
          <w:p w14:paraId="0DEB95B6" w14:textId="77777777" w:rsidR="00115458" w:rsidRPr="00D06BCE" w:rsidRDefault="00115458" w:rsidP="00D06BCE">
            <w:pPr>
              <w:spacing w:after="0" w:line="240" w:lineRule="auto"/>
              <w:rPr>
                <w:rFonts w:cs="Arial"/>
              </w:rPr>
            </w:pPr>
            <w:r w:rsidRPr="00D06BCE">
              <w:rPr>
                <w:rFonts w:cs="Arial"/>
              </w:rPr>
              <w:t>000000021000</w:t>
            </w:r>
          </w:p>
        </w:tc>
      </w:tr>
      <w:tr w:rsidR="00115458" w:rsidRPr="00D06BCE" w14:paraId="26D53D07"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6C72D814" w14:textId="77777777" w:rsidR="00115458" w:rsidRPr="00D06BCE" w:rsidRDefault="00115458" w:rsidP="00D06BCE">
            <w:pPr>
              <w:spacing w:after="0" w:line="240" w:lineRule="auto"/>
              <w:rPr>
                <w:rFonts w:cs="Arial"/>
                <w:b/>
              </w:rPr>
            </w:pPr>
            <w:hyperlink w:anchor="d7_072" w:history="1">
              <w:r w:rsidRPr="00D06BCE">
                <w:rPr>
                  <w:rFonts w:eastAsiaTheme="minorHAnsi" w:cs="Arial"/>
                  <w:noProof/>
                </w:rPr>
                <w:t>9.74</w:t>
              </w:r>
            </w:hyperlink>
          </w:p>
        </w:tc>
        <w:tc>
          <w:tcPr>
            <w:tcW w:w="2825" w:type="pct"/>
            <w:tcBorders>
              <w:top w:val="nil"/>
              <w:left w:val="nil"/>
              <w:bottom w:val="single" w:sz="8" w:space="0" w:color="auto"/>
              <w:right w:val="single" w:sz="8" w:space="0" w:color="auto"/>
            </w:tcBorders>
            <w:vAlign w:val="center"/>
          </w:tcPr>
          <w:p w14:paraId="0CD87560"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62" w:type="pct"/>
            <w:tcBorders>
              <w:top w:val="nil"/>
              <w:left w:val="nil"/>
              <w:bottom w:val="single" w:sz="8" w:space="0" w:color="auto"/>
              <w:right w:val="single" w:sz="8" w:space="0" w:color="auto"/>
            </w:tcBorders>
            <w:vAlign w:val="center"/>
          </w:tcPr>
          <w:p w14:paraId="671B8BF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181718C"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5D92F528" w14:textId="77777777" w:rsidR="00115458" w:rsidRPr="00D06BCE" w:rsidRDefault="00115458" w:rsidP="00D06BCE">
            <w:pPr>
              <w:spacing w:after="0" w:line="240" w:lineRule="auto"/>
              <w:rPr>
                <w:rFonts w:cs="Arial"/>
                <w:b/>
              </w:rPr>
            </w:pPr>
            <w:hyperlink w:anchor="d7_073" w:history="1">
              <w:r w:rsidRPr="00D06BCE">
                <w:rPr>
                  <w:rFonts w:eastAsiaTheme="minorHAnsi" w:cs="Arial"/>
                  <w:noProof/>
                </w:rPr>
                <w:t>9.75</w:t>
              </w:r>
            </w:hyperlink>
          </w:p>
        </w:tc>
        <w:tc>
          <w:tcPr>
            <w:tcW w:w="2825" w:type="pct"/>
            <w:tcBorders>
              <w:top w:val="nil"/>
              <w:left w:val="nil"/>
              <w:bottom w:val="single" w:sz="8" w:space="0" w:color="auto"/>
              <w:right w:val="single" w:sz="8" w:space="0" w:color="auto"/>
            </w:tcBorders>
            <w:vAlign w:val="center"/>
          </w:tcPr>
          <w:p w14:paraId="69D3E189"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62" w:type="pct"/>
            <w:tcBorders>
              <w:top w:val="nil"/>
              <w:left w:val="nil"/>
              <w:bottom w:val="single" w:sz="8" w:space="0" w:color="auto"/>
              <w:right w:val="single" w:sz="8" w:space="0" w:color="auto"/>
            </w:tcBorders>
            <w:vAlign w:val="center"/>
          </w:tcPr>
          <w:p w14:paraId="0080351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4696C81"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6DEDD88E" w14:textId="4F7F1889" w:rsidR="00115458" w:rsidRPr="00D06BCE" w:rsidRDefault="00E548B4" w:rsidP="00D06BCE">
            <w:pPr>
              <w:spacing w:after="0" w:line="240" w:lineRule="auto"/>
              <w:rPr>
                <w:rFonts w:cs="Arial"/>
                <w:b/>
              </w:rPr>
            </w:pPr>
            <w:r>
              <w:rPr>
                <w:rFonts w:cs="Arial"/>
              </w:rPr>
              <w:t>9.152</w:t>
            </w:r>
          </w:p>
        </w:tc>
        <w:tc>
          <w:tcPr>
            <w:tcW w:w="2825" w:type="pct"/>
            <w:tcBorders>
              <w:top w:val="nil"/>
              <w:left w:val="nil"/>
              <w:bottom w:val="single" w:sz="8" w:space="0" w:color="auto"/>
              <w:right w:val="single" w:sz="8" w:space="0" w:color="auto"/>
            </w:tcBorders>
            <w:vAlign w:val="center"/>
          </w:tcPr>
          <w:p w14:paraId="5899BCF1"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62" w:type="pct"/>
            <w:tcBorders>
              <w:top w:val="nil"/>
              <w:left w:val="nil"/>
              <w:bottom w:val="single" w:sz="8" w:space="0" w:color="auto"/>
              <w:right w:val="single" w:sz="8" w:space="0" w:color="auto"/>
            </w:tcBorders>
            <w:vAlign w:val="center"/>
          </w:tcPr>
          <w:p w14:paraId="1CF23F0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DEEA002"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B744CBC" w14:textId="63072D0E" w:rsidR="00115458" w:rsidRPr="00D06BCE" w:rsidRDefault="00704E70" w:rsidP="00D06BCE">
            <w:pPr>
              <w:spacing w:after="0" w:line="240" w:lineRule="auto"/>
              <w:rPr>
                <w:rFonts w:cs="Arial"/>
                <w:b/>
              </w:rPr>
            </w:pPr>
            <w:r>
              <w:t>9.153</w:t>
            </w:r>
          </w:p>
        </w:tc>
        <w:tc>
          <w:tcPr>
            <w:tcW w:w="2825" w:type="pct"/>
            <w:tcBorders>
              <w:top w:val="nil"/>
              <w:left w:val="nil"/>
              <w:bottom w:val="single" w:sz="8" w:space="0" w:color="auto"/>
              <w:right w:val="single" w:sz="8" w:space="0" w:color="auto"/>
            </w:tcBorders>
            <w:vAlign w:val="center"/>
          </w:tcPr>
          <w:p w14:paraId="27B080CB"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62" w:type="pct"/>
            <w:tcBorders>
              <w:top w:val="nil"/>
              <w:left w:val="nil"/>
              <w:bottom w:val="single" w:sz="8" w:space="0" w:color="auto"/>
              <w:right w:val="single" w:sz="8" w:space="0" w:color="auto"/>
            </w:tcBorders>
            <w:vAlign w:val="center"/>
          </w:tcPr>
          <w:p w14:paraId="3949C3F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CEC48EE"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67D540E" w14:textId="0FF93242" w:rsidR="00115458" w:rsidRPr="00D06BCE" w:rsidRDefault="00770CC8" w:rsidP="00D06BCE">
            <w:pPr>
              <w:spacing w:after="0" w:line="240" w:lineRule="auto"/>
              <w:rPr>
                <w:rFonts w:cs="Arial"/>
                <w:b/>
              </w:rPr>
            </w:pPr>
            <w:r>
              <w:t>9.154</w:t>
            </w:r>
          </w:p>
        </w:tc>
        <w:tc>
          <w:tcPr>
            <w:tcW w:w="2825" w:type="pct"/>
            <w:tcBorders>
              <w:top w:val="nil"/>
              <w:left w:val="nil"/>
              <w:bottom w:val="single" w:sz="8" w:space="0" w:color="auto"/>
              <w:right w:val="single" w:sz="8" w:space="0" w:color="auto"/>
            </w:tcBorders>
            <w:vAlign w:val="center"/>
          </w:tcPr>
          <w:p w14:paraId="310E6312"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62" w:type="pct"/>
            <w:tcBorders>
              <w:top w:val="nil"/>
              <w:left w:val="nil"/>
              <w:bottom w:val="single" w:sz="8" w:space="0" w:color="auto"/>
              <w:right w:val="single" w:sz="8" w:space="0" w:color="auto"/>
            </w:tcBorders>
            <w:vAlign w:val="center"/>
          </w:tcPr>
          <w:p w14:paraId="0FFB760B"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3834C75"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4FB6B07F" w14:textId="65EA7952" w:rsidR="00115458" w:rsidRPr="00D06BCE" w:rsidRDefault="00623CAC" w:rsidP="00D06BCE">
            <w:pPr>
              <w:spacing w:after="0" w:line="240" w:lineRule="auto"/>
              <w:rPr>
                <w:rFonts w:cs="Arial"/>
                <w:b/>
              </w:rPr>
            </w:pPr>
            <w:r>
              <w:t>9.155</w:t>
            </w:r>
          </w:p>
        </w:tc>
        <w:tc>
          <w:tcPr>
            <w:tcW w:w="2825" w:type="pct"/>
            <w:tcBorders>
              <w:top w:val="nil"/>
              <w:left w:val="nil"/>
              <w:bottom w:val="single" w:sz="8" w:space="0" w:color="auto"/>
              <w:right w:val="single" w:sz="8" w:space="0" w:color="auto"/>
            </w:tcBorders>
            <w:vAlign w:val="center"/>
          </w:tcPr>
          <w:p w14:paraId="2E9DD067" w14:textId="77777777" w:rsidR="00115458" w:rsidRPr="00D06BCE" w:rsidRDefault="00115458" w:rsidP="00D06BCE">
            <w:pPr>
              <w:spacing w:after="0" w:line="240" w:lineRule="auto"/>
              <w:rPr>
                <w:rFonts w:cs="Arial"/>
              </w:rPr>
            </w:pPr>
            <w:r w:rsidRPr="00D06BCE">
              <w:rPr>
                <w:rFonts w:cs="Arial"/>
              </w:rPr>
              <w:t>Amount of repayment (first) (cents)</w:t>
            </w:r>
          </w:p>
        </w:tc>
        <w:tc>
          <w:tcPr>
            <w:tcW w:w="1562" w:type="pct"/>
            <w:tcBorders>
              <w:top w:val="nil"/>
              <w:left w:val="nil"/>
              <w:bottom w:val="single" w:sz="8" w:space="0" w:color="auto"/>
              <w:right w:val="single" w:sz="8" w:space="0" w:color="auto"/>
            </w:tcBorders>
            <w:vAlign w:val="center"/>
          </w:tcPr>
          <w:p w14:paraId="7750D834"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84C504F"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0F19113A" w14:textId="00B86365" w:rsidR="00115458" w:rsidRPr="00D06BCE" w:rsidRDefault="00D84C2A" w:rsidP="00D06BCE">
            <w:pPr>
              <w:spacing w:after="0" w:line="240" w:lineRule="auto"/>
              <w:rPr>
                <w:rFonts w:cs="Arial"/>
                <w:b/>
              </w:rPr>
            </w:pPr>
            <w:r>
              <w:t>9.156</w:t>
            </w:r>
          </w:p>
        </w:tc>
        <w:tc>
          <w:tcPr>
            <w:tcW w:w="2825" w:type="pct"/>
            <w:tcBorders>
              <w:top w:val="nil"/>
              <w:left w:val="nil"/>
              <w:bottom w:val="single" w:sz="8" w:space="0" w:color="auto"/>
              <w:right w:val="single" w:sz="8" w:space="0" w:color="auto"/>
            </w:tcBorders>
            <w:vAlign w:val="center"/>
          </w:tcPr>
          <w:p w14:paraId="4FB6A720" w14:textId="77777777" w:rsidR="00115458" w:rsidRPr="00D06BCE" w:rsidRDefault="00115458" w:rsidP="00D06BCE">
            <w:pPr>
              <w:spacing w:after="0" w:line="240" w:lineRule="auto"/>
              <w:rPr>
                <w:rFonts w:cs="Arial"/>
              </w:rPr>
            </w:pPr>
            <w:r w:rsidRPr="00D06BCE">
              <w:rPr>
                <w:rFonts w:cs="Arial"/>
              </w:rPr>
              <w:t>Date of repayment (first) (DDMMCCYY)</w:t>
            </w:r>
          </w:p>
        </w:tc>
        <w:tc>
          <w:tcPr>
            <w:tcW w:w="1562" w:type="pct"/>
            <w:tcBorders>
              <w:top w:val="nil"/>
              <w:left w:val="nil"/>
              <w:bottom w:val="single" w:sz="8" w:space="0" w:color="auto"/>
              <w:right w:val="single" w:sz="8" w:space="0" w:color="auto"/>
            </w:tcBorders>
            <w:vAlign w:val="center"/>
          </w:tcPr>
          <w:p w14:paraId="2D36544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FFD2B66"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42B1ADBB" w14:textId="6811C8C3" w:rsidR="00115458" w:rsidRPr="00D06BCE" w:rsidRDefault="00623CAC" w:rsidP="00D06BCE">
            <w:pPr>
              <w:spacing w:after="0" w:line="240" w:lineRule="auto"/>
              <w:rPr>
                <w:rFonts w:cs="Arial"/>
                <w:b/>
              </w:rPr>
            </w:pPr>
            <w:r>
              <w:t>9.155</w:t>
            </w:r>
          </w:p>
        </w:tc>
        <w:tc>
          <w:tcPr>
            <w:tcW w:w="2825" w:type="pct"/>
            <w:tcBorders>
              <w:top w:val="nil"/>
              <w:left w:val="nil"/>
              <w:bottom w:val="single" w:sz="8" w:space="0" w:color="auto"/>
              <w:right w:val="single" w:sz="8" w:space="0" w:color="auto"/>
            </w:tcBorders>
            <w:vAlign w:val="center"/>
          </w:tcPr>
          <w:p w14:paraId="3562C044" w14:textId="77777777" w:rsidR="00115458" w:rsidRPr="00D06BCE" w:rsidRDefault="00115458" w:rsidP="00D06BCE">
            <w:pPr>
              <w:spacing w:after="0" w:line="240" w:lineRule="auto"/>
              <w:rPr>
                <w:rFonts w:cs="Arial"/>
              </w:rPr>
            </w:pPr>
            <w:r w:rsidRPr="00D06BCE">
              <w:rPr>
                <w:rFonts w:cs="Arial"/>
              </w:rPr>
              <w:t>Amount of repayment (second) (cents)</w:t>
            </w:r>
          </w:p>
        </w:tc>
        <w:tc>
          <w:tcPr>
            <w:tcW w:w="1562" w:type="pct"/>
            <w:tcBorders>
              <w:top w:val="nil"/>
              <w:left w:val="nil"/>
              <w:bottom w:val="single" w:sz="8" w:space="0" w:color="auto"/>
              <w:right w:val="single" w:sz="8" w:space="0" w:color="auto"/>
            </w:tcBorders>
            <w:vAlign w:val="center"/>
          </w:tcPr>
          <w:p w14:paraId="2876C8A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3910306"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5E76DBBE" w14:textId="5F19D849" w:rsidR="00115458" w:rsidRPr="00D06BCE" w:rsidRDefault="00D84C2A" w:rsidP="00D06BCE">
            <w:pPr>
              <w:spacing w:after="0" w:line="240" w:lineRule="auto"/>
              <w:rPr>
                <w:rFonts w:cs="Arial"/>
                <w:b/>
              </w:rPr>
            </w:pPr>
            <w:r>
              <w:t>9.156</w:t>
            </w:r>
          </w:p>
        </w:tc>
        <w:tc>
          <w:tcPr>
            <w:tcW w:w="2825" w:type="pct"/>
            <w:tcBorders>
              <w:top w:val="nil"/>
              <w:left w:val="nil"/>
              <w:bottom w:val="single" w:sz="8" w:space="0" w:color="auto"/>
              <w:right w:val="single" w:sz="8" w:space="0" w:color="auto"/>
            </w:tcBorders>
            <w:vAlign w:val="center"/>
          </w:tcPr>
          <w:p w14:paraId="10D8F340" w14:textId="77777777" w:rsidR="00115458" w:rsidRPr="00D06BCE" w:rsidRDefault="00115458" w:rsidP="00D06BCE">
            <w:pPr>
              <w:spacing w:after="0" w:line="240" w:lineRule="auto"/>
              <w:rPr>
                <w:rFonts w:cs="Arial"/>
              </w:rPr>
            </w:pPr>
            <w:r w:rsidRPr="00D06BCE">
              <w:rPr>
                <w:rFonts w:cs="Arial"/>
              </w:rPr>
              <w:t>Date of repayment (second) (DDMMCCYY)</w:t>
            </w:r>
          </w:p>
        </w:tc>
        <w:tc>
          <w:tcPr>
            <w:tcW w:w="1562" w:type="pct"/>
            <w:tcBorders>
              <w:top w:val="nil"/>
              <w:left w:val="nil"/>
              <w:bottom w:val="single" w:sz="8" w:space="0" w:color="auto"/>
              <w:right w:val="single" w:sz="8" w:space="0" w:color="auto"/>
            </w:tcBorders>
            <w:vAlign w:val="center"/>
          </w:tcPr>
          <w:p w14:paraId="6DF88EF3"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8B684C0"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D2DFC09" w14:textId="7CEE2433" w:rsidR="00115458" w:rsidRPr="00D06BCE" w:rsidRDefault="00623CAC" w:rsidP="00D06BCE">
            <w:pPr>
              <w:spacing w:after="0" w:line="240" w:lineRule="auto"/>
              <w:rPr>
                <w:rFonts w:cs="Arial"/>
                <w:b/>
              </w:rPr>
            </w:pPr>
            <w:r>
              <w:t>9.155</w:t>
            </w:r>
          </w:p>
        </w:tc>
        <w:tc>
          <w:tcPr>
            <w:tcW w:w="2825" w:type="pct"/>
            <w:tcBorders>
              <w:top w:val="nil"/>
              <w:left w:val="nil"/>
              <w:bottom w:val="single" w:sz="8" w:space="0" w:color="auto"/>
              <w:right w:val="single" w:sz="8" w:space="0" w:color="auto"/>
            </w:tcBorders>
            <w:vAlign w:val="center"/>
          </w:tcPr>
          <w:p w14:paraId="082AACAE" w14:textId="77777777" w:rsidR="00115458" w:rsidRPr="00D06BCE" w:rsidRDefault="00115458" w:rsidP="00D06BCE">
            <w:pPr>
              <w:spacing w:after="0" w:line="240" w:lineRule="auto"/>
              <w:rPr>
                <w:rFonts w:cs="Arial"/>
              </w:rPr>
            </w:pPr>
            <w:r w:rsidRPr="00D06BCE">
              <w:rPr>
                <w:rFonts w:cs="Arial"/>
              </w:rPr>
              <w:t>Amount of repayment (third) (cents)</w:t>
            </w:r>
          </w:p>
        </w:tc>
        <w:tc>
          <w:tcPr>
            <w:tcW w:w="1562" w:type="pct"/>
            <w:tcBorders>
              <w:top w:val="nil"/>
              <w:left w:val="nil"/>
              <w:bottom w:val="single" w:sz="8" w:space="0" w:color="auto"/>
              <w:right w:val="single" w:sz="8" w:space="0" w:color="auto"/>
            </w:tcBorders>
            <w:vAlign w:val="center"/>
          </w:tcPr>
          <w:p w14:paraId="682F46A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36E9FC3"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0D0FC545" w14:textId="08746055" w:rsidR="00115458" w:rsidRPr="00D06BCE" w:rsidRDefault="00D84C2A" w:rsidP="00D06BCE">
            <w:pPr>
              <w:spacing w:after="0" w:line="240" w:lineRule="auto"/>
              <w:rPr>
                <w:rFonts w:cs="Arial"/>
                <w:b/>
              </w:rPr>
            </w:pPr>
            <w:r>
              <w:t>9.156</w:t>
            </w:r>
          </w:p>
        </w:tc>
        <w:tc>
          <w:tcPr>
            <w:tcW w:w="2825" w:type="pct"/>
            <w:tcBorders>
              <w:top w:val="nil"/>
              <w:left w:val="nil"/>
              <w:bottom w:val="single" w:sz="8" w:space="0" w:color="auto"/>
              <w:right w:val="single" w:sz="8" w:space="0" w:color="auto"/>
            </w:tcBorders>
            <w:vAlign w:val="center"/>
          </w:tcPr>
          <w:p w14:paraId="310FA3EF" w14:textId="77777777" w:rsidR="00115458" w:rsidRPr="00D06BCE" w:rsidRDefault="00115458" w:rsidP="00D06BCE">
            <w:pPr>
              <w:spacing w:after="0" w:line="240" w:lineRule="auto"/>
              <w:rPr>
                <w:rFonts w:cs="Arial"/>
              </w:rPr>
            </w:pPr>
            <w:r w:rsidRPr="00D06BCE">
              <w:rPr>
                <w:rFonts w:cs="Arial"/>
              </w:rPr>
              <w:t>Date of repayment (third) (DDMMCCYY)</w:t>
            </w:r>
          </w:p>
        </w:tc>
        <w:tc>
          <w:tcPr>
            <w:tcW w:w="1562" w:type="pct"/>
            <w:tcBorders>
              <w:top w:val="nil"/>
              <w:left w:val="nil"/>
              <w:bottom w:val="single" w:sz="8" w:space="0" w:color="auto"/>
              <w:right w:val="single" w:sz="8" w:space="0" w:color="auto"/>
            </w:tcBorders>
            <w:vAlign w:val="center"/>
          </w:tcPr>
          <w:p w14:paraId="4010E6AF"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1053A1F"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5F3F407" w14:textId="1469C9BF" w:rsidR="00115458" w:rsidRPr="00D06BCE" w:rsidRDefault="00623CAC" w:rsidP="00D06BCE">
            <w:pPr>
              <w:spacing w:after="0" w:line="240" w:lineRule="auto"/>
              <w:rPr>
                <w:rFonts w:cs="Arial"/>
                <w:b/>
              </w:rPr>
            </w:pPr>
            <w:r>
              <w:t>9.155</w:t>
            </w:r>
          </w:p>
        </w:tc>
        <w:tc>
          <w:tcPr>
            <w:tcW w:w="2825" w:type="pct"/>
            <w:tcBorders>
              <w:top w:val="nil"/>
              <w:left w:val="nil"/>
              <w:bottom w:val="single" w:sz="8" w:space="0" w:color="auto"/>
              <w:right w:val="single" w:sz="8" w:space="0" w:color="auto"/>
            </w:tcBorders>
            <w:vAlign w:val="center"/>
          </w:tcPr>
          <w:p w14:paraId="1AE57182" w14:textId="77777777" w:rsidR="00115458" w:rsidRPr="00D06BCE" w:rsidRDefault="00115458" w:rsidP="00D06BCE">
            <w:pPr>
              <w:spacing w:after="0" w:line="240" w:lineRule="auto"/>
              <w:rPr>
                <w:rFonts w:cs="Arial"/>
              </w:rPr>
            </w:pPr>
            <w:r w:rsidRPr="00D06BCE">
              <w:rPr>
                <w:rFonts w:cs="Arial"/>
              </w:rPr>
              <w:t>Amount of repayment (fourth) (cents)</w:t>
            </w:r>
          </w:p>
        </w:tc>
        <w:tc>
          <w:tcPr>
            <w:tcW w:w="1562" w:type="pct"/>
            <w:tcBorders>
              <w:top w:val="nil"/>
              <w:left w:val="nil"/>
              <w:bottom w:val="single" w:sz="8" w:space="0" w:color="auto"/>
              <w:right w:val="single" w:sz="8" w:space="0" w:color="auto"/>
            </w:tcBorders>
            <w:vAlign w:val="center"/>
          </w:tcPr>
          <w:p w14:paraId="6F404E3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DFA48BE"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0937C46" w14:textId="78349FF7" w:rsidR="00115458" w:rsidRPr="00D06BCE" w:rsidRDefault="00D84C2A" w:rsidP="00D06BCE">
            <w:pPr>
              <w:spacing w:after="0" w:line="240" w:lineRule="auto"/>
              <w:rPr>
                <w:rFonts w:cs="Arial"/>
                <w:b/>
              </w:rPr>
            </w:pPr>
            <w:r>
              <w:t>9.156</w:t>
            </w:r>
          </w:p>
        </w:tc>
        <w:tc>
          <w:tcPr>
            <w:tcW w:w="2825" w:type="pct"/>
            <w:tcBorders>
              <w:top w:val="nil"/>
              <w:left w:val="nil"/>
              <w:bottom w:val="single" w:sz="8" w:space="0" w:color="auto"/>
              <w:right w:val="single" w:sz="8" w:space="0" w:color="auto"/>
            </w:tcBorders>
            <w:vAlign w:val="center"/>
          </w:tcPr>
          <w:p w14:paraId="05134813" w14:textId="77777777" w:rsidR="00115458" w:rsidRPr="00D06BCE" w:rsidRDefault="00115458" w:rsidP="00D06BCE">
            <w:pPr>
              <w:spacing w:after="0" w:line="240" w:lineRule="auto"/>
              <w:rPr>
                <w:rFonts w:cs="Arial"/>
              </w:rPr>
            </w:pPr>
            <w:r w:rsidRPr="00D06BCE">
              <w:rPr>
                <w:rFonts w:cs="Arial"/>
              </w:rPr>
              <w:t>Date of repayment (fourth) (DDMMCCYY)</w:t>
            </w:r>
          </w:p>
        </w:tc>
        <w:tc>
          <w:tcPr>
            <w:tcW w:w="1562" w:type="pct"/>
            <w:tcBorders>
              <w:top w:val="nil"/>
              <w:left w:val="nil"/>
              <w:bottom w:val="single" w:sz="8" w:space="0" w:color="auto"/>
              <w:right w:val="single" w:sz="8" w:space="0" w:color="auto"/>
            </w:tcBorders>
            <w:vAlign w:val="center"/>
          </w:tcPr>
          <w:p w14:paraId="4FC0AEAF"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3CC51EA"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75C55A57" w14:textId="4D54BEA4" w:rsidR="00115458" w:rsidRPr="00D06BCE" w:rsidRDefault="003B64C6" w:rsidP="00D06BCE">
            <w:pPr>
              <w:spacing w:after="0" w:line="240" w:lineRule="auto"/>
              <w:rPr>
                <w:rFonts w:cs="Arial"/>
                <w:b/>
              </w:rPr>
            </w:pPr>
            <w:r>
              <w:t>9.157</w:t>
            </w:r>
          </w:p>
        </w:tc>
        <w:tc>
          <w:tcPr>
            <w:tcW w:w="2825" w:type="pct"/>
            <w:tcBorders>
              <w:top w:val="nil"/>
              <w:left w:val="nil"/>
              <w:bottom w:val="single" w:sz="8" w:space="0" w:color="auto"/>
              <w:right w:val="single" w:sz="8" w:space="0" w:color="auto"/>
            </w:tcBorders>
            <w:vAlign w:val="center"/>
          </w:tcPr>
          <w:p w14:paraId="2F27BA16"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62" w:type="pct"/>
            <w:tcBorders>
              <w:top w:val="nil"/>
              <w:left w:val="nil"/>
              <w:bottom w:val="single" w:sz="8" w:space="0" w:color="auto"/>
              <w:right w:val="single" w:sz="8" w:space="0" w:color="auto"/>
            </w:tcBorders>
            <w:vAlign w:val="center"/>
          </w:tcPr>
          <w:p w14:paraId="221AA8D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540C142"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006F69FC" w14:textId="37F3C000" w:rsidR="00115458" w:rsidRPr="00D06BCE" w:rsidRDefault="00423041" w:rsidP="00D06BCE">
            <w:pPr>
              <w:spacing w:after="0" w:line="240" w:lineRule="auto"/>
              <w:rPr>
                <w:rFonts w:cs="Arial"/>
                <w:b/>
              </w:rPr>
            </w:pPr>
            <w:r>
              <w:t>9.158</w:t>
            </w:r>
          </w:p>
        </w:tc>
        <w:tc>
          <w:tcPr>
            <w:tcW w:w="2825" w:type="pct"/>
            <w:tcBorders>
              <w:top w:val="nil"/>
              <w:left w:val="nil"/>
              <w:bottom w:val="single" w:sz="8" w:space="0" w:color="auto"/>
              <w:right w:val="single" w:sz="8" w:space="0" w:color="auto"/>
            </w:tcBorders>
            <w:vAlign w:val="center"/>
          </w:tcPr>
          <w:p w14:paraId="4D419248"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62" w:type="pct"/>
            <w:tcBorders>
              <w:top w:val="nil"/>
              <w:left w:val="nil"/>
              <w:bottom w:val="single" w:sz="8" w:space="0" w:color="auto"/>
              <w:right w:val="single" w:sz="8" w:space="0" w:color="auto"/>
            </w:tcBorders>
            <w:vAlign w:val="center"/>
          </w:tcPr>
          <w:p w14:paraId="6795B4AA"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0FBB219"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50430992" w14:textId="1DDA527B" w:rsidR="00115458" w:rsidRPr="00D06BCE" w:rsidRDefault="00096F4C" w:rsidP="00D06BCE">
            <w:pPr>
              <w:spacing w:after="0" w:line="240" w:lineRule="auto"/>
              <w:rPr>
                <w:rFonts w:cs="Arial"/>
                <w:b/>
              </w:rPr>
            </w:pPr>
            <w:r>
              <w:t>9.159</w:t>
            </w:r>
          </w:p>
        </w:tc>
        <w:tc>
          <w:tcPr>
            <w:tcW w:w="2825" w:type="pct"/>
            <w:tcBorders>
              <w:top w:val="nil"/>
              <w:left w:val="nil"/>
              <w:bottom w:val="single" w:sz="8" w:space="0" w:color="auto"/>
              <w:right w:val="single" w:sz="8" w:space="0" w:color="auto"/>
            </w:tcBorders>
            <w:vAlign w:val="center"/>
          </w:tcPr>
          <w:p w14:paraId="36D304F9"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62" w:type="pct"/>
            <w:tcBorders>
              <w:top w:val="nil"/>
              <w:left w:val="nil"/>
              <w:bottom w:val="single" w:sz="8" w:space="0" w:color="auto"/>
              <w:right w:val="single" w:sz="8" w:space="0" w:color="auto"/>
            </w:tcBorders>
            <w:vAlign w:val="center"/>
          </w:tcPr>
          <w:p w14:paraId="5872A39D"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3BCDFB8"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2EC50C9" w14:textId="624DDE59" w:rsidR="00115458" w:rsidRPr="00D06BCE" w:rsidRDefault="00A31D27" w:rsidP="00D06BCE">
            <w:pPr>
              <w:spacing w:after="0" w:line="240" w:lineRule="auto"/>
              <w:rPr>
                <w:rFonts w:cs="Arial"/>
                <w:b/>
              </w:rPr>
            </w:pPr>
            <w:r>
              <w:t>9.160</w:t>
            </w:r>
          </w:p>
        </w:tc>
        <w:tc>
          <w:tcPr>
            <w:tcW w:w="2825" w:type="pct"/>
            <w:tcBorders>
              <w:top w:val="nil"/>
              <w:left w:val="nil"/>
              <w:bottom w:val="single" w:sz="8" w:space="0" w:color="auto"/>
              <w:right w:val="single" w:sz="8" w:space="0" w:color="auto"/>
            </w:tcBorders>
            <w:vAlign w:val="center"/>
          </w:tcPr>
          <w:p w14:paraId="0EE3F17C"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62" w:type="pct"/>
            <w:tcBorders>
              <w:top w:val="nil"/>
              <w:left w:val="nil"/>
              <w:bottom w:val="single" w:sz="8" w:space="0" w:color="auto"/>
              <w:right w:val="single" w:sz="8" w:space="0" w:color="auto"/>
            </w:tcBorders>
            <w:vAlign w:val="center"/>
          </w:tcPr>
          <w:p w14:paraId="59B3D9F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04C758A"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5FDF88A2" w14:textId="79B5F92F" w:rsidR="00115458" w:rsidRPr="00D06BCE" w:rsidRDefault="00A31D27" w:rsidP="00D06BCE">
            <w:pPr>
              <w:spacing w:after="0" w:line="240" w:lineRule="auto"/>
              <w:rPr>
                <w:rFonts w:cs="Arial"/>
                <w:b/>
              </w:rPr>
            </w:pPr>
            <w:r>
              <w:t>9.161</w:t>
            </w:r>
          </w:p>
        </w:tc>
        <w:tc>
          <w:tcPr>
            <w:tcW w:w="2825" w:type="pct"/>
            <w:tcBorders>
              <w:top w:val="nil"/>
              <w:left w:val="nil"/>
              <w:bottom w:val="single" w:sz="8" w:space="0" w:color="auto"/>
              <w:right w:val="single" w:sz="8" w:space="0" w:color="auto"/>
            </w:tcBorders>
            <w:vAlign w:val="center"/>
          </w:tcPr>
          <w:p w14:paraId="1D89932F"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62" w:type="pct"/>
            <w:tcBorders>
              <w:top w:val="nil"/>
              <w:left w:val="nil"/>
              <w:bottom w:val="single" w:sz="8" w:space="0" w:color="auto"/>
              <w:right w:val="single" w:sz="8" w:space="0" w:color="auto"/>
            </w:tcBorders>
            <w:vAlign w:val="center"/>
          </w:tcPr>
          <w:p w14:paraId="41E02DD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C9F4728"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0460B72" w14:textId="1A763335" w:rsidR="00115458" w:rsidRPr="00A31D27" w:rsidRDefault="00A31D27" w:rsidP="00D06BCE">
            <w:pPr>
              <w:spacing w:after="0" w:line="240" w:lineRule="auto"/>
              <w:rPr>
                <w:rFonts w:cs="Arial"/>
                <w:b/>
                <w:bCs/>
              </w:rPr>
            </w:pPr>
            <w:r>
              <w:t>9.162</w:t>
            </w:r>
          </w:p>
        </w:tc>
        <w:tc>
          <w:tcPr>
            <w:tcW w:w="2825" w:type="pct"/>
            <w:tcBorders>
              <w:top w:val="nil"/>
              <w:left w:val="nil"/>
              <w:bottom w:val="single" w:sz="8" w:space="0" w:color="auto"/>
              <w:right w:val="single" w:sz="8" w:space="0" w:color="auto"/>
            </w:tcBorders>
            <w:vAlign w:val="center"/>
          </w:tcPr>
          <w:p w14:paraId="3A31E5DD" w14:textId="77777777" w:rsidR="00115458" w:rsidRPr="00D06BCE" w:rsidRDefault="00115458" w:rsidP="00D06BCE">
            <w:pPr>
              <w:spacing w:after="0" w:line="240" w:lineRule="auto"/>
              <w:rPr>
                <w:rFonts w:cs="Arial"/>
              </w:rPr>
            </w:pPr>
            <w:r w:rsidRPr="00D06BCE">
              <w:rPr>
                <w:rFonts w:cs="Arial"/>
              </w:rPr>
              <w:t>Transferee BSB number (first)</w:t>
            </w:r>
          </w:p>
        </w:tc>
        <w:tc>
          <w:tcPr>
            <w:tcW w:w="1562" w:type="pct"/>
            <w:tcBorders>
              <w:top w:val="nil"/>
              <w:left w:val="nil"/>
              <w:bottom w:val="single" w:sz="8" w:space="0" w:color="auto"/>
              <w:right w:val="single" w:sz="8" w:space="0" w:color="auto"/>
            </w:tcBorders>
            <w:vAlign w:val="center"/>
          </w:tcPr>
          <w:p w14:paraId="274C13C5"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6FBEB2B"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75799428" w14:textId="4D902665" w:rsidR="00115458" w:rsidRPr="00D06BCE" w:rsidRDefault="002C6781" w:rsidP="00D06BCE">
            <w:pPr>
              <w:spacing w:after="0" w:line="240" w:lineRule="auto"/>
              <w:rPr>
                <w:rFonts w:cs="Arial"/>
                <w:b/>
              </w:rPr>
            </w:pPr>
            <w:r>
              <w:t>9.160</w:t>
            </w:r>
          </w:p>
        </w:tc>
        <w:tc>
          <w:tcPr>
            <w:tcW w:w="2825" w:type="pct"/>
            <w:tcBorders>
              <w:top w:val="nil"/>
              <w:left w:val="nil"/>
              <w:bottom w:val="single" w:sz="8" w:space="0" w:color="auto"/>
              <w:right w:val="single" w:sz="8" w:space="0" w:color="auto"/>
            </w:tcBorders>
            <w:vAlign w:val="center"/>
          </w:tcPr>
          <w:p w14:paraId="5435BF70"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62" w:type="pct"/>
            <w:tcBorders>
              <w:top w:val="nil"/>
              <w:left w:val="nil"/>
              <w:bottom w:val="single" w:sz="8" w:space="0" w:color="auto"/>
              <w:right w:val="single" w:sz="8" w:space="0" w:color="auto"/>
            </w:tcBorders>
            <w:vAlign w:val="center"/>
          </w:tcPr>
          <w:p w14:paraId="2CFDFDB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FCD08B7"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9798A3E" w14:textId="6D1D92D4" w:rsidR="00115458" w:rsidRPr="00D06BCE" w:rsidRDefault="002C6781" w:rsidP="00D06BCE">
            <w:pPr>
              <w:spacing w:after="0" w:line="240" w:lineRule="auto"/>
              <w:rPr>
                <w:rFonts w:cs="Arial"/>
                <w:b/>
              </w:rPr>
            </w:pPr>
            <w:r>
              <w:t>9.161</w:t>
            </w:r>
          </w:p>
        </w:tc>
        <w:tc>
          <w:tcPr>
            <w:tcW w:w="2825" w:type="pct"/>
            <w:tcBorders>
              <w:top w:val="nil"/>
              <w:left w:val="nil"/>
              <w:bottom w:val="single" w:sz="8" w:space="0" w:color="auto"/>
              <w:right w:val="single" w:sz="8" w:space="0" w:color="auto"/>
            </w:tcBorders>
            <w:vAlign w:val="center"/>
          </w:tcPr>
          <w:p w14:paraId="36B93A26"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62" w:type="pct"/>
            <w:tcBorders>
              <w:top w:val="nil"/>
              <w:left w:val="nil"/>
              <w:bottom w:val="single" w:sz="8" w:space="0" w:color="auto"/>
              <w:right w:val="single" w:sz="8" w:space="0" w:color="auto"/>
            </w:tcBorders>
            <w:vAlign w:val="center"/>
          </w:tcPr>
          <w:p w14:paraId="7AF8A48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FC9BE8E"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67D43283" w14:textId="411B49BC" w:rsidR="00115458" w:rsidRPr="00D06BCE" w:rsidRDefault="002C6781" w:rsidP="00D06BCE">
            <w:pPr>
              <w:spacing w:after="0" w:line="240" w:lineRule="auto"/>
              <w:rPr>
                <w:rFonts w:cs="Arial"/>
                <w:b/>
              </w:rPr>
            </w:pPr>
            <w:r>
              <w:t>9.162</w:t>
            </w:r>
          </w:p>
        </w:tc>
        <w:tc>
          <w:tcPr>
            <w:tcW w:w="2825" w:type="pct"/>
            <w:tcBorders>
              <w:top w:val="nil"/>
              <w:left w:val="nil"/>
              <w:bottom w:val="single" w:sz="8" w:space="0" w:color="auto"/>
              <w:right w:val="single" w:sz="8" w:space="0" w:color="auto"/>
            </w:tcBorders>
            <w:vAlign w:val="center"/>
          </w:tcPr>
          <w:p w14:paraId="52A2CA38" w14:textId="77777777" w:rsidR="00115458" w:rsidRPr="00D06BCE" w:rsidRDefault="00115458" w:rsidP="00D06BCE">
            <w:pPr>
              <w:spacing w:after="0" w:line="240" w:lineRule="auto"/>
              <w:rPr>
                <w:rFonts w:cs="Arial"/>
              </w:rPr>
            </w:pPr>
            <w:r w:rsidRPr="00D06BCE">
              <w:rPr>
                <w:rFonts w:cs="Arial"/>
              </w:rPr>
              <w:t>Transferee BSB number (second)</w:t>
            </w:r>
          </w:p>
        </w:tc>
        <w:tc>
          <w:tcPr>
            <w:tcW w:w="1562" w:type="pct"/>
            <w:tcBorders>
              <w:top w:val="nil"/>
              <w:left w:val="nil"/>
              <w:bottom w:val="single" w:sz="8" w:space="0" w:color="auto"/>
              <w:right w:val="single" w:sz="8" w:space="0" w:color="auto"/>
            </w:tcBorders>
            <w:vAlign w:val="center"/>
          </w:tcPr>
          <w:p w14:paraId="4A349F2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0F111BE8"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59A03A4E" w14:textId="0BA615A3" w:rsidR="00115458" w:rsidRPr="00D06BCE" w:rsidRDefault="002C6781" w:rsidP="00D06BCE">
            <w:pPr>
              <w:spacing w:after="0" w:line="240" w:lineRule="auto"/>
              <w:rPr>
                <w:rFonts w:cs="Arial"/>
                <w:b/>
              </w:rPr>
            </w:pPr>
            <w:r>
              <w:t>9.160</w:t>
            </w:r>
          </w:p>
        </w:tc>
        <w:tc>
          <w:tcPr>
            <w:tcW w:w="2825" w:type="pct"/>
            <w:tcBorders>
              <w:top w:val="nil"/>
              <w:left w:val="nil"/>
              <w:bottom w:val="single" w:sz="8" w:space="0" w:color="auto"/>
              <w:right w:val="single" w:sz="8" w:space="0" w:color="auto"/>
            </w:tcBorders>
            <w:vAlign w:val="center"/>
          </w:tcPr>
          <w:p w14:paraId="72E9B1AD"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62" w:type="pct"/>
            <w:tcBorders>
              <w:top w:val="nil"/>
              <w:left w:val="nil"/>
              <w:bottom w:val="single" w:sz="8" w:space="0" w:color="auto"/>
              <w:right w:val="single" w:sz="8" w:space="0" w:color="auto"/>
            </w:tcBorders>
            <w:vAlign w:val="center"/>
          </w:tcPr>
          <w:p w14:paraId="0A5236E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5CD1C57"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E683A8C" w14:textId="5766BBFF" w:rsidR="00115458" w:rsidRPr="00D06BCE" w:rsidRDefault="002C6781" w:rsidP="00D06BCE">
            <w:pPr>
              <w:spacing w:after="0" w:line="240" w:lineRule="auto"/>
              <w:rPr>
                <w:rFonts w:cs="Arial"/>
                <w:b/>
              </w:rPr>
            </w:pPr>
            <w:r>
              <w:t>9.161</w:t>
            </w:r>
          </w:p>
        </w:tc>
        <w:tc>
          <w:tcPr>
            <w:tcW w:w="2825" w:type="pct"/>
            <w:tcBorders>
              <w:top w:val="nil"/>
              <w:left w:val="nil"/>
              <w:bottom w:val="single" w:sz="8" w:space="0" w:color="auto"/>
              <w:right w:val="single" w:sz="8" w:space="0" w:color="auto"/>
            </w:tcBorders>
            <w:vAlign w:val="center"/>
          </w:tcPr>
          <w:p w14:paraId="1F9AC73B"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62" w:type="pct"/>
            <w:tcBorders>
              <w:top w:val="nil"/>
              <w:left w:val="nil"/>
              <w:bottom w:val="single" w:sz="8" w:space="0" w:color="auto"/>
              <w:right w:val="single" w:sz="8" w:space="0" w:color="auto"/>
            </w:tcBorders>
            <w:vAlign w:val="center"/>
          </w:tcPr>
          <w:p w14:paraId="0FD9E90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E58BEDB"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8C4FFF0" w14:textId="4E97820A" w:rsidR="00115458" w:rsidRPr="00D06BCE" w:rsidRDefault="001E7C49" w:rsidP="00D06BCE">
            <w:pPr>
              <w:spacing w:after="0" w:line="240" w:lineRule="auto"/>
              <w:rPr>
                <w:rFonts w:cs="Arial"/>
                <w:b/>
              </w:rPr>
            </w:pPr>
            <w:r>
              <w:t>9.162</w:t>
            </w:r>
          </w:p>
        </w:tc>
        <w:tc>
          <w:tcPr>
            <w:tcW w:w="2825" w:type="pct"/>
            <w:tcBorders>
              <w:top w:val="nil"/>
              <w:left w:val="nil"/>
              <w:bottom w:val="single" w:sz="8" w:space="0" w:color="auto"/>
              <w:right w:val="single" w:sz="8" w:space="0" w:color="auto"/>
            </w:tcBorders>
            <w:vAlign w:val="center"/>
          </w:tcPr>
          <w:p w14:paraId="589B54DB" w14:textId="77777777" w:rsidR="00115458" w:rsidRPr="00D06BCE" w:rsidRDefault="00115458" w:rsidP="00D06BCE">
            <w:pPr>
              <w:spacing w:after="0" w:line="240" w:lineRule="auto"/>
              <w:rPr>
                <w:rFonts w:cs="Arial"/>
              </w:rPr>
            </w:pPr>
            <w:r w:rsidRPr="00D06BCE">
              <w:rPr>
                <w:rFonts w:cs="Arial"/>
              </w:rPr>
              <w:t>Transferee BSB number (third)</w:t>
            </w:r>
          </w:p>
        </w:tc>
        <w:tc>
          <w:tcPr>
            <w:tcW w:w="1562" w:type="pct"/>
            <w:tcBorders>
              <w:top w:val="nil"/>
              <w:left w:val="nil"/>
              <w:bottom w:val="single" w:sz="8" w:space="0" w:color="auto"/>
              <w:right w:val="single" w:sz="8" w:space="0" w:color="auto"/>
            </w:tcBorders>
            <w:vAlign w:val="center"/>
          </w:tcPr>
          <w:p w14:paraId="5A133803"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7B31CCAC"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D9EA363" w14:textId="7DA1B3DD" w:rsidR="00115458" w:rsidRPr="00D06BCE" w:rsidRDefault="001E7C49" w:rsidP="00D06BCE">
            <w:pPr>
              <w:spacing w:after="0" w:line="240" w:lineRule="auto"/>
              <w:rPr>
                <w:rFonts w:cs="Arial"/>
                <w:b/>
              </w:rPr>
            </w:pPr>
            <w:r>
              <w:t>9.160</w:t>
            </w:r>
          </w:p>
        </w:tc>
        <w:tc>
          <w:tcPr>
            <w:tcW w:w="2825" w:type="pct"/>
            <w:tcBorders>
              <w:top w:val="nil"/>
              <w:left w:val="nil"/>
              <w:bottom w:val="single" w:sz="8" w:space="0" w:color="auto"/>
              <w:right w:val="single" w:sz="8" w:space="0" w:color="auto"/>
            </w:tcBorders>
            <w:vAlign w:val="center"/>
          </w:tcPr>
          <w:p w14:paraId="69EEDFE9"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62" w:type="pct"/>
            <w:tcBorders>
              <w:top w:val="nil"/>
              <w:left w:val="nil"/>
              <w:bottom w:val="single" w:sz="8" w:space="0" w:color="auto"/>
              <w:right w:val="single" w:sz="8" w:space="0" w:color="auto"/>
            </w:tcBorders>
            <w:vAlign w:val="center"/>
          </w:tcPr>
          <w:p w14:paraId="0C10CA6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53FE426"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4085DAF8" w14:textId="280794B3" w:rsidR="00115458" w:rsidRPr="00D06BCE" w:rsidRDefault="001E7C49" w:rsidP="00D06BCE">
            <w:pPr>
              <w:spacing w:after="0" w:line="240" w:lineRule="auto"/>
              <w:rPr>
                <w:rFonts w:cs="Arial"/>
                <w:b/>
              </w:rPr>
            </w:pPr>
            <w:r>
              <w:t>9.161</w:t>
            </w:r>
          </w:p>
        </w:tc>
        <w:tc>
          <w:tcPr>
            <w:tcW w:w="2825" w:type="pct"/>
            <w:tcBorders>
              <w:top w:val="nil"/>
              <w:left w:val="nil"/>
              <w:bottom w:val="single" w:sz="8" w:space="0" w:color="auto"/>
              <w:right w:val="single" w:sz="8" w:space="0" w:color="auto"/>
            </w:tcBorders>
            <w:vAlign w:val="center"/>
          </w:tcPr>
          <w:p w14:paraId="6A2E38ED"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62" w:type="pct"/>
            <w:tcBorders>
              <w:top w:val="nil"/>
              <w:left w:val="nil"/>
              <w:bottom w:val="single" w:sz="8" w:space="0" w:color="auto"/>
              <w:right w:val="single" w:sz="8" w:space="0" w:color="auto"/>
            </w:tcBorders>
            <w:vAlign w:val="center"/>
          </w:tcPr>
          <w:p w14:paraId="0A4ADE5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A9182C3"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2F208961" w14:textId="78A24BA2" w:rsidR="00115458" w:rsidRPr="00D06BCE" w:rsidRDefault="001E7C49" w:rsidP="00D06BCE">
            <w:pPr>
              <w:spacing w:after="0" w:line="240" w:lineRule="auto"/>
              <w:rPr>
                <w:rFonts w:cs="Arial"/>
                <w:b/>
              </w:rPr>
            </w:pPr>
            <w:r>
              <w:t>9.162</w:t>
            </w:r>
          </w:p>
        </w:tc>
        <w:tc>
          <w:tcPr>
            <w:tcW w:w="2825" w:type="pct"/>
            <w:tcBorders>
              <w:top w:val="nil"/>
              <w:left w:val="nil"/>
              <w:bottom w:val="single" w:sz="8" w:space="0" w:color="auto"/>
              <w:right w:val="single" w:sz="8" w:space="0" w:color="auto"/>
            </w:tcBorders>
            <w:vAlign w:val="center"/>
          </w:tcPr>
          <w:p w14:paraId="0E432695" w14:textId="77777777" w:rsidR="00115458" w:rsidRPr="00D06BCE" w:rsidRDefault="00115458" w:rsidP="00D06BCE">
            <w:pPr>
              <w:spacing w:after="0" w:line="240" w:lineRule="auto"/>
              <w:rPr>
                <w:rFonts w:cs="Arial"/>
              </w:rPr>
            </w:pPr>
            <w:r w:rsidRPr="00D06BCE">
              <w:rPr>
                <w:rFonts w:cs="Arial"/>
              </w:rPr>
              <w:t>Transferee BSB number (fourth)</w:t>
            </w:r>
          </w:p>
        </w:tc>
        <w:tc>
          <w:tcPr>
            <w:tcW w:w="1562" w:type="pct"/>
            <w:tcBorders>
              <w:top w:val="nil"/>
              <w:left w:val="nil"/>
              <w:bottom w:val="single" w:sz="8" w:space="0" w:color="auto"/>
              <w:right w:val="single" w:sz="8" w:space="0" w:color="auto"/>
            </w:tcBorders>
            <w:vAlign w:val="center"/>
          </w:tcPr>
          <w:p w14:paraId="412BDB86"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5B72F1C"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4B525FEF" w14:textId="1E957430" w:rsidR="00115458" w:rsidRPr="00D06BCE" w:rsidRDefault="001E7C49" w:rsidP="00D06BCE">
            <w:pPr>
              <w:spacing w:after="0" w:line="240" w:lineRule="auto"/>
              <w:rPr>
                <w:rFonts w:cs="Arial"/>
                <w:b/>
              </w:rPr>
            </w:pPr>
            <w:r>
              <w:t>9.163</w:t>
            </w:r>
          </w:p>
        </w:tc>
        <w:tc>
          <w:tcPr>
            <w:tcW w:w="2825" w:type="pct"/>
            <w:tcBorders>
              <w:top w:val="nil"/>
              <w:left w:val="nil"/>
              <w:bottom w:val="single" w:sz="8" w:space="0" w:color="auto"/>
              <w:right w:val="single" w:sz="8" w:space="0" w:color="auto"/>
            </w:tcBorders>
            <w:vAlign w:val="center"/>
          </w:tcPr>
          <w:p w14:paraId="32373FA6"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62" w:type="pct"/>
            <w:tcBorders>
              <w:top w:val="nil"/>
              <w:left w:val="nil"/>
              <w:bottom w:val="single" w:sz="8" w:space="0" w:color="auto"/>
              <w:right w:val="single" w:sz="8" w:space="0" w:color="auto"/>
            </w:tcBorders>
            <w:vAlign w:val="center"/>
          </w:tcPr>
          <w:p w14:paraId="0C91856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D16C2EA"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1F972096" w14:textId="45416AA2" w:rsidR="00115458" w:rsidRPr="00D06BCE" w:rsidRDefault="001E7C49" w:rsidP="00D06BCE">
            <w:pPr>
              <w:spacing w:after="0" w:line="240" w:lineRule="auto"/>
              <w:rPr>
                <w:rFonts w:cs="Arial"/>
                <w:b/>
              </w:rPr>
            </w:pPr>
            <w:r>
              <w:t>9.164</w:t>
            </w:r>
          </w:p>
        </w:tc>
        <w:tc>
          <w:tcPr>
            <w:tcW w:w="2825" w:type="pct"/>
            <w:tcBorders>
              <w:top w:val="nil"/>
              <w:left w:val="nil"/>
              <w:bottom w:val="single" w:sz="8" w:space="0" w:color="auto"/>
              <w:right w:val="single" w:sz="8" w:space="0" w:color="auto"/>
            </w:tcBorders>
            <w:vAlign w:val="center"/>
          </w:tcPr>
          <w:p w14:paraId="03C9E50D"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62" w:type="pct"/>
            <w:tcBorders>
              <w:top w:val="nil"/>
              <w:left w:val="nil"/>
              <w:bottom w:val="single" w:sz="8" w:space="0" w:color="auto"/>
              <w:right w:val="single" w:sz="8" w:space="0" w:color="auto"/>
            </w:tcBorders>
            <w:vAlign w:val="center"/>
          </w:tcPr>
          <w:p w14:paraId="7364CCEE" w14:textId="77777777" w:rsidR="00115458" w:rsidRPr="00D06BCE" w:rsidRDefault="00115458" w:rsidP="00D06BCE">
            <w:pPr>
              <w:spacing w:after="0" w:line="240" w:lineRule="auto"/>
              <w:rPr>
                <w:rFonts w:cs="Arial"/>
              </w:rPr>
            </w:pPr>
            <w:r w:rsidRPr="00D06BCE">
              <w:rPr>
                <w:rFonts w:cs="Arial"/>
              </w:rPr>
              <w:t>000002000000</w:t>
            </w:r>
          </w:p>
        </w:tc>
      </w:tr>
      <w:tr w:rsidR="00115458" w:rsidRPr="00D06BCE" w14:paraId="2A466F01"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6D407FF8" w14:textId="39D818F1" w:rsidR="00115458" w:rsidRPr="00D06BCE" w:rsidRDefault="001E7C49" w:rsidP="00D06BCE">
            <w:pPr>
              <w:spacing w:after="0" w:line="240" w:lineRule="auto"/>
              <w:rPr>
                <w:rFonts w:cs="Arial"/>
                <w:b/>
              </w:rPr>
            </w:pPr>
            <w:r>
              <w:t>9.165</w:t>
            </w:r>
          </w:p>
        </w:tc>
        <w:tc>
          <w:tcPr>
            <w:tcW w:w="2825" w:type="pct"/>
            <w:tcBorders>
              <w:top w:val="nil"/>
              <w:left w:val="nil"/>
              <w:bottom w:val="single" w:sz="8" w:space="0" w:color="auto"/>
              <w:right w:val="single" w:sz="8" w:space="0" w:color="auto"/>
            </w:tcBorders>
            <w:vAlign w:val="center"/>
          </w:tcPr>
          <w:p w14:paraId="5E7A3BC3" w14:textId="77777777" w:rsidR="00115458" w:rsidRPr="00D06BCE" w:rsidRDefault="00115458" w:rsidP="00D06BCE">
            <w:pPr>
              <w:spacing w:after="0" w:line="240" w:lineRule="auto"/>
              <w:rPr>
                <w:rFonts w:cs="Arial"/>
              </w:rPr>
            </w:pPr>
            <w:r w:rsidRPr="00D06BCE">
              <w:rPr>
                <w:rFonts w:cs="Arial"/>
              </w:rPr>
              <w:t>Interest offset account (=Y or N)</w:t>
            </w:r>
          </w:p>
        </w:tc>
        <w:tc>
          <w:tcPr>
            <w:tcW w:w="1562" w:type="pct"/>
            <w:tcBorders>
              <w:top w:val="nil"/>
              <w:left w:val="nil"/>
              <w:bottom w:val="single" w:sz="8" w:space="0" w:color="auto"/>
              <w:right w:val="single" w:sz="8" w:space="0" w:color="auto"/>
            </w:tcBorders>
            <w:vAlign w:val="center"/>
          </w:tcPr>
          <w:p w14:paraId="12538C9F" w14:textId="77777777" w:rsidR="00115458" w:rsidRPr="00D06BCE" w:rsidRDefault="00115458" w:rsidP="00D06BCE">
            <w:pPr>
              <w:spacing w:after="0" w:line="240" w:lineRule="auto"/>
              <w:rPr>
                <w:rFonts w:cs="Arial"/>
              </w:rPr>
            </w:pPr>
            <w:r w:rsidRPr="00D06BCE">
              <w:rPr>
                <w:rFonts w:cs="Arial"/>
              </w:rPr>
              <w:t>Y</w:t>
            </w:r>
          </w:p>
        </w:tc>
      </w:tr>
      <w:tr w:rsidR="00115458" w:rsidRPr="00D06BCE" w14:paraId="4482B32C" w14:textId="77777777" w:rsidTr="00427C84">
        <w:trPr>
          <w:trHeight w:val="270"/>
        </w:trPr>
        <w:tc>
          <w:tcPr>
            <w:tcW w:w="612" w:type="pct"/>
            <w:tcBorders>
              <w:top w:val="nil"/>
              <w:left w:val="single" w:sz="8" w:space="0" w:color="auto"/>
              <w:bottom w:val="single" w:sz="8" w:space="0" w:color="auto"/>
              <w:right w:val="single" w:sz="8" w:space="0" w:color="auto"/>
            </w:tcBorders>
            <w:vAlign w:val="center"/>
          </w:tcPr>
          <w:p w14:paraId="6B1D3887" w14:textId="77777777" w:rsidR="00115458" w:rsidRPr="00D06BCE" w:rsidRDefault="00115458" w:rsidP="00D06BCE">
            <w:pPr>
              <w:spacing w:after="0" w:line="240" w:lineRule="auto"/>
              <w:rPr>
                <w:rFonts w:cs="Arial"/>
              </w:rPr>
            </w:pPr>
            <w:r w:rsidRPr="00D06BCE">
              <w:rPr>
                <w:rFonts w:eastAsiaTheme="minorHAnsi" w:cs="Arial"/>
              </w:rPr>
              <w:t>9.6</w:t>
            </w:r>
          </w:p>
        </w:tc>
        <w:tc>
          <w:tcPr>
            <w:tcW w:w="2825" w:type="pct"/>
            <w:tcBorders>
              <w:top w:val="nil"/>
              <w:left w:val="nil"/>
              <w:bottom w:val="single" w:sz="8" w:space="0" w:color="auto"/>
              <w:right w:val="single" w:sz="8" w:space="0" w:color="auto"/>
            </w:tcBorders>
            <w:vAlign w:val="center"/>
          </w:tcPr>
          <w:p w14:paraId="5B0E719A" w14:textId="77777777" w:rsidR="00115458" w:rsidRPr="00D06BCE" w:rsidRDefault="00115458" w:rsidP="00D06BCE">
            <w:pPr>
              <w:spacing w:after="0" w:line="240" w:lineRule="auto"/>
              <w:rPr>
                <w:rFonts w:cs="Arial"/>
              </w:rPr>
            </w:pPr>
            <w:r w:rsidRPr="00D06BCE">
              <w:rPr>
                <w:rFonts w:cs="Arial"/>
              </w:rPr>
              <w:t>Filler</w:t>
            </w:r>
          </w:p>
        </w:tc>
        <w:tc>
          <w:tcPr>
            <w:tcW w:w="1562" w:type="pct"/>
            <w:tcBorders>
              <w:top w:val="nil"/>
              <w:left w:val="nil"/>
              <w:bottom w:val="single" w:sz="8" w:space="0" w:color="auto"/>
              <w:right w:val="single" w:sz="8" w:space="0" w:color="auto"/>
            </w:tcBorders>
            <w:vAlign w:val="center"/>
          </w:tcPr>
          <w:p w14:paraId="542903C6" w14:textId="77777777" w:rsidR="00115458" w:rsidRPr="00D06BCE" w:rsidRDefault="00115458" w:rsidP="00D06BCE">
            <w:pPr>
              <w:spacing w:after="0" w:line="240" w:lineRule="auto"/>
              <w:rPr>
                <w:rFonts w:cs="Arial"/>
              </w:rPr>
            </w:pPr>
            <w:r w:rsidRPr="00D06BCE">
              <w:rPr>
                <w:rFonts w:cs="Arial"/>
              </w:rPr>
              <w:t>Blank fill</w:t>
            </w:r>
          </w:p>
        </w:tc>
      </w:tr>
    </w:tbl>
    <w:p w14:paraId="361C9E68" w14:textId="77777777" w:rsidR="00D06BCE" w:rsidRDefault="00D06BCE" w:rsidP="00FE74B3"/>
    <w:p w14:paraId="65207C91" w14:textId="006DE01A" w:rsidR="00115458" w:rsidRDefault="00115458" w:rsidP="00D06BCE">
      <w:pPr>
        <w:keepNext/>
        <w:spacing w:after="0" w:line="240" w:lineRule="auto"/>
        <w:outlineLvl w:val="3"/>
        <w:rPr>
          <w:rFonts w:cs="Arial"/>
          <w:b/>
        </w:rPr>
      </w:pPr>
      <w:r w:rsidRPr="00D06BCE">
        <w:rPr>
          <w:rFonts w:cs="Arial"/>
          <w:b/>
        </w:rPr>
        <w:t>Example 9.3 – New FMD account with two repayments and interest paid</w:t>
      </w:r>
    </w:p>
    <w:p w14:paraId="123AFE78" w14:textId="77777777" w:rsidR="00D06BCE" w:rsidRPr="00D06BCE" w:rsidRDefault="00D06BCE" w:rsidP="00FE74B3"/>
    <w:p w14:paraId="2A57C1DC" w14:textId="3D97FC34" w:rsidR="00115458" w:rsidRPr="00D06BCE" w:rsidRDefault="00115458" w:rsidP="00D06BCE">
      <w:pPr>
        <w:spacing w:after="0" w:line="240" w:lineRule="auto"/>
        <w:rPr>
          <w:rFonts w:eastAsia="Calibri" w:cs="Arial"/>
        </w:rPr>
      </w:pPr>
      <w:r w:rsidRPr="00D06BCE">
        <w:rPr>
          <w:rFonts w:eastAsia="Calibri" w:cs="Arial"/>
        </w:rPr>
        <w:t>Ephraim Takacs opened an FMD account with a deposit of $200,000.00 on 21 August 20</w:t>
      </w:r>
      <w:r w:rsidR="0057577D">
        <w:rPr>
          <w:rFonts w:eastAsia="Calibri" w:cs="Arial"/>
        </w:rPr>
        <w:t>2</w:t>
      </w:r>
      <w:r w:rsidR="007A351A">
        <w:rPr>
          <w:rFonts w:eastAsia="Calibri" w:cs="Arial"/>
        </w:rPr>
        <w:t>5</w:t>
      </w:r>
      <w:r w:rsidRPr="00D06BCE">
        <w:rPr>
          <w:rFonts w:eastAsia="Calibri" w:cs="Arial"/>
        </w:rPr>
        <w:t>. He made two cash repayments, $100,000.00 on 10 December 20</w:t>
      </w:r>
      <w:r w:rsidR="0057577D">
        <w:rPr>
          <w:rFonts w:eastAsia="Calibri" w:cs="Arial"/>
        </w:rPr>
        <w:t>2</w:t>
      </w:r>
      <w:r w:rsidR="007A351A">
        <w:rPr>
          <w:rFonts w:eastAsia="Calibri" w:cs="Arial"/>
        </w:rPr>
        <w:t>5</w:t>
      </w:r>
      <w:r w:rsidRPr="00D06BCE">
        <w:rPr>
          <w:rFonts w:eastAsia="Calibri" w:cs="Arial"/>
        </w:rPr>
        <w:t xml:space="preserve"> and $50,000.00 on 3 March 202</w:t>
      </w:r>
      <w:r w:rsidR="007A351A">
        <w:rPr>
          <w:rFonts w:eastAsia="Calibri" w:cs="Arial"/>
        </w:rPr>
        <w:t>6</w:t>
      </w:r>
      <w:r w:rsidRPr="00D06BCE">
        <w:rPr>
          <w:rFonts w:eastAsia="Calibri" w:cs="Arial"/>
        </w:rPr>
        <w:t>. Interest of $3,500.00 was paid on 30 June 202</w:t>
      </w:r>
      <w:r w:rsidR="007A351A">
        <w:rPr>
          <w:rFonts w:eastAsia="Calibri" w:cs="Arial"/>
        </w:rPr>
        <w:t>6</w:t>
      </w:r>
      <w:r w:rsidRPr="00D06BCE">
        <w:rPr>
          <w:rFonts w:eastAsia="Calibri" w:cs="Arial"/>
        </w:rPr>
        <w:t>. Although the deposit will not be fully deductible for the FMD owner, the ADI must report all the transactions.  The status of the deposit is not applicable to the FMD provider.</w:t>
      </w:r>
    </w:p>
    <w:p w14:paraId="03B4E014" w14:textId="77777777" w:rsidR="00115458" w:rsidRPr="00D06BCE" w:rsidRDefault="00115458" w:rsidP="00D06BCE">
      <w:pPr>
        <w:spacing w:after="0" w:line="240" w:lineRule="auto"/>
        <w:rPr>
          <w:rFonts w:cs="Arial"/>
          <w:b/>
          <w:smallCaps/>
        </w:rPr>
      </w:pPr>
    </w:p>
    <w:p w14:paraId="4D0519DC" w14:textId="77777777" w:rsidR="00115458" w:rsidRPr="00D06BCE" w:rsidRDefault="00115458" w:rsidP="00D06BCE">
      <w:pPr>
        <w:spacing w:after="0" w:line="240" w:lineRule="auto"/>
        <w:rPr>
          <w:rFonts w:cs="Arial"/>
        </w:rPr>
      </w:pPr>
      <w:r w:rsidRPr="00D06BCE">
        <w:rPr>
          <w:rFonts w:cs="Arial"/>
          <w:b/>
          <w:smallCaps/>
        </w:rPr>
        <w:t xml:space="preserve">farm management deposit account data record  </w:t>
      </w:r>
    </w:p>
    <w:p w14:paraId="57BDE868" w14:textId="77777777" w:rsidR="00115458" w:rsidRPr="00D06BCE" w:rsidRDefault="00115458" w:rsidP="00D06BCE">
      <w:pPr>
        <w:spacing w:after="0" w:line="240" w:lineRule="auto"/>
        <w:rPr>
          <w:rFonts w:cs="Arial"/>
        </w:rPr>
      </w:pPr>
      <w:r w:rsidRPr="00D06BCE">
        <w:rPr>
          <w:rFonts w:cs="Arial"/>
        </w:rPr>
        <w:t xml:space="preserve"> </w:t>
      </w:r>
    </w:p>
    <w:tbl>
      <w:tblPr>
        <w:tblW w:w="5000" w:type="pct"/>
        <w:tblLook w:val="0000" w:firstRow="0" w:lastRow="0" w:firstColumn="0" w:lastColumn="0" w:noHBand="0" w:noVBand="0"/>
      </w:tblPr>
      <w:tblGrid>
        <w:gridCol w:w="1227"/>
        <w:gridCol w:w="5206"/>
        <w:gridCol w:w="2855"/>
      </w:tblGrid>
      <w:tr w:rsidR="00115458" w:rsidRPr="00D06BCE" w14:paraId="3DE8AB04" w14:textId="77777777" w:rsidTr="000C1365">
        <w:trPr>
          <w:trHeight w:val="495"/>
          <w:tblHeader/>
        </w:trPr>
        <w:tc>
          <w:tcPr>
            <w:tcW w:w="640" w:type="pct"/>
            <w:tcBorders>
              <w:top w:val="single" w:sz="4" w:space="0" w:color="auto"/>
              <w:left w:val="single" w:sz="4" w:space="0" w:color="auto"/>
              <w:bottom w:val="single" w:sz="4" w:space="0" w:color="auto"/>
              <w:right w:val="single" w:sz="4" w:space="0" w:color="auto"/>
            </w:tcBorders>
            <w:shd w:val="clear" w:color="auto" w:fill="B3B3B3"/>
            <w:vAlign w:val="center"/>
          </w:tcPr>
          <w:p w14:paraId="2B89D5AB" w14:textId="77777777" w:rsidR="00115458" w:rsidRPr="00D06BCE" w:rsidRDefault="00115458" w:rsidP="00D06BCE">
            <w:pPr>
              <w:spacing w:after="0" w:line="240" w:lineRule="auto"/>
              <w:rPr>
                <w:rFonts w:cs="Arial"/>
                <w:b/>
                <w:bCs/>
              </w:rPr>
            </w:pPr>
            <w:r w:rsidRPr="00D06BCE">
              <w:rPr>
                <w:rFonts w:cs="Arial"/>
                <w:b/>
                <w:bCs/>
              </w:rPr>
              <w:t>Reference number</w:t>
            </w:r>
          </w:p>
        </w:tc>
        <w:tc>
          <w:tcPr>
            <w:tcW w:w="2813" w:type="pct"/>
            <w:tcBorders>
              <w:top w:val="single" w:sz="4" w:space="0" w:color="auto"/>
              <w:left w:val="single" w:sz="4" w:space="0" w:color="auto"/>
              <w:bottom w:val="single" w:sz="4" w:space="0" w:color="auto"/>
              <w:right w:val="single" w:sz="4" w:space="0" w:color="auto"/>
            </w:tcBorders>
            <w:shd w:val="clear" w:color="auto" w:fill="B3B3B3"/>
            <w:vAlign w:val="center"/>
          </w:tcPr>
          <w:p w14:paraId="61D6CC92" w14:textId="77777777" w:rsidR="00115458" w:rsidRPr="00D06BCE" w:rsidRDefault="00115458" w:rsidP="00D06BCE">
            <w:pPr>
              <w:spacing w:after="0" w:line="240" w:lineRule="auto"/>
              <w:rPr>
                <w:rFonts w:cs="Arial"/>
                <w:b/>
                <w:bCs/>
              </w:rPr>
            </w:pPr>
            <w:r w:rsidRPr="00D06BCE">
              <w:rPr>
                <w:rFonts w:cs="Arial"/>
                <w:b/>
                <w:bCs/>
              </w:rPr>
              <w:t>Field name</w:t>
            </w:r>
          </w:p>
        </w:tc>
        <w:tc>
          <w:tcPr>
            <w:tcW w:w="1547" w:type="pct"/>
            <w:tcBorders>
              <w:top w:val="single" w:sz="4" w:space="0" w:color="auto"/>
              <w:left w:val="single" w:sz="4" w:space="0" w:color="auto"/>
              <w:bottom w:val="single" w:sz="4" w:space="0" w:color="auto"/>
              <w:right w:val="single" w:sz="4" w:space="0" w:color="auto"/>
            </w:tcBorders>
            <w:shd w:val="clear" w:color="auto" w:fill="B3B3B3"/>
            <w:vAlign w:val="center"/>
          </w:tcPr>
          <w:p w14:paraId="0872F9E0"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45F42C9D"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1F58B7A" w14:textId="77777777" w:rsidR="00115458" w:rsidRPr="00D06BCE" w:rsidRDefault="00115458" w:rsidP="00D06BCE">
            <w:pPr>
              <w:spacing w:after="0" w:line="240" w:lineRule="auto"/>
              <w:rPr>
                <w:rFonts w:cs="Arial"/>
              </w:rPr>
            </w:pPr>
            <w:hyperlink w:anchor="d7_001" w:history="1">
              <w:r w:rsidRPr="00D06BCE">
                <w:t>9.1</w:t>
              </w:r>
            </w:hyperlink>
          </w:p>
        </w:tc>
        <w:tc>
          <w:tcPr>
            <w:tcW w:w="2813" w:type="pct"/>
            <w:tcBorders>
              <w:top w:val="nil"/>
              <w:left w:val="nil"/>
              <w:bottom w:val="single" w:sz="8" w:space="0" w:color="auto"/>
              <w:right w:val="single" w:sz="8" w:space="0" w:color="auto"/>
            </w:tcBorders>
            <w:vAlign w:val="center"/>
          </w:tcPr>
          <w:p w14:paraId="63F484AF" w14:textId="77777777" w:rsidR="00115458" w:rsidRPr="00D06BCE" w:rsidRDefault="00115458" w:rsidP="00D06BCE">
            <w:pPr>
              <w:spacing w:after="0" w:line="240" w:lineRule="auto"/>
              <w:rPr>
                <w:rFonts w:cs="Arial"/>
              </w:rPr>
            </w:pPr>
            <w:r w:rsidRPr="00D06BCE">
              <w:rPr>
                <w:rFonts w:cs="Arial"/>
              </w:rPr>
              <w:t>Record length (=850)</w:t>
            </w:r>
          </w:p>
        </w:tc>
        <w:tc>
          <w:tcPr>
            <w:tcW w:w="1547" w:type="pct"/>
            <w:tcBorders>
              <w:top w:val="nil"/>
              <w:left w:val="nil"/>
              <w:bottom w:val="single" w:sz="8" w:space="0" w:color="auto"/>
              <w:right w:val="single" w:sz="8" w:space="0" w:color="auto"/>
            </w:tcBorders>
            <w:vAlign w:val="center"/>
          </w:tcPr>
          <w:p w14:paraId="369324B6" w14:textId="77777777" w:rsidR="00115458" w:rsidRPr="00D06BCE" w:rsidRDefault="00115458" w:rsidP="00D06BCE">
            <w:pPr>
              <w:spacing w:after="0" w:line="240" w:lineRule="auto"/>
              <w:rPr>
                <w:rFonts w:cs="Arial"/>
              </w:rPr>
            </w:pPr>
            <w:r w:rsidRPr="00D06BCE">
              <w:rPr>
                <w:rFonts w:cs="Arial"/>
              </w:rPr>
              <w:t>850</w:t>
            </w:r>
          </w:p>
        </w:tc>
      </w:tr>
      <w:tr w:rsidR="00115458" w:rsidRPr="00D06BCE" w14:paraId="6527DA8E"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3605C5A" w14:textId="5572B4D2" w:rsidR="00115458" w:rsidRPr="00D06BCE" w:rsidRDefault="00944D41" w:rsidP="00D06BCE">
            <w:pPr>
              <w:spacing w:after="0" w:line="240" w:lineRule="auto"/>
              <w:rPr>
                <w:rFonts w:cs="Arial"/>
              </w:rPr>
            </w:pPr>
            <w:r>
              <w:rPr>
                <w:rFonts w:cs="Arial"/>
              </w:rPr>
              <w:t>9.147</w:t>
            </w:r>
          </w:p>
        </w:tc>
        <w:tc>
          <w:tcPr>
            <w:tcW w:w="2813" w:type="pct"/>
            <w:tcBorders>
              <w:top w:val="nil"/>
              <w:left w:val="nil"/>
              <w:bottom w:val="single" w:sz="8" w:space="0" w:color="auto"/>
              <w:right w:val="single" w:sz="8" w:space="0" w:color="auto"/>
            </w:tcBorders>
            <w:vAlign w:val="center"/>
          </w:tcPr>
          <w:p w14:paraId="62C3AFF3"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47" w:type="pct"/>
            <w:tcBorders>
              <w:top w:val="nil"/>
              <w:left w:val="nil"/>
              <w:bottom w:val="single" w:sz="8" w:space="0" w:color="auto"/>
              <w:right w:val="single" w:sz="8" w:space="0" w:color="auto"/>
            </w:tcBorders>
            <w:vAlign w:val="center"/>
          </w:tcPr>
          <w:p w14:paraId="0841F385"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60133151"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4F85DFD" w14:textId="2C7F7899" w:rsidR="00115458" w:rsidRPr="00D06BCE" w:rsidRDefault="00DE4F64" w:rsidP="00D06BCE">
            <w:pPr>
              <w:spacing w:after="0" w:line="240" w:lineRule="auto"/>
              <w:rPr>
                <w:rFonts w:cs="Arial"/>
              </w:rPr>
            </w:pPr>
            <w:r>
              <w:rPr>
                <w:rFonts w:cs="Arial"/>
              </w:rPr>
              <w:t>9.148</w:t>
            </w:r>
          </w:p>
        </w:tc>
        <w:tc>
          <w:tcPr>
            <w:tcW w:w="2813" w:type="pct"/>
            <w:tcBorders>
              <w:top w:val="nil"/>
              <w:left w:val="nil"/>
              <w:bottom w:val="single" w:sz="8" w:space="0" w:color="auto"/>
              <w:right w:val="single" w:sz="8" w:space="0" w:color="auto"/>
            </w:tcBorders>
            <w:vAlign w:val="center"/>
          </w:tcPr>
          <w:p w14:paraId="073A9C0A"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47" w:type="pct"/>
            <w:tcBorders>
              <w:top w:val="nil"/>
              <w:left w:val="nil"/>
              <w:bottom w:val="single" w:sz="8" w:space="0" w:color="auto"/>
              <w:right w:val="single" w:sz="8" w:space="0" w:color="auto"/>
            </w:tcBorders>
            <w:vAlign w:val="center"/>
          </w:tcPr>
          <w:p w14:paraId="6E80D909"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2A7C36B6"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B57E4CA" w14:textId="738B1181" w:rsidR="00115458" w:rsidRPr="00D06BCE" w:rsidRDefault="002A10B0" w:rsidP="00D06BCE">
            <w:pPr>
              <w:spacing w:after="0" w:line="240" w:lineRule="auto"/>
              <w:rPr>
                <w:rFonts w:cs="Arial"/>
              </w:rPr>
            </w:pPr>
            <w:r>
              <w:rPr>
                <w:rFonts w:cs="Arial"/>
              </w:rPr>
              <w:t>9.149</w:t>
            </w:r>
          </w:p>
        </w:tc>
        <w:tc>
          <w:tcPr>
            <w:tcW w:w="2813" w:type="pct"/>
            <w:tcBorders>
              <w:top w:val="nil"/>
              <w:left w:val="nil"/>
              <w:bottom w:val="single" w:sz="8" w:space="0" w:color="auto"/>
              <w:right w:val="single" w:sz="8" w:space="0" w:color="auto"/>
            </w:tcBorders>
            <w:vAlign w:val="center"/>
          </w:tcPr>
          <w:p w14:paraId="55F0F698"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47" w:type="pct"/>
            <w:tcBorders>
              <w:top w:val="nil"/>
              <w:left w:val="nil"/>
              <w:bottom w:val="single" w:sz="8" w:space="0" w:color="auto"/>
              <w:right w:val="single" w:sz="8" w:space="0" w:color="auto"/>
            </w:tcBorders>
            <w:vAlign w:val="center"/>
          </w:tcPr>
          <w:p w14:paraId="1830FD90" w14:textId="77777777" w:rsidR="00115458" w:rsidRPr="00D06BCE" w:rsidRDefault="00115458" w:rsidP="00D06BCE">
            <w:pPr>
              <w:spacing w:after="0" w:line="240" w:lineRule="auto"/>
              <w:rPr>
                <w:rFonts w:cs="Arial"/>
              </w:rPr>
            </w:pPr>
            <w:r w:rsidRPr="00D06BCE">
              <w:rPr>
                <w:rFonts w:cs="Arial"/>
              </w:rPr>
              <w:t>01</w:t>
            </w:r>
          </w:p>
        </w:tc>
      </w:tr>
      <w:tr w:rsidR="00115458" w:rsidRPr="00D06BCE" w14:paraId="413BDFC3"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A4B9CD6" w14:textId="77777777" w:rsidR="00115458" w:rsidRPr="00D06BCE" w:rsidRDefault="00115458" w:rsidP="00D06BCE">
            <w:pPr>
              <w:spacing w:after="0" w:line="240" w:lineRule="auto"/>
              <w:rPr>
                <w:rFonts w:cs="Arial"/>
              </w:rPr>
            </w:pPr>
            <w:hyperlink w:anchor="d7_061" w:history="1">
              <w:r w:rsidRPr="00D06BCE">
                <w:t>9.63</w:t>
              </w:r>
            </w:hyperlink>
          </w:p>
        </w:tc>
        <w:tc>
          <w:tcPr>
            <w:tcW w:w="2813" w:type="pct"/>
            <w:tcBorders>
              <w:top w:val="nil"/>
              <w:left w:val="nil"/>
              <w:bottom w:val="single" w:sz="8" w:space="0" w:color="auto"/>
              <w:right w:val="single" w:sz="8" w:space="0" w:color="auto"/>
            </w:tcBorders>
            <w:vAlign w:val="center"/>
          </w:tcPr>
          <w:p w14:paraId="41CCAAD7" w14:textId="77777777" w:rsidR="00115458" w:rsidRPr="00D06BCE" w:rsidRDefault="00115458" w:rsidP="00D06BCE">
            <w:pPr>
              <w:spacing w:after="0" w:line="240" w:lineRule="auto"/>
              <w:rPr>
                <w:rFonts w:cs="Arial"/>
              </w:rPr>
            </w:pPr>
            <w:r w:rsidRPr="00D06BCE">
              <w:rPr>
                <w:rFonts w:cs="Arial"/>
              </w:rPr>
              <w:t>Investment reference number</w:t>
            </w:r>
          </w:p>
        </w:tc>
        <w:tc>
          <w:tcPr>
            <w:tcW w:w="1547" w:type="pct"/>
            <w:tcBorders>
              <w:top w:val="nil"/>
              <w:left w:val="nil"/>
              <w:bottom w:val="single" w:sz="8" w:space="0" w:color="auto"/>
              <w:right w:val="single" w:sz="8" w:space="0" w:color="auto"/>
            </w:tcBorders>
            <w:vAlign w:val="center"/>
          </w:tcPr>
          <w:p w14:paraId="63C2BF90" w14:textId="77777777" w:rsidR="00115458" w:rsidRPr="00D06BCE" w:rsidRDefault="00115458" w:rsidP="00D06BCE">
            <w:pPr>
              <w:spacing w:after="0" w:line="240" w:lineRule="auto"/>
              <w:rPr>
                <w:rFonts w:cs="Arial"/>
              </w:rPr>
            </w:pPr>
            <w:r w:rsidRPr="00D06BCE">
              <w:rPr>
                <w:rFonts w:cs="Arial"/>
              </w:rPr>
              <w:t>8524569871</w:t>
            </w:r>
          </w:p>
        </w:tc>
      </w:tr>
      <w:tr w:rsidR="00115458" w:rsidRPr="00D06BCE" w14:paraId="6034CD7D"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1041D9F" w14:textId="77777777" w:rsidR="00115458" w:rsidRPr="00D06BCE" w:rsidRDefault="00115458" w:rsidP="00D06BCE">
            <w:pPr>
              <w:spacing w:after="0" w:line="240" w:lineRule="auto"/>
              <w:rPr>
                <w:rFonts w:cs="Arial"/>
              </w:rPr>
            </w:pPr>
            <w:hyperlink w:anchor="d7_062" w:history="1">
              <w:r w:rsidRPr="00D06BCE">
                <w:t>9.64</w:t>
              </w:r>
            </w:hyperlink>
          </w:p>
        </w:tc>
        <w:tc>
          <w:tcPr>
            <w:tcW w:w="2813" w:type="pct"/>
            <w:tcBorders>
              <w:top w:val="nil"/>
              <w:left w:val="nil"/>
              <w:bottom w:val="single" w:sz="8" w:space="0" w:color="auto"/>
              <w:right w:val="single" w:sz="8" w:space="0" w:color="auto"/>
            </w:tcBorders>
            <w:vAlign w:val="center"/>
          </w:tcPr>
          <w:p w14:paraId="05F1382E" w14:textId="77777777" w:rsidR="00115458" w:rsidRPr="00D06BCE" w:rsidRDefault="00115458" w:rsidP="00D06BCE">
            <w:pPr>
              <w:spacing w:after="0" w:line="240" w:lineRule="auto"/>
              <w:rPr>
                <w:rFonts w:cs="Arial"/>
              </w:rPr>
            </w:pPr>
            <w:r w:rsidRPr="00D06BCE">
              <w:rPr>
                <w:rFonts w:cs="Arial"/>
              </w:rPr>
              <w:t>Account reference number</w:t>
            </w:r>
          </w:p>
        </w:tc>
        <w:tc>
          <w:tcPr>
            <w:tcW w:w="1547" w:type="pct"/>
            <w:tcBorders>
              <w:top w:val="nil"/>
              <w:left w:val="nil"/>
              <w:bottom w:val="single" w:sz="8" w:space="0" w:color="auto"/>
              <w:right w:val="single" w:sz="8" w:space="0" w:color="auto"/>
            </w:tcBorders>
            <w:vAlign w:val="center"/>
          </w:tcPr>
          <w:p w14:paraId="1204E0E8" w14:textId="77777777" w:rsidR="00115458" w:rsidRPr="00D06BCE" w:rsidRDefault="00115458" w:rsidP="00D06BCE">
            <w:pPr>
              <w:spacing w:after="0" w:line="240" w:lineRule="auto"/>
              <w:rPr>
                <w:rFonts w:cs="Arial"/>
              </w:rPr>
            </w:pPr>
            <w:r w:rsidRPr="00D06BCE">
              <w:rPr>
                <w:rFonts w:cs="Arial"/>
              </w:rPr>
              <w:t>FMD123</w:t>
            </w:r>
          </w:p>
        </w:tc>
      </w:tr>
      <w:tr w:rsidR="00115458" w:rsidRPr="00D06BCE" w14:paraId="6B74408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4BC30DD" w14:textId="77777777" w:rsidR="00115458" w:rsidRPr="00D06BCE" w:rsidRDefault="00115458" w:rsidP="00D06BCE">
            <w:pPr>
              <w:spacing w:after="0" w:line="240" w:lineRule="auto"/>
              <w:rPr>
                <w:rFonts w:cs="Arial"/>
              </w:rPr>
            </w:pPr>
            <w:hyperlink w:anchor="d7_063" w:history="1">
              <w:r w:rsidRPr="00D06BCE">
                <w:t>9.65</w:t>
              </w:r>
            </w:hyperlink>
          </w:p>
        </w:tc>
        <w:tc>
          <w:tcPr>
            <w:tcW w:w="2813" w:type="pct"/>
            <w:tcBorders>
              <w:top w:val="nil"/>
              <w:left w:val="nil"/>
              <w:bottom w:val="single" w:sz="8" w:space="0" w:color="auto"/>
              <w:right w:val="single" w:sz="8" w:space="0" w:color="auto"/>
            </w:tcBorders>
            <w:vAlign w:val="center"/>
          </w:tcPr>
          <w:p w14:paraId="22AB832D" w14:textId="77777777" w:rsidR="00115458" w:rsidRPr="00D06BCE" w:rsidRDefault="00115458" w:rsidP="00D06BCE">
            <w:pPr>
              <w:spacing w:after="0" w:line="240" w:lineRule="auto"/>
              <w:rPr>
                <w:rFonts w:cs="Arial"/>
              </w:rPr>
            </w:pPr>
            <w:r w:rsidRPr="00D06BCE">
              <w:rPr>
                <w:rFonts w:cs="Arial"/>
              </w:rPr>
              <w:t>BSB number</w:t>
            </w:r>
          </w:p>
        </w:tc>
        <w:tc>
          <w:tcPr>
            <w:tcW w:w="1547" w:type="pct"/>
            <w:tcBorders>
              <w:top w:val="nil"/>
              <w:left w:val="nil"/>
              <w:bottom w:val="single" w:sz="8" w:space="0" w:color="auto"/>
              <w:right w:val="single" w:sz="8" w:space="0" w:color="auto"/>
            </w:tcBorders>
            <w:vAlign w:val="center"/>
          </w:tcPr>
          <w:p w14:paraId="28D4169D"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6A539505"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5DC5D6C" w14:textId="77777777" w:rsidR="00115458" w:rsidRPr="00D06BCE" w:rsidRDefault="00115458" w:rsidP="00D06BCE">
            <w:pPr>
              <w:spacing w:after="0" w:line="240" w:lineRule="auto"/>
              <w:rPr>
                <w:rFonts w:cs="Arial"/>
              </w:rPr>
            </w:pPr>
            <w:hyperlink w:anchor="d7_064" w:history="1">
              <w:r w:rsidRPr="00D06BCE">
                <w:t>9.66</w:t>
              </w:r>
            </w:hyperlink>
          </w:p>
        </w:tc>
        <w:tc>
          <w:tcPr>
            <w:tcW w:w="2813" w:type="pct"/>
            <w:tcBorders>
              <w:top w:val="nil"/>
              <w:left w:val="nil"/>
              <w:bottom w:val="single" w:sz="8" w:space="0" w:color="auto"/>
              <w:right w:val="single" w:sz="8" w:space="0" w:color="auto"/>
            </w:tcBorders>
            <w:vAlign w:val="center"/>
          </w:tcPr>
          <w:p w14:paraId="51F8E51B" w14:textId="77777777" w:rsidR="00115458" w:rsidRPr="00D06BCE" w:rsidRDefault="00115458" w:rsidP="00D06BCE">
            <w:pPr>
              <w:spacing w:after="0" w:line="240" w:lineRule="auto"/>
              <w:rPr>
                <w:rFonts w:cs="Arial"/>
              </w:rPr>
            </w:pPr>
            <w:r w:rsidRPr="00D06BCE">
              <w:rPr>
                <w:rFonts w:cs="Arial"/>
              </w:rPr>
              <w:t>Branch location</w:t>
            </w:r>
          </w:p>
        </w:tc>
        <w:tc>
          <w:tcPr>
            <w:tcW w:w="1547" w:type="pct"/>
            <w:tcBorders>
              <w:top w:val="nil"/>
              <w:left w:val="nil"/>
              <w:bottom w:val="single" w:sz="8" w:space="0" w:color="auto"/>
              <w:right w:val="single" w:sz="8" w:space="0" w:color="auto"/>
            </w:tcBorders>
            <w:vAlign w:val="center"/>
          </w:tcPr>
          <w:p w14:paraId="547A13B9"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3E44A355"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388C17A" w14:textId="77777777" w:rsidR="00115458" w:rsidRPr="00D06BCE" w:rsidRDefault="00115458" w:rsidP="00D06BCE">
            <w:pPr>
              <w:spacing w:after="0" w:line="240" w:lineRule="auto"/>
              <w:rPr>
                <w:rFonts w:cs="Arial"/>
              </w:rPr>
            </w:pPr>
            <w:hyperlink w:anchor="d7_065" w:history="1">
              <w:r w:rsidRPr="00D06BCE">
                <w:t>9.67</w:t>
              </w:r>
            </w:hyperlink>
          </w:p>
        </w:tc>
        <w:tc>
          <w:tcPr>
            <w:tcW w:w="2813" w:type="pct"/>
            <w:tcBorders>
              <w:top w:val="nil"/>
              <w:left w:val="nil"/>
              <w:bottom w:val="single" w:sz="8" w:space="0" w:color="auto"/>
              <w:right w:val="single" w:sz="8" w:space="0" w:color="auto"/>
            </w:tcBorders>
            <w:vAlign w:val="center"/>
          </w:tcPr>
          <w:p w14:paraId="507324EF" w14:textId="77777777" w:rsidR="00115458" w:rsidRPr="00D06BCE" w:rsidRDefault="00115458" w:rsidP="00D06BCE">
            <w:pPr>
              <w:spacing w:after="0" w:line="240" w:lineRule="auto"/>
              <w:rPr>
                <w:rFonts w:cs="Arial"/>
              </w:rPr>
            </w:pPr>
            <w:r w:rsidRPr="00D06BCE">
              <w:rPr>
                <w:rFonts w:cs="Arial"/>
              </w:rPr>
              <w:t>Account name</w:t>
            </w:r>
          </w:p>
        </w:tc>
        <w:tc>
          <w:tcPr>
            <w:tcW w:w="1547" w:type="pct"/>
            <w:tcBorders>
              <w:top w:val="nil"/>
              <w:left w:val="nil"/>
              <w:bottom w:val="single" w:sz="8" w:space="0" w:color="auto"/>
              <w:right w:val="single" w:sz="8" w:space="0" w:color="auto"/>
            </w:tcBorders>
            <w:vAlign w:val="center"/>
          </w:tcPr>
          <w:p w14:paraId="6C5CC6D4" w14:textId="77777777" w:rsidR="00115458" w:rsidRPr="00D06BCE" w:rsidRDefault="00115458" w:rsidP="00D06BCE">
            <w:pPr>
              <w:spacing w:after="0" w:line="240" w:lineRule="auto"/>
              <w:rPr>
                <w:rFonts w:cs="Arial"/>
              </w:rPr>
            </w:pPr>
            <w:r w:rsidRPr="00D06BCE">
              <w:rPr>
                <w:rFonts w:cs="Arial"/>
              </w:rPr>
              <w:t xml:space="preserve">EPHRAIM </w:t>
            </w:r>
            <w:r w:rsidRPr="00D06BCE">
              <w:rPr>
                <w:rFonts w:cs="Arial"/>
                <w:caps/>
              </w:rPr>
              <w:t>Takacs</w:t>
            </w:r>
          </w:p>
        </w:tc>
      </w:tr>
      <w:tr w:rsidR="00115458" w:rsidRPr="00D06BCE" w14:paraId="63A01D7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A3AD881" w14:textId="129F5DCE" w:rsidR="00115458" w:rsidRPr="00D06BCE" w:rsidRDefault="005575D6" w:rsidP="00D06BCE">
            <w:pPr>
              <w:spacing w:after="0" w:line="240" w:lineRule="auto"/>
              <w:rPr>
                <w:rFonts w:cs="Arial"/>
              </w:rPr>
            </w:pPr>
            <w:r>
              <w:t>9.150</w:t>
            </w:r>
          </w:p>
        </w:tc>
        <w:tc>
          <w:tcPr>
            <w:tcW w:w="2813" w:type="pct"/>
            <w:tcBorders>
              <w:top w:val="nil"/>
              <w:left w:val="nil"/>
              <w:bottom w:val="single" w:sz="8" w:space="0" w:color="auto"/>
              <w:right w:val="single" w:sz="8" w:space="0" w:color="auto"/>
            </w:tcBorders>
            <w:vAlign w:val="center"/>
          </w:tcPr>
          <w:p w14:paraId="6E90CAE4"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47" w:type="pct"/>
            <w:tcBorders>
              <w:top w:val="nil"/>
              <w:left w:val="nil"/>
              <w:bottom w:val="single" w:sz="8" w:space="0" w:color="auto"/>
              <w:right w:val="single" w:sz="8" w:space="0" w:color="auto"/>
            </w:tcBorders>
            <w:vAlign w:val="center"/>
          </w:tcPr>
          <w:p w14:paraId="43C47A99" w14:textId="77777777" w:rsidR="00115458" w:rsidRPr="00D06BCE" w:rsidRDefault="00115458" w:rsidP="00D06BCE">
            <w:pPr>
              <w:spacing w:after="0" w:line="240" w:lineRule="auto"/>
              <w:rPr>
                <w:rFonts w:cs="Arial"/>
              </w:rPr>
            </w:pPr>
            <w:r w:rsidRPr="00D06BCE">
              <w:rPr>
                <w:rFonts w:cs="Arial"/>
              </w:rPr>
              <w:t>1437</w:t>
            </w:r>
          </w:p>
        </w:tc>
      </w:tr>
      <w:tr w:rsidR="00115458" w:rsidRPr="00D06BCE" w14:paraId="49B0F1CC"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10974EED" w14:textId="1A5A4577" w:rsidR="00115458" w:rsidRPr="00D06BCE" w:rsidRDefault="00107A53" w:rsidP="00D06BCE">
            <w:pPr>
              <w:spacing w:after="0" w:line="240" w:lineRule="auto"/>
              <w:rPr>
                <w:rFonts w:cs="Arial"/>
              </w:rPr>
            </w:pPr>
            <w:r>
              <w:rPr>
                <w:rFonts w:cs="Arial"/>
              </w:rPr>
              <w:t>9.151</w:t>
            </w:r>
          </w:p>
        </w:tc>
        <w:tc>
          <w:tcPr>
            <w:tcW w:w="2813" w:type="pct"/>
            <w:tcBorders>
              <w:top w:val="nil"/>
              <w:left w:val="nil"/>
              <w:bottom w:val="single" w:sz="8" w:space="0" w:color="auto"/>
              <w:right w:val="single" w:sz="8" w:space="0" w:color="auto"/>
            </w:tcBorders>
            <w:vAlign w:val="center"/>
          </w:tcPr>
          <w:p w14:paraId="17BB94C5" w14:textId="77777777" w:rsidR="00115458" w:rsidRPr="00D06BCE" w:rsidRDefault="00115458" w:rsidP="00D06BCE">
            <w:pPr>
              <w:spacing w:after="0" w:line="240" w:lineRule="auto"/>
              <w:rPr>
                <w:rFonts w:cs="Arial"/>
              </w:rPr>
            </w:pPr>
            <w:r w:rsidRPr="00D06BCE">
              <w:rPr>
                <w:rFonts w:cs="Arial"/>
              </w:rPr>
              <w:t>ANZSIC code</w:t>
            </w:r>
          </w:p>
        </w:tc>
        <w:tc>
          <w:tcPr>
            <w:tcW w:w="1547" w:type="pct"/>
            <w:tcBorders>
              <w:top w:val="nil"/>
              <w:left w:val="nil"/>
              <w:bottom w:val="single" w:sz="8" w:space="0" w:color="auto"/>
              <w:right w:val="single" w:sz="8" w:space="0" w:color="auto"/>
            </w:tcBorders>
            <w:vAlign w:val="center"/>
          </w:tcPr>
          <w:p w14:paraId="124705A9" w14:textId="77777777" w:rsidR="00115458" w:rsidRPr="00D06BCE" w:rsidRDefault="00115458" w:rsidP="00D06BCE">
            <w:pPr>
              <w:spacing w:after="0" w:line="240" w:lineRule="auto"/>
              <w:rPr>
                <w:rFonts w:cs="Arial"/>
              </w:rPr>
            </w:pPr>
            <w:r w:rsidRPr="00D06BCE">
              <w:rPr>
                <w:rFonts w:cs="Arial"/>
              </w:rPr>
              <w:t>0172</w:t>
            </w:r>
          </w:p>
        </w:tc>
      </w:tr>
      <w:tr w:rsidR="00115458" w:rsidRPr="00D06BCE" w14:paraId="39525A6E"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438EAF0" w14:textId="77777777" w:rsidR="00115458" w:rsidRPr="00D06BCE" w:rsidRDefault="00115458" w:rsidP="00D06BCE">
            <w:pPr>
              <w:spacing w:after="0" w:line="240" w:lineRule="auto"/>
              <w:rPr>
                <w:rFonts w:cs="Arial"/>
              </w:rPr>
            </w:pPr>
            <w:hyperlink w:anchor="d7_068" w:history="1">
              <w:r w:rsidRPr="00D06BCE">
                <w:t>9.70</w:t>
              </w:r>
            </w:hyperlink>
          </w:p>
        </w:tc>
        <w:tc>
          <w:tcPr>
            <w:tcW w:w="2813" w:type="pct"/>
            <w:tcBorders>
              <w:top w:val="nil"/>
              <w:left w:val="nil"/>
              <w:bottom w:val="single" w:sz="8" w:space="0" w:color="auto"/>
              <w:right w:val="single" w:sz="8" w:space="0" w:color="auto"/>
            </w:tcBorders>
            <w:vAlign w:val="center"/>
          </w:tcPr>
          <w:p w14:paraId="3699CC22" w14:textId="77777777" w:rsidR="00115458" w:rsidRPr="00D06BCE" w:rsidRDefault="00115458" w:rsidP="00D06BCE">
            <w:pPr>
              <w:spacing w:after="0" w:line="240" w:lineRule="auto"/>
              <w:rPr>
                <w:rFonts w:cs="Arial"/>
              </w:rPr>
            </w:pPr>
            <w:r w:rsidRPr="00D06BCE">
              <w:rPr>
                <w:rFonts w:cs="Arial"/>
              </w:rPr>
              <w:t>Date of payment (DDMMCCYY)</w:t>
            </w:r>
          </w:p>
        </w:tc>
        <w:tc>
          <w:tcPr>
            <w:tcW w:w="1547" w:type="pct"/>
            <w:tcBorders>
              <w:top w:val="nil"/>
              <w:left w:val="nil"/>
              <w:bottom w:val="single" w:sz="8" w:space="0" w:color="auto"/>
              <w:right w:val="single" w:sz="8" w:space="0" w:color="auto"/>
            </w:tcBorders>
            <w:vAlign w:val="center"/>
          </w:tcPr>
          <w:p w14:paraId="4539111D" w14:textId="3AE7ECF1" w:rsidR="00115458" w:rsidRPr="00D06BCE" w:rsidRDefault="00115458" w:rsidP="00D06BCE">
            <w:pPr>
              <w:spacing w:after="0" w:line="240" w:lineRule="auto"/>
              <w:rPr>
                <w:rFonts w:cs="Arial"/>
              </w:rPr>
            </w:pPr>
            <w:r w:rsidRPr="00D06BCE">
              <w:rPr>
                <w:rFonts w:cs="Arial"/>
              </w:rPr>
              <w:t>3006202</w:t>
            </w:r>
            <w:r w:rsidR="007A351A">
              <w:rPr>
                <w:rFonts w:cs="Arial"/>
              </w:rPr>
              <w:t>6</w:t>
            </w:r>
          </w:p>
        </w:tc>
      </w:tr>
      <w:tr w:rsidR="00115458" w:rsidRPr="00D06BCE" w14:paraId="777C45B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7640016" w14:textId="77777777" w:rsidR="00115458" w:rsidRPr="00D06BCE" w:rsidRDefault="00115458" w:rsidP="00D06BCE">
            <w:pPr>
              <w:spacing w:after="0" w:line="240" w:lineRule="auto"/>
              <w:rPr>
                <w:rFonts w:cs="Arial"/>
              </w:rPr>
            </w:pPr>
            <w:hyperlink w:anchor="d7_069" w:history="1">
              <w:r w:rsidRPr="00D06BCE">
                <w:t>9.71</w:t>
              </w:r>
            </w:hyperlink>
          </w:p>
        </w:tc>
        <w:tc>
          <w:tcPr>
            <w:tcW w:w="2813" w:type="pct"/>
            <w:tcBorders>
              <w:top w:val="nil"/>
              <w:left w:val="nil"/>
              <w:bottom w:val="single" w:sz="8" w:space="0" w:color="auto"/>
              <w:right w:val="single" w:sz="8" w:space="0" w:color="auto"/>
            </w:tcBorders>
            <w:vAlign w:val="center"/>
          </w:tcPr>
          <w:p w14:paraId="42640277" w14:textId="77777777" w:rsidR="00115458" w:rsidRPr="00D06BCE" w:rsidRDefault="00115458" w:rsidP="00D06BCE">
            <w:pPr>
              <w:spacing w:after="0" w:line="240" w:lineRule="auto"/>
              <w:rPr>
                <w:rFonts w:cs="Arial"/>
              </w:rPr>
            </w:pPr>
            <w:r w:rsidRPr="00D06BCE">
              <w:rPr>
                <w:rFonts w:cs="Arial"/>
              </w:rPr>
              <w:t>Type of investment</w:t>
            </w:r>
          </w:p>
        </w:tc>
        <w:tc>
          <w:tcPr>
            <w:tcW w:w="1547" w:type="pct"/>
            <w:tcBorders>
              <w:top w:val="nil"/>
              <w:left w:val="nil"/>
              <w:bottom w:val="single" w:sz="8" w:space="0" w:color="auto"/>
              <w:right w:val="single" w:sz="8" w:space="0" w:color="auto"/>
            </w:tcBorders>
            <w:vAlign w:val="center"/>
          </w:tcPr>
          <w:p w14:paraId="11BF6B19" w14:textId="77777777" w:rsidR="00115458" w:rsidRPr="00D06BCE" w:rsidRDefault="00115458" w:rsidP="00D06BCE">
            <w:pPr>
              <w:spacing w:after="0" w:line="240" w:lineRule="auto"/>
              <w:rPr>
                <w:rFonts w:cs="Arial"/>
              </w:rPr>
            </w:pPr>
            <w:r w:rsidRPr="00D06BCE">
              <w:rPr>
                <w:rFonts w:cs="Arial"/>
              </w:rPr>
              <w:t>2</w:t>
            </w:r>
          </w:p>
        </w:tc>
      </w:tr>
      <w:tr w:rsidR="00115458" w:rsidRPr="00D06BCE" w14:paraId="7BC16103"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58B810D" w14:textId="77777777" w:rsidR="00115458" w:rsidRPr="00D06BCE" w:rsidRDefault="00115458" w:rsidP="00D06BCE">
            <w:pPr>
              <w:spacing w:after="0" w:line="240" w:lineRule="auto"/>
              <w:rPr>
                <w:rFonts w:cs="Arial"/>
              </w:rPr>
            </w:pPr>
            <w:hyperlink w:anchor="d7_070" w:history="1">
              <w:r w:rsidRPr="00D06BCE">
                <w:t>9.72</w:t>
              </w:r>
            </w:hyperlink>
          </w:p>
        </w:tc>
        <w:tc>
          <w:tcPr>
            <w:tcW w:w="2813" w:type="pct"/>
            <w:tcBorders>
              <w:top w:val="nil"/>
              <w:left w:val="nil"/>
              <w:bottom w:val="single" w:sz="8" w:space="0" w:color="auto"/>
              <w:right w:val="single" w:sz="8" w:space="0" w:color="auto"/>
            </w:tcBorders>
            <w:vAlign w:val="center"/>
          </w:tcPr>
          <w:p w14:paraId="03E2CE6E" w14:textId="77777777" w:rsidR="00115458" w:rsidRPr="00D06BCE" w:rsidRDefault="00115458" w:rsidP="00D06BCE">
            <w:pPr>
              <w:spacing w:after="0" w:line="240" w:lineRule="auto"/>
              <w:rPr>
                <w:rFonts w:cs="Arial"/>
              </w:rPr>
            </w:pPr>
            <w:r w:rsidRPr="00D06BCE">
              <w:rPr>
                <w:rFonts w:cs="Arial"/>
              </w:rPr>
              <w:t>Type of payment</w:t>
            </w:r>
          </w:p>
        </w:tc>
        <w:tc>
          <w:tcPr>
            <w:tcW w:w="1547" w:type="pct"/>
            <w:tcBorders>
              <w:top w:val="nil"/>
              <w:left w:val="nil"/>
              <w:bottom w:val="single" w:sz="8" w:space="0" w:color="auto"/>
              <w:right w:val="single" w:sz="8" w:space="0" w:color="auto"/>
            </w:tcBorders>
            <w:vAlign w:val="center"/>
          </w:tcPr>
          <w:p w14:paraId="2F160B6F" w14:textId="77777777" w:rsidR="00115458" w:rsidRPr="00D06BCE" w:rsidRDefault="00115458" w:rsidP="00D06BCE">
            <w:pPr>
              <w:spacing w:after="0" w:line="240" w:lineRule="auto"/>
              <w:rPr>
                <w:rFonts w:cs="Arial"/>
              </w:rPr>
            </w:pPr>
            <w:r w:rsidRPr="00D06BCE">
              <w:rPr>
                <w:rFonts w:cs="Arial"/>
              </w:rPr>
              <w:t>FMD</w:t>
            </w:r>
          </w:p>
        </w:tc>
      </w:tr>
      <w:tr w:rsidR="00115458" w:rsidRPr="00D06BCE" w14:paraId="51189019"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4B39910" w14:textId="77777777" w:rsidR="00115458" w:rsidRPr="00D06BCE" w:rsidRDefault="00115458" w:rsidP="00D06BCE">
            <w:pPr>
              <w:spacing w:after="0" w:line="240" w:lineRule="auto"/>
              <w:rPr>
                <w:rFonts w:cs="Arial"/>
              </w:rPr>
            </w:pPr>
            <w:hyperlink w:anchor="d7_076" w:history="1">
              <w:r w:rsidRPr="00D06BCE">
                <w:t>9.79</w:t>
              </w:r>
            </w:hyperlink>
          </w:p>
        </w:tc>
        <w:tc>
          <w:tcPr>
            <w:tcW w:w="2813" w:type="pct"/>
            <w:tcBorders>
              <w:top w:val="nil"/>
              <w:left w:val="nil"/>
              <w:bottom w:val="single" w:sz="8" w:space="0" w:color="auto"/>
              <w:right w:val="single" w:sz="8" w:space="0" w:color="auto"/>
            </w:tcBorders>
            <w:vAlign w:val="center"/>
          </w:tcPr>
          <w:p w14:paraId="3903E716" w14:textId="77777777" w:rsidR="00115458" w:rsidRPr="00D06BCE" w:rsidRDefault="00115458" w:rsidP="00D06BCE">
            <w:pPr>
              <w:spacing w:after="0" w:line="240" w:lineRule="auto"/>
              <w:rPr>
                <w:rFonts w:cs="Arial"/>
              </w:rPr>
            </w:pPr>
            <w:r w:rsidRPr="00D06BCE">
              <w:rPr>
                <w:rFonts w:cs="Arial"/>
              </w:rPr>
              <w:t>Interest (cents)</w:t>
            </w:r>
          </w:p>
        </w:tc>
        <w:tc>
          <w:tcPr>
            <w:tcW w:w="1547" w:type="pct"/>
            <w:tcBorders>
              <w:top w:val="nil"/>
              <w:left w:val="nil"/>
              <w:bottom w:val="single" w:sz="8" w:space="0" w:color="auto"/>
              <w:right w:val="single" w:sz="8" w:space="0" w:color="auto"/>
            </w:tcBorders>
            <w:vAlign w:val="center"/>
          </w:tcPr>
          <w:p w14:paraId="65C4FC86" w14:textId="77777777" w:rsidR="00115458" w:rsidRPr="00D06BCE" w:rsidRDefault="00115458" w:rsidP="00D06BCE">
            <w:pPr>
              <w:spacing w:after="0" w:line="240" w:lineRule="auto"/>
              <w:rPr>
                <w:rFonts w:cs="Arial"/>
              </w:rPr>
            </w:pPr>
            <w:r w:rsidRPr="00D06BCE">
              <w:rPr>
                <w:rFonts w:cs="Arial"/>
              </w:rPr>
              <w:t>000000350000</w:t>
            </w:r>
          </w:p>
        </w:tc>
      </w:tr>
      <w:tr w:rsidR="00115458" w:rsidRPr="00D06BCE" w14:paraId="2EAE228D"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65CECBE" w14:textId="77777777" w:rsidR="00115458" w:rsidRPr="00D06BCE" w:rsidRDefault="00115458" w:rsidP="00D06BCE">
            <w:pPr>
              <w:spacing w:after="0" w:line="240" w:lineRule="auto"/>
              <w:rPr>
                <w:rFonts w:cs="Arial"/>
              </w:rPr>
            </w:pPr>
            <w:hyperlink w:anchor="d7_072" w:history="1">
              <w:r w:rsidRPr="00D06BCE">
                <w:t>9.74</w:t>
              </w:r>
            </w:hyperlink>
          </w:p>
        </w:tc>
        <w:tc>
          <w:tcPr>
            <w:tcW w:w="2813" w:type="pct"/>
            <w:tcBorders>
              <w:top w:val="nil"/>
              <w:left w:val="nil"/>
              <w:bottom w:val="single" w:sz="8" w:space="0" w:color="auto"/>
              <w:right w:val="single" w:sz="8" w:space="0" w:color="auto"/>
            </w:tcBorders>
            <w:vAlign w:val="center"/>
          </w:tcPr>
          <w:p w14:paraId="25F310D0"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47" w:type="pct"/>
            <w:tcBorders>
              <w:top w:val="nil"/>
              <w:left w:val="nil"/>
              <w:bottom w:val="single" w:sz="8" w:space="0" w:color="auto"/>
              <w:right w:val="single" w:sz="8" w:space="0" w:color="auto"/>
            </w:tcBorders>
            <w:vAlign w:val="center"/>
          </w:tcPr>
          <w:p w14:paraId="78D8C29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4DBE00C"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9705343" w14:textId="77777777" w:rsidR="00115458" w:rsidRPr="00D06BCE" w:rsidRDefault="00115458" w:rsidP="00D06BCE">
            <w:pPr>
              <w:spacing w:after="0" w:line="240" w:lineRule="auto"/>
              <w:rPr>
                <w:rFonts w:cs="Arial"/>
              </w:rPr>
            </w:pPr>
            <w:hyperlink w:anchor="d7_073" w:history="1">
              <w:r w:rsidRPr="00D06BCE">
                <w:t>9.75</w:t>
              </w:r>
            </w:hyperlink>
          </w:p>
        </w:tc>
        <w:tc>
          <w:tcPr>
            <w:tcW w:w="2813" w:type="pct"/>
            <w:tcBorders>
              <w:top w:val="nil"/>
              <w:left w:val="nil"/>
              <w:bottom w:val="single" w:sz="8" w:space="0" w:color="auto"/>
              <w:right w:val="single" w:sz="8" w:space="0" w:color="auto"/>
            </w:tcBorders>
            <w:vAlign w:val="center"/>
          </w:tcPr>
          <w:p w14:paraId="15371B97"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47" w:type="pct"/>
            <w:tcBorders>
              <w:top w:val="nil"/>
              <w:left w:val="nil"/>
              <w:bottom w:val="single" w:sz="8" w:space="0" w:color="auto"/>
              <w:right w:val="single" w:sz="8" w:space="0" w:color="auto"/>
            </w:tcBorders>
            <w:vAlign w:val="center"/>
          </w:tcPr>
          <w:p w14:paraId="7E2A390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8F4A14E"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22EFFE7" w14:textId="22084860" w:rsidR="00115458" w:rsidRPr="00D06BCE" w:rsidRDefault="00E548B4" w:rsidP="00D06BCE">
            <w:pPr>
              <w:spacing w:after="0" w:line="240" w:lineRule="auto"/>
              <w:rPr>
                <w:rFonts w:cs="Arial"/>
              </w:rPr>
            </w:pPr>
            <w:r>
              <w:rPr>
                <w:rFonts w:cs="Arial"/>
              </w:rPr>
              <w:t>9.152</w:t>
            </w:r>
          </w:p>
        </w:tc>
        <w:tc>
          <w:tcPr>
            <w:tcW w:w="2813" w:type="pct"/>
            <w:tcBorders>
              <w:top w:val="nil"/>
              <w:left w:val="nil"/>
              <w:bottom w:val="single" w:sz="8" w:space="0" w:color="auto"/>
              <w:right w:val="single" w:sz="8" w:space="0" w:color="auto"/>
            </w:tcBorders>
            <w:vAlign w:val="center"/>
          </w:tcPr>
          <w:p w14:paraId="101C2F11"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47" w:type="pct"/>
            <w:tcBorders>
              <w:top w:val="nil"/>
              <w:left w:val="nil"/>
              <w:bottom w:val="single" w:sz="8" w:space="0" w:color="auto"/>
              <w:right w:val="single" w:sz="8" w:space="0" w:color="auto"/>
            </w:tcBorders>
            <w:vAlign w:val="center"/>
          </w:tcPr>
          <w:p w14:paraId="24465341" w14:textId="77777777" w:rsidR="00115458" w:rsidRPr="00D06BCE" w:rsidRDefault="00115458" w:rsidP="00D06BCE">
            <w:pPr>
              <w:spacing w:after="0" w:line="240" w:lineRule="auto"/>
              <w:rPr>
                <w:rFonts w:cs="Arial"/>
              </w:rPr>
            </w:pPr>
            <w:r w:rsidRPr="00D06BCE">
              <w:rPr>
                <w:rFonts w:cs="Arial"/>
              </w:rPr>
              <w:t>000020000000</w:t>
            </w:r>
          </w:p>
        </w:tc>
      </w:tr>
      <w:tr w:rsidR="00115458" w:rsidRPr="00D06BCE" w14:paraId="6EDD34DC"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1BDD0C1F" w14:textId="16B87969" w:rsidR="00115458" w:rsidRPr="00D06BCE" w:rsidRDefault="00704E70" w:rsidP="00D06BCE">
            <w:pPr>
              <w:spacing w:after="0" w:line="240" w:lineRule="auto"/>
              <w:rPr>
                <w:rFonts w:cs="Arial"/>
              </w:rPr>
            </w:pPr>
            <w:r>
              <w:t>9.153</w:t>
            </w:r>
          </w:p>
        </w:tc>
        <w:tc>
          <w:tcPr>
            <w:tcW w:w="2813" w:type="pct"/>
            <w:tcBorders>
              <w:top w:val="nil"/>
              <w:left w:val="nil"/>
              <w:bottom w:val="single" w:sz="8" w:space="0" w:color="auto"/>
              <w:right w:val="single" w:sz="8" w:space="0" w:color="auto"/>
            </w:tcBorders>
            <w:vAlign w:val="center"/>
          </w:tcPr>
          <w:p w14:paraId="0A26D27D"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47" w:type="pct"/>
            <w:tcBorders>
              <w:top w:val="nil"/>
              <w:left w:val="nil"/>
              <w:bottom w:val="single" w:sz="8" w:space="0" w:color="auto"/>
              <w:right w:val="single" w:sz="8" w:space="0" w:color="auto"/>
            </w:tcBorders>
            <w:vAlign w:val="center"/>
          </w:tcPr>
          <w:p w14:paraId="0E65B4FE" w14:textId="21D28B6C" w:rsidR="00115458" w:rsidRPr="00D06BCE" w:rsidRDefault="00115458" w:rsidP="00D06BCE">
            <w:pPr>
              <w:spacing w:after="0" w:line="240" w:lineRule="auto"/>
              <w:rPr>
                <w:rFonts w:cs="Arial"/>
              </w:rPr>
            </w:pPr>
            <w:r w:rsidRPr="00D06BCE">
              <w:rPr>
                <w:rFonts w:cs="Arial"/>
              </w:rPr>
              <w:t>210820</w:t>
            </w:r>
            <w:r w:rsidR="00741D13">
              <w:rPr>
                <w:rFonts w:cs="Arial"/>
              </w:rPr>
              <w:t>25</w:t>
            </w:r>
          </w:p>
        </w:tc>
      </w:tr>
      <w:tr w:rsidR="00115458" w:rsidRPr="00D06BCE" w14:paraId="6C19A5E9"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741CBCA" w14:textId="7E39FDA2" w:rsidR="00115458" w:rsidRPr="00D06BCE" w:rsidRDefault="00770CC8" w:rsidP="00D06BCE">
            <w:pPr>
              <w:spacing w:after="0" w:line="240" w:lineRule="auto"/>
              <w:rPr>
                <w:rFonts w:cs="Arial"/>
              </w:rPr>
            </w:pPr>
            <w:r>
              <w:t>9.154</w:t>
            </w:r>
          </w:p>
        </w:tc>
        <w:tc>
          <w:tcPr>
            <w:tcW w:w="2813" w:type="pct"/>
            <w:tcBorders>
              <w:top w:val="nil"/>
              <w:left w:val="nil"/>
              <w:bottom w:val="single" w:sz="8" w:space="0" w:color="auto"/>
              <w:right w:val="single" w:sz="8" w:space="0" w:color="auto"/>
            </w:tcBorders>
            <w:vAlign w:val="center"/>
          </w:tcPr>
          <w:p w14:paraId="7233E590"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47" w:type="pct"/>
            <w:tcBorders>
              <w:top w:val="nil"/>
              <w:left w:val="nil"/>
              <w:bottom w:val="single" w:sz="8" w:space="0" w:color="auto"/>
              <w:right w:val="single" w:sz="8" w:space="0" w:color="auto"/>
            </w:tcBorders>
            <w:vAlign w:val="center"/>
          </w:tcPr>
          <w:p w14:paraId="4BFAB5B4" w14:textId="2FEDA1B9" w:rsidR="00115458" w:rsidRPr="00D06BCE" w:rsidRDefault="00115458" w:rsidP="00D06BCE">
            <w:pPr>
              <w:spacing w:after="0" w:line="240" w:lineRule="auto"/>
              <w:rPr>
                <w:rFonts w:cs="Arial"/>
              </w:rPr>
            </w:pPr>
            <w:r w:rsidRPr="00D06BCE">
              <w:rPr>
                <w:rFonts w:cs="Arial"/>
              </w:rPr>
              <w:t>210820</w:t>
            </w:r>
            <w:r w:rsidR="00741D13">
              <w:rPr>
                <w:rFonts w:cs="Arial"/>
              </w:rPr>
              <w:t>25</w:t>
            </w:r>
            <w:r w:rsidRPr="00D06BCE">
              <w:rPr>
                <w:rFonts w:cs="Arial"/>
              </w:rPr>
              <w:t xml:space="preserve"> </w:t>
            </w:r>
          </w:p>
        </w:tc>
      </w:tr>
      <w:tr w:rsidR="00115458" w:rsidRPr="00D06BCE" w14:paraId="518D6EBB"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EFECE96" w14:textId="258CA085" w:rsidR="00115458" w:rsidRPr="00D06BCE" w:rsidRDefault="00ED36ED" w:rsidP="00D06BCE">
            <w:pPr>
              <w:spacing w:after="0" w:line="240" w:lineRule="auto"/>
              <w:rPr>
                <w:rFonts w:cs="Arial"/>
              </w:rPr>
            </w:pPr>
            <w:r>
              <w:t>9.155</w:t>
            </w:r>
          </w:p>
        </w:tc>
        <w:tc>
          <w:tcPr>
            <w:tcW w:w="2813" w:type="pct"/>
            <w:tcBorders>
              <w:top w:val="nil"/>
              <w:left w:val="nil"/>
              <w:bottom w:val="single" w:sz="8" w:space="0" w:color="auto"/>
              <w:right w:val="single" w:sz="8" w:space="0" w:color="auto"/>
            </w:tcBorders>
            <w:vAlign w:val="center"/>
          </w:tcPr>
          <w:p w14:paraId="00481C8C" w14:textId="77777777" w:rsidR="00115458" w:rsidRPr="00D06BCE" w:rsidRDefault="00115458" w:rsidP="00D06BCE">
            <w:pPr>
              <w:spacing w:after="0" w:line="240" w:lineRule="auto"/>
              <w:rPr>
                <w:rFonts w:cs="Arial"/>
              </w:rPr>
            </w:pPr>
            <w:r w:rsidRPr="00D06BCE">
              <w:rPr>
                <w:rFonts w:cs="Arial"/>
              </w:rPr>
              <w:t>Amount of repayment (first) (cents)</w:t>
            </w:r>
          </w:p>
        </w:tc>
        <w:tc>
          <w:tcPr>
            <w:tcW w:w="1547" w:type="pct"/>
            <w:tcBorders>
              <w:top w:val="nil"/>
              <w:left w:val="nil"/>
              <w:bottom w:val="single" w:sz="8" w:space="0" w:color="auto"/>
              <w:right w:val="single" w:sz="8" w:space="0" w:color="auto"/>
            </w:tcBorders>
            <w:vAlign w:val="center"/>
          </w:tcPr>
          <w:p w14:paraId="697BE858" w14:textId="77777777" w:rsidR="00115458" w:rsidRPr="00D06BCE" w:rsidRDefault="00115458" w:rsidP="00D06BCE">
            <w:pPr>
              <w:spacing w:after="0" w:line="240" w:lineRule="auto"/>
              <w:rPr>
                <w:rFonts w:cs="Arial"/>
              </w:rPr>
            </w:pPr>
            <w:r w:rsidRPr="00D06BCE">
              <w:rPr>
                <w:rFonts w:cs="Arial"/>
              </w:rPr>
              <w:t>000010000000</w:t>
            </w:r>
          </w:p>
        </w:tc>
      </w:tr>
      <w:tr w:rsidR="00115458" w:rsidRPr="00D06BCE" w14:paraId="11BF450F"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9DDE057" w14:textId="470FC4EC" w:rsidR="00115458" w:rsidRPr="00D06BCE" w:rsidRDefault="00D84C2A" w:rsidP="00D06BCE">
            <w:pPr>
              <w:spacing w:after="0" w:line="240" w:lineRule="auto"/>
              <w:rPr>
                <w:rFonts w:cs="Arial"/>
              </w:rPr>
            </w:pPr>
            <w:r>
              <w:t>9.156</w:t>
            </w:r>
          </w:p>
        </w:tc>
        <w:tc>
          <w:tcPr>
            <w:tcW w:w="2813" w:type="pct"/>
            <w:tcBorders>
              <w:top w:val="nil"/>
              <w:left w:val="nil"/>
              <w:bottom w:val="single" w:sz="8" w:space="0" w:color="auto"/>
              <w:right w:val="single" w:sz="8" w:space="0" w:color="auto"/>
            </w:tcBorders>
            <w:vAlign w:val="center"/>
          </w:tcPr>
          <w:p w14:paraId="0FF42C5F" w14:textId="77777777" w:rsidR="00115458" w:rsidRPr="00D06BCE" w:rsidRDefault="00115458" w:rsidP="00D06BCE">
            <w:pPr>
              <w:spacing w:after="0" w:line="240" w:lineRule="auto"/>
              <w:rPr>
                <w:rFonts w:cs="Arial"/>
              </w:rPr>
            </w:pPr>
            <w:r w:rsidRPr="00D06BCE">
              <w:rPr>
                <w:rFonts w:cs="Arial"/>
              </w:rPr>
              <w:t>Date of repayment (first) (DDMMCCYY)</w:t>
            </w:r>
          </w:p>
        </w:tc>
        <w:tc>
          <w:tcPr>
            <w:tcW w:w="1547" w:type="pct"/>
            <w:tcBorders>
              <w:top w:val="nil"/>
              <w:left w:val="nil"/>
              <w:bottom w:val="single" w:sz="8" w:space="0" w:color="auto"/>
              <w:right w:val="single" w:sz="8" w:space="0" w:color="auto"/>
            </w:tcBorders>
            <w:vAlign w:val="center"/>
          </w:tcPr>
          <w:p w14:paraId="2556E5EC" w14:textId="7C0F876F" w:rsidR="00115458" w:rsidRPr="00D06BCE" w:rsidRDefault="00115458" w:rsidP="00D06BCE">
            <w:pPr>
              <w:spacing w:after="0" w:line="240" w:lineRule="auto"/>
              <w:rPr>
                <w:rFonts w:cs="Arial"/>
              </w:rPr>
            </w:pPr>
            <w:r w:rsidRPr="00D06BCE">
              <w:rPr>
                <w:rFonts w:cs="Arial"/>
              </w:rPr>
              <w:t>101220</w:t>
            </w:r>
            <w:r w:rsidR="00741D13">
              <w:rPr>
                <w:rFonts w:cs="Arial"/>
              </w:rPr>
              <w:t>25</w:t>
            </w:r>
          </w:p>
        </w:tc>
      </w:tr>
      <w:tr w:rsidR="00115458" w:rsidRPr="00D06BCE" w14:paraId="7EBFEEAC"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1C91E5F" w14:textId="1A22EE79" w:rsidR="00115458" w:rsidRPr="00D06BCE" w:rsidRDefault="00ED36ED" w:rsidP="00D06BCE">
            <w:pPr>
              <w:spacing w:after="0" w:line="240" w:lineRule="auto"/>
              <w:rPr>
                <w:rFonts w:cs="Arial"/>
              </w:rPr>
            </w:pPr>
            <w:r>
              <w:t>9.155</w:t>
            </w:r>
          </w:p>
        </w:tc>
        <w:tc>
          <w:tcPr>
            <w:tcW w:w="2813" w:type="pct"/>
            <w:tcBorders>
              <w:top w:val="nil"/>
              <w:left w:val="nil"/>
              <w:bottom w:val="single" w:sz="8" w:space="0" w:color="auto"/>
              <w:right w:val="single" w:sz="8" w:space="0" w:color="auto"/>
            </w:tcBorders>
            <w:vAlign w:val="center"/>
          </w:tcPr>
          <w:p w14:paraId="4B9F1F1E" w14:textId="77777777" w:rsidR="00115458" w:rsidRPr="00D06BCE" w:rsidRDefault="00115458" w:rsidP="00D06BCE">
            <w:pPr>
              <w:spacing w:after="0" w:line="240" w:lineRule="auto"/>
              <w:rPr>
                <w:rFonts w:cs="Arial"/>
              </w:rPr>
            </w:pPr>
            <w:r w:rsidRPr="00D06BCE">
              <w:rPr>
                <w:rFonts w:cs="Arial"/>
              </w:rPr>
              <w:t>Amount of repayment (second) (cents)</w:t>
            </w:r>
          </w:p>
        </w:tc>
        <w:tc>
          <w:tcPr>
            <w:tcW w:w="1547" w:type="pct"/>
            <w:tcBorders>
              <w:top w:val="nil"/>
              <w:left w:val="nil"/>
              <w:bottom w:val="single" w:sz="8" w:space="0" w:color="auto"/>
              <w:right w:val="single" w:sz="8" w:space="0" w:color="auto"/>
            </w:tcBorders>
            <w:vAlign w:val="center"/>
          </w:tcPr>
          <w:p w14:paraId="32799E70" w14:textId="77777777" w:rsidR="00115458" w:rsidRPr="00D06BCE" w:rsidRDefault="00115458" w:rsidP="00D06BCE">
            <w:pPr>
              <w:spacing w:after="0" w:line="240" w:lineRule="auto"/>
              <w:rPr>
                <w:rFonts w:cs="Arial"/>
              </w:rPr>
            </w:pPr>
            <w:r w:rsidRPr="00D06BCE">
              <w:rPr>
                <w:rFonts w:cs="Arial"/>
              </w:rPr>
              <w:t>000005000000</w:t>
            </w:r>
          </w:p>
        </w:tc>
      </w:tr>
      <w:tr w:rsidR="00115458" w:rsidRPr="00D06BCE" w14:paraId="5A6DC180"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4344156" w14:textId="3EDB1ACE" w:rsidR="00115458" w:rsidRPr="00D06BCE" w:rsidRDefault="00D84C2A" w:rsidP="00D06BCE">
            <w:pPr>
              <w:spacing w:after="0" w:line="240" w:lineRule="auto"/>
              <w:rPr>
                <w:rFonts w:cs="Arial"/>
              </w:rPr>
            </w:pPr>
            <w:r>
              <w:t>9.156</w:t>
            </w:r>
          </w:p>
        </w:tc>
        <w:tc>
          <w:tcPr>
            <w:tcW w:w="2813" w:type="pct"/>
            <w:tcBorders>
              <w:top w:val="nil"/>
              <w:left w:val="nil"/>
              <w:bottom w:val="single" w:sz="8" w:space="0" w:color="auto"/>
              <w:right w:val="single" w:sz="8" w:space="0" w:color="auto"/>
            </w:tcBorders>
            <w:vAlign w:val="center"/>
          </w:tcPr>
          <w:p w14:paraId="03BB35AC" w14:textId="77777777" w:rsidR="00115458" w:rsidRPr="00D06BCE" w:rsidRDefault="00115458" w:rsidP="00D06BCE">
            <w:pPr>
              <w:spacing w:after="0" w:line="240" w:lineRule="auto"/>
              <w:rPr>
                <w:rFonts w:cs="Arial"/>
              </w:rPr>
            </w:pPr>
            <w:r w:rsidRPr="00D06BCE">
              <w:rPr>
                <w:rFonts w:cs="Arial"/>
              </w:rPr>
              <w:t>Date of repayment (second) (DDMMCCYY)</w:t>
            </w:r>
          </w:p>
        </w:tc>
        <w:tc>
          <w:tcPr>
            <w:tcW w:w="1547" w:type="pct"/>
            <w:tcBorders>
              <w:top w:val="nil"/>
              <w:left w:val="nil"/>
              <w:bottom w:val="single" w:sz="8" w:space="0" w:color="auto"/>
              <w:right w:val="single" w:sz="8" w:space="0" w:color="auto"/>
            </w:tcBorders>
            <w:vAlign w:val="center"/>
          </w:tcPr>
          <w:p w14:paraId="4006A827" w14:textId="6380E045" w:rsidR="00115458" w:rsidRPr="00D06BCE" w:rsidRDefault="00115458" w:rsidP="00D06BCE">
            <w:pPr>
              <w:spacing w:after="0" w:line="240" w:lineRule="auto"/>
              <w:rPr>
                <w:rFonts w:cs="Arial"/>
              </w:rPr>
            </w:pPr>
            <w:r w:rsidRPr="00D06BCE">
              <w:rPr>
                <w:rFonts w:cs="Arial"/>
              </w:rPr>
              <w:t>0303202</w:t>
            </w:r>
            <w:r w:rsidR="00881C2F">
              <w:rPr>
                <w:rFonts w:cs="Arial"/>
              </w:rPr>
              <w:t>6</w:t>
            </w:r>
          </w:p>
        </w:tc>
      </w:tr>
      <w:tr w:rsidR="00115458" w:rsidRPr="00D06BCE" w14:paraId="21D4193B"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FA52377" w14:textId="638758EA" w:rsidR="00115458" w:rsidRPr="00D06BCE" w:rsidRDefault="00ED36ED" w:rsidP="00D06BCE">
            <w:pPr>
              <w:spacing w:after="0" w:line="240" w:lineRule="auto"/>
              <w:rPr>
                <w:rFonts w:cs="Arial"/>
              </w:rPr>
            </w:pPr>
            <w:r>
              <w:t>9.155</w:t>
            </w:r>
          </w:p>
        </w:tc>
        <w:tc>
          <w:tcPr>
            <w:tcW w:w="2813" w:type="pct"/>
            <w:tcBorders>
              <w:top w:val="nil"/>
              <w:left w:val="nil"/>
              <w:bottom w:val="single" w:sz="8" w:space="0" w:color="auto"/>
              <w:right w:val="single" w:sz="8" w:space="0" w:color="auto"/>
            </w:tcBorders>
            <w:vAlign w:val="center"/>
          </w:tcPr>
          <w:p w14:paraId="3D4E6F83" w14:textId="77777777" w:rsidR="00115458" w:rsidRPr="00D06BCE" w:rsidRDefault="00115458" w:rsidP="00D06BCE">
            <w:pPr>
              <w:spacing w:after="0" w:line="240" w:lineRule="auto"/>
              <w:rPr>
                <w:rFonts w:cs="Arial"/>
              </w:rPr>
            </w:pPr>
            <w:r w:rsidRPr="00D06BCE">
              <w:rPr>
                <w:rFonts w:cs="Arial"/>
              </w:rPr>
              <w:t>Amount of repayment (third) (cents)</w:t>
            </w:r>
          </w:p>
        </w:tc>
        <w:tc>
          <w:tcPr>
            <w:tcW w:w="1547" w:type="pct"/>
            <w:tcBorders>
              <w:top w:val="nil"/>
              <w:left w:val="nil"/>
              <w:bottom w:val="single" w:sz="8" w:space="0" w:color="auto"/>
              <w:right w:val="single" w:sz="8" w:space="0" w:color="auto"/>
            </w:tcBorders>
            <w:vAlign w:val="center"/>
          </w:tcPr>
          <w:p w14:paraId="0518C1E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EFA337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0D8C380" w14:textId="54219B8C" w:rsidR="00115458" w:rsidRPr="00D06BCE" w:rsidRDefault="00D84C2A" w:rsidP="00D06BCE">
            <w:pPr>
              <w:spacing w:after="0" w:line="240" w:lineRule="auto"/>
              <w:rPr>
                <w:rFonts w:cs="Arial"/>
              </w:rPr>
            </w:pPr>
            <w:r>
              <w:t>9.156</w:t>
            </w:r>
          </w:p>
        </w:tc>
        <w:tc>
          <w:tcPr>
            <w:tcW w:w="2813" w:type="pct"/>
            <w:tcBorders>
              <w:top w:val="nil"/>
              <w:left w:val="nil"/>
              <w:bottom w:val="single" w:sz="8" w:space="0" w:color="auto"/>
              <w:right w:val="single" w:sz="8" w:space="0" w:color="auto"/>
            </w:tcBorders>
            <w:vAlign w:val="center"/>
          </w:tcPr>
          <w:p w14:paraId="76D0E1E2" w14:textId="77777777" w:rsidR="00115458" w:rsidRPr="00D06BCE" w:rsidRDefault="00115458" w:rsidP="00D06BCE">
            <w:pPr>
              <w:spacing w:after="0" w:line="240" w:lineRule="auto"/>
              <w:rPr>
                <w:rFonts w:cs="Arial"/>
              </w:rPr>
            </w:pPr>
            <w:r w:rsidRPr="00D06BCE">
              <w:rPr>
                <w:rFonts w:cs="Arial"/>
              </w:rPr>
              <w:t>Date of repayment (third) (DDMMCCYY)</w:t>
            </w:r>
          </w:p>
        </w:tc>
        <w:tc>
          <w:tcPr>
            <w:tcW w:w="1547" w:type="pct"/>
            <w:tcBorders>
              <w:top w:val="nil"/>
              <w:left w:val="nil"/>
              <w:bottom w:val="single" w:sz="8" w:space="0" w:color="auto"/>
              <w:right w:val="single" w:sz="8" w:space="0" w:color="auto"/>
            </w:tcBorders>
            <w:vAlign w:val="center"/>
          </w:tcPr>
          <w:p w14:paraId="467699E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0A6ECDD"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F953731" w14:textId="5E6A09B0" w:rsidR="00115458" w:rsidRPr="00D06BCE" w:rsidRDefault="00ED36ED" w:rsidP="00D06BCE">
            <w:pPr>
              <w:spacing w:after="0" w:line="240" w:lineRule="auto"/>
              <w:rPr>
                <w:rFonts w:cs="Arial"/>
              </w:rPr>
            </w:pPr>
            <w:r>
              <w:t>9.155</w:t>
            </w:r>
          </w:p>
        </w:tc>
        <w:tc>
          <w:tcPr>
            <w:tcW w:w="2813" w:type="pct"/>
            <w:tcBorders>
              <w:top w:val="nil"/>
              <w:left w:val="nil"/>
              <w:bottom w:val="single" w:sz="8" w:space="0" w:color="auto"/>
              <w:right w:val="single" w:sz="8" w:space="0" w:color="auto"/>
            </w:tcBorders>
            <w:vAlign w:val="center"/>
          </w:tcPr>
          <w:p w14:paraId="4A734045" w14:textId="77777777" w:rsidR="00115458" w:rsidRPr="00D06BCE" w:rsidRDefault="00115458" w:rsidP="00D06BCE">
            <w:pPr>
              <w:spacing w:after="0" w:line="240" w:lineRule="auto"/>
              <w:rPr>
                <w:rFonts w:cs="Arial"/>
              </w:rPr>
            </w:pPr>
            <w:r w:rsidRPr="00D06BCE">
              <w:rPr>
                <w:rFonts w:cs="Arial"/>
              </w:rPr>
              <w:t>Amount of repayment (fourth) (cents)</w:t>
            </w:r>
          </w:p>
        </w:tc>
        <w:tc>
          <w:tcPr>
            <w:tcW w:w="1547" w:type="pct"/>
            <w:tcBorders>
              <w:top w:val="nil"/>
              <w:left w:val="nil"/>
              <w:bottom w:val="single" w:sz="8" w:space="0" w:color="auto"/>
              <w:right w:val="single" w:sz="8" w:space="0" w:color="auto"/>
            </w:tcBorders>
            <w:vAlign w:val="center"/>
          </w:tcPr>
          <w:p w14:paraId="42757F7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62E8FA3"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ED9B9D2" w14:textId="6AC7E135" w:rsidR="00115458" w:rsidRPr="00D06BCE" w:rsidRDefault="00D84C2A" w:rsidP="00D06BCE">
            <w:pPr>
              <w:spacing w:after="0" w:line="240" w:lineRule="auto"/>
              <w:rPr>
                <w:rFonts w:cs="Arial"/>
              </w:rPr>
            </w:pPr>
            <w:r>
              <w:t>9.156</w:t>
            </w:r>
          </w:p>
        </w:tc>
        <w:tc>
          <w:tcPr>
            <w:tcW w:w="2813" w:type="pct"/>
            <w:tcBorders>
              <w:top w:val="nil"/>
              <w:left w:val="nil"/>
              <w:bottom w:val="single" w:sz="8" w:space="0" w:color="auto"/>
              <w:right w:val="single" w:sz="8" w:space="0" w:color="auto"/>
            </w:tcBorders>
            <w:vAlign w:val="center"/>
          </w:tcPr>
          <w:p w14:paraId="51BA7778" w14:textId="77777777" w:rsidR="00115458" w:rsidRPr="00D06BCE" w:rsidRDefault="00115458" w:rsidP="00D06BCE">
            <w:pPr>
              <w:spacing w:after="0" w:line="240" w:lineRule="auto"/>
              <w:rPr>
                <w:rFonts w:cs="Arial"/>
              </w:rPr>
            </w:pPr>
            <w:r w:rsidRPr="00D06BCE">
              <w:rPr>
                <w:rFonts w:cs="Arial"/>
              </w:rPr>
              <w:t>Date of repayment (fourth) (DDMMCCYY)</w:t>
            </w:r>
          </w:p>
        </w:tc>
        <w:tc>
          <w:tcPr>
            <w:tcW w:w="1547" w:type="pct"/>
            <w:tcBorders>
              <w:top w:val="nil"/>
              <w:left w:val="nil"/>
              <w:bottom w:val="single" w:sz="8" w:space="0" w:color="auto"/>
              <w:right w:val="single" w:sz="8" w:space="0" w:color="auto"/>
            </w:tcBorders>
            <w:vAlign w:val="center"/>
          </w:tcPr>
          <w:p w14:paraId="798609B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9092A30"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3492CDD" w14:textId="48923D3F" w:rsidR="00115458" w:rsidRPr="00D06BCE" w:rsidRDefault="003B64C6" w:rsidP="00D06BCE">
            <w:pPr>
              <w:spacing w:after="0" w:line="240" w:lineRule="auto"/>
              <w:rPr>
                <w:rFonts w:cs="Arial"/>
              </w:rPr>
            </w:pPr>
            <w:r>
              <w:t>9.157</w:t>
            </w:r>
          </w:p>
        </w:tc>
        <w:tc>
          <w:tcPr>
            <w:tcW w:w="2813" w:type="pct"/>
            <w:tcBorders>
              <w:top w:val="nil"/>
              <w:left w:val="nil"/>
              <w:bottom w:val="single" w:sz="8" w:space="0" w:color="auto"/>
              <w:right w:val="single" w:sz="8" w:space="0" w:color="auto"/>
            </w:tcBorders>
            <w:vAlign w:val="center"/>
          </w:tcPr>
          <w:p w14:paraId="094B1386"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47" w:type="pct"/>
            <w:tcBorders>
              <w:top w:val="nil"/>
              <w:left w:val="nil"/>
              <w:bottom w:val="single" w:sz="8" w:space="0" w:color="auto"/>
              <w:right w:val="single" w:sz="8" w:space="0" w:color="auto"/>
            </w:tcBorders>
            <w:vAlign w:val="center"/>
          </w:tcPr>
          <w:p w14:paraId="2038AB1D"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215601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FA44530" w14:textId="2769D61E" w:rsidR="00115458" w:rsidRPr="00D06BCE" w:rsidRDefault="00423041" w:rsidP="00D06BCE">
            <w:pPr>
              <w:spacing w:after="0" w:line="240" w:lineRule="auto"/>
              <w:rPr>
                <w:rFonts w:cs="Arial"/>
              </w:rPr>
            </w:pPr>
            <w:r>
              <w:t>9.158</w:t>
            </w:r>
          </w:p>
        </w:tc>
        <w:tc>
          <w:tcPr>
            <w:tcW w:w="2813" w:type="pct"/>
            <w:tcBorders>
              <w:top w:val="nil"/>
              <w:left w:val="nil"/>
              <w:bottom w:val="single" w:sz="8" w:space="0" w:color="auto"/>
              <w:right w:val="single" w:sz="8" w:space="0" w:color="auto"/>
            </w:tcBorders>
            <w:vAlign w:val="center"/>
          </w:tcPr>
          <w:p w14:paraId="4BFEFC6E"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47" w:type="pct"/>
            <w:tcBorders>
              <w:top w:val="nil"/>
              <w:left w:val="nil"/>
              <w:bottom w:val="single" w:sz="8" w:space="0" w:color="auto"/>
              <w:right w:val="single" w:sz="8" w:space="0" w:color="auto"/>
            </w:tcBorders>
            <w:vAlign w:val="center"/>
          </w:tcPr>
          <w:p w14:paraId="1026F86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E267989"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9141AD0" w14:textId="708D644F" w:rsidR="00115458" w:rsidRPr="00D06BCE" w:rsidRDefault="00096F4C" w:rsidP="00D06BCE">
            <w:pPr>
              <w:spacing w:after="0" w:line="240" w:lineRule="auto"/>
              <w:rPr>
                <w:rFonts w:cs="Arial"/>
              </w:rPr>
            </w:pPr>
            <w:r>
              <w:t>9.159</w:t>
            </w:r>
          </w:p>
        </w:tc>
        <w:tc>
          <w:tcPr>
            <w:tcW w:w="2813" w:type="pct"/>
            <w:tcBorders>
              <w:top w:val="nil"/>
              <w:left w:val="nil"/>
              <w:bottom w:val="single" w:sz="8" w:space="0" w:color="auto"/>
              <w:right w:val="single" w:sz="8" w:space="0" w:color="auto"/>
            </w:tcBorders>
            <w:vAlign w:val="center"/>
          </w:tcPr>
          <w:p w14:paraId="235569D7"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47" w:type="pct"/>
            <w:tcBorders>
              <w:top w:val="nil"/>
              <w:left w:val="nil"/>
              <w:bottom w:val="single" w:sz="8" w:space="0" w:color="auto"/>
              <w:right w:val="single" w:sz="8" w:space="0" w:color="auto"/>
            </w:tcBorders>
            <w:vAlign w:val="center"/>
          </w:tcPr>
          <w:p w14:paraId="1ECA3380"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706856D"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51153EA" w14:textId="5C650529" w:rsidR="00115458" w:rsidRPr="00D06BCE" w:rsidRDefault="00FB4EBA" w:rsidP="00D06BCE">
            <w:pPr>
              <w:spacing w:after="0" w:line="240" w:lineRule="auto"/>
              <w:rPr>
                <w:rFonts w:cs="Arial"/>
              </w:rPr>
            </w:pPr>
            <w:r>
              <w:t>9.160</w:t>
            </w:r>
          </w:p>
        </w:tc>
        <w:tc>
          <w:tcPr>
            <w:tcW w:w="2813" w:type="pct"/>
            <w:tcBorders>
              <w:top w:val="nil"/>
              <w:left w:val="nil"/>
              <w:bottom w:val="single" w:sz="8" w:space="0" w:color="auto"/>
              <w:right w:val="single" w:sz="8" w:space="0" w:color="auto"/>
            </w:tcBorders>
            <w:vAlign w:val="center"/>
          </w:tcPr>
          <w:p w14:paraId="74CCF4FF"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47" w:type="pct"/>
            <w:tcBorders>
              <w:top w:val="nil"/>
              <w:left w:val="nil"/>
              <w:bottom w:val="single" w:sz="8" w:space="0" w:color="auto"/>
              <w:right w:val="single" w:sz="8" w:space="0" w:color="auto"/>
            </w:tcBorders>
            <w:vAlign w:val="center"/>
          </w:tcPr>
          <w:p w14:paraId="75DFD54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3CF429E"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0395EB8" w14:textId="564A3293" w:rsidR="00115458" w:rsidRPr="00D06BCE" w:rsidRDefault="00FB4EBA" w:rsidP="00D06BCE">
            <w:pPr>
              <w:spacing w:after="0" w:line="240" w:lineRule="auto"/>
              <w:rPr>
                <w:rFonts w:cs="Arial"/>
              </w:rPr>
            </w:pPr>
            <w:r>
              <w:t>9.161</w:t>
            </w:r>
          </w:p>
        </w:tc>
        <w:tc>
          <w:tcPr>
            <w:tcW w:w="2813" w:type="pct"/>
            <w:tcBorders>
              <w:top w:val="nil"/>
              <w:left w:val="nil"/>
              <w:bottom w:val="single" w:sz="8" w:space="0" w:color="auto"/>
              <w:right w:val="single" w:sz="8" w:space="0" w:color="auto"/>
            </w:tcBorders>
            <w:vAlign w:val="center"/>
          </w:tcPr>
          <w:p w14:paraId="73F3948E"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47" w:type="pct"/>
            <w:tcBorders>
              <w:top w:val="nil"/>
              <w:left w:val="nil"/>
              <w:bottom w:val="single" w:sz="8" w:space="0" w:color="auto"/>
              <w:right w:val="single" w:sz="8" w:space="0" w:color="auto"/>
            </w:tcBorders>
            <w:vAlign w:val="center"/>
          </w:tcPr>
          <w:p w14:paraId="6296F203"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A5D2692"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13B85F5" w14:textId="779491B6" w:rsidR="00115458" w:rsidRPr="00D06BCE" w:rsidRDefault="00FB4EBA" w:rsidP="00D06BCE">
            <w:pPr>
              <w:spacing w:after="0" w:line="240" w:lineRule="auto"/>
              <w:rPr>
                <w:rFonts w:cs="Arial"/>
              </w:rPr>
            </w:pPr>
            <w:r>
              <w:t>9.162</w:t>
            </w:r>
          </w:p>
        </w:tc>
        <w:tc>
          <w:tcPr>
            <w:tcW w:w="2813" w:type="pct"/>
            <w:tcBorders>
              <w:top w:val="nil"/>
              <w:left w:val="nil"/>
              <w:bottom w:val="single" w:sz="8" w:space="0" w:color="auto"/>
              <w:right w:val="single" w:sz="8" w:space="0" w:color="auto"/>
            </w:tcBorders>
            <w:vAlign w:val="center"/>
          </w:tcPr>
          <w:p w14:paraId="738EEAAF" w14:textId="77777777" w:rsidR="00115458" w:rsidRPr="00D06BCE" w:rsidRDefault="00115458" w:rsidP="00D06BCE">
            <w:pPr>
              <w:spacing w:after="0" w:line="240" w:lineRule="auto"/>
              <w:rPr>
                <w:rFonts w:cs="Arial"/>
              </w:rPr>
            </w:pPr>
            <w:r w:rsidRPr="00D06BCE">
              <w:rPr>
                <w:rFonts w:cs="Arial"/>
              </w:rPr>
              <w:t>Transferee BSB number (first)</w:t>
            </w:r>
          </w:p>
        </w:tc>
        <w:tc>
          <w:tcPr>
            <w:tcW w:w="1547" w:type="pct"/>
            <w:tcBorders>
              <w:top w:val="nil"/>
              <w:left w:val="nil"/>
              <w:bottom w:val="single" w:sz="8" w:space="0" w:color="auto"/>
              <w:right w:val="single" w:sz="8" w:space="0" w:color="auto"/>
            </w:tcBorders>
            <w:vAlign w:val="center"/>
          </w:tcPr>
          <w:p w14:paraId="4CCE1DE1"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3D0F3F92"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29D5CC0" w14:textId="262275C0" w:rsidR="00115458" w:rsidRPr="00D06BCE" w:rsidRDefault="00FB4EBA" w:rsidP="00D06BCE">
            <w:pPr>
              <w:spacing w:after="0" w:line="240" w:lineRule="auto"/>
              <w:rPr>
                <w:rFonts w:cs="Arial"/>
              </w:rPr>
            </w:pPr>
            <w:r>
              <w:t>9.160</w:t>
            </w:r>
          </w:p>
        </w:tc>
        <w:tc>
          <w:tcPr>
            <w:tcW w:w="2813" w:type="pct"/>
            <w:tcBorders>
              <w:top w:val="nil"/>
              <w:left w:val="nil"/>
              <w:bottom w:val="single" w:sz="8" w:space="0" w:color="auto"/>
              <w:right w:val="single" w:sz="8" w:space="0" w:color="auto"/>
            </w:tcBorders>
            <w:vAlign w:val="center"/>
          </w:tcPr>
          <w:p w14:paraId="69FBDD95"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47" w:type="pct"/>
            <w:tcBorders>
              <w:top w:val="nil"/>
              <w:left w:val="nil"/>
              <w:bottom w:val="single" w:sz="8" w:space="0" w:color="auto"/>
              <w:right w:val="single" w:sz="8" w:space="0" w:color="auto"/>
            </w:tcBorders>
            <w:vAlign w:val="center"/>
          </w:tcPr>
          <w:p w14:paraId="7E7080E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E03E1D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D068980" w14:textId="4CA67AA9" w:rsidR="00115458" w:rsidRPr="00D06BCE" w:rsidRDefault="00FB4EBA" w:rsidP="00D06BCE">
            <w:pPr>
              <w:spacing w:after="0" w:line="240" w:lineRule="auto"/>
              <w:rPr>
                <w:rFonts w:cs="Arial"/>
              </w:rPr>
            </w:pPr>
            <w:r>
              <w:t>9.161</w:t>
            </w:r>
          </w:p>
        </w:tc>
        <w:tc>
          <w:tcPr>
            <w:tcW w:w="2813" w:type="pct"/>
            <w:tcBorders>
              <w:top w:val="nil"/>
              <w:left w:val="nil"/>
              <w:bottom w:val="single" w:sz="8" w:space="0" w:color="auto"/>
              <w:right w:val="single" w:sz="8" w:space="0" w:color="auto"/>
            </w:tcBorders>
            <w:vAlign w:val="center"/>
          </w:tcPr>
          <w:p w14:paraId="4ED5B596"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47" w:type="pct"/>
            <w:tcBorders>
              <w:top w:val="nil"/>
              <w:left w:val="nil"/>
              <w:bottom w:val="single" w:sz="8" w:space="0" w:color="auto"/>
              <w:right w:val="single" w:sz="8" w:space="0" w:color="auto"/>
            </w:tcBorders>
            <w:vAlign w:val="center"/>
          </w:tcPr>
          <w:p w14:paraId="77A41D4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D523EAC"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5FBE606" w14:textId="25FBBC75" w:rsidR="00115458" w:rsidRPr="00D06BCE" w:rsidRDefault="00FB4EBA" w:rsidP="00D06BCE">
            <w:pPr>
              <w:spacing w:after="0" w:line="240" w:lineRule="auto"/>
              <w:rPr>
                <w:rFonts w:cs="Arial"/>
              </w:rPr>
            </w:pPr>
            <w:r>
              <w:t>9.162</w:t>
            </w:r>
          </w:p>
        </w:tc>
        <w:tc>
          <w:tcPr>
            <w:tcW w:w="2813" w:type="pct"/>
            <w:tcBorders>
              <w:top w:val="nil"/>
              <w:left w:val="nil"/>
              <w:bottom w:val="single" w:sz="8" w:space="0" w:color="auto"/>
              <w:right w:val="single" w:sz="8" w:space="0" w:color="auto"/>
            </w:tcBorders>
            <w:vAlign w:val="center"/>
          </w:tcPr>
          <w:p w14:paraId="4BB443D4" w14:textId="77777777" w:rsidR="00115458" w:rsidRPr="00D06BCE" w:rsidRDefault="00115458" w:rsidP="00D06BCE">
            <w:pPr>
              <w:spacing w:after="0" w:line="240" w:lineRule="auto"/>
              <w:rPr>
                <w:rFonts w:cs="Arial"/>
              </w:rPr>
            </w:pPr>
            <w:r w:rsidRPr="00D06BCE">
              <w:rPr>
                <w:rFonts w:cs="Arial"/>
              </w:rPr>
              <w:t>Transferee BSB number (second)</w:t>
            </w:r>
          </w:p>
        </w:tc>
        <w:tc>
          <w:tcPr>
            <w:tcW w:w="1547" w:type="pct"/>
            <w:tcBorders>
              <w:top w:val="nil"/>
              <w:left w:val="nil"/>
              <w:bottom w:val="single" w:sz="8" w:space="0" w:color="auto"/>
              <w:right w:val="single" w:sz="8" w:space="0" w:color="auto"/>
            </w:tcBorders>
            <w:vAlign w:val="center"/>
          </w:tcPr>
          <w:p w14:paraId="5D9AF913"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31688199"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73B0E1E" w14:textId="4830A036" w:rsidR="00115458" w:rsidRPr="00D06BCE" w:rsidRDefault="00FB4EBA" w:rsidP="00D06BCE">
            <w:pPr>
              <w:spacing w:after="0" w:line="240" w:lineRule="auto"/>
              <w:rPr>
                <w:rFonts w:cs="Arial"/>
              </w:rPr>
            </w:pPr>
            <w:r>
              <w:t>9.160</w:t>
            </w:r>
          </w:p>
        </w:tc>
        <w:tc>
          <w:tcPr>
            <w:tcW w:w="2813" w:type="pct"/>
            <w:tcBorders>
              <w:top w:val="nil"/>
              <w:left w:val="nil"/>
              <w:bottom w:val="single" w:sz="8" w:space="0" w:color="auto"/>
              <w:right w:val="single" w:sz="8" w:space="0" w:color="auto"/>
            </w:tcBorders>
            <w:vAlign w:val="center"/>
          </w:tcPr>
          <w:p w14:paraId="2F999999"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47" w:type="pct"/>
            <w:tcBorders>
              <w:top w:val="nil"/>
              <w:left w:val="nil"/>
              <w:bottom w:val="single" w:sz="8" w:space="0" w:color="auto"/>
              <w:right w:val="single" w:sz="8" w:space="0" w:color="auto"/>
            </w:tcBorders>
            <w:vAlign w:val="center"/>
          </w:tcPr>
          <w:p w14:paraId="32A6506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ABD0408"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1140AB2B" w14:textId="0DE4F413" w:rsidR="00115458" w:rsidRPr="00D06BCE" w:rsidRDefault="00FB4EBA" w:rsidP="00D06BCE">
            <w:pPr>
              <w:spacing w:after="0" w:line="240" w:lineRule="auto"/>
              <w:rPr>
                <w:rFonts w:cs="Arial"/>
              </w:rPr>
            </w:pPr>
            <w:r>
              <w:t>9.161</w:t>
            </w:r>
          </w:p>
        </w:tc>
        <w:tc>
          <w:tcPr>
            <w:tcW w:w="2813" w:type="pct"/>
            <w:tcBorders>
              <w:top w:val="nil"/>
              <w:left w:val="nil"/>
              <w:bottom w:val="single" w:sz="8" w:space="0" w:color="auto"/>
              <w:right w:val="single" w:sz="8" w:space="0" w:color="auto"/>
            </w:tcBorders>
            <w:vAlign w:val="center"/>
          </w:tcPr>
          <w:p w14:paraId="78F34944"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47" w:type="pct"/>
            <w:tcBorders>
              <w:top w:val="nil"/>
              <w:left w:val="nil"/>
              <w:bottom w:val="single" w:sz="8" w:space="0" w:color="auto"/>
              <w:right w:val="single" w:sz="8" w:space="0" w:color="auto"/>
            </w:tcBorders>
            <w:vAlign w:val="center"/>
          </w:tcPr>
          <w:p w14:paraId="284E9BD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3218096"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05095F3" w14:textId="2251CAC0" w:rsidR="00115458" w:rsidRPr="00D06BCE" w:rsidRDefault="00FB4EBA" w:rsidP="00D06BCE">
            <w:pPr>
              <w:spacing w:after="0" w:line="240" w:lineRule="auto"/>
              <w:rPr>
                <w:rFonts w:cs="Arial"/>
              </w:rPr>
            </w:pPr>
            <w:r>
              <w:t>9.162</w:t>
            </w:r>
          </w:p>
        </w:tc>
        <w:tc>
          <w:tcPr>
            <w:tcW w:w="2813" w:type="pct"/>
            <w:tcBorders>
              <w:top w:val="nil"/>
              <w:left w:val="nil"/>
              <w:bottom w:val="single" w:sz="8" w:space="0" w:color="auto"/>
              <w:right w:val="single" w:sz="8" w:space="0" w:color="auto"/>
            </w:tcBorders>
            <w:vAlign w:val="center"/>
          </w:tcPr>
          <w:p w14:paraId="5E956C75" w14:textId="77777777" w:rsidR="00115458" w:rsidRPr="00D06BCE" w:rsidRDefault="00115458" w:rsidP="00D06BCE">
            <w:pPr>
              <w:spacing w:after="0" w:line="240" w:lineRule="auto"/>
              <w:rPr>
                <w:rFonts w:cs="Arial"/>
              </w:rPr>
            </w:pPr>
            <w:r w:rsidRPr="00D06BCE">
              <w:rPr>
                <w:rFonts w:cs="Arial"/>
              </w:rPr>
              <w:t>Transferee BSB number (third)</w:t>
            </w:r>
          </w:p>
        </w:tc>
        <w:tc>
          <w:tcPr>
            <w:tcW w:w="1547" w:type="pct"/>
            <w:tcBorders>
              <w:top w:val="nil"/>
              <w:left w:val="nil"/>
              <w:bottom w:val="single" w:sz="8" w:space="0" w:color="auto"/>
              <w:right w:val="single" w:sz="8" w:space="0" w:color="auto"/>
            </w:tcBorders>
            <w:vAlign w:val="center"/>
          </w:tcPr>
          <w:p w14:paraId="256EB4F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1801A38"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74EC2F2" w14:textId="288F0DE6" w:rsidR="00115458" w:rsidRPr="00D06BCE" w:rsidRDefault="00FB4EBA" w:rsidP="00D06BCE">
            <w:pPr>
              <w:spacing w:after="0" w:line="240" w:lineRule="auto"/>
              <w:rPr>
                <w:rFonts w:cs="Arial"/>
              </w:rPr>
            </w:pPr>
            <w:r>
              <w:t>9.160</w:t>
            </w:r>
          </w:p>
        </w:tc>
        <w:tc>
          <w:tcPr>
            <w:tcW w:w="2813" w:type="pct"/>
            <w:tcBorders>
              <w:top w:val="nil"/>
              <w:left w:val="nil"/>
              <w:bottom w:val="single" w:sz="8" w:space="0" w:color="auto"/>
              <w:right w:val="single" w:sz="8" w:space="0" w:color="auto"/>
            </w:tcBorders>
            <w:vAlign w:val="center"/>
          </w:tcPr>
          <w:p w14:paraId="0399B08F"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47" w:type="pct"/>
            <w:tcBorders>
              <w:top w:val="nil"/>
              <w:left w:val="nil"/>
              <w:bottom w:val="single" w:sz="8" w:space="0" w:color="auto"/>
              <w:right w:val="single" w:sz="8" w:space="0" w:color="auto"/>
            </w:tcBorders>
            <w:vAlign w:val="center"/>
          </w:tcPr>
          <w:p w14:paraId="3A170DF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8391D39"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A7AAD7C" w14:textId="6660EB2C" w:rsidR="00115458" w:rsidRPr="00D06BCE" w:rsidRDefault="00FB4EBA" w:rsidP="00D06BCE">
            <w:pPr>
              <w:spacing w:after="0" w:line="240" w:lineRule="auto"/>
              <w:rPr>
                <w:rFonts w:cs="Arial"/>
              </w:rPr>
            </w:pPr>
            <w:r>
              <w:t>9.161</w:t>
            </w:r>
          </w:p>
        </w:tc>
        <w:tc>
          <w:tcPr>
            <w:tcW w:w="2813" w:type="pct"/>
            <w:tcBorders>
              <w:top w:val="nil"/>
              <w:left w:val="nil"/>
              <w:bottom w:val="single" w:sz="8" w:space="0" w:color="auto"/>
              <w:right w:val="single" w:sz="8" w:space="0" w:color="auto"/>
            </w:tcBorders>
            <w:vAlign w:val="center"/>
          </w:tcPr>
          <w:p w14:paraId="5F5E5166"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47" w:type="pct"/>
            <w:tcBorders>
              <w:top w:val="nil"/>
              <w:left w:val="nil"/>
              <w:bottom w:val="single" w:sz="8" w:space="0" w:color="auto"/>
              <w:right w:val="single" w:sz="8" w:space="0" w:color="auto"/>
            </w:tcBorders>
            <w:vAlign w:val="center"/>
          </w:tcPr>
          <w:p w14:paraId="4065B0B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2AAD11A"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222C4C9" w14:textId="4785105B" w:rsidR="00115458" w:rsidRPr="00D06BCE" w:rsidRDefault="00FB4EBA" w:rsidP="00D06BCE">
            <w:pPr>
              <w:spacing w:after="0" w:line="240" w:lineRule="auto"/>
              <w:rPr>
                <w:rFonts w:cs="Arial"/>
              </w:rPr>
            </w:pPr>
            <w:r>
              <w:t>9.162</w:t>
            </w:r>
          </w:p>
        </w:tc>
        <w:tc>
          <w:tcPr>
            <w:tcW w:w="2813" w:type="pct"/>
            <w:tcBorders>
              <w:top w:val="nil"/>
              <w:left w:val="nil"/>
              <w:bottom w:val="single" w:sz="8" w:space="0" w:color="auto"/>
              <w:right w:val="single" w:sz="8" w:space="0" w:color="auto"/>
            </w:tcBorders>
            <w:vAlign w:val="center"/>
          </w:tcPr>
          <w:p w14:paraId="6AE42BE2" w14:textId="77777777" w:rsidR="00115458" w:rsidRPr="00D06BCE" w:rsidRDefault="00115458" w:rsidP="00D06BCE">
            <w:pPr>
              <w:spacing w:after="0" w:line="240" w:lineRule="auto"/>
              <w:rPr>
                <w:rFonts w:cs="Arial"/>
              </w:rPr>
            </w:pPr>
            <w:r w:rsidRPr="00D06BCE">
              <w:rPr>
                <w:rFonts w:cs="Arial"/>
              </w:rPr>
              <w:t>Transferee BSB number (fourth)</w:t>
            </w:r>
          </w:p>
        </w:tc>
        <w:tc>
          <w:tcPr>
            <w:tcW w:w="1547" w:type="pct"/>
            <w:tcBorders>
              <w:top w:val="nil"/>
              <w:left w:val="nil"/>
              <w:bottom w:val="single" w:sz="8" w:space="0" w:color="auto"/>
              <w:right w:val="single" w:sz="8" w:space="0" w:color="auto"/>
            </w:tcBorders>
            <w:vAlign w:val="center"/>
          </w:tcPr>
          <w:p w14:paraId="4E746746"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56D3F3D"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E24C922" w14:textId="44A50126" w:rsidR="00115458" w:rsidRPr="00D06BCE" w:rsidRDefault="00FB4EBA" w:rsidP="00D06BCE">
            <w:pPr>
              <w:spacing w:after="0" w:line="240" w:lineRule="auto"/>
              <w:rPr>
                <w:rFonts w:cs="Arial"/>
              </w:rPr>
            </w:pPr>
            <w:r>
              <w:t>9.163</w:t>
            </w:r>
          </w:p>
        </w:tc>
        <w:tc>
          <w:tcPr>
            <w:tcW w:w="2813" w:type="pct"/>
            <w:tcBorders>
              <w:top w:val="nil"/>
              <w:left w:val="nil"/>
              <w:bottom w:val="single" w:sz="8" w:space="0" w:color="auto"/>
              <w:right w:val="single" w:sz="8" w:space="0" w:color="auto"/>
            </w:tcBorders>
            <w:vAlign w:val="center"/>
          </w:tcPr>
          <w:p w14:paraId="7444EC66"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47" w:type="pct"/>
            <w:tcBorders>
              <w:top w:val="nil"/>
              <w:left w:val="nil"/>
              <w:bottom w:val="single" w:sz="8" w:space="0" w:color="auto"/>
              <w:right w:val="single" w:sz="8" w:space="0" w:color="auto"/>
            </w:tcBorders>
            <w:vAlign w:val="center"/>
          </w:tcPr>
          <w:p w14:paraId="132DF71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971948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B1FFA1A" w14:textId="2BED6A85" w:rsidR="00115458" w:rsidRPr="00D06BCE" w:rsidRDefault="00FB4EBA" w:rsidP="00D06BCE">
            <w:pPr>
              <w:spacing w:after="0" w:line="240" w:lineRule="auto"/>
              <w:rPr>
                <w:rFonts w:cs="Arial"/>
              </w:rPr>
            </w:pPr>
            <w:r>
              <w:t>9.164</w:t>
            </w:r>
          </w:p>
        </w:tc>
        <w:tc>
          <w:tcPr>
            <w:tcW w:w="2813" w:type="pct"/>
            <w:tcBorders>
              <w:top w:val="nil"/>
              <w:left w:val="nil"/>
              <w:bottom w:val="single" w:sz="8" w:space="0" w:color="auto"/>
              <w:right w:val="single" w:sz="8" w:space="0" w:color="auto"/>
            </w:tcBorders>
            <w:vAlign w:val="center"/>
          </w:tcPr>
          <w:p w14:paraId="04CA835A"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47" w:type="pct"/>
            <w:tcBorders>
              <w:top w:val="nil"/>
              <w:left w:val="nil"/>
              <w:bottom w:val="single" w:sz="8" w:space="0" w:color="auto"/>
              <w:right w:val="single" w:sz="8" w:space="0" w:color="auto"/>
            </w:tcBorders>
            <w:vAlign w:val="center"/>
          </w:tcPr>
          <w:p w14:paraId="681DC73E" w14:textId="77777777" w:rsidR="00115458" w:rsidRPr="00D06BCE" w:rsidRDefault="00115458" w:rsidP="00D06BCE">
            <w:pPr>
              <w:spacing w:after="0" w:line="240" w:lineRule="auto"/>
              <w:rPr>
                <w:rFonts w:cs="Arial"/>
              </w:rPr>
            </w:pPr>
            <w:r w:rsidRPr="00D06BCE">
              <w:rPr>
                <w:rFonts w:cs="Arial"/>
              </w:rPr>
              <w:t>000005000000</w:t>
            </w:r>
          </w:p>
        </w:tc>
      </w:tr>
      <w:tr w:rsidR="00115458" w:rsidRPr="00D06BCE" w14:paraId="7382CB83" w14:textId="77777777" w:rsidTr="00427C84">
        <w:trPr>
          <w:trHeight w:val="270"/>
        </w:trPr>
        <w:tc>
          <w:tcPr>
            <w:tcW w:w="640" w:type="pct"/>
            <w:tcBorders>
              <w:top w:val="single" w:sz="8" w:space="0" w:color="auto"/>
              <w:left w:val="single" w:sz="8" w:space="0" w:color="auto"/>
              <w:bottom w:val="single" w:sz="8" w:space="0" w:color="auto"/>
              <w:right w:val="single" w:sz="8" w:space="0" w:color="auto"/>
            </w:tcBorders>
            <w:vAlign w:val="center"/>
          </w:tcPr>
          <w:p w14:paraId="755BD44F" w14:textId="326F41DC" w:rsidR="00115458" w:rsidRPr="00D06BCE" w:rsidRDefault="00FB4EBA" w:rsidP="00D06BCE">
            <w:pPr>
              <w:spacing w:after="0" w:line="240" w:lineRule="auto"/>
              <w:rPr>
                <w:rFonts w:cs="Arial"/>
              </w:rPr>
            </w:pPr>
            <w:r>
              <w:t>9.165</w:t>
            </w:r>
          </w:p>
        </w:tc>
        <w:tc>
          <w:tcPr>
            <w:tcW w:w="2813" w:type="pct"/>
            <w:tcBorders>
              <w:top w:val="single" w:sz="8" w:space="0" w:color="auto"/>
              <w:left w:val="nil"/>
              <w:bottom w:val="single" w:sz="8" w:space="0" w:color="auto"/>
              <w:right w:val="single" w:sz="8" w:space="0" w:color="auto"/>
            </w:tcBorders>
            <w:vAlign w:val="center"/>
          </w:tcPr>
          <w:p w14:paraId="5EECCFA9" w14:textId="77777777" w:rsidR="00115458" w:rsidRPr="00D06BCE" w:rsidRDefault="00115458" w:rsidP="00D06BCE">
            <w:pPr>
              <w:spacing w:after="0" w:line="240" w:lineRule="auto"/>
              <w:rPr>
                <w:rFonts w:cs="Arial"/>
              </w:rPr>
            </w:pPr>
            <w:r w:rsidRPr="00D06BCE">
              <w:rPr>
                <w:rFonts w:cs="Arial"/>
              </w:rPr>
              <w:t>Interest offset account (=Y or N)</w:t>
            </w:r>
          </w:p>
        </w:tc>
        <w:tc>
          <w:tcPr>
            <w:tcW w:w="1547" w:type="pct"/>
            <w:tcBorders>
              <w:top w:val="single" w:sz="8" w:space="0" w:color="auto"/>
              <w:left w:val="nil"/>
              <w:bottom w:val="single" w:sz="8" w:space="0" w:color="auto"/>
              <w:right w:val="single" w:sz="8" w:space="0" w:color="auto"/>
            </w:tcBorders>
            <w:vAlign w:val="center"/>
          </w:tcPr>
          <w:p w14:paraId="3DE77510" w14:textId="77777777" w:rsidR="00115458" w:rsidRPr="00D06BCE" w:rsidRDefault="00115458" w:rsidP="00D06BCE">
            <w:pPr>
              <w:spacing w:after="0" w:line="240" w:lineRule="auto"/>
              <w:rPr>
                <w:rFonts w:cs="Arial"/>
              </w:rPr>
            </w:pPr>
            <w:r w:rsidRPr="00D06BCE">
              <w:rPr>
                <w:rFonts w:cs="Arial"/>
              </w:rPr>
              <w:t>N</w:t>
            </w:r>
          </w:p>
        </w:tc>
      </w:tr>
      <w:tr w:rsidR="00115458" w:rsidRPr="00D06BCE" w14:paraId="495A0E4E" w14:textId="77777777" w:rsidTr="00427C84">
        <w:trPr>
          <w:trHeight w:val="270"/>
        </w:trPr>
        <w:tc>
          <w:tcPr>
            <w:tcW w:w="640" w:type="pct"/>
            <w:tcBorders>
              <w:top w:val="single" w:sz="8" w:space="0" w:color="auto"/>
              <w:left w:val="single" w:sz="8" w:space="0" w:color="auto"/>
              <w:bottom w:val="single" w:sz="8" w:space="0" w:color="auto"/>
              <w:right w:val="single" w:sz="8" w:space="0" w:color="auto"/>
            </w:tcBorders>
            <w:vAlign w:val="center"/>
          </w:tcPr>
          <w:p w14:paraId="7BC66596" w14:textId="77777777" w:rsidR="00115458" w:rsidRPr="00D06BCE" w:rsidRDefault="00115458" w:rsidP="00D06BCE">
            <w:pPr>
              <w:spacing w:after="0" w:line="240" w:lineRule="auto"/>
              <w:rPr>
                <w:rFonts w:cs="Arial"/>
              </w:rPr>
            </w:pPr>
            <w:hyperlink w:anchor="d7_006" w:history="1">
              <w:r w:rsidRPr="00D06BCE">
                <w:t>9.6</w:t>
              </w:r>
            </w:hyperlink>
          </w:p>
        </w:tc>
        <w:tc>
          <w:tcPr>
            <w:tcW w:w="2813" w:type="pct"/>
            <w:tcBorders>
              <w:top w:val="single" w:sz="8" w:space="0" w:color="auto"/>
              <w:left w:val="nil"/>
              <w:bottom w:val="single" w:sz="8" w:space="0" w:color="auto"/>
              <w:right w:val="single" w:sz="8" w:space="0" w:color="auto"/>
            </w:tcBorders>
            <w:vAlign w:val="center"/>
          </w:tcPr>
          <w:p w14:paraId="05341538" w14:textId="77777777" w:rsidR="00115458" w:rsidRPr="00D06BCE" w:rsidRDefault="00115458" w:rsidP="00D06BCE">
            <w:pPr>
              <w:spacing w:after="0" w:line="240" w:lineRule="auto"/>
              <w:rPr>
                <w:rFonts w:cs="Arial"/>
              </w:rPr>
            </w:pPr>
            <w:r w:rsidRPr="00D06BCE">
              <w:rPr>
                <w:rFonts w:cs="Arial"/>
              </w:rPr>
              <w:t>Filler</w:t>
            </w:r>
          </w:p>
        </w:tc>
        <w:tc>
          <w:tcPr>
            <w:tcW w:w="1547" w:type="pct"/>
            <w:tcBorders>
              <w:top w:val="single" w:sz="8" w:space="0" w:color="auto"/>
              <w:left w:val="nil"/>
              <w:bottom w:val="single" w:sz="8" w:space="0" w:color="auto"/>
              <w:right w:val="single" w:sz="8" w:space="0" w:color="auto"/>
            </w:tcBorders>
            <w:vAlign w:val="center"/>
          </w:tcPr>
          <w:p w14:paraId="3A1EC436" w14:textId="77777777" w:rsidR="00115458" w:rsidRPr="00D06BCE" w:rsidRDefault="00115458" w:rsidP="00D06BCE">
            <w:pPr>
              <w:spacing w:after="0" w:line="240" w:lineRule="auto"/>
              <w:rPr>
                <w:rFonts w:cs="Arial"/>
              </w:rPr>
            </w:pPr>
            <w:r w:rsidRPr="00D06BCE">
              <w:rPr>
                <w:rFonts w:cs="Arial"/>
              </w:rPr>
              <w:t>Blank fill</w:t>
            </w:r>
          </w:p>
        </w:tc>
      </w:tr>
    </w:tbl>
    <w:p w14:paraId="1EE39324" w14:textId="77777777" w:rsidR="00115458" w:rsidRPr="00D06BCE" w:rsidRDefault="00115458" w:rsidP="00D06BCE">
      <w:pPr>
        <w:spacing w:after="0" w:line="240" w:lineRule="auto"/>
        <w:rPr>
          <w:rFonts w:cs="Arial"/>
        </w:rPr>
      </w:pPr>
      <w:r w:rsidRPr="00D06BCE">
        <w:rPr>
          <w:rFonts w:cs="Arial"/>
          <w:b/>
          <w:smallCaps/>
        </w:rPr>
        <w:t>*</w:t>
      </w:r>
      <w:r w:rsidRPr="00D06BCE">
        <w:rPr>
          <w:rFonts w:cs="Arial"/>
        </w:rPr>
        <w:t xml:space="preserve">Date of original deductible deposit is optional for deposits held for less than 12 months. If your natural systems capture and report this information then continue to do so. </w:t>
      </w:r>
    </w:p>
    <w:p w14:paraId="1B908686" w14:textId="77777777" w:rsidR="00115458" w:rsidRPr="00D06BCE" w:rsidRDefault="00115458" w:rsidP="00D06BCE">
      <w:pPr>
        <w:spacing w:after="0" w:line="240" w:lineRule="auto"/>
        <w:rPr>
          <w:rFonts w:cs="Arial"/>
        </w:rPr>
      </w:pPr>
    </w:p>
    <w:p w14:paraId="1285903C" w14:textId="77777777" w:rsidR="00115458" w:rsidRPr="00D06BCE" w:rsidRDefault="00115458" w:rsidP="00D06BCE">
      <w:pPr>
        <w:keepNext/>
        <w:spacing w:after="0" w:line="240" w:lineRule="auto"/>
        <w:outlineLvl w:val="3"/>
        <w:rPr>
          <w:rFonts w:cs="Arial"/>
          <w:b/>
        </w:rPr>
      </w:pPr>
      <w:r w:rsidRPr="00D06BCE">
        <w:rPr>
          <w:rFonts w:cs="Arial"/>
          <w:b/>
        </w:rPr>
        <w:t xml:space="preserve">Example 9.4 – Existing FMD account with a transfer out and interest paid </w:t>
      </w:r>
    </w:p>
    <w:p w14:paraId="28FB0133" w14:textId="14E7E781" w:rsidR="00115458" w:rsidRDefault="00115458" w:rsidP="00D06BCE">
      <w:pPr>
        <w:spacing w:after="0" w:line="240" w:lineRule="auto"/>
        <w:rPr>
          <w:rFonts w:eastAsia="Calibri" w:cs="Arial"/>
        </w:rPr>
      </w:pPr>
      <w:r w:rsidRPr="00D06BCE">
        <w:rPr>
          <w:rFonts w:eastAsia="Calibri" w:cs="Arial"/>
        </w:rPr>
        <w:t>Sebastian Copperfield has an FMD account, with Northern Sun Bank, opened on 11 July 20</w:t>
      </w:r>
      <w:r w:rsidR="00511A94">
        <w:rPr>
          <w:rFonts w:eastAsia="Calibri" w:cs="Arial"/>
        </w:rPr>
        <w:t>22</w:t>
      </w:r>
      <w:r w:rsidRPr="00D06BCE">
        <w:rPr>
          <w:rFonts w:eastAsia="Calibri" w:cs="Arial"/>
        </w:rPr>
        <w:t>. He made a transfer to Merlon Bank Ltd of $35,000.00 on 10 November 20</w:t>
      </w:r>
      <w:r w:rsidR="001B4130">
        <w:rPr>
          <w:rFonts w:eastAsia="Calibri" w:cs="Arial"/>
        </w:rPr>
        <w:t>25</w:t>
      </w:r>
      <w:r w:rsidRPr="00D06BCE">
        <w:rPr>
          <w:rFonts w:eastAsia="Calibri" w:cs="Arial"/>
        </w:rPr>
        <w:t>. Interest of $1,833.00 was paid on 8 January 202</w:t>
      </w:r>
      <w:r w:rsidR="00881C2F">
        <w:rPr>
          <w:rFonts w:eastAsia="Calibri" w:cs="Arial"/>
        </w:rPr>
        <w:t>6</w:t>
      </w:r>
      <w:r w:rsidRPr="00D06BCE">
        <w:rPr>
          <w:rFonts w:eastAsia="Calibri" w:cs="Arial"/>
        </w:rPr>
        <w:t>. Closing balance as at 30 June 202</w:t>
      </w:r>
      <w:r w:rsidR="00881C2F">
        <w:rPr>
          <w:rFonts w:eastAsia="Calibri" w:cs="Arial"/>
        </w:rPr>
        <w:t>6</w:t>
      </w:r>
      <w:r w:rsidRPr="00D06BCE">
        <w:rPr>
          <w:rFonts w:eastAsia="Calibri" w:cs="Arial"/>
        </w:rPr>
        <w:t xml:space="preserve"> with Northern Sun Bank is $50,000.00.</w:t>
      </w:r>
    </w:p>
    <w:p w14:paraId="60ACFC9F" w14:textId="77777777" w:rsidR="00D06BCE" w:rsidRPr="00D06BCE" w:rsidRDefault="00D06BCE" w:rsidP="00D06BCE">
      <w:pPr>
        <w:spacing w:after="0" w:line="240" w:lineRule="auto"/>
        <w:rPr>
          <w:rFonts w:eastAsia="Calibri" w:cs="Arial"/>
        </w:rPr>
      </w:pPr>
    </w:p>
    <w:p w14:paraId="73283931" w14:textId="77777777" w:rsidR="0023547A" w:rsidRDefault="0023547A" w:rsidP="00D06BCE">
      <w:pPr>
        <w:spacing w:after="0" w:line="240" w:lineRule="auto"/>
        <w:rPr>
          <w:rFonts w:cs="Arial"/>
          <w:b/>
          <w:smallCaps/>
        </w:rPr>
      </w:pPr>
    </w:p>
    <w:p w14:paraId="4752C968" w14:textId="77777777" w:rsidR="0023547A" w:rsidRDefault="0023547A" w:rsidP="00D06BCE">
      <w:pPr>
        <w:spacing w:after="0" w:line="240" w:lineRule="auto"/>
        <w:rPr>
          <w:rFonts w:cs="Arial"/>
          <w:b/>
          <w:smallCaps/>
        </w:rPr>
      </w:pPr>
    </w:p>
    <w:p w14:paraId="660E6FE0" w14:textId="77777777" w:rsidR="0023547A" w:rsidRDefault="0023547A" w:rsidP="00D06BCE">
      <w:pPr>
        <w:spacing w:after="0" w:line="240" w:lineRule="auto"/>
        <w:rPr>
          <w:rFonts w:cs="Arial"/>
          <w:b/>
          <w:smallCaps/>
        </w:rPr>
      </w:pPr>
    </w:p>
    <w:p w14:paraId="75087163" w14:textId="77777777" w:rsidR="0023547A" w:rsidRDefault="0023547A" w:rsidP="00D06BCE">
      <w:pPr>
        <w:spacing w:after="0" w:line="240" w:lineRule="auto"/>
        <w:rPr>
          <w:rFonts w:cs="Arial"/>
          <w:b/>
          <w:smallCaps/>
        </w:rPr>
      </w:pPr>
    </w:p>
    <w:p w14:paraId="4069CC3B" w14:textId="63A96805" w:rsidR="00115458" w:rsidRPr="00D06BCE" w:rsidRDefault="00115458" w:rsidP="00D06BCE">
      <w:pPr>
        <w:spacing w:after="0" w:line="240" w:lineRule="auto"/>
        <w:rPr>
          <w:rFonts w:cs="Arial"/>
          <w:smallCaps/>
        </w:rPr>
      </w:pPr>
      <w:r w:rsidRPr="00D06BCE">
        <w:rPr>
          <w:rFonts w:cs="Arial"/>
          <w:b/>
          <w:smallCaps/>
        </w:rPr>
        <w:t xml:space="preserve">farm management deposit account data record </w:t>
      </w:r>
      <w:r w:rsidRPr="00D06BCE">
        <w:rPr>
          <w:rFonts w:cs="Arial"/>
          <w:smallCaps/>
        </w:rPr>
        <w:t xml:space="preserve">– </w:t>
      </w:r>
      <w:r w:rsidRPr="00D06BCE">
        <w:rPr>
          <w:rFonts w:cs="Arial"/>
        </w:rPr>
        <w:t>Northern Sun Bank</w:t>
      </w:r>
      <w:r w:rsidRPr="00D06BCE">
        <w:rPr>
          <w:rFonts w:cs="Arial"/>
          <w:smallCaps/>
        </w:rPr>
        <w:t xml:space="preserve"> </w:t>
      </w:r>
    </w:p>
    <w:p w14:paraId="35CCD0F2" w14:textId="77777777" w:rsidR="00115458" w:rsidRPr="00D06BCE" w:rsidRDefault="00115458" w:rsidP="00D06BCE">
      <w:pPr>
        <w:spacing w:after="0" w:line="240" w:lineRule="auto"/>
        <w:rPr>
          <w:rFonts w:cs="Arial"/>
          <w:smallCaps/>
        </w:rPr>
      </w:pPr>
    </w:p>
    <w:tbl>
      <w:tblPr>
        <w:tblW w:w="5000" w:type="pct"/>
        <w:tblCellMar>
          <w:top w:w="28" w:type="dxa"/>
          <w:bottom w:w="28" w:type="dxa"/>
        </w:tblCellMar>
        <w:tblLook w:val="0000" w:firstRow="0" w:lastRow="0" w:firstColumn="0" w:lastColumn="0" w:noHBand="0" w:noVBand="0"/>
      </w:tblPr>
      <w:tblGrid>
        <w:gridCol w:w="1227"/>
        <w:gridCol w:w="5206"/>
        <w:gridCol w:w="2855"/>
      </w:tblGrid>
      <w:tr w:rsidR="00115458" w:rsidRPr="00D06BCE" w14:paraId="13A847EE" w14:textId="77777777" w:rsidTr="000C1365">
        <w:trPr>
          <w:trHeight w:val="495"/>
          <w:tblHeader/>
        </w:trPr>
        <w:tc>
          <w:tcPr>
            <w:tcW w:w="640" w:type="pct"/>
            <w:tcBorders>
              <w:top w:val="single" w:sz="4" w:space="0" w:color="auto"/>
              <w:left w:val="single" w:sz="4" w:space="0" w:color="auto"/>
              <w:bottom w:val="single" w:sz="4" w:space="0" w:color="auto"/>
              <w:right w:val="single" w:sz="4" w:space="0" w:color="auto"/>
            </w:tcBorders>
            <w:shd w:val="clear" w:color="auto" w:fill="B3B3B3"/>
            <w:vAlign w:val="center"/>
          </w:tcPr>
          <w:p w14:paraId="0D78A1C5" w14:textId="77777777" w:rsidR="00115458" w:rsidRPr="00D06BCE" w:rsidRDefault="00115458" w:rsidP="00D06BCE">
            <w:pPr>
              <w:spacing w:after="0" w:line="240" w:lineRule="auto"/>
              <w:rPr>
                <w:rFonts w:cs="Arial"/>
                <w:b/>
                <w:bCs/>
              </w:rPr>
            </w:pPr>
            <w:r w:rsidRPr="00D06BCE">
              <w:rPr>
                <w:rFonts w:cs="Arial"/>
                <w:b/>
                <w:bCs/>
              </w:rPr>
              <w:t>Reference number</w:t>
            </w:r>
          </w:p>
        </w:tc>
        <w:tc>
          <w:tcPr>
            <w:tcW w:w="2813" w:type="pct"/>
            <w:tcBorders>
              <w:top w:val="single" w:sz="4" w:space="0" w:color="auto"/>
              <w:left w:val="single" w:sz="4" w:space="0" w:color="auto"/>
              <w:bottom w:val="single" w:sz="4" w:space="0" w:color="auto"/>
              <w:right w:val="single" w:sz="4" w:space="0" w:color="auto"/>
            </w:tcBorders>
            <w:shd w:val="clear" w:color="auto" w:fill="B3B3B3"/>
            <w:vAlign w:val="center"/>
          </w:tcPr>
          <w:p w14:paraId="67E2AB7A" w14:textId="77777777" w:rsidR="00115458" w:rsidRPr="00D06BCE" w:rsidRDefault="00115458" w:rsidP="00D06BCE">
            <w:pPr>
              <w:spacing w:after="0" w:line="240" w:lineRule="auto"/>
              <w:rPr>
                <w:rFonts w:cs="Arial"/>
                <w:b/>
                <w:bCs/>
              </w:rPr>
            </w:pPr>
            <w:r w:rsidRPr="00D06BCE">
              <w:rPr>
                <w:rFonts w:cs="Arial"/>
                <w:b/>
                <w:bCs/>
              </w:rPr>
              <w:t>Field name</w:t>
            </w:r>
          </w:p>
        </w:tc>
        <w:tc>
          <w:tcPr>
            <w:tcW w:w="1547" w:type="pct"/>
            <w:tcBorders>
              <w:top w:val="single" w:sz="4" w:space="0" w:color="auto"/>
              <w:left w:val="single" w:sz="4" w:space="0" w:color="auto"/>
              <w:bottom w:val="single" w:sz="4" w:space="0" w:color="auto"/>
              <w:right w:val="single" w:sz="4" w:space="0" w:color="auto"/>
            </w:tcBorders>
            <w:shd w:val="clear" w:color="auto" w:fill="B3B3B3"/>
            <w:vAlign w:val="center"/>
          </w:tcPr>
          <w:p w14:paraId="7DD947E6"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1228E98B"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9DC353A" w14:textId="77777777" w:rsidR="00115458" w:rsidRPr="00D06BCE" w:rsidRDefault="00115458" w:rsidP="00D06BCE">
            <w:pPr>
              <w:spacing w:after="0" w:line="240" w:lineRule="auto"/>
            </w:pPr>
            <w:hyperlink w:anchor="d7_001" w:history="1">
              <w:r w:rsidRPr="00D06BCE">
                <w:t>9.1</w:t>
              </w:r>
            </w:hyperlink>
          </w:p>
        </w:tc>
        <w:tc>
          <w:tcPr>
            <w:tcW w:w="2813" w:type="pct"/>
            <w:tcBorders>
              <w:top w:val="nil"/>
              <w:left w:val="nil"/>
              <w:bottom w:val="single" w:sz="8" w:space="0" w:color="auto"/>
              <w:right w:val="single" w:sz="8" w:space="0" w:color="auto"/>
            </w:tcBorders>
            <w:vAlign w:val="center"/>
          </w:tcPr>
          <w:p w14:paraId="4FF2BBA6" w14:textId="77777777" w:rsidR="00115458" w:rsidRPr="00D06BCE" w:rsidRDefault="00115458" w:rsidP="00D06BCE">
            <w:pPr>
              <w:spacing w:after="0" w:line="240" w:lineRule="auto"/>
              <w:rPr>
                <w:rFonts w:cs="Arial"/>
              </w:rPr>
            </w:pPr>
            <w:r w:rsidRPr="00D06BCE">
              <w:rPr>
                <w:rFonts w:cs="Arial"/>
              </w:rPr>
              <w:t>Record length (=850)</w:t>
            </w:r>
          </w:p>
        </w:tc>
        <w:tc>
          <w:tcPr>
            <w:tcW w:w="1547" w:type="pct"/>
            <w:tcBorders>
              <w:top w:val="nil"/>
              <w:left w:val="nil"/>
              <w:bottom w:val="single" w:sz="8" w:space="0" w:color="auto"/>
              <w:right w:val="single" w:sz="8" w:space="0" w:color="auto"/>
            </w:tcBorders>
            <w:vAlign w:val="center"/>
          </w:tcPr>
          <w:p w14:paraId="2E15B762" w14:textId="77777777" w:rsidR="00115458" w:rsidRPr="00D06BCE" w:rsidRDefault="00115458" w:rsidP="00D06BCE">
            <w:pPr>
              <w:spacing w:after="0" w:line="240" w:lineRule="auto"/>
              <w:rPr>
                <w:rFonts w:cs="Arial"/>
              </w:rPr>
            </w:pPr>
            <w:r w:rsidRPr="00D06BCE">
              <w:rPr>
                <w:rFonts w:cs="Arial"/>
              </w:rPr>
              <w:t>850</w:t>
            </w:r>
          </w:p>
        </w:tc>
      </w:tr>
      <w:tr w:rsidR="00115458" w:rsidRPr="00D06BCE" w14:paraId="07AC607C"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6944327" w14:textId="5E52CE6F" w:rsidR="00115458" w:rsidRPr="00D06BCE" w:rsidRDefault="00944D41" w:rsidP="00D06BCE">
            <w:pPr>
              <w:spacing w:after="0" w:line="240" w:lineRule="auto"/>
            </w:pPr>
            <w:r>
              <w:rPr>
                <w:rFonts w:cs="Arial"/>
              </w:rPr>
              <w:t>9.147</w:t>
            </w:r>
          </w:p>
        </w:tc>
        <w:tc>
          <w:tcPr>
            <w:tcW w:w="2813" w:type="pct"/>
            <w:tcBorders>
              <w:top w:val="nil"/>
              <w:left w:val="nil"/>
              <w:bottom w:val="single" w:sz="8" w:space="0" w:color="auto"/>
              <w:right w:val="single" w:sz="8" w:space="0" w:color="auto"/>
            </w:tcBorders>
            <w:vAlign w:val="center"/>
          </w:tcPr>
          <w:p w14:paraId="40E0F7D9"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47" w:type="pct"/>
            <w:tcBorders>
              <w:top w:val="nil"/>
              <w:left w:val="nil"/>
              <w:bottom w:val="single" w:sz="8" w:space="0" w:color="auto"/>
              <w:right w:val="single" w:sz="8" w:space="0" w:color="auto"/>
            </w:tcBorders>
            <w:vAlign w:val="center"/>
          </w:tcPr>
          <w:p w14:paraId="11912104"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059E65D1"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AFE3A34" w14:textId="366C8F21" w:rsidR="00115458" w:rsidRPr="00D06BCE" w:rsidRDefault="00DE4F64" w:rsidP="00D06BCE">
            <w:pPr>
              <w:spacing w:after="0" w:line="240" w:lineRule="auto"/>
            </w:pPr>
            <w:r>
              <w:rPr>
                <w:rFonts w:cs="Arial"/>
              </w:rPr>
              <w:t>9.148</w:t>
            </w:r>
          </w:p>
        </w:tc>
        <w:tc>
          <w:tcPr>
            <w:tcW w:w="2813" w:type="pct"/>
            <w:tcBorders>
              <w:top w:val="nil"/>
              <w:left w:val="nil"/>
              <w:bottom w:val="single" w:sz="8" w:space="0" w:color="auto"/>
              <w:right w:val="single" w:sz="8" w:space="0" w:color="auto"/>
            </w:tcBorders>
            <w:vAlign w:val="center"/>
          </w:tcPr>
          <w:p w14:paraId="060BCFD6"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47" w:type="pct"/>
            <w:tcBorders>
              <w:top w:val="nil"/>
              <w:left w:val="nil"/>
              <w:bottom w:val="single" w:sz="8" w:space="0" w:color="auto"/>
              <w:right w:val="single" w:sz="8" w:space="0" w:color="auto"/>
            </w:tcBorders>
            <w:vAlign w:val="center"/>
          </w:tcPr>
          <w:p w14:paraId="0E30EA6F"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5B8ACA10"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8B4ACF6" w14:textId="6CD4DD1D" w:rsidR="00115458" w:rsidRPr="00D06BCE" w:rsidRDefault="002A10B0" w:rsidP="00D06BCE">
            <w:pPr>
              <w:spacing w:after="0" w:line="240" w:lineRule="auto"/>
            </w:pPr>
            <w:r>
              <w:rPr>
                <w:rFonts w:cs="Arial"/>
              </w:rPr>
              <w:t>9.149</w:t>
            </w:r>
          </w:p>
        </w:tc>
        <w:tc>
          <w:tcPr>
            <w:tcW w:w="2813" w:type="pct"/>
            <w:tcBorders>
              <w:top w:val="nil"/>
              <w:left w:val="nil"/>
              <w:bottom w:val="single" w:sz="8" w:space="0" w:color="auto"/>
              <w:right w:val="single" w:sz="8" w:space="0" w:color="auto"/>
            </w:tcBorders>
            <w:vAlign w:val="center"/>
          </w:tcPr>
          <w:p w14:paraId="365C2F63"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47" w:type="pct"/>
            <w:tcBorders>
              <w:top w:val="nil"/>
              <w:left w:val="nil"/>
              <w:bottom w:val="single" w:sz="8" w:space="0" w:color="auto"/>
              <w:right w:val="single" w:sz="8" w:space="0" w:color="auto"/>
            </w:tcBorders>
            <w:vAlign w:val="center"/>
          </w:tcPr>
          <w:p w14:paraId="0992B086" w14:textId="77777777" w:rsidR="00115458" w:rsidRPr="00D06BCE" w:rsidRDefault="00115458" w:rsidP="00D06BCE">
            <w:pPr>
              <w:spacing w:after="0" w:line="240" w:lineRule="auto"/>
              <w:rPr>
                <w:rFonts w:cs="Arial"/>
              </w:rPr>
            </w:pPr>
            <w:r w:rsidRPr="00D06BCE">
              <w:rPr>
                <w:rFonts w:cs="Arial"/>
              </w:rPr>
              <w:t>01</w:t>
            </w:r>
          </w:p>
        </w:tc>
      </w:tr>
      <w:tr w:rsidR="00115458" w:rsidRPr="00D06BCE" w14:paraId="35D5D08C"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676A94B" w14:textId="77777777" w:rsidR="00115458" w:rsidRPr="00D06BCE" w:rsidRDefault="00115458" w:rsidP="00D06BCE">
            <w:pPr>
              <w:spacing w:after="0" w:line="240" w:lineRule="auto"/>
            </w:pPr>
            <w:hyperlink w:anchor="d7_061" w:history="1">
              <w:r w:rsidRPr="00D06BCE">
                <w:t>9.63</w:t>
              </w:r>
            </w:hyperlink>
          </w:p>
        </w:tc>
        <w:tc>
          <w:tcPr>
            <w:tcW w:w="2813" w:type="pct"/>
            <w:tcBorders>
              <w:top w:val="nil"/>
              <w:left w:val="nil"/>
              <w:bottom w:val="single" w:sz="8" w:space="0" w:color="auto"/>
              <w:right w:val="single" w:sz="8" w:space="0" w:color="auto"/>
            </w:tcBorders>
            <w:vAlign w:val="center"/>
          </w:tcPr>
          <w:p w14:paraId="41498826" w14:textId="77777777" w:rsidR="00115458" w:rsidRPr="00D06BCE" w:rsidRDefault="00115458" w:rsidP="00D06BCE">
            <w:pPr>
              <w:spacing w:after="0" w:line="240" w:lineRule="auto"/>
              <w:rPr>
                <w:rFonts w:cs="Arial"/>
              </w:rPr>
            </w:pPr>
            <w:r w:rsidRPr="00D06BCE">
              <w:rPr>
                <w:rFonts w:cs="Arial"/>
              </w:rPr>
              <w:t>Investment reference number</w:t>
            </w:r>
          </w:p>
        </w:tc>
        <w:tc>
          <w:tcPr>
            <w:tcW w:w="1547" w:type="pct"/>
            <w:tcBorders>
              <w:top w:val="nil"/>
              <w:left w:val="nil"/>
              <w:bottom w:val="single" w:sz="8" w:space="0" w:color="auto"/>
              <w:right w:val="single" w:sz="8" w:space="0" w:color="auto"/>
            </w:tcBorders>
            <w:vAlign w:val="center"/>
          </w:tcPr>
          <w:p w14:paraId="3CF8F4D8" w14:textId="77777777" w:rsidR="00115458" w:rsidRPr="00D06BCE" w:rsidRDefault="00115458" w:rsidP="00D06BCE">
            <w:pPr>
              <w:spacing w:after="0" w:line="240" w:lineRule="auto"/>
              <w:rPr>
                <w:rFonts w:cs="Arial"/>
              </w:rPr>
            </w:pPr>
            <w:r w:rsidRPr="00D06BCE">
              <w:rPr>
                <w:rFonts w:cs="Arial"/>
              </w:rPr>
              <w:t>3265879256879</w:t>
            </w:r>
          </w:p>
        </w:tc>
      </w:tr>
      <w:tr w:rsidR="00115458" w:rsidRPr="00D06BCE" w14:paraId="284CDF43"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6AE48AC" w14:textId="77777777" w:rsidR="00115458" w:rsidRPr="00D06BCE" w:rsidRDefault="00115458" w:rsidP="00D06BCE">
            <w:pPr>
              <w:spacing w:after="0" w:line="240" w:lineRule="auto"/>
            </w:pPr>
            <w:hyperlink w:anchor="d7_062" w:history="1">
              <w:r w:rsidRPr="00D06BCE">
                <w:t>9.64</w:t>
              </w:r>
            </w:hyperlink>
          </w:p>
        </w:tc>
        <w:tc>
          <w:tcPr>
            <w:tcW w:w="2813" w:type="pct"/>
            <w:tcBorders>
              <w:top w:val="nil"/>
              <w:left w:val="nil"/>
              <w:bottom w:val="single" w:sz="8" w:space="0" w:color="auto"/>
              <w:right w:val="single" w:sz="8" w:space="0" w:color="auto"/>
            </w:tcBorders>
            <w:vAlign w:val="center"/>
          </w:tcPr>
          <w:p w14:paraId="4726E911" w14:textId="77777777" w:rsidR="00115458" w:rsidRPr="00D06BCE" w:rsidRDefault="00115458" w:rsidP="00D06BCE">
            <w:pPr>
              <w:spacing w:after="0" w:line="240" w:lineRule="auto"/>
              <w:rPr>
                <w:rFonts w:cs="Arial"/>
              </w:rPr>
            </w:pPr>
            <w:r w:rsidRPr="00D06BCE">
              <w:rPr>
                <w:rFonts w:cs="Arial"/>
              </w:rPr>
              <w:t>Account reference number</w:t>
            </w:r>
          </w:p>
        </w:tc>
        <w:tc>
          <w:tcPr>
            <w:tcW w:w="1547" w:type="pct"/>
            <w:tcBorders>
              <w:top w:val="nil"/>
              <w:left w:val="nil"/>
              <w:bottom w:val="single" w:sz="8" w:space="0" w:color="auto"/>
              <w:right w:val="single" w:sz="8" w:space="0" w:color="auto"/>
            </w:tcBorders>
            <w:vAlign w:val="center"/>
          </w:tcPr>
          <w:p w14:paraId="3AC8114F" w14:textId="77777777" w:rsidR="00115458" w:rsidRPr="00D06BCE" w:rsidRDefault="00115458" w:rsidP="00D06BCE">
            <w:pPr>
              <w:spacing w:after="0" w:line="240" w:lineRule="auto"/>
              <w:rPr>
                <w:rFonts w:cs="Arial"/>
              </w:rPr>
            </w:pPr>
            <w:r w:rsidRPr="00D06BCE">
              <w:rPr>
                <w:rFonts w:cs="Arial"/>
              </w:rPr>
              <w:t>FMD104</w:t>
            </w:r>
          </w:p>
        </w:tc>
      </w:tr>
      <w:tr w:rsidR="00115458" w:rsidRPr="00D06BCE" w14:paraId="72EB0BD9"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81DE5D5" w14:textId="77777777" w:rsidR="00115458" w:rsidRPr="00D06BCE" w:rsidRDefault="00115458" w:rsidP="00D06BCE">
            <w:pPr>
              <w:spacing w:after="0" w:line="240" w:lineRule="auto"/>
            </w:pPr>
            <w:hyperlink w:anchor="d7_063" w:history="1">
              <w:r w:rsidRPr="00D06BCE">
                <w:t>9.65</w:t>
              </w:r>
            </w:hyperlink>
          </w:p>
        </w:tc>
        <w:tc>
          <w:tcPr>
            <w:tcW w:w="2813" w:type="pct"/>
            <w:tcBorders>
              <w:top w:val="nil"/>
              <w:left w:val="nil"/>
              <w:bottom w:val="single" w:sz="8" w:space="0" w:color="auto"/>
              <w:right w:val="single" w:sz="8" w:space="0" w:color="auto"/>
            </w:tcBorders>
            <w:vAlign w:val="center"/>
          </w:tcPr>
          <w:p w14:paraId="1E06E3B7" w14:textId="77777777" w:rsidR="00115458" w:rsidRPr="00D06BCE" w:rsidRDefault="00115458" w:rsidP="00D06BCE">
            <w:pPr>
              <w:spacing w:after="0" w:line="240" w:lineRule="auto"/>
              <w:rPr>
                <w:rFonts w:cs="Arial"/>
              </w:rPr>
            </w:pPr>
            <w:r w:rsidRPr="00D06BCE">
              <w:rPr>
                <w:rFonts w:cs="Arial"/>
              </w:rPr>
              <w:t>BSB number</w:t>
            </w:r>
          </w:p>
        </w:tc>
        <w:tc>
          <w:tcPr>
            <w:tcW w:w="1547" w:type="pct"/>
            <w:tcBorders>
              <w:top w:val="nil"/>
              <w:left w:val="nil"/>
              <w:bottom w:val="single" w:sz="8" w:space="0" w:color="auto"/>
              <w:right w:val="single" w:sz="8" w:space="0" w:color="auto"/>
            </w:tcBorders>
            <w:vAlign w:val="center"/>
          </w:tcPr>
          <w:p w14:paraId="095A93F6"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7AE79773"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E32689C" w14:textId="77777777" w:rsidR="00115458" w:rsidRPr="00D06BCE" w:rsidRDefault="00115458" w:rsidP="00D06BCE">
            <w:pPr>
              <w:spacing w:after="0" w:line="240" w:lineRule="auto"/>
            </w:pPr>
            <w:hyperlink w:anchor="d7_064" w:history="1">
              <w:r w:rsidRPr="00D06BCE">
                <w:t>9.66</w:t>
              </w:r>
            </w:hyperlink>
          </w:p>
        </w:tc>
        <w:tc>
          <w:tcPr>
            <w:tcW w:w="2813" w:type="pct"/>
            <w:tcBorders>
              <w:top w:val="nil"/>
              <w:left w:val="nil"/>
              <w:bottom w:val="single" w:sz="8" w:space="0" w:color="auto"/>
              <w:right w:val="single" w:sz="8" w:space="0" w:color="auto"/>
            </w:tcBorders>
            <w:vAlign w:val="center"/>
          </w:tcPr>
          <w:p w14:paraId="2EE40E5A" w14:textId="77777777" w:rsidR="00115458" w:rsidRPr="00D06BCE" w:rsidRDefault="00115458" w:rsidP="00D06BCE">
            <w:pPr>
              <w:spacing w:after="0" w:line="240" w:lineRule="auto"/>
              <w:rPr>
                <w:rFonts w:cs="Arial"/>
              </w:rPr>
            </w:pPr>
            <w:r w:rsidRPr="00D06BCE">
              <w:rPr>
                <w:rFonts w:cs="Arial"/>
              </w:rPr>
              <w:t>Branch location</w:t>
            </w:r>
          </w:p>
        </w:tc>
        <w:tc>
          <w:tcPr>
            <w:tcW w:w="1547" w:type="pct"/>
            <w:tcBorders>
              <w:top w:val="nil"/>
              <w:left w:val="nil"/>
              <w:bottom w:val="single" w:sz="8" w:space="0" w:color="auto"/>
              <w:right w:val="single" w:sz="8" w:space="0" w:color="auto"/>
            </w:tcBorders>
            <w:vAlign w:val="center"/>
          </w:tcPr>
          <w:p w14:paraId="7E0758D3"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1C92098A" w14:textId="77777777" w:rsidTr="00427C84">
        <w:trPr>
          <w:trHeight w:val="138"/>
        </w:trPr>
        <w:tc>
          <w:tcPr>
            <w:tcW w:w="640" w:type="pct"/>
            <w:tcBorders>
              <w:top w:val="nil"/>
              <w:left w:val="single" w:sz="8" w:space="0" w:color="auto"/>
              <w:bottom w:val="single" w:sz="8" w:space="0" w:color="auto"/>
              <w:right w:val="single" w:sz="8" w:space="0" w:color="auto"/>
            </w:tcBorders>
            <w:vAlign w:val="center"/>
          </w:tcPr>
          <w:p w14:paraId="21AA2046" w14:textId="77777777" w:rsidR="00115458" w:rsidRPr="00D06BCE" w:rsidRDefault="00115458" w:rsidP="00D06BCE">
            <w:pPr>
              <w:spacing w:after="0" w:line="240" w:lineRule="auto"/>
            </w:pPr>
            <w:hyperlink w:anchor="d7_065" w:history="1">
              <w:r w:rsidRPr="00D06BCE">
                <w:t>9.67</w:t>
              </w:r>
            </w:hyperlink>
          </w:p>
        </w:tc>
        <w:tc>
          <w:tcPr>
            <w:tcW w:w="2813" w:type="pct"/>
            <w:tcBorders>
              <w:top w:val="nil"/>
              <w:left w:val="nil"/>
              <w:bottom w:val="single" w:sz="8" w:space="0" w:color="auto"/>
              <w:right w:val="single" w:sz="8" w:space="0" w:color="auto"/>
            </w:tcBorders>
            <w:vAlign w:val="center"/>
          </w:tcPr>
          <w:p w14:paraId="16A4DCE6" w14:textId="77777777" w:rsidR="00115458" w:rsidRPr="00D06BCE" w:rsidRDefault="00115458" w:rsidP="00D06BCE">
            <w:pPr>
              <w:spacing w:after="0" w:line="240" w:lineRule="auto"/>
              <w:rPr>
                <w:rFonts w:cs="Arial"/>
              </w:rPr>
            </w:pPr>
            <w:r w:rsidRPr="00D06BCE">
              <w:rPr>
                <w:rFonts w:cs="Arial"/>
              </w:rPr>
              <w:t>Account name</w:t>
            </w:r>
          </w:p>
        </w:tc>
        <w:tc>
          <w:tcPr>
            <w:tcW w:w="1547" w:type="pct"/>
            <w:tcBorders>
              <w:top w:val="nil"/>
              <w:left w:val="nil"/>
              <w:bottom w:val="single" w:sz="8" w:space="0" w:color="auto"/>
              <w:right w:val="single" w:sz="8" w:space="0" w:color="auto"/>
            </w:tcBorders>
            <w:vAlign w:val="center"/>
          </w:tcPr>
          <w:p w14:paraId="4DBB1143" w14:textId="77777777" w:rsidR="00115458" w:rsidRPr="00D06BCE" w:rsidRDefault="00115458" w:rsidP="00D06BCE">
            <w:pPr>
              <w:spacing w:after="0" w:line="240" w:lineRule="auto"/>
              <w:rPr>
                <w:rFonts w:cs="Arial"/>
              </w:rPr>
            </w:pPr>
            <w:r w:rsidRPr="00D06BCE">
              <w:rPr>
                <w:rFonts w:cs="Arial"/>
              </w:rPr>
              <w:t>SEBASTIAN COPPERFIELD</w:t>
            </w:r>
          </w:p>
        </w:tc>
      </w:tr>
      <w:tr w:rsidR="00115458" w:rsidRPr="00D06BCE" w14:paraId="2128079E"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984B093" w14:textId="15D0F51B" w:rsidR="00115458" w:rsidRPr="00D06BCE" w:rsidRDefault="005575D6" w:rsidP="00D06BCE">
            <w:pPr>
              <w:spacing w:after="0" w:line="240" w:lineRule="auto"/>
            </w:pPr>
            <w:r>
              <w:t>9.150</w:t>
            </w:r>
          </w:p>
        </w:tc>
        <w:tc>
          <w:tcPr>
            <w:tcW w:w="2813" w:type="pct"/>
            <w:tcBorders>
              <w:top w:val="nil"/>
              <w:left w:val="nil"/>
              <w:bottom w:val="single" w:sz="8" w:space="0" w:color="auto"/>
              <w:right w:val="single" w:sz="8" w:space="0" w:color="auto"/>
            </w:tcBorders>
            <w:vAlign w:val="center"/>
          </w:tcPr>
          <w:p w14:paraId="6276CF24"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47" w:type="pct"/>
            <w:tcBorders>
              <w:top w:val="nil"/>
              <w:left w:val="nil"/>
              <w:bottom w:val="single" w:sz="8" w:space="0" w:color="auto"/>
              <w:right w:val="single" w:sz="8" w:space="0" w:color="auto"/>
            </w:tcBorders>
            <w:vAlign w:val="center"/>
          </w:tcPr>
          <w:p w14:paraId="02F58CD2" w14:textId="77777777" w:rsidR="00115458" w:rsidRPr="00D06BCE" w:rsidRDefault="00115458" w:rsidP="00D06BCE">
            <w:pPr>
              <w:spacing w:after="0" w:line="240" w:lineRule="auto"/>
              <w:rPr>
                <w:rFonts w:cs="Arial"/>
              </w:rPr>
            </w:pPr>
            <w:r w:rsidRPr="00D06BCE">
              <w:rPr>
                <w:rFonts w:cs="Arial"/>
              </w:rPr>
              <w:t>6611</w:t>
            </w:r>
          </w:p>
        </w:tc>
      </w:tr>
      <w:tr w:rsidR="00115458" w:rsidRPr="00D06BCE" w14:paraId="38D1CF69"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17B8FC24" w14:textId="06E872BC" w:rsidR="00115458" w:rsidRPr="00D06BCE" w:rsidRDefault="00107A53" w:rsidP="00D06BCE">
            <w:pPr>
              <w:spacing w:after="0" w:line="240" w:lineRule="auto"/>
            </w:pPr>
            <w:r>
              <w:rPr>
                <w:rFonts w:cs="Arial"/>
              </w:rPr>
              <w:t>9.151</w:t>
            </w:r>
          </w:p>
        </w:tc>
        <w:tc>
          <w:tcPr>
            <w:tcW w:w="2813" w:type="pct"/>
            <w:tcBorders>
              <w:top w:val="nil"/>
              <w:left w:val="nil"/>
              <w:bottom w:val="single" w:sz="8" w:space="0" w:color="auto"/>
              <w:right w:val="single" w:sz="8" w:space="0" w:color="auto"/>
            </w:tcBorders>
            <w:vAlign w:val="center"/>
          </w:tcPr>
          <w:p w14:paraId="2EAD9CFD" w14:textId="77777777" w:rsidR="00115458" w:rsidRPr="00D06BCE" w:rsidRDefault="00115458" w:rsidP="00D06BCE">
            <w:pPr>
              <w:spacing w:after="0" w:line="240" w:lineRule="auto"/>
              <w:rPr>
                <w:rFonts w:cs="Arial"/>
              </w:rPr>
            </w:pPr>
            <w:r w:rsidRPr="00D06BCE">
              <w:rPr>
                <w:rFonts w:cs="Arial"/>
              </w:rPr>
              <w:t>ANZSIC code</w:t>
            </w:r>
          </w:p>
        </w:tc>
        <w:tc>
          <w:tcPr>
            <w:tcW w:w="1547" w:type="pct"/>
            <w:tcBorders>
              <w:top w:val="nil"/>
              <w:left w:val="nil"/>
              <w:bottom w:val="single" w:sz="8" w:space="0" w:color="auto"/>
              <w:right w:val="single" w:sz="8" w:space="0" w:color="auto"/>
            </w:tcBorders>
            <w:vAlign w:val="center"/>
          </w:tcPr>
          <w:p w14:paraId="556C5A52"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6711AA83"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40EBDE4" w14:textId="77777777" w:rsidR="00115458" w:rsidRPr="00D06BCE" w:rsidRDefault="00115458" w:rsidP="00D06BCE">
            <w:pPr>
              <w:spacing w:after="0" w:line="240" w:lineRule="auto"/>
            </w:pPr>
            <w:hyperlink w:anchor="d7_068" w:history="1">
              <w:r w:rsidRPr="00D06BCE">
                <w:t>9.70</w:t>
              </w:r>
            </w:hyperlink>
          </w:p>
        </w:tc>
        <w:tc>
          <w:tcPr>
            <w:tcW w:w="2813" w:type="pct"/>
            <w:tcBorders>
              <w:top w:val="nil"/>
              <w:left w:val="nil"/>
              <w:bottom w:val="single" w:sz="8" w:space="0" w:color="auto"/>
              <w:right w:val="single" w:sz="8" w:space="0" w:color="auto"/>
            </w:tcBorders>
            <w:vAlign w:val="center"/>
          </w:tcPr>
          <w:p w14:paraId="2497D05C" w14:textId="77777777" w:rsidR="00115458" w:rsidRPr="00D06BCE" w:rsidRDefault="00115458" w:rsidP="00D06BCE">
            <w:pPr>
              <w:spacing w:after="0" w:line="240" w:lineRule="auto"/>
              <w:rPr>
                <w:rFonts w:cs="Arial"/>
              </w:rPr>
            </w:pPr>
            <w:r w:rsidRPr="00D06BCE">
              <w:rPr>
                <w:rFonts w:cs="Arial"/>
              </w:rPr>
              <w:t>Date of payment (DDMMCCYY)</w:t>
            </w:r>
          </w:p>
        </w:tc>
        <w:tc>
          <w:tcPr>
            <w:tcW w:w="1547" w:type="pct"/>
            <w:tcBorders>
              <w:top w:val="nil"/>
              <w:left w:val="nil"/>
              <w:bottom w:val="single" w:sz="8" w:space="0" w:color="auto"/>
              <w:right w:val="single" w:sz="8" w:space="0" w:color="auto"/>
            </w:tcBorders>
            <w:vAlign w:val="center"/>
          </w:tcPr>
          <w:p w14:paraId="6F212EEA" w14:textId="0BACD47A" w:rsidR="00115458" w:rsidRPr="00D06BCE" w:rsidRDefault="00115458" w:rsidP="00D06BCE">
            <w:pPr>
              <w:spacing w:after="0" w:line="240" w:lineRule="auto"/>
              <w:rPr>
                <w:rFonts w:cs="Arial"/>
              </w:rPr>
            </w:pPr>
            <w:r w:rsidRPr="00D06BCE">
              <w:rPr>
                <w:rFonts w:cs="Arial"/>
              </w:rPr>
              <w:t>0801202</w:t>
            </w:r>
            <w:r w:rsidR="00671D8D">
              <w:rPr>
                <w:rFonts w:cs="Arial"/>
              </w:rPr>
              <w:t>6</w:t>
            </w:r>
          </w:p>
        </w:tc>
      </w:tr>
      <w:tr w:rsidR="00115458" w:rsidRPr="00D06BCE" w14:paraId="141C7576"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BC745D3" w14:textId="77777777" w:rsidR="00115458" w:rsidRPr="00D06BCE" w:rsidRDefault="00115458" w:rsidP="00D06BCE">
            <w:pPr>
              <w:spacing w:after="0" w:line="240" w:lineRule="auto"/>
            </w:pPr>
            <w:hyperlink w:anchor="d7_069" w:history="1">
              <w:r w:rsidRPr="00D06BCE">
                <w:t>9.71</w:t>
              </w:r>
            </w:hyperlink>
          </w:p>
        </w:tc>
        <w:tc>
          <w:tcPr>
            <w:tcW w:w="2813" w:type="pct"/>
            <w:tcBorders>
              <w:top w:val="nil"/>
              <w:left w:val="nil"/>
              <w:bottom w:val="single" w:sz="8" w:space="0" w:color="auto"/>
              <w:right w:val="single" w:sz="8" w:space="0" w:color="auto"/>
            </w:tcBorders>
            <w:vAlign w:val="center"/>
          </w:tcPr>
          <w:p w14:paraId="16CE6827" w14:textId="77777777" w:rsidR="00115458" w:rsidRPr="00D06BCE" w:rsidRDefault="00115458" w:rsidP="00D06BCE">
            <w:pPr>
              <w:spacing w:after="0" w:line="240" w:lineRule="auto"/>
              <w:rPr>
                <w:rFonts w:cs="Arial"/>
              </w:rPr>
            </w:pPr>
            <w:r w:rsidRPr="00D06BCE">
              <w:rPr>
                <w:rFonts w:cs="Arial"/>
              </w:rPr>
              <w:t>Type of investment</w:t>
            </w:r>
          </w:p>
        </w:tc>
        <w:tc>
          <w:tcPr>
            <w:tcW w:w="1547" w:type="pct"/>
            <w:tcBorders>
              <w:top w:val="nil"/>
              <w:left w:val="nil"/>
              <w:bottom w:val="single" w:sz="8" w:space="0" w:color="auto"/>
              <w:right w:val="single" w:sz="8" w:space="0" w:color="auto"/>
            </w:tcBorders>
            <w:vAlign w:val="center"/>
          </w:tcPr>
          <w:p w14:paraId="077E5200" w14:textId="77777777" w:rsidR="00115458" w:rsidRPr="00D06BCE" w:rsidRDefault="00115458" w:rsidP="00D06BCE">
            <w:pPr>
              <w:spacing w:after="0" w:line="240" w:lineRule="auto"/>
              <w:rPr>
                <w:rFonts w:cs="Arial"/>
              </w:rPr>
            </w:pPr>
            <w:r w:rsidRPr="00D06BCE">
              <w:rPr>
                <w:rFonts w:cs="Arial"/>
              </w:rPr>
              <w:t>2</w:t>
            </w:r>
          </w:p>
        </w:tc>
      </w:tr>
      <w:tr w:rsidR="00115458" w:rsidRPr="00D06BCE" w14:paraId="1918D0D2"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2D2F0D5" w14:textId="77777777" w:rsidR="00115458" w:rsidRPr="00D06BCE" w:rsidRDefault="00115458" w:rsidP="00D06BCE">
            <w:pPr>
              <w:spacing w:after="0" w:line="240" w:lineRule="auto"/>
            </w:pPr>
            <w:hyperlink w:anchor="d7_070" w:history="1">
              <w:r w:rsidRPr="00D06BCE">
                <w:t>9.72</w:t>
              </w:r>
            </w:hyperlink>
          </w:p>
        </w:tc>
        <w:tc>
          <w:tcPr>
            <w:tcW w:w="2813" w:type="pct"/>
            <w:tcBorders>
              <w:top w:val="nil"/>
              <w:left w:val="nil"/>
              <w:bottom w:val="single" w:sz="8" w:space="0" w:color="auto"/>
              <w:right w:val="single" w:sz="8" w:space="0" w:color="auto"/>
            </w:tcBorders>
            <w:vAlign w:val="center"/>
          </w:tcPr>
          <w:p w14:paraId="116DE15D" w14:textId="77777777" w:rsidR="00115458" w:rsidRPr="00D06BCE" w:rsidRDefault="00115458" w:rsidP="00D06BCE">
            <w:pPr>
              <w:spacing w:after="0" w:line="240" w:lineRule="auto"/>
              <w:rPr>
                <w:rFonts w:cs="Arial"/>
              </w:rPr>
            </w:pPr>
            <w:r w:rsidRPr="00D06BCE">
              <w:rPr>
                <w:rFonts w:cs="Arial"/>
              </w:rPr>
              <w:t>Type of payment</w:t>
            </w:r>
          </w:p>
        </w:tc>
        <w:tc>
          <w:tcPr>
            <w:tcW w:w="1547" w:type="pct"/>
            <w:tcBorders>
              <w:top w:val="nil"/>
              <w:left w:val="nil"/>
              <w:bottom w:val="single" w:sz="8" w:space="0" w:color="auto"/>
              <w:right w:val="single" w:sz="8" w:space="0" w:color="auto"/>
            </w:tcBorders>
            <w:vAlign w:val="center"/>
          </w:tcPr>
          <w:p w14:paraId="3F6B794A" w14:textId="77777777" w:rsidR="00115458" w:rsidRPr="00D06BCE" w:rsidRDefault="00115458" w:rsidP="00D06BCE">
            <w:pPr>
              <w:spacing w:after="0" w:line="240" w:lineRule="auto"/>
              <w:rPr>
                <w:rFonts w:cs="Arial"/>
              </w:rPr>
            </w:pPr>
            <w:r w:rsidRPr="00D06BCE">
              <w:rPr>
                <w:rFonts w:cs="Arial"/>
              </w:rPr>
              <w:t>FMD</w:t>
            </w:r>
          </w:p>
        </w:tc>
      </w:tr>
      <w:tr w:rsidR="00115458" w:rsidRPr="00D06BCE" w14:paraId="546A91C8"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80FBFF5" w14:textId="77777777" w:rsidR="00115458" w:rsidRPr="00D06BCE" w:rsidRDefault="00115458" w:rsidP="00D06BCE">
            <w:pPr>
              <w:spacing w:after="0" w:line="240" w:lineRule="auto"/>
            </w:pPr>
            <w:hyperlink w:anchor="d7_076" w:history="1">
              <w:r w:rsidRPr="00D06BCE">
                <w:t>9.79</w:t>
              </w:r>
            </w:hyperlink>
          </w:p>
        </w:tc>
        <w:tc>
          <w:tcPr>
            <w:tcW w:w="2813" w:type="pct"/>
            <w:tcBorders>
              <w:top w:val="nil"/>
              <w:left w:val="nil"/>
              <w:bottom w:val="single" w:sz="8" w:space="0" w:color="auto"/>
              <w:right w:val="single" w:sz="8" w:space="0" w:color="auto"/>
            </w:tcBorders>
            <w:vAlign w:val="center"/>
          </w:tcPr>
          <w:p w14:paraId="3F4418A2" w14:textId="77777777" w:rsidR="00115458" w:rsidRPr="00D06BCE" w:rsidRDefault="00115458" w:rsidP="00D06BCE">
            <w:pPr>
              <w:spacing w:after="0" w:line="240" w:lineRule="auto"/>
              <w:rPr>
                <w:rFonts w:cs="Arial"/>
              </w:rPr>
            </w:pPr>
            <w:r w:rsidRPr="00D06BCE">
              <w:rPr>
                <w:rFonts w:cs="Arial"/>
              </w:rPr>
              <w:t>Interest (cents)</w:t>
            </w:r>
          </w:p>
        </w:tc>
        <w:tc>
          <w:tcPr>
            <w:tcW w:w="1547" w:type="pct"/>
            <w:tcBorders>
              <w:top w:val="nil"/>
              <w:left w:val="nil"/>
              <w:bottom w:val="single" w:sz="8" w:space="0" w:color="auto"/>
              <w:right w:val="single" w:sz="8" w:space="0" w:color="auto"/>
            </w:tcBorders>
            <w:vAlign w:val="center"/>
          </w:tcPr>
          <w:p w14:paraId="3271D7A5" w14:textId="77777777" w:rsidR="00115458" w:rsidRPr="00D06BCE" w:rsidRDefault="00115458" w:rsidP="00D06BCE">
            <w:pPr>
              <w:spacing w:after="0" w:line="240" w:lineRule="auto"/>
              <w:rPr>
                <w:rFonts w:cs="Arial"/>
              </w:rPr>
            </w:pPr>
            <w:r w:rsidRPr="00D06BCE">
              <w:rPr>
                <w:rFonts w:cs="Arial"/>
              </w:rPr>
              <w:t>000000183300</w:t>
            </w:r>
          </w:p>
        </w:tc>
      </w:tr>
      <w:tr w:rsidR="00115458" w:rsidRPr="00D06BCE" w14:paraId="6F99E440"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17679261" w14:textId="77777777" w:rsidR="00115458" w:rsidRPr="00D06BCE" w:rsidRDefault="00115458" w:rsidP="00D06BCE">
            <w:pPr>
              <w:spacing w:after="0" w:line="240" w:lineRule="auto"/>
            </w:pPr>
            <w:hyperlink w:anchor="d7_072" w:history="1">
              <w:r w:rsidRPr="00D06BCE">
                <w:t>9.74</w:t>
              </w:r>
            </w:hyperlink>
          </w:p>
        </w:tc>
        <w:tc>
          <w:tcPr>
            <w:tcW w:w="2813" w:type="pct"/>
            <w:tcBorders>
              <w:top w:val="nil"/>
              <w:left w:val="nil"/>
              <w:bottom w:val="single" w:sz="8" w:space="0" w:color="auto"/>
              <w:right w:val="single" w:sz="8" w:space="0" w:color="auto"/>
            </w:tcBorders>
            <w:vAlign w:val="center"/>
          </w:tcPr>
          <w:p w14:paraId="7B675C37"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47" w:type="pct"/>
            <w:tcBorders>
              <w:top w:val="nil"/>
              <w:left w:val="nil"/>
              <w:bottom w:val="single" w:sz="8" w:space="0" w:color="auto"/>
              <w:right w:val="single" w:sz="8" w:space="0" w:color="auto"/>
            </w:tcBorders>
            <w:vAlign w:val="center"/>
          </w:tcPr>
          <w:p w14:paraId="4749A70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657C3B0"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DD65F3C" w14:textId="77777777" w:rsidR="00115458" w:rsidRPr="00D06BCE" w:rsidRDefault="00115458" w:rsidP="00D06BCE">
            <w:pPr>
              <w:spacing w:after="0" w:line="240" w:lineRule="auto"/>
            </w:pPr>
            <w:hyperlink w:anchor="d7_073" w:history="1">
              <w:r w:rsidRPr="00D06BCE">
                <w:t>9.75</w:t>
              </w:r>
            </w:hyperlink>
          </w:p>
        </w:tc>
        <w:tc>
          <w:tcPr>
            <w:tcW w:w="2813" w:type="pct"/>
            <w:tcBorders>
              <w:top w:val="nil"/>
              <w:left w:val="nil"/>
              <w:bottom w:val="single" w:sz="8" w:space="0" w:color="auto"/>
              <w:right w:val="single" w:sz="8" w:space="0" w:color="auto"/>
            </w:tcBorders>
            <w:vAlign w:val="center"/>
          </w:tcPr>
          <w:p w14:paraId="241087E5"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47" w:type="pct"/>
            <w:tcBorders>
              <w:top w:val="nil"/>
              <w:left w:val="nil"/>
              <w:bottom w:val="single" w:sz="8" w:space="0" w:color="auto"/>
              <w:right w:val="single" w:sz="8" w:space="0" w:color="auto"/>
            </w:tcBorders>
            <w:vAlign w:val="center"/>
          </w:tcPr>
          <w:p w14:paraId="293A22DA"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31AF25D"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FFAFD25" w14:textId="4EE56880" w:rsidR="00115458" w:rsidRPr="00D06BCE" w:rsidRDefault="00E548B4" w:rsidP="00D06BCE">
            <w:pPr>
              <w:spacing w:after="0" w:line="240" w:lineRule="auto"/>
            </w:pPr>
            <w:r>
              <w:rPr>
                <w:rFonts w:cs="Arial"/>
              </w:rPr>
              <w:t>9.152</w:t>
            </w:r>
          </w:p>
        </w:tc>
        <w:tc>
          <w:tcPr>
            <w:tcW w:w="2813" w:type="pct"/>
            <w:tcBorders>
              <w:top w:val="nil"/>
              <w:left w:val="nil"/>
              <w:bottom w:val="single" w:sz="8" w:space="0" w:color="auto"/>
              <w:right w:val="single" w:sz="8" w:space="0" w:color="auto"/>
            </w:tcBorders>
            <w:vAlign w:val="center"/>
          </w:tcPr>
          <w:p w14:paraId="3ACE55D9"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47" w:type="pct"/>
            <w:tcBorders>
              <w:top w:val="nil"/>
              <w:left w:val="nil"/>
              <w:bottom w:val="single" w:sz="8" w:space="0" w:color="auto"/>
              <w:right w:val="single" w:sz="8" w:space="0" w:color="auto"/>
            </w:tcBorders>
            <w:vAlign w:val="center"/>
          </w:tcPr>
          <w:p w14:paraId="18C044C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42AFCF4"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BD0A77C" w14:textId="639E10C1" w:rsidR="00115458" w:rsidRPr="00D06BCE" w:rsidRDefault="00704E70" w:rsidP="00D06BCE">
            <w:pPr>
              <w:spacing w:after="0" w:line="240" w:lineRule="auto"/>
            </w:pPr>
            <w:r>
              <w:t>9.153</w:t>
            </w:r>
          </w:p>
        </w:tc>
        <w:tc>
          <w:tcPr>
            <w:tcW w:w="2813" w:type="pct"/>
            <w:tcBorders>
              <w:top w:val="nil"/>
              <w:left w:val="nil"/>
              <w:bottom w:val="single" w:sz="8" w:space="0" w:color="auto"/>
              <w:right w:val="single" w:sz="8" w:space="0" w:color="auto"/>
            </w:tcBorders>
            <w:vAlign w:val="center"/>
          </w:tcPr>
          <w:p w14:paraId="6EB627BF"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47" w:type="pct"/>
            <w:tcBorders>
              <w:top w:val="nil"/>
              <w:left w:val="nil"/>
              <w:bottom w:val="single" w:sz="8" w:space="0" w:color="auto"/>
              <w:right w:val="single" w:sz="8" w:space="0" w:color="auto"/>
            </w:tcBorders>
            <w:vAlign w:val="center"/>
          </w:tcPr>
          <w:p w14:paraId="5D1FB33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032B35B"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036EA6B" w14:textId="338E3815" w:rsidR="00115458" w:rsidRPr="00D06BCE" w:rsidRDefault="00770CC8" w:rsidP="00D06BCE">
            <w:pPr>
              <w:spacing w:after="0" w:line="240" w:lineRule="auto"/>
            </w:pPr>
            <w:r>
              <w:t>9.154</w:t>
            </w:r>
          </w:p>
        </w:tc>
        <w:tc>
          <w:tcPr>
            <w:tcW w:w="2813" w:type="pct"/>
            <w:tcBorders>
              <w:top w:val="nil"/>
              <w:left w:val="nil"/>
              <w:bottom w:val="single" w:sz="8" w:space="0" w:color="auto"/>
              <w:right w:val="single" w:sz="8" w:space="0" w:color="auto"/>
            </w:tcBorders>
            <w:vAlign w:val="center"/>
          </w:tcPr>
          <w:p w14:paraId="75CBD32D"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47" w:type="pct"/>
            <w:tcBorders>
              <w:top w:val="nil"/>
              <w:left w:val="nil"/>
              <w:bottom w:val="single" w:sz="8" w:space="0" w:color="auto"/>
              <w:right w:val="single" w:sz="8" w:space="0" w:color="auto"/>
            </w:tcBorders>
            <w:vAlign w:val="center"/>
          </w:tcPr>
          <w:p w14:paraId="27714A0E" w14:textId="3CB93226" w:rsidR="00115458" w:rsidRPr="00D06BCE" w:rsidRDefault="00115458" w:rsidP="00D06BCE">
            <w:pPr>
              <w:spacing w:after="0" w:line="240" w:lineRule="auto"/>
              <w:rPr>
                <w:rFonts w:cs="Arial"/>
              </w:rPr>
            </w:pPr>
            <w:r w:rsidRPr="00D06BCE">
              <w:rPr>
                <w:rFonts w:cs="Arial"/>
              </w:rPr>
              <w:t>110720</w:t>
            </w:r>
            <w:r w:rsidR="00671D8D">
              <w:rPr>
                <w:rFonts w:cs="Arial"/>
              </w:rPr>
              <w:t>22</w:t>
            </w:r>
          </w:p>
        </w:tc>
      </w:tr>
      <w:tr w:rsidR="00115458" w:rsidRPr="00D06BCE" w14:paraId="302979BF"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41793B4" w14:textId="6C8D0D08" w:rsidR="00115458" w:rsidRPr="00D06BCE" w:rsidRDefault="00ED36ED" w:rsidP="00D06BCE">
            <w:pPr>
              <w:spacing w:after="0" w:line="240" w:lineRule="auto"/>
            </w:pPr>
            <w:r>
              <w:t>9.155</w:t>
            </w:r>
          </w:p>
        </w:tc>
        <w:tc>
          <w:tcPr>
            <w:tcW w:w="2813" w:type="pct"/>
            <w:tcBorders>
              <w:top w:val="nil"/>
              <w:left w:val="nil"/>
              <w:bottom w:val="single" w:sz="8" w:space="0" w:color="auto"/>
              <w:right w:val="single" w:sz="8" w:space="0" w:color="auto"/>
            </w:tcBorders>
            <w:vAlign w:val="center"/>
          </w:tcPr>
          <w:p w14:paraId="478A64F0" w14:textId="77777777" w:rsidR="00115458" w:rsidRPr="00D06BCE" w:rsidRDefault="00115458" w:rsidP="00D06BCE">
            <w:pPr>
              <w:spacing w:after="0" w:line="240" w:lineRule="auto"/>
              <w:rPr>
                <w:rFonts w:cs="Arial"/>
              </w:rPr>
            </w:pPr>
            <w:r w:rsidRPr="00D06BCE">
              <w:rPr>
                <w:rFonts w:cs="Arial"/>
              </w:rPr>
              <w:t>Amount of repayment (first) (cents)</w:t>
            </w:r>
          </w:p>
        </w:tc>
        <w:tc>
          <w:tcPr>
            <w:tcW w:w="1547" w:type="pct"/>
            <w:tcBorders>
              <w:top w:val="nil"/>
              <w:left w:val="nil"/>
              <w:bottom w:val="single" w:sz="8" w:space="0" w:color="auto"/>
              <w:right w:val="single" w:sz="8" w:space="0" w:color="auto"/>
            </w:tcBorders>
            <w:vAlign w:val="center"/>
          </w:tcPr>
          <w:p w14:paraId="234F317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0E3C2F5"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2307438" w14:textId="024C40ED" w:rsidR="00115458" w:rsidRPr="00D06BCE" w:rsidRDefault="00D84C2A" w:rsidP="00D06BCE">
            <w:pPr>
              <w:spacing w:after="0" w:line="240" w:lineRule="auto"/>
            </w:pPr>
            <w:r>
              <w:t>9.156</w:t>
            </w:r>
          </w:p>
        </w:tc>
        <w:tc>
          <w:tcPr>
            <w:tcW w:w="2813" w:type="pct"/>
            <w:tcBorders>
              <w:top w:val="nil"/>
              <w:left w:val="nil"/>
              <w:bottom w:val="single" w:sz="8" w:space="0" w:color="auto"/>
              <w:right w:val="single" w:sz="8" w:space="0" w:color="auto"/>
            </w:tcBorders>
            <w:vAlign w:val="center"/>
          </w:tcPr>
          <w:p w14:paraId="57E76E65" w14:textId="77777777" w:rsidR="00115458" w:rsidRPr="00D06BCE" w:rsidRDefault="00115458" w:rsidP="00D06BCE">
            <w:pPr>
              <w:spacing w:after="0" w:line="240" w:lineRule="auto"/>
              <w:rPr>
                <w:rFonts w:cs="Arial"/>
              </w:rPr>
            </w:pPr>
            <w:r w:rsidRPr="00D06BCE">
              <w:rPr>
                <w:rFonts w:cs="Arial"/>
              </w:rPr>
              <w:t>Date of repayment (first) (DDMMCCYY)</w:t>
            </w:r>
          </w:p>
        </w:tc>
        <w:tc>
          <w:tcPr>
            <w:tcW w:w="1547" w:type="pct"/>
            <w:tcBorders>
              <w:top w:val="nil"/>
              <w:left w:val="nil"/>
              <w:bottom w:val="single" w:sz="8" w:space="0" w:color="auto"/>
              <w:right w:val="single" w:sz="8" w:space="0" w:color="auto"/>
            </w:tcBorders>
            <w:vAlign w:val="center"/>
          </w:tcPr>
          <w:p w14:paraId="648301AA"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5D3281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CBAEF93" w14:textId="27AAD359" w:rsidR="00115458" w:rsidRPr="00D06BCE" w:rsidRDefault="00ED36ED" w:rsidP="00D06BCE">
            <w:pPr>
              <w:spacing w:after="0" w:line="240" w:lineRule="auto"/>
            </w:pPr>
            <w:r>
              <w:t>9.155</w:t>
            </w:r>
          </w:p>
        </w:tc>
        <w:tc>
          <w:tcPr>
            <w:tcW w:w="2813" w:type="pct"/>
            <w:tcBorders>
              <w:top w:val="nil"/>
              <w:left w:val="nil"/>
              <w:bottom w:val="single" w:sz="8" w:space="0" w:color="auto"/>
              <w:right w:val="single" w:sz="8" w:space="0" w:color="auto"/>
            </w:tcBorders>
            <w:vAlign w:val="center"/>
          </w:tcPr>
          <w:p w14:paraId="7A858136" w14:textId="77777777" w:rsidR="00115458" w:rsidRPr="00D06BCE" w:rsidRDefault="00115458" w:rsidP="00D06BCE">
            <w:pPr>
              <w:spacing w:after="0" w:line="240" w:lineRule="auto"/>
              <w:rPr>
                <w:rFonts w:cs="Arial"/>
              </w:rPr>
            </w:pPr>
            <w:r w:rsidRPr="00D06BCE">
              <w:rPr>
                <w:rFonts w:cs="Arial"/>
              </w:rPr>
              <w:t>Amount of repayment (second) (cents)</w:t>
            </w:r>
          </w:p>
        </w:tc>
        <w:tc>
          <w:tcPr>
            <w:tcW w:w="1547" w:type="pct"/>
            <w:tcBorders>
              <w:top w:val="nil"/>
              <w:left w:val="nil"/>
              <w:bottom w:val="single" w:sz="8" w:space="0" w:color="auto"/>
              <w:right w:val="single" w:sz="8" w:space="0" w:color="auto"/>
            </w:tcBorders>
            <w:vAlign w:val="center"/>
          </w:tcPr>
          <w:p w14:paraId="6EBAF844"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14400AF"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0B5B6AC" w14:textId="7038A76F" w:rsidR="00115458" w:rsidRPr="00D06BCE" w:rsidRDefault="006A721E" w:rsidP="00D06BCE">
            <w:pPr>
              <w:spacing w:after="0" w:line="240" w:lineRule="auto"/>
            </w:pPr>
            <w:r>
              <w:t>9.156</w:t>
            </w:r>
          </w:p>
        </w:tc>
        <w:tc>
          <w:tcPr>
            <w:tcW w:w="2813" w:type="pct"/>
            <w:tcBorders>
              <w:top w:val="nil"/>
              <w:left w:val="nil"/>
              <w:bottom w:val="single" w:sz="8" w:space="0" w:color="auto"/>
              <w:right w:val="single" w:sz="8" w:space="0" w:color="auto"/>
            </w:tcBorders>
            <w:vAlign w:val="center"/>
          </w:tcPr>
          <w:p w14:paraId="362DC6CB" w14:textId="77777777" w:rsidR="00115458" w:rsidRPr="00D06BCE" w:rsidRDefault="00115458" w:rsidP="00D06BCE">
            <w:pPr>
              <w:spacing w:after="0" w:line="240" w:lineRule="auto"/>
              <w:rPr>
                <w:rFonts w:cs="Arial"/>
              </w:rPr>
            </w:pPr>
            <w:r w:rsidRPr="00D06BCE">
              <w:rPr>
                <w:rFonts w:cs="Arial"/>
              </w:rPr>
              <w:t>Date of repayment (second) (DDMMCCYY)</w:t>
            </w:r>
          </w:p>
        </w:tc>
        <w:tc>
          <w:tcPr>
            <w:tcW w:w="1547" w:type="pct"/>
            <w:tcBorders>
              <w:top w:val="nil"/>
              <w:left w:val="nil"/>
              <w:bottom w:val="single" w:sz="8" w:space="0" w:color="auto"/>
              <w:right w:val="single" w:sz="8" w:space="0" w:color="auto"/>
            </w:tcBorders>
            <w:vAlign w:val="center"/>
          </w:tcPr>
          <w:p w14:paraId="15301937"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87C49B1"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8DB3222" w14:textId="74BD28DF" w:rsidR="00115458" w:rsidRPr="00D06BCE" w:rsidRDefault="00ED36ED" w:rsidP="00D06BCE">
            <w:pPr>
              <w:spacing w:after="0" w:line="240" w:lineRule="auto"/>
            </w:pPr>
            <w:r>
              <w:t>9.155</w:t>
            </w:r>
          </w:p>
        </w:tc>
        <w:tc>
          <w:tcPr>
            <w:tcW w:w="2813" w:type="pct"/>
            <w:tcBorders>
              <w:top w:val="nil"/>
              <w:left w:val="nil"/>
              <w:bottom w:val="single" w:sz="8" w:space="0" w:color="auto"/>
              <w:right w:val="single" w:sz="8" w:space="0" w:color="auto"/>
            </w:tcBorders>
            <w:vAlign w:val="center"/>
          </w:tcPr>
          <w:p w14:paraId="6C1F263B" w14:textId="77777777" w:rsidR="00115458" w:rsidRPr="00D06BCE" w:rsidRDefault="00115458" w:rsidP="00D06BCE">
            <w:pPr>
              <w:spacing w:after="0" w:line="240" w:lineRule="auto"/>
              <w:rPr>
                <w:rFonts w:cs="Arial"/>
              </w:rPr>
            </w:pPr>
            <w:r w:rsidRPr="00D06BCE">
              <w:rPr>
                <w:rFonts w:cs="Arial"/>
              </w:rPr>
              <w:t>Amount of repayment (third) (cents)</w:t>
            </w:r>
          </w:p>
        </w:tc>
        <w:tc>
          <w:tcPr>
            <w:tcW w:w="1547" w:type="pct"/>
            <w:tcBorders>
              <w:top w:val="nil"/>
              <w:left w:val="nil"/>
              <w:bottom w:val="single" w:sz="8" w:space="0" w:color="auto"/>
              <w:right w:val="single" w:sz="8" w:space="0" w:color="auto"/>
            </w:tcBorders>
            <w:vAlign w:val="center"/>
          </w:tcPr>
          <w:p w14:paraId="020A842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E87412A"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3240BBC" w14:textId="519D7CFD" w:rsidR="00115458" w:rsidRPr="00D06BCE" w:rsidRDefault="00D84C2A" w:rsidP="00D06BCE">
            <w:pPr>
              <w:spacing w:after="0" w:line="240" w:lineRule="auto"/>
            </w:pPr>
            <w:r>
              <w:t>9.156</w:t>
            </w:r>
          </w:p>
        </w:tc>
        <w:tc>
          <w:tcPr>
            <w:tcW w:w="2813" w:type="pct"/>
            <w:tcBorders>
              <w:top w:val="nil"/>
              <w:left w:val="nil"/>
              <w:bottom w:val="single" w:sz="8" w:space="0" w:color="auto"/>
              <w:right w:val="single" w:sz="8" w:space="0" w:color="auto"/>
            </w:tcBorders>
            <w:vAlign w:val="center"/>
          </w:tcPr>
          <w:p w14:paraId="18E2DC27" w14:textId="77777777" w:rsidR="00115458" w:rsidRPr="00D06BCE" w:rsidRDefault="00115458" w:rsidP="00D06BCE">
            <w:pPr>
              <w:spacing w:after="0" w:line="240" w:lineRule="auto"/>
              <w:rPr>
                <w:rFonts w:cs="Arial"/>
              </w:rPr>
            </w:pPr>
            <w:r w:rsidRPr="00D06BCE">
              <w:rPr>
                <w:rFonts w:cs="Arial"/>
              </w:rPr>
              <w:t>Date of repayment (third) (DDMMCCYY)</w:t>
            </w:r>
          </w:p>
        </w:tc>
        <w:tc>
          <w:tcPr>
            <w:tcW w:w="1547" w:type="pct"/>
            <w:tcBorders>
              <w:top w:val="nil"/>
              <w:left w:val="nil"/>
              <w:bottom w:val="single" w:sz="8" w:space="0" w:color="auto"/>
              <w:right w:val="single" w:sz="8" w:space="0" w:color="auto"/>
            </w:tcBorders>
            <w:vAlign w:val="center"/>
          </w:tcPr>
          <w:p w14:paraId="5224882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2E5AA76"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5DBC6AC" w14:textId="454F964E" w:rsidR="00115458" w:rsidRPr="00D06BCE" w:rsidRDefault="00A871EC" w:rsidP="00D06BCE">
            <w:pPr>
              <w:spacing w:after="0" w:line="240" w:lineRule="auto"/>
            </w:pPr>
            <w:r>
              <w:t>9.155</w:t>
            </w:r>
          </w:p>
        </w:tc>
        <w:tc>
          <w:tcPr>
            <w:tcW w:w="2813" w:type="pct"/>
            <w:tcBorders>
              <w:top w:val="nil"/>
              <w:left w:val="nil"/>
              <w:bottom w:val="single" w:sz="8" w:space="0" w:color="auto"/>
              <w:right w:val="single" w:sz="8" w:space="0" w:color="auto"/>
            </w:tcBorders>
            <w:vAlign w:val="center"/>
          </w:tcPr>
          <w:p w14:paraId="5B6162DD" w14:textId="77777777" w:rsidR="00115458" w:rsidRPr="00D06BCE" w:rsidRDefault="00115458" w:rsidP="00D06BCE">
            <w:pPr>
              <w:spacing w:after="0" w:line="240" w:lineRule="auto"/>
              <w:rPr>
                <w:rFonts w:cs="Arial"/>
              </w:rPr>
            </w:pPr>
            <w:r w:rsidRPr="00D06BCE">
              <w:rPr>
                <w:rFonts w:cs="Arial"/>
              </w:rPr>
              <w:t>Amount of repayment (fourth) (cents)</w:t>
            </w:r>
          </w:p>
        </w:tc>
        <w:tc>
          <w:tcPr>
            <w:tcW w:w="1547" w:type="pct"/>
            <w:tcBorders>
              <w:top w:val="nil"/>
              <w:left w:val="nil"/>
              <w:bottom w:val="single" w:sz="8" w:space="0" w:color="auto"/>
              <w:right w:val="single" w:sz="8" w:space="0" w:color="auto"/>
            </w:tcBorders>
            <w:vAlign w:val="center"/>
          </w:tcPr>
          <w:p w14:paraId="421AA2D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61904C5"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FC9259F" w14:textId="209668AE" w:rsidR="00115458" w:rsidRPr="00D06BCE" w:rsidRDefault="00D84C2A" w:rsidP="00D06BCE">
            <w:pPr>
              <w:spacing w:after="0" w:line="240" w:lineRule="auto"/>
            </w:pPr>
            <w:r>
              <w:t>9.156</w:t>
            </w:r>
          </w:p>
        </w:tc>
        <w:tc>
          <w:tcPr>
            <w:tcW w:w="2813" w:type="pct"/>
            <w:tcBorders>
              <w:top w:val="nil"/>
              <w:left w:val="nil"/>
              <w:bottom w:val="single" w:sz="8" w:space="0" w:color="auto"/>
              <w:right w:val="single" w:sz="8" w:space="0" w:color="auto"/>
            </w:tcBorders>
            <w:vAlign w:val="center"/>
          </w:tcPr>
          <w:p w14:paraId="32B4F371" w14:textId="77777777" w:rsidR="00115458" w:rsidRPr="00D06BCE" w:rsidRDefault="00115458" w:rsidP="00D06BCE">
            <w:pPr>
              <w:spacing w:after="0" w:line="240" w:lineRule="auto"/>
              <w:rPr>
                <w:rFonts w:cs="Arial"/>
              </w:rPr>
            </w:pPr>
            <w:r w:rsidRPr="00D06BCE">
              <w:rPr>
                <w:rFonts w:cs="Arial"/>
              </w:rPr>
              <w:t>Date of repayment (fourth) (DDMMCCYY)</w:t>
            </w:r>
          </w:p>
        </w:tc>
        <w:tc>
          <w:tcPr>
            <w:tcW w:w="1547" w:type="pct"/>
            <w:tcBorders>
              <w:top w:val="nil"/>
              <w:left w:val="nil"/>
              <w:bottom w:val="single" w:sz="8" w:space="0" w:color="auto"/>
              <w:right w:val="single" w:sz="8" w:space="0" w:color="auto"/>
            </w:tcBorders>
            <w:vAlign w:val="center"/>
          </w:tcPr>
          <w:p w14:paraId="62EC161B"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7B1CC50"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8D8AFD0" w14:textId="09835B81" w:rsidR="00115458" w:rsidRPr="00D06BCE" w:rsidRDefault="000E7348" w:rsidP="00D06BCE">
            <w:pPr>
              <w:spacing w:after="0" w:line="240" w:lineRule="auto"/>
            </w:pPr>
            <w:r>
              <w:t>9.157</w:t>
            </w:r>
          </w:p>
        </w:tc>
        <w:tc>
          <w:tcPr>
            <w:tcW w:w="2813" w:type="pct"/>
            <w:tcBorders>
              <w:top w:val="nil"/>
              <w:left w:val="nil"/>
              <w:bottom w:val="single" w:sz="8" w:space="0" w:color="auto"/>
              <w:right w:val="single" w:sz="8" w:space="0" w:color="auto"/>
            </w:tcBorders>
            <w:vAlign w:val="center"/>
          </w:tcPr>
          <w:p w14:paraId="0BDDABE3"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47" w:type="pct"/>
            <w:tcBorders>
              <w:top w:val="nil"/>
              <w:left w:val="nil"/>
              <w:bottom w:val="single" w:sz="8" w:space="0" w:color="auto"/>
              <w:right w:val="single" w:sz="8" w:space="0" w:color="auto"/>
            </w:tcBorders>
            <w:vAlign w:val="center"/>
          </w:tcPr>
          <w:p w14:paraId="5217D77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2E3A256"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AF82254" w14:textId="2D887419" w:rsidR="00115458" w:rsidRPr="00D06BCE" w:rsidRDefault="00423041" w:rsidP="00D06BCE">
            <w:pPr>
              <w:spacing w:after="0" w:line="240" w:lineRule="auto"/>
            </w:pPr>
            <w:r>
              <w:t>9.158</w:t>
            </w:r>
          </w:p>
        </w:tc>
        <w:tc>
          <w:tcPr>
            <w:tcW w:w="2813" w:type="pct"/>
            <w:tcBorders>
              <w:top w:val="nil"/>
              <w:left w:val="nil"/>
              <w:bottom w:val="single" w:sz="8" w:space="0" w:color="auto"/>
              <w:right w:val="single" w:sz="8" w:space="0" w:color="auto"/>
            </w:tcBorders>
            <w:vAlign w:val="center"/>
          </w:tcPr>
          <w:p w14:paraId="1C49E7BB"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47" w:type="pct"/>
            <w:tcBorders>
              <w:top w:val="nil"/>
              <w:left w:val="nil"/>
              <w:bottom w:val="single" w:sz="8" w:space="0" w:color="auto"/>
              <w:right w:val="single" w:sz="8" w:space="0" w:color="auto"/>
            </w:tcBorders>
            <w:vAlign w:val="center"/>
          </w:tcPr>
          <w:p w14:paraId="5A4BA41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8E53A96"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11D780C1" w14:textId="49A2547F" w:rsidR="00115458" w:rsidRPr="00D06BCE" w:rsidRDefault="00096F4C" w:rsidP="00D06BCE">
            <w:pPr>
              <w:spacing w:after="0" w:line="240" w:lineRule="auto"/>
            </w:pPr>
            <w:r>
              <w:t>9.159</w:t>
            </w:r>
          </w:p>
        </w:tc>
        <w:tc>
          <w:tcPr>
            <w:tcW w:w="2813" w:type="pct"/>
            <w:tcBorders>
              <w:top w:val="nil"/>
              <w:left w:val="nil"/>
              <w:bottom w:val="single" w:sz="8" w:space="0" w:color="auto"/>
              <w:right w:val="single" w:sz="8" w:space="0" w:color="auto"/>
            </w:tcBorders>
            <w:vAlign w:val="center"/>
          </w:tcPr>
          <w:p w14:paraId="137338D8"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47" w:type="pct"/>
            <w:tcBorders>
              <w:top w:val="nil"/>
              <w:left w:val="nil"/>
              <w:bottom w:val="single" w:sz="8" w:space="0" w:color="auto"/>
              <w:right w:val="single" w:sz="8" w:space="0" w:color="auto"/>
            </w:tcBorders>
            <w:vAlign w:val="center"/>
          </w:tcPr>
          <w:p w14:paraId="465869F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F7FC21E"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1D0565E2" w14:textId="42056BFF" w:rsidR="00115458" w:rsidRPr="00D06BCE" w:rsidRDefault="00FB4EBA" w:rsidP="00D06BCE">
            <w:pPr>
              <w:spacing w:after="0" w:line="240" w:lineRule="auto"/>
            </w:pPr>
            <w:r>
              <w:t>9.160</w:t>
            </w:r>
          </w:p>
        </w:tc>
        <w:tc>
          <w:tcPr>
            <w:tcW w:w="2813" w:type="pct"/>
            <w:tcBorders>
              <w:top w:val="nil"/>
              <w:left w:val="nil"/>
              <w:bottom w:val="single" w:sz="8" w:space="0" w:color="auto"/>
              <w:right w:val="single" w:sz="8" w:space="0" w:color="auto"/>
            </w:tcBorders>
            <w:vAlign w:val="center"/>
          </w:tcPr>
          <w:p w14:paraId="73225D53"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47" w:type="pct"/>
            <w:tcBorders>
              <w:top w:val="nil"/>
              <w:left w:val="nil"/>
              <w:bottom w:val="single" w:sz="8" w:space="0" w:color="auto"/>
              <w:right w:val="single" w:sz="8" w:space="0" w:color="auto"/>
            </w:tcBorders>
            <w:vAlign w:val="center"/>
          </w:tcPr>
          <w:p w14:paraId="08632B46" w14:textId="77777777" w:rsidR="00115458" w:rsidRPr="00D06BCE" w:rsidRDefault="00115458" w:rsidP="00D06BCE">
            <w:pPr>
              <w:spacing w:after="0" w:line="240" w:lineRule="auto"/>
              <w:rPr>
                <w:rFonts w:cs="Arial"/>
              </w:rPr>
            </w:pPr>
            <w:r w:rsidRPr="00D06BCE">
              <w:rPr>
                <w:rFonts w:cs="Arial"/>
              </w:rPr>
              <w:t>000003500000</w:t>
            </w:r>
          </w:p>
        </w:tc>
      </w:tr>
      <w:tr w:rsidR="00115458" w:rsidRPr="00D06BCE" w14:paraId="71B89735"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4346E0C0" w14:textId="4EE162A5" w:rsidR="00115458" w:rsidRPr="00D06BCE" w:rsidRDefault="00FB4EBA" w:rsidP="00D06BCE">
            <w:pPr>
              <w:spacing w:after="0" w:line="240" w:lineRule="auto"/>
            </w:pPr>
            <w:r>
              <w:t>9.161</w:t>
            </w:r>
          </w:p>
        </w:tc>
        <w:tc>
          <w:tcPr>
            <w:tcW w:w="2813" w:type="pct"/>
            <w:tcBorders>
              <w:top w:val="nil"/>
              <w:left w:val="nil"/>
              <w:bottom w:val="single" w:sz="8" w:space="0" w:color="auto"/>
              <w:right w:val="single" w:sz="8" w:space="0" w:color="auto"/>
            </w:tcBorders>
            <w:vAlign w:val="center"/>
          </w:tcPr>
          <w:p w14:paraId="1128F627"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47" w:type="pct"/>
            <w:tcBorders>
              <w:top w:val="nil"/>
              <w:left w:val="nil"/>
              <w:bottom w:val="single" w:sz="8" w:space="0" w:color="auto"/>
              <w:right w:val="single" w:sz="8" w:space="0" w:color="auto"/>
            </w:tcBorders>
            <w:vAlign w:val="center"/>
          </w:tcPr>
          <w:p w14:paraId="6B77E5D2" w14:textId="23FAD56F" w:rsidR="00115458" w:rsidRPr="00D06BCE" w:rsidRDefault="00115458" w:rsidP="00D06BCE">
            <w:pPr>
              <w:spacing w:after="0" w:line="240" w:lineRule="auto"/>
              <w:rPr>
                <w:rFonts w:cs="Arial"/>
              </w:rPr>
            </w:pPr>
            <w:r w:rsidRPr="00D06BCE">
              <w:rPr>
                <w:rFonts w:cs="Arial"/>
              </w:rPr>
              <w:t>101120</w:t>
            </w:r>
            <w:r w:rsidR="005D467C">
              <w:rPr>
                <w:rFonts w:cs="Arial"/>
              </w:rPr>
              <w:t>25</w:t>
            </w:r>
          </w:p>
        </w:tc>
      </w:tr>
      <w:tr w:rsidR="00115458" w:rsidRPr="00D06BCE" w14:paraId="234DD4A0"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18DB813" w14:textId="7BFD1FDB" w:rsidR="00115458" w:rsidRPr="00D06BCE" w:rsidRDefault="00FB4EBA" w:rsidP="00D06BCE">
            <w:pPr>
              <w:spacing w:after="0" w:line="240" w:lineRule="auto"/>
            </w:pPr>
            <w:r>
              <w:t>9.162</w:t>
            </w:r>
          </w:p>
        </w:tc>
        <w:tc>
          <w:tcPr>
            <w:tcW w:w="2813" w:type="pct"/>
            <w:tcBorders>
              <w:top w:val="nil"/>
              <w:left w:val="nil"/>
              <w:bottom w:val="single" w:sz="8" w:space="0" w:color="auto"/>
              <w:right w:val="single" w:sz="8" w:space="0" w:color="auto"/>
            </w:tcBorders>
            <w:vAlign w:val="center"/>
          </w:tcPr>
          <w:p w14:paraId="44DB996D" w14:textId="77777777" w:rsidR="00115458" w:rsidRPr="00D06BCE" w:rsidRDefault="00115458" w:rsidP="00D06BCE">
            <w:pPr>
              <w:spacing w:after="0" w:line="240" w:lineRule="auto"/>
              <w:rPr>
                <w:rFonts w:cs="Arial"/>
              </w:rPr>
            </w:pPr>
            <w:r w:rsidRPr="00D06BCE">
              <w:rPr>
                <w:rFonts w:cs="Arial"/>
              </w:rPr>
              <w:t>Transferee BSB number (first)</w:t>
            </w:r>
          </w:p>
        </w:tc>
        <w:tc>
          <w:tcPr>
            <w:tcW w:w="1547" w:type="pct"/>
            <w:tcBorders>
              <w:top w:val="nil"/>
              <w:left w:val="nil"/>
              <w:bottom w:val="single" w:sz="8" w:space="0" w:color="auto"/>
              <w:right w:val="single" w:sz="8" w:space="0" w:color="auto"/>
            </w:tcBorders>
            <w:vAlign w:val="center"/>
          </w:tcPr>
          <w:p w14:paraId="3799D359" w14:textId="77777777" w:rsidR="00115458" w:rsidRPr="00D06BCE" w:rsidRDefault="00115458" w:rsidP="00D06BCE">
            <w:pPr>
              <w:spacing w:after="0" w:line="240" w:lineRule="auto"/>
              <w:rPr>
                <w:rFonts w:cs="Arial"/>
              </w:rPr>
            </w:pPr>
            <w:r w:rsidRPr="00D06BCE">
              <w:rPr>
                <w:rFonts w:cs="Arial"/>
              </w:rPr>
              <w:t>568192</w:t>
            </w:r>
          </w:p>
        </w:tc>
      </w:tr>
      <w:tr w:rsidR="00115458" w:rsidRPr="00D06BCE" w14:paraId="7E99F2F1"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BE2C90D" w14:textId="20B6D7C2" w:rsidR="00115458" w:rsidRPr="00D06BCE" w:rsidRDefault="00FB4EBA" w:rsidP="00D06BCE">
            <w:pPr>
              <w:spacing w:after="0" w:line="240" w:lineRule="auto"/>
            </w:pPr>
            <w:r>
              <w:t>9.160</w:t>
            </w:r>
          </w:p>
        </w:tc>
        <w:tc>
          <w:tcPr>
            <w:tcW w:w="2813" w:type="pct"/>
            <w:tcBorders>
              <w:top w:val="nil"/>
              <w:left w:val="nil"/>
              <w:bottom w:val="single" w:sz="8" w:space="0" w:color="auto"/>
              <w:right w:val="single" w:sz="8" w:space="0" w:color="auto"/>
            </w:tcBorders>
            <w:vAlign w:val="center"/>
          </w:tcPr>
          <w:p w14:paraId="4647EA23"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47" w:type="pct"/>
            <w:tcBorders>
              <w:top w:val="nil"/>
              <w:left w:val="nil"/>
              <w:bottom w:val="single" w:sz="8" w:space="0" w:color="auto"/>
              <w:right w:val="single" w:sz="8" w:space="0" w:color="auto"/>
            </w:tcBorders>
            <w:vAlign w:val="center"/>
          </w:tcPr>
          <w:p w14:paraId="4FEE28A4"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C313EA3"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309FFCF" w14:textId="5BA43DC5" w:rsidR="00115458" w:rsidRPr="00D06BCE" w:rsidRDefault="00FB4EBA" w:rsidP="00D06BCE">
            <w:pPr>
              <w:spacing w:after="0" w:line="240" w:lineRule="auto"/>
            </w:pPr>
            <w:r>
              <w:t>9.161</w:t>
            </w:r>
          </w:p>
        </w:tc>
        <w:tc>
          <w:tcPr>
            <w:tcW w:w="2813" w:type="pct"/>
            <w:tcBorders>
              <w:top w:val="nil"/>
              <w:left w:val="nil"/>
              <w:bottom w:val="single" w:sz="8" w:space="0" w:color="auto"/>
              <w:right w:val="single" w:sz="8" w:space="0" w:color="auto"/>
            </w:tcBorders>
            <w:vAlign w:val="center"/>
          </w:tcPr>
          <w:p w14:paraId="61A79691"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47" w:type="pct"/>
            <w:tcBorders>
              <w:top w:val="nil"/>
              <w:left w:val="nil"/>
              <w:bottom w:val="single" w:sz="8" w:space="0" w:color="auto"/>
              <w:right w:val="single" w:sz="8" w:space="0" w:color="auto"/>
            </w:tcBorders>
            <w:vAlign w:val="center"/>
          </w:tcPr>
          <w:p w14:paraId="754827F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8EB3257"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83CD73F" w14:textId="19F65153" w:rsidR="00115458" w:rsidRPr="00D06BCE" w:rsidRDefault="00FB4EBA" w:rsidP="00D06BCE">
            <w:pPr>
              <w:spacing w:after="0" w:line="240" w:lineRule="auto"/>
            </w:pPr>
            <w:r>
              <w:t>9.162</w:t>
            </w:r>
          </w:p>
        </w:tc>
        <w:tc>
          <w:tcPr>
            <w:tcW w:w="2813" w:type="pct"/>
            <w:tcBorders>
              <w:top w:val="nil"/>
              <w:left w:val="nil"/>
              <w:bottom w:val="single" w:sz="8" w:space="0" w:color="auto"/>
              <w:right w:val="single" w:sz="8" w:space="0" w:color="auto"/>
            </w:tcBorders>
            <w:vAlign w:val="center"/>
          </w:tcPr>
          <w:p w14:paraId="111A523F" w14:textId="77777777" w:rsidR="00115458" w:rsidRPr="00D06BCE" w:rsidRDefault="00115458" w:rsidP="00D06BCE">
            <w:pPr>
              <w:spacing w:after="0" w:line="240" w:lineRule="auto"/>
              <w:rPr>
                <w:rFonts w:cs="Arial"/>
              </w:rPr>
            </w:pPr>
            <w:r w:rsidRPr="00D06BCE">
              <w:rPr>
                <w:rFonts w:cs="Arial"/>
              </w:rPr>
              <w:t>Transferee BSB number (second)</w:t>
            </w:r>
          </w:p>
        </w:tc>
        <w:tc>
          <w:tcPr>
            <w:tcW w:w="1547" w:type="pct"/>
            <w:tcBorders>
              <w:top w:val="nil"/>
              <w:left w:val="nil"/>
              <w:bottom w:val="single" w:sz="8" w:space="0" w:color="auto"/>
              <w:right w:val="single" w:sz="8" w:space="0" w:color="auto"/>
            </w:tcBorders>
            <w:vAlign w:val="center"/>
          </w:tcPr>
          <w:p w14:paraId="39D203DE"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A9D0654"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1F71385" w14:textId="40C22404" w:rsidR="00115458" w:rsidRPr="00D06BCE" w:rsidRDefault="00FB4EBA" w:rsidP="00D06BCE">
            <w:pPr>
              <w:spacing w:after="0" w:line="240" w:lineRule="auto"/>
            </w:pPr>
            <w:r>
              <w:t>9.160</w:t>
            </w:r>
          </w:p>
        </w:tc>
        <w:tc>
          <w:tcPr>
            <w:tcW w:w="2813" w:type="pct"/>
            <w:tcBorders>
              <w:top w:val="nil"/>
              <w:left w:val="nil"/>
              <w:bottom w:val="single" w:sz="8" w:space="0" w:color="auto"/>
              <w:right w:val="single" w:sz="8" w:space="0" w:color="auto"/>
            </w:tcBorders>
            <w:vAlign w:val="center"/>
          </w:tcPr>
          <w:p w14:paraId="7EB4759B"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47" w:type="pct"/>
            <w:tcBorders>
              <w:top w:val="nil"/>
              <w:left w:val="nil"/>
              <w:bottom w:val="single" w:sz="8" w:space="0" w:color="auto"/>
              <w:right w:val="single" w:sz="8" w:space="0" w:color="auto"/>
            </w:tcBorders>
            <w:vAlign w:val="center"/>
          </w:tcPr>
          <w:p w14:paraId="6C10C68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81F9A61"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5508A3E6" w14:textId="05D32555" w:rsidR="00115458" w:rsidRPr="00D06BCE" w:rsidRDefault="00FB4EBA" w:rsidP="00D06BCE">
            <w:pPr>
              <w:spacing w:after="0" w:line="240" w:lineRule="auto"/>
            </w:pPr>
            <w:r>
              <w:t>9.161</w:t>
            </w:r>
          </w:p>
        </w:tc>
        <w:tc>
          <w:tcPr>
            <w:tcW w:w="2813" w:type="pct"/>
            <w:tcBorders>
              <w:top w:val="nil"/>
              <w:left w:val="nil"/>
              <w:bottom w:val="single" w:sz="8" w:space="0" w:color="auto"/>
              <w:right w:val="single" w:sz="8" w:space="0" w:color="auto"/>
            </w:tcBorders>
            <w:vAlign w:val="center"/>
          </w:tcPr>
          <w:p w14:paraId="47849129"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47" w:type="pct"/>
            <w:tcBorders>
              <w:top w:val="nil"/>
              <w:left w:val="nil"/>
              <w:bottom w:val="single" w:sz="8" w:space="0" w:color="auto"/>
              <w:right w:val="single" w:sz="8" w:space="0" w:color="auto"/>
            </w:tcBorders>
            <w:vAlign w:val="center"/>
          </w:tcPr>
          <w:p w14:paraId="43C1AD3B"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DD485F1"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6F72754B" w14:textId="5D2B93F0" w:rsidR="00115458" w:rsidRPr="00D06BCE" w:rsidRDefault="00FB4EBA" w:rsidP="00D06BCE">
            <w:pPr>
              <w:spacing w:after="0" w:line="240" w:lineRule="auto"/>
            </w:pPr>
            <w:r>
              <w:t>9.162</w:t>
            </w:r>
          </w:p>
        </w:tc>
        <w:tc>
          <w:tcPr>
            <w:tcW w:w="2813" w:type="pct"/>
            <w:tcBorders>
              <w:top w:val="nil"/>
              <w:left w:val="nil"/>
              <w:bottom w:val="single" w:sz="8" w:space="0" w:color="auto"/>
              <w:right w:val="single" w:sz="8" w:space="0" w:color="auto"/>
            </w:tcBorders>
            <w:vAlign w:val="center"/>
          </w:tcPr>
          <w:p w14:paraId="150ABA68" w14:textId="77777777" w:rsidR="00115458" w:rsidRPr="00D06BCE" w:rsidRDefault="00115458" w:rsidP="00D06BCE">
            <w:pPr>
              <w:spacing w:after="0" w:line="240" w:lineRule="auto"/>
              <w:rPr>
                <w:rFonts w:cs="Arial"/>
              </w:rPr>
            </w:pPr>
            <w:r w:rsidRPr="00D06BCE">
              <w:rPr>
                <w:rFonts w:cs="Arial"/>
              </w:rPr>
              <w:t>Transferee BSB number (third)</w:t>
            </w:r>
          </w:p>
        </w:tc>
        <w:tc>
          <w:tcPr>
            <w:tcW w:w="1547" w:type="pct"/>
            <w:tcBorders>
              <w:top w:val="nil"/>
              <w:left w:val="nil"/>
              <w:bottom w:val="single" w:sz="8" w:space="0" w:color="auto"/>
              <w:right w:val="single" w:sz="8" w:space="0" w:color="auto"/>
            </w:tcBorders>
            <w:vAlign w:val="center"/>
          </w:tcPr>
          <w:p w14:paraId="579DDA8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C61CC0A"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3D234ACA" w14:textId="564B4034" w:rsidR="00115458" w:rsidRPr="00D06BCE" w:rsidRDefault="00FB4EBA" w:rsidP="00D06BCE">
            <w:pPr>
              <w:spacing w:after="0" w:line="240" w:lineRule="auto"/>
            </w:pPr>
            <w:r>
              <w:t>9.160</w:t>
            </w:r>
          </w:p>
        </w:tc>
        <w:tc>
          <w:tcPr>
            <w:tcW w:w="2813" w:type="pct"/>
            <w:tcBorders>
              <w:top w:val="nil"/>
              <w:left w:val="nil"/>
              <w:bottom w:val="single" w:sz="8" w:space="0" w:color="auto"/>
              <w:right w:val="single" w:sz="8" w:space="0" w:color="auto"/>
            </w:tcBorders>
            <w:vAlign w:val="center"/>
          </w:tcPr>
          <w:p w14:paraId="0DF8F1DD"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47" w:type="pct"/>
            <w:tcBorders>
              <w:top w:val="nil"/>
              <w:left w:val="nil"/>
              <w:bottom w:val="single" w:sz="8" w:space="0" w:color="auto"/>
              <w:right w:val="single" w:sz="8" w:space="0" w:color="auto"/>
            </w:tcBorders>
            <w:vAlign w:val="center"/>
          </w:tcPr>
          <w:p w14:paraId="226373E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9219726"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2EDD9026" w14:textId="60ED9F66" w:rsidR="00115458" w:rsidRPr="00D06BCE" w:rsidRDefault="00FB4EBA" w:rsidP="00D06BCE">
            <w:pPr>
              <w:spacing w:after="0" w:line="240" w:lineRule="auto"/>
            </w:pPr>
            <w:r>
              <w:t>9.161</w:t>
            </w:r>
          </w:p>
        </w:tc>
        <w:tc>
          <w:tcPr>
            <w:tcW w:w="2813" w:type="pct"/>
            <w:tcBorders>
              <w:top w:val="nil"/>
              <w:left w:val="nil"/>
              <w:bottom w:val="single" w:sz="8" w:space="0" w:color="auto"/>
              <w:right w:val="single" w:sz="8" w:space="0" w:color="auto"/>
            </w:tcBorders>
            <w:vAlign w:val="center"/>
          </w:tcPr>
          <w:p w14:paraId="04EFC698"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47" w:type="pct"/>
            <w:tcBorders>
              <w:top w:val="nil"/>
              <w:left w:val="nil"/>
              <w:bottom w:val="single" w:sz="8" w:space="0" w:color="auto"/>
              <w:right w:val="single" w:sz="8" w:space="0" w:color="auto"/>
            </w:tcBorders>
            <w:vAlign w:val="center"/>
          </w:tcPr>
          <w:p w14:paraId="7DA25EF3"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8AD5FB4"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8B064D8" w14:textId="45BC1713" w:rsidR="00115458" w:rsidRPr="00D06BCE" w:rsidRDefault="00FB4EBA" w:rsidP="00D06BCE">
            <w:pPr>
              <w:spacing w:after="0" w:line="240" w:lineRule="auto"/>
            </w:pPr>
            <w:r>
              <w:t>9.162</w:t>
            </w:r>
          </w:p>
        </w:tc>
        <w:tc>
          <w:tcPr>
            <w:tcW w:w="2813" w:type="pct"/>
            <w:tcBorders>
              <w:top w:val="nil"/>
              <w:left w:val="nil"/>
              <w:bottom w:val="single" w:sz="8" w:space="0" w:color="auto"/>
              <w:right w:val="single" w:sz="8" w:space="0" w:color="auto"/>
            </w:tcBorders>
            <w:vAlign w:val="center"/>
          </w:tcPr>
          <w:p w14:paraId="22199CB8" w14:textId="77777777" w:rsidR="00115458" w:rsidRPr="00D06BCE" w:rsidRDefault="00115458" w:rsidP="00D06BCE">
            <w:pPr>
              <w:spacing w:after="0" w:line="240" w:lineRule="auto"/>
              <w:rPr>
                <w:rFonts w:cs="Arial"/>
              </w:rPr>
            </w:pPr>
            <w:r w:rsidRPr="00D06BCE">
              <w:rPr>
                <w:rFonts w:cs="Arial"/>
              </w:rPr>
              <w:t>Transferee BSB number (fourth)</w:t>
            </w:r>
          </w:p>
        </w:tc>
        <w:tc>
          <w:tcPr>
            <w:tcW w:w="1547" w:type="pct"/>
            <w:tcBorders>
              <w:top w:val="nil"/>
              <w:left w:val="nil"/>
              <w:bottom w:val="single" w:sz="8" w:space="0" w:color="auto"/>
              <w:right w:val="single" w:sz="8" w:space="0" w:color="auto"/>
            </w:tcBorders>
            <w:vAlign w:val="center"/>
          </w:tcPr>
          <w:p w14:paraId="4B9E0833"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76E9D399"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7E3D2154" w14:textId="5CBA3C9C" w:rsidR="00115458" w:rsidRPr="00D06BCE" w:rsidRDefault="00FB4EBA" w:rsidP="00D06BCE">
            <w:pPr>
              <w:spacing w:after="0" w:line="240" w:lineRule="auto"/>
            </w:pPr>
            <w:r>
              <w:t>9.163</w:t>
            </w:r>
          </w:p>
        </w:tc>
        <w:tc>
          <w:tcPr>
            <w:tcW w:w="2813" w:type="pct"/>
            <w:tcBorders>
              <w:top w:val="nil"/>
              <w:left w:val="nil"/>
              <w:bottom w:val="single" w:sz="8" w:space="0" w:color="auto"/>
              <w:right w:val="single" w:sz="8" w:space="0" w:color="auto"/>
            </w:tcBorders>
            <w:vAlign w:val="center"/>
          </w:tcPr>
          <w:p w14:paraId="0A34826A"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47" w:type="pct"/>
            <w:tcBorders>
              <w:top w:val="nil"/>
              <w:left w:val="nil"/>
              <w:bottom w:val="single" w:sz="8" w:space="0" w:color="auto"/>
              <w:right w:val="single" w:sz="8" w:space="0" w:color="auto"/>
            </w:tcBorders>
            <w:vAlign w:val="center"/>
          </w:tcPr>
          <w:p w14:paraId="1B7BC964"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01FFB6D"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3677F5C" w14:textId="6363F397" w:rsidR="00115458" w:rsidRPr="00D06BCE" w:rsidRDefault="00FB4EBA" w:rsidP="00D06BCE">
            <w:pPr>
              <w:spacing w:after="0" w:line="240" w:lineRule="auto"/>
            </w:pPr>
            <w:r>
              <w:t>9.164</w:t>
            </w:r>
          </w:p>
        </w:tc>
        <w:tc>
          <w:tcPr>
            <w:tcW w:w="2813" w:type="pct"/>
            <w:tcBorders>
              <w:top w:val="nil"/>
              <w:left w:val="nil"/>
              <w:bottom w:val="single" w:sz="8" w:space="0" w:color="auto"/>
              <w:right w:val="single" w:sz="8" w:space="0" w:color="auto"/>
            </w:tcBorders>
            <w:vAlign w:val="center"/>
          </w:tcPr>
          <w:p w14:paraId="348D99C1"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47" w:type="pct"/>
            <w:tcBorders>
              <w:top w:val="nil"/>
              <w:left w:val="nil"/>
              <w:bottom w:val="single" w:sz="8" w:space="0" w:color="auto"/>
              <w:right w:val="single" w:sz="8" w:space="0" w:color="auto"/>
            </w:tcBorders>
            <w:vAlign w:val="center"/>
          </w:tcPr>
          <w:p w14:paraId="375056D5" w14:textId="77777777" w:rsidR="00115458" w:rsidRPr="00D06BCE" w:rsidRDefault="00115458" w:rsidP="00D06BCE">
            <w:pPr>
              <w:spacing w:after="0" w:line="240" w:lineRule="auto"/>
              <w:rPr>
                <w:rFonts w:cs="Arial"/>
              </w:rPr>
            </w:pPr>
            <w:r w:rsidRPr="00D06BCE">
              <w:rPr>
                <w:rFonts w:cs="Arial"/>
              </w:rPr>
              <w:t>000005000000</w:t>
            </w:r>
          </w:p>
        </w:tc>
      </w:tr>
      <w:tr w:rsidR="00115458" w:rsidRPr="00D06BCE" w14:paraId="4D6AF90A"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05FD5A78" w14:textId="335FE52C" w:rsidR="00115458" w:rsidRPr="00D06BCE" w:rsidRDefault="00FB4EBA" w:rsidP="00D06BCE">
            <w:pPr>
              <w:spacing w:after="0" w:line="240" w:lineRule="auto"/>
            </w:pPr>
            <w:r>
              <w:t>9.165</w:t>
            </w:r>
          </w:p>
        </w:tc>
        <w:tc>
          <w:tcPr>
            <w:tcW w:w="2813" w:type="pct"/>
            <w:tcBorders>
              <w:top w:val="nil"/>
              <w:left w:val="nil"/>
              <w:bottom w:val="single" w:sz="8" w:space="0" w:color="auto"/>
              <w:right w:val="single" w:sz="8" w:space="0" w:color="auto"/>
            </w:tcBorders>
            <w:vAlign w:val="center"/>
          </w:tcPr>
          <w:p w14:paraId="63846736" w14:textId="77777777" w:rsidR="00115458" w:rsidRPr="00D06BCE" w:rsidRDefault="00115458" w:rsidP="00D06BCE">
            <w:pPr>
              <w:spacing w:after="0" w:line="240" w:lineRule="auto"/>
              <w:rPr>
                <w:rFonts w:cs="Arial"/>
              </w:rPr>
            </w:pPr>
            <w:r w:rsidRPr="00D06BCE">
              <w:rPr>
                <w:rFonts w:cs="Arial"/>
              </w:rPr>
              <w:t>Interest offset account (=Y or N)</w:t>
            </w:r>
          </w:p>
        </w:tc>
        <w:tc>
          <w:tcPr>
            <w:tcW w:w="1547" w:type="pct"/>
            <w:tcBorders>
              <w:top w:val="nil"/>
              <w:left w:val="nil"/>
              <w:bottom w:val="single" w:sz="8" w:space="0" w:color="auto"/>
              <w:right w:val="single" w:sz="8" w:space="0" w:color="auto"/>
            </w:tcBorders>
            <w:vAlign w:val="center"/>
          </w:tcPr>
          <w:p w14:paraId="6978769B" w14:textId="77777777" w:rsidR="00115458" w:rsidRPr="00D06BCE" w:rsidRDefault="00115458" w:rsidP="00D06BCE">
            <w:pPr>
              <w:spacing w:after="0" w:line="240" w:lineRule="auto"/>
              <w:rPr>
                <w:rFonts w:cs="Arial"/>
              </w:rPr>
            </w:pPr>
            <w:r w:rsidRPr="00D06BCE">
              <w:rPr>
                <w:rFonts w:cs="Arial"/>
              </w:rPr>
              <w:t>N</w:t>
            </w:r>
          </w:p>
        </w:tc>
      </w:tr>
      <w:tr w:rsidR="00115458" w:rsidRPr="00D06BCE" w14:paraId="259EAFAC" w14:textId="77777777" w:rsidTr="00427C84">
        <w:trPr>
          <w:trHeight w:val="270"/>
        </w:trPr>
        <w:tc>
          <w:tcPr>
            <w:tcW w:w="640" w:type="pct"/>
            <w:tcBorders>
              <w:top w:val="nil"/>
              <w:left w:val="single" w:sz="8" w:space="0" w:color="auto"/>
              <w:bottom w:val="single" w:sz="8" w:space="0" w:color="auto"/>
              <w:right w:val="single" w:sz="8" w:space="0" w:color="auto"/>
            </w:tcBorders>
            <w:vAlign w:val="center"/>
          </w:tcPr>
          <w:p w14:paraId="1BE0E195" w14:textId="77777777" w:rsidR="00115458" w:rsidRPr="00D06BCE" w:rsidRDefault="00115458" w:rsidP="00D06BCE">
            <w:pPr>
              <w:spacing w:after="0" w:line="240" w:lineRule="auto"/>
            </w:pPr>
            <w:hyperlink w:anchor="d7_006" w:history="1">
              <w:r w:rsidRPr="00D06BCE">
                <w:t>9.6</w:t>
              </w:r>
            </w:hyperlink>
          </w:p>
        </w:tc>
        <w:tc>
          <w:tcPr>
            <w:tcW w:w="2813" w:type="pct"/>
            <w:tcBorders>
              <w:top w:val="nil"/>
              <w:left w:val="nil"/>
              <w:bottom w:val="single" w:sz="8" w:space="0" w:color="auto"/>
              <w:right w:val="single" w:sz="8" w:space="0" w:color="auto"/>
            </w:tcBorders>
            <w:vAlign w:val="center"/>
          </w:tcPr>
          <w:p w14:paraId="1D3AC8A7" w14:textId="77777777" w:rsidR="00115458" w:rsidRPr="00D06BCE" w:rsidRDefault="00115458" w:rsidP="00D06BCE">
            <w:pPr>
              <w:spacing w:after="0" w:line="240" w:lineRule="auto"/>
              <w:rPr>
                <w:rFonts w:cs="Arial"/>
              </w:rPr>
            </w:pPr>
            <w:r w:rsidRPr="00D06BCE">
              <w:rPr>
                <w:rFonts w:cs="Arial"/>
              </w:rPr>
              <w:t>Filler</w:t>
            </w:r>
          </w:p>
        </w:tc>
        <w:tc>
          <w:tcPr>
            <w:tcW w:w="1547" w:type="pct"/>
            <w:tcBorders>
              <w:top w:val="nil"/>
              <w:left w:val="nil"/>
              <w:bottom w:val="single" w:sz="8" w:space="0" w:color="auto"/>
              <w:right w:val="single" w:sz="8" w:space="0" w:color="auto"/>
            </w:tcBorders>
            <w:vAlign w:val="center"/>
          </w:tcPr>
          <w:p w14:paraId="733078FE" w14:textId="77777777" w:rsidR="00115458" w:rsidRPr="00D06BCE" w:rsidRDefault="00115458" w:rsidP="00D06BCE">
            <w:pPr>
              <w:spacing w:after="0" w:line="240" w:lineRule="auto"/>
              <w:rPr>
                <w:rFonts w:cs="Arial"/>
              </w:rPr>
            </w:pPr>
            <w:r w:rsidRPr="00D06BCE">
              <w:rPr>
                <w:rFonts w:cs="Arial"/>
              </w:rPr>
              <w:t>Blank fill</w:t>
            </w:r>
          </w:p>
        </w:tc>
      </w:tr>
    </w:tbl>
    <w:p w14:paraId="21525007" w14:textId="77777777" w:rsidR="007F6219" w:rsidRDefault="007F6219" w:rsidP="00D06BCE">
      <w:pPr>
        <w:spacing w:after="0" w:line="240" w:lineRule="auto"/>
        <w:rPr>
          <w:rFonts w:cs="Arial"/>
        </w:rPr>
      </w:pPr>
    </w:p>
    <w:p w14:paraId="53C615A7" w14:textId="6AC4F75B" w:rsidR="00115458" w:rsidRPr="00D06BCE" w:rsidRDefault="00115458" w:rsidP="00D06BCE">
      <w:pPr>
        <w:spacing w:after="0" w:line="240" w:lineRule="auto"/>
        <w:rPr>
          <w:rFonts w:cs="Arial"/>
        </w:rPr>
      </w:pPr>
      <w:r w:rsidRPr="00D06BCE">
        <w:rPr>
          <w:rFonts w:cs="Arial"/>
        </w:rPr>
        <w:t>Alternatively, if your system cannot distinguish between repayments and transfer outs, the debit amounts can be reported first as repayments and then as transfers out.</w:t>
      </w:r>
    </w:p>
    <w:p w14:paraId="71397C09" w14:textId="77777777" w:rsidR="00115458" w:rsidRPr="00D06BCE" w:rsidRDefault="00115458" w:rsidP="00D06BCE">
      <w:pPr>
        <w:spacing w:after="0" w:line="240" w:lineRule="auto"/>
        <w:rPr>
          <w:rFonts w:cs="Arial"/>
          <w:b/>
          <w:smallCaps/>
        </w:rPr>
      </w:pPr>
    </w:p>
    <w:p w14:paraId="45585357" w14:textId="77777777" w:rsidR="00115458" w:rsidRPr="00D06BCE" w:rsidRDefault="00115458" w:rsidP="00D06BCE">
      <w:pPr>
        <w:spacing w:after="0" w:line="240" w:lineRule="auto"/>
        <w:rPr>
          <w:rFonts w:cs="Arial"/>
        </w:rPr>
      </w:pPr>
      <w:r w:rsidRPr="00D06BCE">
        <w:rPr>
          <w:rFonts w:cs="Arial"/>
          <w:b/>
          <w:smallCaps/>
        </w:rPr>
        <w:t xml:space="preserve">farm management deposit account data record </w:t>
      </w:r>
      <w:r w:rsidRPr="00D06BCE">
        <w:rPr>
          <w:rFonts w:cs="Arial"/>
          <w:smallCaps/>
        </w:rPr>
        <w:t xml:space="preserve">– </w:t>
      </w:r>
      <w:r w:rsidRPr="00D06BCE">
        <w:rPr>
          <w:rFonts w:cs="Arial"/>
        </w:rPr>
        <w:t>Merlon Bank Ltd</w:t>
      </w:r>
    </w:p>
    <w:p w14:paraId="68820400" w14:textId="77777777" w:rsidR="00115458" w:rsidRPr="00D06BCE" w:rsidRDefault="00115458" w:rsidP="00D06BCE">
      <w:pPr>
        <w:spacing w:after="0" w:line="240" w:lineRule="auto"/>
        <w:rPr>
          <w:rFonts w:cs="Arial"/>
        </w:rPr>
      </w:pPr>
    </w:p>
    <w:tbl>
      <w:tblPr>
        <w:tblW w:w="9214" w:type="dxa"/>
        <w:tblInd w:w="93" w:type="dxa"/>
        <w:tblCellMar>
          <w:top w:w="28" w:type="dxa"/>
          <w:bottom w:w="28" w:type="dxa"/>
        </w:tblCellMar>
        <w:tblLook w:val="0000" w:firstRow="0" w:lastRow="0" w:firstColumn="0" w:lastColumn="0" w:noHBand="0" w:noVBand="0"/>
      </w:tblPr>
      <w:tblGrid>
        <w:gridCol w:w="1227"/>
        <w:gridCol w:w="5160"/>
        <w:gridCol w:w="2827"/>
      </w:tblGrid>
      <w:tr w:rsidR="00115458" w:rsidRPr="00D06BCE" w14:paraId="41EA5A09" w14:textId="77777777" w:rsidTr="000C1365">
        <w:trPr>
          <w:trHeight w:val="495"/>
          <w:tblHeader/>
        </w:trPr>
        <w:tc>
          <w:tcPr>
            <w:tcW w:w="660" w:type="pct"/>
            <w:tcBorders>
              <w:top w:val="single" w:sz="4" w:space="0" w:color="auto"/>
              <w:left w:val="single" w:sz="4" w:space="0" w:color="auto"/>
              <w:bottom w:val="single" w:sz="4" w:space="0" w:color="auto"/>
              <w:right w:val="single" w:sz="4" w:space="0" w:color="auto"/>
            </w:tcBorders>
            <w:shd w:val="clear" w:color="auto" w:fill="B3B3B3"/>
            <w:vAlign w:val="center"/>
          </w:tcPr>
          <w:p w14:paraId="5EE05435" w14:textId="77777777" w:rsidR="00115458" w:rsidRPr="00D06BCE" w:rsidRDefault="00115458" w:rsidP="00D06BCE">
            <w:pPr>
              <w:spacing w:after="0" w:line="240" w:lineRule="auto"/>
              <w:rPr>
                <w:rFonts w:cs="Arial"/>
                <w:b/>
                <w:bCs/>
              </w:rPr>
            </w:pPr>
            <w:r w:rsidRPr="00D06BCE">
              <w:rPr>
                <w:rFonts w:cs="Arial"/>
                <w:b/>
                <w:bCs/>
              </w:rPr>
              <w:t>Reference number</w:t>
            </w:r>
          </w:p>
        </w:tc>
        <w:tc>
          <w:tcPr>
            <w:tcW w:w="2803" w:type="pct"/>
            <w:tcBorders>
              <w:top w:val="single" w:sz="4" w:space="0" w:color="auto"/>
              <w:left w:val="single" w:sz="4" w:space="0" w:color="auto"/>
              <w:bottom w:val="single" w:sz="4" w:space="0" w:color="auto"/>
              <w:right w:val="single" w:sz="4" w:space="0" w:color="auto"/>
            </w:tcBorders>
            <w:shd w:val="clear" w:color="auto" w:fill="B3B3B3"/>
            <w:vAlign w:val="center"/>
          </w:tcPr>
          <w:p w14:paraId="5F0B57C8" w14:textId="77777777" w:rsidR="00115458" w:rsidRPr="00D06BCE" w:rsidRDefault="00115458" w:rsidP="00D06BCE">
            <w:pPr>
              <w:spacing w:after="0" w:line="240" w:lineRule="auto"/>
              <w:rPr>
                <w:rFonts w:cs="Arial"/>
                <w:b/>
                <w:bCs/>
              </w:rPr>
            </w:pPr>
            <w:r w:rsidRPr="00D06BCE">
              <w:rPr>
                <w:rFonts w:cs="Arial"/>
                <w:b/>
                <w:bCs/>
              </w:rPr>
              <w:t>Field name</w:t>
            </w:r>
          </w:p>
        </w:tc>
        <w:tc>
          <w:tcPr>
            <w:tcW w:w="1537" w:type="pct"/>
            <w:tcBorders>
              <w:top w:val="single" w:sz="4" w:space="0" w:color="auto"/>
              <w:left w:val="single" w:sz="4" w:space="0" w:color="auto"/>
              <w:bottom w:val="single" w:sz="4" w:space="0" w:color="auto"/>
              <w:right w:val="single" w:sz="4" w:space="0" w:color="auto"/>
            </w:tcBorders>
            <w:shd w:val="clear" w:color="auto" w:fill="B3B3B3"/>
            <w:vAlign w:val="center"/>
          </w:tcPr>
          <w:p w14:paraId="51338E63"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211053A9"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568CDE97" w14:textId="77777777" w:rsidR="00115458" w:rsidRPr="00D06BCE" w:rsidRDefault="00115458" w:rsidP="00D06BCE">
            <w:pPr>
              <w:spacing w:after="0" w:line="240" w:lineRule="auto"/>
            </w:pPr>
            <w:hyperlink w:anchor="d7_001" w:history="1">
              <w:r w:rsidRPr="00D06BCE">
                <w:t>9.1</w:t>
              </w:r>
            </w:hyperlink>
          </w:p>
        </w:tc>
        <w:tc>
          <w:tcPr>
            <w:tcW w:w="2803" w:type="pct"/>
            <w:tcBorders>
              <w:top w:val="nil"/>
              <w:left w:val="nil"/>
              <w:bottom w:val="single" w:sz="8" w:space="0" w:color="auto"/>
              <w:right w:val="single" w:sz="8" w:space="0" w:color="auto"/>
            </w:tcBorders>
            <w:vAlign w:val="center"/>
          </w:tcPr>
          <w:p w14:paraId="75442018" w14:textId="77777777" w:rsidR="00115458" w:rsidRPr="00D06BCE" w:rsidRDefault="00115458" w:rsidP="00D06BCE">
            <w:pPr>
              <w:spacing w:after="0" w:line="240" w:lineRule="auto"/>
              <w:rPr>
                <w:rFonts w:cs="Arial"/>
              </w:rPr>
            </w:pPr>
            <w:r w:rsidRPr="00D06BCE">
              <w:rPr>
                <w:rFonts w:cs="Arial"/>
              </w:rPr>
              <w:t>Record length (=850)</w:t>
            </w:r>
          </w:p>
        </w:tc>
        <w:tc>
          <w:tcPr>
            <w:tcW w:w="1537" w:type="pct"/>
            <w:tcBorders>
              <w:top w:val="nil"/>
              <w:left w:val="nil"/>
              <w:bottom w:val="single" w:sz="8" w:space="0" w:color="auto"/>
              <w:right w:val="single" w:sz="8" w:space="0" w:color="auto"/>
            </w:tcBorders>
            <w:vAlign w:val="center"/>
          </w:tcPr>
          <w:p w14:paraId="51901F5F" w14:textId="77777777" w:rsidR="00115458" w:rsidRPr="00D06BCE" w:rsidRDefault="00115458" w:rsidP="00D06BCE">
            <w:pPr>
              <w:spacing w:after="0" w:line="240" w:lineRule="auto"/>
              <w:rPr>
                <w:rFonts w:cs="Arial"/>
              </w:rPr>
            </w:pPr>
            <w:r w:rsidRPr="00D06BCE">
              <w:rPr>
                <w:rFonts w:cs="Arial"/>
              </w:rPr>
              <w:t>850</w:t>
            </w:r>
          </w:p>
        </w:tc>
      </w:tr>
      <w:tr w:rsidR="00115458" w:rsidRPr="00D06BCE" w14:paraId="0320872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0A662D33" w14:textId="1FEFE876" w:rsidR="00115458" w:rsidRPr="00D06BCE" w:rsidRDefault="00944D41" w:rsidP="00D06BCE">
            <w:pPr>
              <w:spacing w:after="0" w:line="240" w:lineRule="auto"/>
            </w:pPr>
            <w:r>
              <w:rPr>
                <w:rFonts w:cs="Arial"/>
              </w:rPr>
              <w:t>9.147</w:t>
            </w:r>
          </w:p>
        </w:tc>
        <w:tc>
          <w:tcPr>
            <w:tcW w:w="2803" w:type="pct"/>
            <w:tcBorders>
              <w:top w:val="nil"/>
              <w:left w:val="nil"/>
              <w:bottom w:val="single" w:sz="8" w:space="0" w:color="auto"/>
              <w:right w:val="single" w:sz="8" w:space="0" w:color="auto"/>
            </w:tcBorders>
            <w:vAlign w:val="center"/>
          </w:tcPr>
          <w:p w14:paraId="0CE0B6DA"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37" w:type="pct"/>
            <w:tcBorders>
              <w:top w:val="nil"/>
              <w:left w:val="nil"/>
              <w:bottom w:val="single" w:sz="8" w:space="0" w:color="auto"/>
              <w:right w:val="single" w:sz="8" w:space="0" w:color="auto"/>
            </w:tcBorders>
            <w:vAlign w:val="center"/>
          </w:tcPr>
          <w:p w14:paraId="23D37AF3"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42DF25B0"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11ECE870" w14:textId="40941E71" w:rsidR="00115458" w:rsidRPr="00D06BCE" w:rsidRDefault="00DE4F64" w:rsidP="00D06BCE">
            <w:pPr>
              <w:spacing w:after="0" w:line="240" w:lineRule="auto"/>
            </w:pPr>
            <w:r>
              <w:rPr>
                <w:rFonts w:cs="Arial"/>
              </w:rPr>
              <w:t>9.148</w:t>
            </w:r>
          </w:p>
        </w:tc>
        <w:tc>
          <w:tcPr>
            <w:tcW w:w="2803" w:type="pct"/>
            <w:tcBorders>
              <w:top w:val="nil"/>
              <w:left w:val="nil"/>
              <w:bottom w:val="single" w:sz="8" w:space="0" w:color="auto"/>
              <w:right w:val="single" w:sz="8" w:space="0" w:color="auto"/>
            </w:tcBorders>
            <w:vAlign w:val="center"/>
          </w:tcPr>
          <w:p w14:paraId="489DD64C"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37" w:type="pct"/>
            <w:tcBorders>
              <w:top w:val="nil"/>
              <w:left w:val="nil"/>
              <w:bottom w:val="single" w:sz="8" w:space="0" w:color="auto"/>
              <w:right w:val="single" w:sz="8" w:space="0" w:color="auto"/>
            </w:tcBorders>
            <w:vAlign w:val="center"/>
          </w:tcPr>
          <w:p w14:paraId="6A3308A2"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00AF320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05B5ADED" w14:textId="6D22C797" w:rsidR="00115458" w:rsidRPr="00D06BCE" w:rsidRDefault="002A10B0" w:rsidP="00D06BCE">
            <w:pPr>
              <w:spacing w:after="0" w:line="240" w:lineRule="auto"/>
            </w:pPr>
            <w:r>
              <w:rPr>
                <w:rFonts w:cs="Arial"/>
              </w:rPr>
              <w:t>9.149</w:t>
            </w:r>
          </w:p>
        </w:tc>
        <w:tc>
          <w:tcPr>
            <w:tcW w:w="2803" w:type="pct"/>
            <w:tcBorders>
              <w:top w:val="nil"/>
              <w:left w:val="nil"/>
              <w:bottom w:val="single" w:sz="8" w:space="0" w:color="auto"/>
              <w:right w:val="single" w:sz="8" w:space="0" w:color="auto"/>
            </w:tcBorders>
            <w:vAlign w:val="center"/>
          </w:tcPr>
          <w:p w14:paraId="25DE2089"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37" w:type="pct"/>
            <w:tcBorders>
              <w:top w:val="nil"/>
              <w:left w:val="nil"/>
              <w:bottom w:val="single" w:sz="8" w:space="0" w:color="auto"/>
              <w:right w:val="single" w:sz="8" w:space="0" w:color="auto"/>
            </w:tcBorders>
            <w:vAlign w:val="center"/>
          </w:tcPr>
          <w:p w14:paraId="5592ED87" w14:textId="77777777" w:rsidR="00115458" w:rsidRPr="00D06BCE" w:rsidRDefault="00115458" w:rsidP="00D06BCE">
            <w:pPr>
              <w:spacing w:after="0" w:line="240" w:lineRule="auto"/>
              <w:rPr>
                <w:rFonts w:cs="Arial"/>
              </w:rPr>
            </w:pPr>
            <w:r w:rsidRPr="00D06BCE">
              <w:rPr>
                <w:rFonts w:cs="Arial"/>
              </w:rPr>
              <w:t>01</w:t>
            </w:r>
          </w:p>
        </w:tc>
      </w:tr>
      <w:tr w:rsidR="00115458" w:rsidRPr="00D06BCE" w14:paraId="7654C3B6"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5C1E21A9" w14:textId="77777777" w:rsidR="00115458" w:rsidRPr="00D06BCE" w:rsidRDefault="00115458" w:rsidP="00D06BCE">
            <w:pPr>
              <w:spacing w:after="0" w:line="240" w:lineRule="auto"/>
            </w:pPr>
            <w:hyperlink w:anchor="d7_061" w:history="1">
              <w:r w:rsidRPr="00D06BCE">
                <w:t>9.63</w:t>
              </w:r>
            </w:hyperlink>
          </w:p>
        </w:tc>
        <w:tc>
          <w:tcPr>
            <w:tcW w:w="2803" w:type="pct"/>
            <w:tcBorders>
              <w:top w:val="nil"/>
              <w:left w:val="nil"/>
              <w:bottom w:val="single" w:sz="8" w:space="0" w:color="auto"/>
              <w:right w:val="single" w:sz="8" w:space="0" w:color="auto"/>
            </w:tcBorders>
            <w:vAlign w:val="center"/>
          </w:tcPr>
          <w:p w14:paraId="0AFE2D4F" w14:textId="77777777" w:rsidR="00115458" w:rsidRPr="00D06BCE" w:rsidRDefault="00115458" w:rsidP="00D06BCE">
            <w:pPr>
              <w:spacing w:after="0" w:line="240" w:lineRule="auto"/>
              <w:rPr>
                <w:rFonts w:cs="Arial"/>
              </w:rPr>
            </w:pPr>
            <w:r w:rsidRPr="00D06BCE">
              <w:rPr>
                <w:rFonts w:cs="Arial"/>
              </w:rPr>
              <w:t>Investment reference number</w:t>
            </w:r>
          </w:p>
        </w:tc>
        <w:tc>
          <w:tcPr>
            <w:tcW w:w="1537" w:type="pct"/>
            <w:tcBorders>
              <w:top w:val="nil"/>
              <w:left w:val="nil"/>
              <w:bottom w:val="single" w:sz="8" w:space="0" w:color="auto"/>
              <w:right w:val="single" w:sz="8" w:space="0" w:color="auto"/>
            </w:tcBorders>
            <w:vAlign w:val="center"/>
          </w:tcPr>
          <w:p w14:paraId="541CF7A1" w14:textId="77777777" w:rsidR="00115458" w:rsidRPr="00D06BCE" w:rsidRDefault="00115458" w:rsidP="00D06BCE">
            <w:pPr>
              <w:spacing w:after="0" w:line="240" w:lineRule="auto"/>
              <w:rPr>
                <w:rFonts w:cs="Arial"/>
              </w:rPr>
            </w:pPr>
            <w:r w:rsidRPr="00D06BCE">
              <w:rPr>
                <w:rFonts w:cs="Arial"/>
              </w:rPr>
              <w:t>2381436874569</w:t>
            </w:r>
          </w:p>
        </w:tc>
      </w:tr>
      <w:tr w:rsidR="00115458" w:rsidRPr="00D06BCE" w14:paraId="5A1F7EE7"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2CE5105C" w14:textId="77777777" w:rsidR="00115458" w:rsidRPr="00D06BCE" w:rsidRDefault="00115458" w:rsidP="00D06BCE">
            <w:pPr>
              <w:spacing w:after="0" w:line="240" w:lineRule="auto"/>
            </w:pPr>
            <w:hyperlink w:anchor="d7_062" w:history="1">
              <w:r w:rsidRPr="00D06BCE">
                <w:t>9.64</w:t>
              </w:r>
            </w:hyperlink>
          </w:p>
        </w:tc>
        <w:tc>
          <w:tcPr>
            <w:tcW w:w="2803" w:type="pct"/>
            <w:tcBorders>
              <w:top w:val="nil"/>
              <w:left w:val="nil"/>
              <w:bottom w:val="single" w:sz="8" w:space="0" w:color="auto"/>
              <w:right w:val="single" w:sz="8" w:space="0" w:color="auto"/>
            </w:tcBorders>
            <w:vAlign w:val="center"/>
          </w:tcPr>
          <w:p w14:paraId="6AB15AFB" w14:textId="77777777" w:rsidR="00115458" w:rsidRPr="00D06BCE" w:rsidRDefault="00115458" w:rsidP="00D06BCE">
            <w:pPr>
              <w:spacing w:after="0" w:line="240" w:lineRule="auto"/>
              <w:rPr>
                <w:rFonts w:cs="Arial"/>
              </w:rPr>
            </w:pPr>
            <w:r w:rsidRPr="00D06BCE">
              <w:rPr>
                <w:rFonts w:cs="Arial"/>
              </w:rPr>
              <w:t>Account reference number</w:t>
            </w:r>
          </w:p>
        </w:tc>
        <w:tc>
          <w:tcPr>
            <w:tcW w:w="1537" w:type="pct"/>
            <w:tcBorders>
              <w:top w:val="nil"/>
              <w:left w:val="nil"/>
              <w:bottom w:val="single" w:sz="8" w:space="0" w:color="auto"/>
              <w:right w:val="single" w:sz="8" w:space="0" w:color="auto"/>
            </w:tcBorders>
            <w:vAlign w:val="center"/>
          </w:tcPr>
          <w:p w14:paraId="30FC4CEA" w14:textId="77777777" w:rsidR="00115458" w:rsidRPr="00D06BCE" w:rsidRDefault="00115458" w:rsidP="00D06BCE">
            <w:pPr>
              <w:spacing w:after="0" w:line="240" w:lineRule="auto"/>
              <w:rPr>
                <w:rFonts w:cs="Arial"/>
              </w:rPr>
            </w:pPr>
            <w:r w:rsidRPr="00D06BCE">
              <w:rPr>
                <w:rFonts w:cs="Arial"/>
              </w:rPr>
              <w:t>FMD1025</w:t>
            </w:r>
          </w:p>
        </w:tc>
      </w:tr>
      <w:tr w:rsidR="00115458" w:rsidRPr="00D06BCE" w14:paraId="445987BF"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05545237" w14:textId="77777777" w:rsidR="00115458" w:rsidRPr="00D06BCE" w:rsidRDefault="00115458" w:rsidP="00D06BCE">
            <w:pPr>
              <w:spacing w:after="0" w:line="240" w:lineRule="auto"/>
            </w:pPr>
            <w:hyperlink w:anchor="d7_063" w:history="1">
              <w:r w:rsidRPr="00D06BCE">
                <w:t>9.65</w:t>
              </w:r>
            </w:hyperlink>
          </w:p>
        </w:tc>
        <w:tc>
          <w:tcPr>
            <w:tcW w:w="2803" w:type="pct"/>
            <w:tcBorders>
              <w:top w:val="nil"/>
              <w:left w:val="nil"/>
              <w:bottom w:val="single" w:sz="8" w:space="0" w:color="auto"/>
              <w:right w:val="single" w:sz="8" w:space="0" w:color="auto"/>
            </w:tcBorders>
            <w:vAlign w:val="center"/>
          </w:tcPr>
          <w:p w14:paraId="0EE2C9D9" w14:textId="77777777" w:rsidR="00115458" w:rsidRPr="00D06BCE" w:rsidRDefault="00115458" w:rsidP="00D06BCE">
            <w:pPr>
              <w:spacing w:after="0" w:line="240" w:lineRule="auto"/>
              <w:rPr>
                <w:rFonts w:cs="Arial"/>
              </w:rPr>
            </w:pPr>
            <w:r w:rsidRPr="00D06BCE">
              <w:rPr>
                <w:rFonts w:cs="Arial"/>
              </w:rPr>
              <w:t>BSB number</w:t>
            </w:r>
          </w:p>
        </w:tc>
        <w:tc>
          <w:tcPr>
            <w:tcW w:w="1537" w:type="pct"/>
            <w:tcBorders>
              <w:top w:val="nil"/>
              <w:left w:val="nil"/>
              <w:bottom w:val="single" w:sz="8" w:space="0" w:color="auto"/>
              <w:right w:val="single" w:sz="8" w:space="0" w:color="auto"/>
            </w:tcBorders>
            <w:vAlign w:val="center"/>
          </w:tcPr>
          <w:p w14:paraId="2D663059" w14:textId="77777777" w:rsidR="00115458" w:rsidRPr="00D06BCE" w:rsidRDefault="00115458" w:rsidP="00D06BCE">
            <w:pPr>
              <w:spacing w:after="0" w:line="240" w:lineRule="auto"/>
              <w:rPr>
                <w:rFonts w:cs="Arial"/>
              </w:rPr>
            </w:pPr>
            <w:r w:rsidRPr="00D06BCE">
              <w:rPr>
                <w:rFonts w:cs="Arial"/>
              </w:rPr>
              <w:t>568192</w:t>
            </w:r>
          </w:p>
        </w:tc>
      </w:tr>
      <w:tr w:rsidR="00115458" w:rsidRPr="00D06BCE" w14:paraId="479F8454"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39B973D1" w14:textId="77777777" w:rsidR="00115458" w:rsidRPr="00D06BCE" w:rsidRDefault="00115458" w:rsidP="00D06BCE">
            <w:pPr>
              <w:spacing w:after="0" w:line="240" w:lineRule="auto"/>
            </w:pPr>
            <w:hyperlink w:anchor="d7_064" w:history="1">
              <w:r w:rsidRPr="00D06BCE">
                <w:t>9.66</w:t>
              </w:r>
            </w:hyperlink>
          </w:p>
        </w:tc>
        <w:tc>
          <w:tcPr>
            <w:tcW w:w="2803" w:type="pct"/>
            <w:tcBorders>
              <w:top w:val="nil"/>
              <w:left w:val="nil"/>
              <w:bottom w:val="single" w:sz="8" w:space="0" w:color="auto"/>
              <w:right w:val="single" w:sz="8" w:space="0" w:color="auto"/>
            </w:tcBorders>
            <w:vAlign w:val="center"/>
          </w:tcPr>
          <w:p w14:paraId="1A9CF311" w14:textId="77777777" w:rsidR="00115458" w:rsidRPr="00D06BCE" w:rsidRDefault="00115458" w:rsidP="00D06BCE">
            <w:pPr>
              <w:spacing w:after="0" w:line="240" w:lineRule="auto"/>
              <w:rPr>
                <w:rFonts w:cs="Arial"/>
              </w:rPr>
            </w:pPr>
            <w:r w:rsidRPr="00D06BCE">
              <w:rPr>
                <w:rFonts w:cs="Arial"/>
              </w:rPr>
              <w:t>Branch location</w:t>
            </w:r>
          </w:p>
        </w:tc>
        <w:tc>
          <w:tcPr>
            <w:tcW w:w="1537" w:type="pct"/>
            <w:tcBorders>
              <w:top w:val="nil"/>
              <w:left w:val="nil"/>
              <w:bottom w:val="single" w:sz="8" w:space="0" w:color="auto"/>
              <w:right w:val="single" w:sz="8" w:space="0" w:color="auto"/>
            </w:tcBorders>
            <w:vAlign w:val="center"/>
          </w:tcPr>
          <w:p w14:paraId="12259A5C"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068CFE02" w14:textId="77777777" w:rsidTr="00427C84">
        <w:trPr>
          <w:trHeight w:val="138"/>
        </w:trPr>
        <w:tc>
          <w:tcPr>
            <w:tcW w:w="660" w:type="pct"/>
            <w:tcBorders>
              <w:top w:val="nil"/>
              <w:left w:val="single" w:sz="8" w:space="0" w:color="auto"/>
              <w:bottom w:val="single" w:sz="8" w:space="0" w:color="auto"/>
              <w:right w:val="single" w:sz="8" w:space="0" w:color="auto"/>
            </w:tcBorders>
            <w:vAlign w:val="center"/>
          </w:tcPr>
          <w:p w14:paraId="4DA45A3D" w14:textId="77777777" w:rsidR="00115458" w:rsidRPr="00D06BCE" w:rsidRDefault="00115458" w:rsidP="00D06BCE">
            <w:pPr>
              <w:spacing w:after="0" w:line="240" w:lineRule="auto"/>
            </w:pPr>
            <w:hyperlink w:anchor="d7_065" w:history="1">
              <w:r w:rsidRPr="00D06BCE">
                <w:t>9.67</w:t>
              </w:r>
            </w:hyperlink>
          </w:p>
        </w:tc>
        <w:tc>
          <w:tcPr>
            <w:tcW w:w="2803" w:type="pct"/>
            <w:tcBorders>
              <w:top w:val="nil"/>
              <w:left w:val="nil"/>
              <w:bottom w:val="single" w:sz="8" w:space="0" w:color="auto"/>
              <w:right w:val="single" w:sz="8" w:space="0" w:color="auto"/>
            </w:tcBorders>
            <w:vAlign w:val="center"/>
          </w:tcPr>
          <w:p w14:paraId="3526BA31" w14:textId="77777777" w:rsidR="00115458" w:rsidRPr="00D06BCE" w:rsidRDefault="00115458" w:rsidP="00D06BCE">
            <w:pPr>
              <w:spacing w:after="0" w:line="240" w:lineRule="auto"/>
              <w:rPr>
                <w:rFonts w:cs="Arial"/>
              </w:rPr>
            </w:pPr>
            <w:r w:rsidRPr="00D06BCE">
              <w:rPr>
                <w:rFonts w:cs="Arial"/>
              </w:rPr>
              <w:t>Account name</w:t>
            </w:r>
          </w:p>
        </w:tc>
        <w:tc>
          <w:tcPr>
            <w:tcW w:w="1537" w:type="pct"/>
            <w:tcBorders>
              <w:top w:val="nil"/>
              <w:left w:val="nil"/>
              <w:bottom w:val="single" w:sz="8" w:space="0" w:color="auto"/>
              <w:right w:val="single" w:sz="8" w:space="0" w:color="auto"/>
            </w:tcBorders>
            <w:vAlign w:val="center"/>
          </w:tcPr>
          <w:p w14:paraId="29C1B016" w14:textId="77777777" w:rsidR="00115458" w:rsidRPr="00D06BCE" w:rsidRDefault="00115458" w:rsidP="00D06BCE">
            <w:pPr>
              <w:spacing w:after="0" w:line="240" w:lineRule="auto"/>
              <w:rPr>
                <w:rFonts w:cs="Arial"/>
              </w:rPr>
            </w:pPr>
            <w:r w:rsidRPr="00D06BCE">
              <w:rPr>
                <w:rFonts w:cs="Arial"/>
              </w:rPr>
              <w:t>SEBASTIAN COPPERFIELD</w:t>
            </w:r>
          </w:p>
        </w:tc>
      </w:tr>
      <w:tr w:rsidR="00115458" w:rsidRPr="00D06BCE" w14:paraId="1EA04D41"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69F9472D" w14:textId="69F29FCA" w:rsidR="00115458" w:rsidRPr="00D06BCE" w:rsidRDefault="005575D6" w:rsidP="00D06BCE">
            <w:pPr>
              <w:spacing w:after="0" w:line="240" w:lineRule="auto"/>
            </w:pPr>
            <w:r>
              <w:t>9.150</w:t>
            </w:r>
          </w:p>
        </w:tc>
        <w:tc>
          <w:tcPr>
            <w:tcW w:w="2803" w:type="pct"/>
            <w:tcBorders>
              <w:top w:val="nil"/>
              <w:left w:val="nil"/>
              <w:bottom w:val="single" w:sz="8" w:space="0" w:color="auto"/>
              <w:right w:val="single" w:sz="8" w:space="0" w:color="auto"/>
            </w:tcBorders>
            <w:vAlign w:val="center"/>
          </w:tcPr>
          <w:p w14:paraId="1B2C68E2"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37" w:type="pct"/>
            <w:tcBorders>
              <w:top w:val="nil"/>
              <w:left w:val="nil"/>
              <w:bottom w:val="single" w:sz="8" w:space="0" w:color="auto"/>
              <w:right w:val="single" w:sz="8" w:space="0" w:color="auto"/>
            </w:tcBorders>
            <w:vAlign w:val="center"/>
          </w:tcPr>
          <w:p w14:paraId="11C07049" w14:textId="77777777" w:rsidR="00115458" w:rsidRPr="00D06BCE" w:rsidRDefault="00115458" w:rsidP="00D06BCE">
            <w:pPr>
              <w:spacing w:after="0" w:line="240" w:lineRule="auto"/>
              <w:rPr>
                <w:rFonts w:cs="Arial"/>
              </w:rPr>
            </w:pPr>
            <w:r w:rsidRPr="00D06BCE">
              <w:rPr>
                <w:rFonts w:cs="Arial"/>
              </w:rPr>
              <w:t>9125</w:t>
            </w:r>
          </w:p>
        </w:tc>
      </w:tr>
      <w:tr w:rsidR="00115458" w:rsidRPr="00D06BCE" w14:paraId="35D8C3AC"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06C07AF4" w14:textId="3E308EF0" w:rsidR="00115458" w:rsidRPr="00D06BCE" w:rsidRDefault="00107A53" w:rsidP="00D06BCE">
            <w:pPr>
              <w:spacing w:after="0" w:line="240" w:lineRule="auto"/>
            </w:pPr>
            <w:r>
              <w:rPr>
                <w:rFonts w:cs="Arial"/>
              </w:rPr>
              <w:t>9.151</w:t>
            </w:r>
          </w:p>
        </w:tc>
        <w:tc>
          <w:tcPr>
            <w:tcW w:w="2803" w:type="pct"/>
            <w:tcBorders>
              <w:top w:val="nil"/>
              <w:left w:val="nil"/>
              <w:bottom w:val="single" w:sz="8" w:space="0" w:color="auto"/>
              <w:right w:val="single" w:sz="8" w:space="0" w:color="auto"/>
            </w:tcBorders>
            <w:vAlign w:val="center"/>
          </w:tcPr>
          <w:p w14:paraId="213988EE" w14:textId="77777777" w:rsidR="00115458" w:rsidRPr="00D06BCE" w:rsidRDefault="00115458" w:rsidP="00D06BCE">
            <w:pPr>
              <w:spacing w:after="0" w:line="240" w:lineRule="auto"/>
              <w:rPr>
                <w:rFonts w:cs="Arial"/>
              </w:rPr>
            </w:pPr>
            <w:r w:rsidRPr="00D06BCE">
              <w:rPr>
                <w:rFonts w:cs="Arial"/>
              </w:rPr>
              <w:t>ANZSIC code</w:t>
            </w:r>
          </w:p>
        </w:tc>
        <w:tc>
          <w:tcPr>
            <w:tcW w:w="1537" w:type="pct"/>
            <w:tcBorders>
              <w:top w:val="nil"/>
              <w:left w:val="nil"/>
              <w:bottom w:val="single" w:sz="8" w:space="0" w:color="auto"/>
              <w:right w:val="single" w:sz="8" w:space="0" w:color="auto"/>
            </w:tcBorders>
            <w:vAlign w:val="center"/>
          </w:tcPr>
          <w:p w14:paraId="3746E555"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7BBCF623"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57D77680" w14:textId="77777777" w:rsidR="00115458" w:rsidRPr="00D06BCE" w:rsidRDefault="00115458" w:rsidP="00D06BCE">
            <w:pPr>
              <w:spacing w:after="0" w:line="240" w:lineRule="auto"/>
            </w:pPr>
            <w:hyperlink w:anchor="d7_068" w:history="1">
              <w:r w:rsidRPr="00D06BCE">
                <w:t>9.70</w:t>
              </w:r>
            </w:hyperlink>
          </w:p>
        </w:tc>
        <w:tc>
          <w:tcPr>
            <w:tcW w:w="2803" w:type="pct"/>
            <w:tcBorders>
              <w:top w:val="nil"/>
              <w:left w:val="nil"/>
              <w:bottom w:val="single" w:sz="8" w:space="0" w:color="auto"/>
              <w:right w:val="single" w:sz="8" w:space="0" w:color="auto"/>
            </w:tcBorders>
            <w:vAlign w:val="center"/>
          </w:tcPr>
          <w:p w14:paraId="7FE9DE3E" w14:textId="77777777" w:rsidR="00115458" w:rsidRPr="00D06BCE" w:rsidRDefault="00115458" w:rsidP="00D06BCE">
            <w:pPr>
              <w:spacing w:after="0" w:line="240" w:lineRule="auto"/>
              <w:rPr>
                <w:rFonts w:cs="Arial"/>
              </w:rPr>
            </w:pPr>
            <w:r w:rsidRPr="00D06BCE">
              <w:rPr>
                <w:rFonts w:cs="Arial"/>
              </w:rPr>
              <w:t>Date of payment (DDMMCCYY)</w:t>
            </w:r>
          </w:p>
        </w:tc>
        <w:tc>
          <w:tcPr>
            <w:tcW w:w="1537" w:type="pct"/>
            <w:tcBorders>
              <w:top w:val="nil"/>
              <w:left w:val="nil"/>
              <w:bottom w:val="single" w:sz="8" w:space="0" w:color="auto"/>
              <w:right w:val="single" w:sz="8" w:space="0" w:color="auto"/>
            </w:tcBorders>
            <w:vAlign w:val="center"/>
          </w:tcPr>
          <w:p w14:paraId="49FFF73F"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111A895"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1B3B9D25" w14:textId="77777777" w:rsidR="00115458" w:rsidRPr="00D06BCE" w:rsidRDefault="00115458" w:rsidP="00D06BCE">
            <w:pPr>
              <w:spacing w:after="0" w:line="240" w:lineRule="auto"/>
            </w:pPr>
            <w:hyperlink w:anchor="d7_069" w:history="1">
              <w:r w:rsidRPr="00D06BCE">
                <w:t>9.71</w:t>
              </w:r>
            </w:hyperlink>
          </w:p>
        </w:tc>
        <w:tc>
          <w:tcPr>
            <w:tcW w:w="2803" w:type="pct"/>
            <w:tcBorders>
              <w:top w:val="nil"/>
              <w:left w:val="nil"/>
              <w:bottom w:val="single" w:sz="8" w:space="0" w:color="auto"/>
              <w:right w:val="single" w:sz="8" w:space="0" w:color="auto"/>
            </w:tcBorders>
            <w:vAlign w:val="center"/>
          </w:tcPr>
          <w:p w14:paraId="590854CE" w14:textId="77777777" w:rsidR="00115458" w:rsidRPr="00D06BCE" w:rsidRDefault="00115458" w:rsidP="00D06BCE">
            <w:pPr>
              <w:spacing w:after="0" w:line="240" w:lineRule="auto"/>
              <w:rPr>
                <w:rFonts w:cs="Arial"/>
              </w:rPr>
            </w:pPr>
            <w:r w:rsidRPr="00D06BCE">
              <w:rPr>
                <w:rFonts w:cs="Arial"/>
              </w:rPr>
              <w:t>Type of investment</w:t>
            </w:r>
          </w:p>
        </w:tc>
        <w:tc>
          <w:tcPr>
            <w:tcW w:w="1537" w:type="pct"/>
            <w:tcBorders>
              <w:top w:val="nil"/>
              <w:left w:val="nil"/>
              <w:bottom w:val="single" w:sz="8" w:space="0" w:color="auto"/>
              <w:right w:val="single" w:sz="8" w:space="0" w:color="auto"/>
            </w:tcBorders>
            <w:vAlign w:val="center"/>
          </w:tcPr>
          <w:p w14:paraId="2FAA3DCD"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6B1918C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0D7D1E12" w14:textId="77777777" w:rsidR="00115458" w:rsidRPr="00D06BCE" w:rsidRDefault="00115458" w:rsidP="00D06BCE">
            <w:pPr>
              <w:spacing w:after="0" w:line="240" w:lineRule="auto"/>
            </w:pPr>
            <w:hyperlink w:anchor="d7_070" w:history="1">
              <w:r w:rsidRPr="00D06BCE">
                <w:t>9.72</w:t>
              </w:r>
            </w:hyperlink>
          </w:p>
        </w:tc>
        <w:tc>
          <w:tcPr>
            <w:tcW w:w="2803" w:type="pct"/>
            <w:tcBorders>
              <w:top w:val="nil"/>
              <w:left w:val="nil"/>
              <w:bottom w:val="single" w:sz="8" w:space="0" w:color="auto"/>
              <w:right w:val="single" w:sz="8" w:space="0" w:color="auto"/>
            </w:tcBorders>
            <w:vAlign w:val="center"/>
          </w:tcPr>
          <w:p w14:paraId="13F74606" w14:textId="77777777" w:rsidR="00115458" w:rsidRPr="00D06BCE" w:rsidRDefault="00115458" w:rsidP="00D06BCE">
            <w:pPr>
              <w:spacing w:after="0" w:line="240" w:lineRule="auto"/>
              <w:rPr>
                <w:rFonts w:cs="Arial"/>
              </w:rPr>
            </w:pPr>
            <w:r w:rsidRPr="00D06BCE">
              <w:rPr>
                <w:rFonts w:cs="Arial"/>
              </w:rPr>
              <w:t>Type of payment</w:t>
            </w:r>
          </w:p>
        </w:tc>
        <w:tc>
          <w:tcPr>
            <w:tcW w:w="1537" w:type="pct"/>
            <w:tcBorders>
              <w:top w:val="nil"/>
              <w:left w:val="nil"/>
              <w:bottom w:val="single" w:sz="8" w:space="0" w:color="auto"/>
              <w:right w:val="single" w:sz="8" w:space="0" w:color="auto"/>
            </w:tcBorders>
            <w:vAlign w:val="center"/>
          </w:tcPr>
          <w:p w14:paraId="10461179"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4454A848"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3CD7C775" w14:textId="77777777" w:rsidR="00115458" w:rsidRPr="00D06BCE" w:rsidRDefault="00115458" w:rsidP="00D06BCE">
            <w:pPr>
              <w:spacing w:after="0" w:line="240" w:lineRule="auto"/>
            </w:pPr>
            <w:hyperlink w:anchor="d7_076" w:history="1">
              <w:r w:rsidRPr="00D06BCE">
                <w:t>9.79</w:t>
              </w:r>
            </w:hyperlink>
          </w:p>
        </w:tc>
        <w:tc>
          <w:tcPr>
            <w:tcW w:w="2803" w:type="pct"/>
            <w:tcBorders>
              <w:top w:val="nil"/>
              <w:left w:val="nil"/>
              <w:bottom w:val="single" w:sz="8" w:space="0" w:color="auto"/>
              <w:right w:val="single" w:sz="8" w:space="0" w:color="auto"/>
            </w:tcBorders>
            <w:vAlign w:val="center"/>
          </w:tcPr>
          <w:p w14:paraId="3D0BAC72" w14:textId="77777777" w:rsidR="00115458" w:rsidRPr="00D06BCE" w:rsidRDefault="00115458" w:rsidP="00D06BCE">
            <w:pPr>
              <w:spacing w:after="0" w:line="240" w:lineRule="auto"/>
              <w:rPr>
                <w:rFonts w:cs="Arial"/>
              </w:rPr>
            </w:pPr>
            <w:r w:rsidRPr="00D06BCE">
              <w:rPr>
                <w:rFonts w:cs="Arial"/>
              </w:rPr>
              <w:t>Interest (cents)</w:t>
            </w:r>
          </w:p>
        </w:tc>
        <w:tc>
          <w:tcPr>
            <w:tcW w:w="1537" w:type="pct"/>
            <w:tcBorders>
              <w:top w:val="nil"/>
              <w:left w:val="nil"/>
              <w:bottom w:val="single" w:sz="8" w:space="0" w:color="auto"/>
              <w:right w:val="single" w:sz="8" w:space="0" w:color="auto"/>
            </w:tcBorders>
            <w:vAlign w:val="center"/>
          </w:tcPr>
          <w:p w14:paraId="03E35C3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89053EF"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7EC89BE2" w14:textId="77777777" w:rsidR="00115458" w:rsidRPr="00D06BCE" w:rsidRDefault="00115458" w:rsidP="00D06BCE">
            <w:pPr>
              <w:spacing w:after="0" w:line="240" w:lineRule="auto"/>
            </w:pPr>
            <w:hyperlink w:anchor="d7_072" w:history="1">
              <w:r w:rsidRPr="00D06BCE">
                <w:t>9.74</w:t>
              </w:r>
            </w:hyperlink>
          </w:p>
        </w:tc>
        <w:tc>
          <w:tcPr>
            <w:tcW w:w="2803" w:type="pct"/>
            <w:tcBorders>
              <w:top w:val="nil"/>
              <w:left w:val="nil"/>
              <w:bottom w:val="single" w:sz="8" w:space="0" w:color="auto"/>
              <w:right w:val="single" w:sz="8" w:space="0" w:color="auto"/>
            </w:tcBorders>
            <w:vAlign w:val="center"/>
          </w:tcPr>
          <w:p w14:paraId="7111231C"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37" w:type="pct"/>
            <w:tcBorders>
              <w:top w:val="nil"/>
              <w:left w:val="nil"/>
              <w:bottom w:val="single" w:sz="8" w:space="0" w:color="auto"/>
              <w:right w:val="single" w:sz="8" w:space="0" w:color="auto"/>
            </w:tcBorders>
            <w:vAlign w:val="center"/>
          </w:tcPr>
          <w:p w14:paraId="397CECA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8D6DA2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23F0BC50" w14:textId="77777777" w:rsidR="00115458" w:rsidRPr="00D06BCE" w:rsidRDefault="00115458" w:rsidP="00D06BCE">
            <w:pPr>
              <w:spacing w:after="0" w:line="240" w:lineRule="auto"/>
            </w:pPr>
            <w:hyperlink w:anchor="d7_073" w:history="1">
              <w:r w:rsidRPr="00D06BCE">
                <w:t>9.75</w:t>
              </w:r>
            </w:hyperlink>
          </w:p>
        </w:tc>
        <w:tc>
          <w:tcPr>
            <w:tcW w:w="2803" w:type="pct"/>
            <w:tcBorders>
              <w:top w:val="nil"/>
              <w:left w:val="nil"/>
              <w:bottom w:val="single" w:sz="8" w:space="0" w:color="auto"/>
              <w:right w:val="single" w:sz="8" w:space="0" w:color="auto"/>
            </w:tcBorders>
            <w:vAlign w:val="center"/>
          </w:tcPr>
          <w:p w14:paraId="6574FD49"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37" w:type="pct"/>
            <w:tcBorders>
              <w:top w:val="nil"/>
              <w:left w:val="nil"/>
              <w:bottom w:val="single" w:sz="8" w:space="0" w:color="auto"/>
              <w:right w:val="single" w:sz="8" w:space="0" w:color="auto"/>
            </w:tcBorders>
            <w:vAlign w:val="center"/>
          </w:tcPr>
          <w:p w14:paraId="5425CA8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BF43324"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757B1C52" w14:textId="7DD0D30C" w:rsidR="00115458" w:rsidRPr="00D06BCE" w:rsidRDefault="00E548B4" w:rsidP="00D06BCE">
            <w:pPr>
              <w:spacing w:after="0" w:line="240" w:lineRule="auto"/>
            </w:pPr>
            <w:r>
              <w:rPr>
                <w:rFonts w:cs="Arial"/>
              </w:rPr>
              <w:t>9.152</w:t>
            </w:r>
          </w:p>
        </w:tc>
        <w:tc>
          <w:tcPr>
            <w:tcW w:w="2803" w:type="pct"/>
            <w:tcBorders>
              <w:top w:val="nil"/>
              <w:left w:val="nil"/>
              <w:bottom w:val="single" w:sz="8" w:space="0" w:color="auto"/>
              <w:right w:val="single" w:sz="8" w:space="0" w:color="auto"/>
            </w:tcBorders>
            <w:vAlign w:val="center"/>
          </w:tcPr>
          <w:p w14:paraId="0EFA6B0E"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37" w:type="pct"/>
            <w:tcBorders>
              <w:top w:val="nil"/>
              <w:left w:val="nil"/>
              <w:bottom w:val="single" w:sz="8" w:space="0" w:color="auto"/>
              <w:right w:val="single" w:sz="8" w:space="0" w:color="auto"/>
            </w:tcBorders>
            <w:vAlign w:val="center"/>
          </w:tcPr>
          <w:p w14:paraId="37E9B5E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DADB168"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025AA5DA" w14:textId="683E9F22" w:rsidR="00115458" w:rsidRPr="00D06BCE" w:rsidRDefault="00704E70" w:rsidP="00D06BCE">
            <w:pPr>
              <w:spacing w:after="0" w:line="240" w:lineRule="auto"/>
            </w:pPr>
            <w:r>
              <w:t>9.153</w:t>
            </w:r>
          </w:p>
        </w:tc>
        <w:tc>
          <w:tcPr>
            <w:tcW w:w="2803" w:type="pct"/>
            <w:tcBorders>
              <w:top w:val="nil"/>
              <w:left w:val="nil"/>
              <w:bottom w:val="single" w:sz="8" w:space="0" w:color="auto"/>
              <w:right w:val="single" w:sz="8" w:space="0" w:color="auto"/>
            </w:tcBorders>
            <w:vAlign w:val="center"/>
          </w:tcPr>
          <w:p w14:paraId="6A995164"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37" w:type="pct"/>
            <w:tcBorders>
              <w:top w:val="nil"/>
              <w:left w:val="nil"/>
              <w:bottom w:val="single" w:sz="8" w:space="0" w:color="auto"/>
              <w:right w:val="single" w:sz="8" w:space="0" w:color="auto"/>
            </w:tcBorders>
            <w:vAlign w:val="center"/>
          </w:tcPr>
          <w:p w14:paraId="16D4683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82FEDA8"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3B7BD6EC" w14:textId="6F64FC54" w:rsidR="00115458" w:rsidRPr="00D06BCE" w:rsidRDefault="00770CC8" w:rsidP="00D06BCE">
            <w:pPr>
              <w:spacing w:after="0" w:line="240" w:lineRule="auto"/>
            </w:pPr>
            <w:r>
              <w:t>9.154</w:t>
            </w:r>
          </w:p>
        </w:tc>
        <w:tc>
          <w:tcPr>
            <w:tcW w:w="2803" w:type="pct"/>
            <w:tcBorders>
              <w:top w:val="nil"/>
              <w:left w:val="nil"/>
              <w:bottom w:val="single" w:sz="8" w:space="0" w:color="auto"/>
              <w:right w:val="single" w:sz="8" w:space="0" w:color="auto"/>
            </w:tcBorders>
            <w:vAlign w:val="center"/>
          </w:tcPr>
          <w:p w14:paraId="18F0E431"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37" w:type="pct"/>
            <w:tcBorders>
              <w:top w:val="nil"/>
              <w:left w:val="nil"/>
              <w:bottom w:val="single" w:sz="8" w:space="0" w:color="auto"/>
              <w:right w:val="single" w:sz="8" w:space="0" w:color="auto"/>
            </w:tcBorders>
            <w:vAlign w:val="center"/>
          </w:tcPr>
          <w:p w14:paraId="6C6EF813" w14:textId="28838173" w:rsidR="00115458" w:rsidRPr="00D06BCE" w:rsidRDefault="00115458" w:rsidP="00D06BCE">
            <w:pPr>
              <w:spacing w:after="0" w:line="240" w:lineRule="auto"/>
              <w:rPr>
                <w:rFonts w:cs="Arial"/>
              </w:rPr>
            </w:pPr>
            <w:r w:rsidRPr="00D06BCE">
              <w:rPr>
                <w:rFonts w:cs="Arial"/>
              </w:rPr>
              <w:t>110720</w:t>
            </w:r>
            <w:r w:rsidR="00440B9D">
              <w:rPr>
                <w:rFonts w:cs="Arial"/>
              </w:rPr>
              <w:t>22</w:t>
            </w:r>
          </w:p>
        </w:tc>
      </w:tr>
      <w:tr w:rsidR="00115458" w:rsidRPr="00D06BCE" w14:paraId="030609DD"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61BD3081" w14:textId="78AE8BAC" w:rsidR="00115458" w:rsidRPr="00D06BCE" w:rsidRDefault="00A871EC" w:rsidP="00D06BCE">
            <w:pPr>
              <w:spacing w:after="0" w:line="240" w:lineRule="auto"/>
            </w:pPr>
            <w:r>
              <w:t>9.155</w:t>
            </w:r>
          </w:p>
        </w:tc>
        <w:tc>
          <w:tcPr>
            <w:tcW w:w="2803" w:type="pct"/>
            <w:tcBorders>
              <w:top w:val="nil"/>
              <w:left w:val="nil"/>
              <w:bottom w:val="single" w:sz="8" w:space="0" w:color="auto"/>
              <w:right w:val="single" w:sz="8" w:space="0" w:color="auto"/>
            </w:tcBorders>
            <w:vAlign w:val="center"/>
          </w:tcPr>
          <w:p w14:paraId="31FAA30D" w14:textId="77777777" w:rsidR="00115458" w:rsidRPr="00D06BCE" w:rsidRDefault="00115458" w:rsidP="00D06BCE">
            <w:pPr>
              <w:spacing w:after="0" w:line="240" w:lineRule="auto"/>
              <w:rPr>
                <w:rFonts w:cs="Arial"/>
              </w:rPr>
            </w:pPr>
            <w:r w:rsidRPr="00D06BCE">
              <w:rPr>
                <w:rFonts w:cs="Arial"/>
              </w:rPr>
              <w:t>Amount of repayment (first) (cents)</w:t>
            </w:r>
          </w:p>
        </w:tc>
        <w:tc>
          <w:tcPr>
            <w:tcW w:w="1537" w:type="pct"/>
            <w:tcBorders>
              <w:top w:val="nil"/>
              <w:left w:val="nil"/>
              <w:bottom w:val="single" w:sz="8" w:space="0" w:color="auto"/>
              <w:right w:val="single" w:sz="8" w:space="0" w:color="auto"/>
            </w:tcBorders>
            <w:vAlign w:val="center"/>
          </w:tcPr>
          <w:p w14:paraId="774DE98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B351947"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19B520F4" w14:textId="5FCF9724" w:rsidR="00115458" w:rsidRPr="00D06BCE" w:rsidRDefault="009C084F" w:rsidP="00D06BCE">
            <w:pPr>
              <w:spacing w:after="0" w:line="240" w:lineRule="auto"/>
            </w:pPr>
            <w:r>
              <w:t>9.156</w:t>
            </w:r>
          </w:p>
        </w:tc>
        <w:tc>
          <w:tcPr>
            <w:tcW w:w="2803" w:type="pct"/>
            <w:tcBorders>
              <w:top w:val="nil"/>
              <w:left w:val="nil"/>
              <w:bottom w:val="single" w:sz="8" w:space="0" w:color="auto"/>
              <w:right w:val="single" w:sz="8" w:space="0" w:color="auto"/>
            </w:tcBorders>
            <w:vAlign w:val="center"/>
          </w:tcPr>
          <w:p w14:paraId="54BDF6ED" w14:textId="77777777" w:rsidR="00115458" w:rsidRPr="00D06BCE" w:rsidRDefault="00115458" w:rsidP="00D06BCE">
            <w:pPr>
              <w:spacing w:after="0" w:line="240" w:lineRule="auto"/>
              <w:rPr>
                <w:rFonts w:cs="Arial"/>
              </w:rPr>
            </w:pPr>
            <w:r w:rsidRPr="00D06BCE">
              <w:rPr>
                <w:rFonts w:cs="Arial"/>
              </w:rPr>
              <w:t>Date of repayment (first) (DDMMCCYY)</w:t>
            </w:r>
          </w:p>
        </w:tc>
        <w:tc>
          <w:tcPr>
            <w:tcW w:w="1537" w:type="pct"/>
            <w:tcBorders>
              <w:top w:val="nil"/>
              <w:left w:val="nil"/>
              <w:bottom w:val="single" w:sz="8" w:space="0" w:color="auto"/>
              <w:right w:val="single" w:sz="8" w:space="0" w:color="auto"/>
            </w:tcBorders>
            <w:vAlign w:val="center"/>
          </w:tcPr>
          <w:p w14:paraId="16B6BB1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3D4260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3F17BF84" w14:textId="0CB82641" w:rsidR="00115458" w:rsidRPr="00D06BCE" w:rsidRDefault="00A871EC" w:rsidP="00D06BCE">
            <w:pPr>
              <w:spacing w:after="0" w:line="240" w:lineRule="auto"/>
            </w:pPr>
            <w:r>
              <w:t>9.155</w:t>
            </w:r>
          </w:p>
        </w:tc>
        <w:tc>
          <w:tcPr>
            <w:tcW w:w="2803" w:type="pct"/>
            <w:tcBorders>
              <w:top w:val="nil"/>
              <w:left w:val="nil"/>
              <w:bottom w:val="single" w:sz="8" w:space="0" w:color="auto"/>
              <w:right w:val="single" w:sz="8" w:space="0" w:color="auto"/>
            </w:tcBorders>
            <w:vAlign w:val="center"/>
          </w:tcPr>
          <w:p w14:paraId="0D1AF536" w14:textId="77777777" w:rsidR="00115458" w:rsidRPr="00D06BCE" w:rsidRDefault="00115458" w:rsidP="00D06BCE">
            <w:pPr>
              <w:spacing w:after="0" w:line="240" w:lineRule="auto"/>
              <w:rPr>
                <w:rFonts w:cs="Arial"/>
              </w:rPr>
            </w:pPr>
            <w:r w:rsidRPr="00D06BCE">
              <w:rPr>
                <w:rFonts w:cs="Arial"/>
              </w:rPr>
              <w:t>Amount of repayment (second) (cents)</w:t>
            </w:r>
          </w:p>
        </w:tc>
        <w:tc>
          <w:tcPr>
            <w:tcW w:w="1537" w:type="pct"/>
            <w:tcBorders>
              <w:top w:val="nil"/>
              <w:left w:val="nil"/>
              <w:bottom w:val="single" w:sz="8" w:space="0" w:color="auto"/>
              <w:right w:val="single" w:sz="8" w:space="0" w:color="auto"/>
            </w:tcBorders>
            <w:vAlign w:val="center"/>
          </w:tcPr>
          <w:p w14:paraId="5E3DCC51"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7F92FD1"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7CC2C163" w14:textId="5B266DF1" w:rsidR="00115458" w:rsidRPr="00D06BCE" w:rsidRDefault="009C084F" w:rsidP="00D06BCE">
            <w:pPr>
              <w:spacing w:after="0" w:line="240" w:lineRule="auto"/>
            </w:pPr>
            <w:r>
              <w:t>9.156</w:t>
            </w:r>
          </w:p>
        </w:tc>
        <w:tc>
          <w:tcPr>
            <w:tcW w:w="2803" w:type="pct"/>
            <w:tcBorders>
              <w:top w:val="nil"/>
              <w:left w:val="nil"/>
              <w:bottom w:val="single" w:sz="8" w:space="0" w:color="auto"/>
              <w:right w:val="single" w:sz="8" w:space="0" w:color="auto"/>
            </w:tcBorders>
            <w:vAlign w:val="center"/>
          </w:tcPr>
          <w:p w14:paraId="5681E8AD" w14:textId="77777777" w:rsidR="00115458" w:rsidRPr="00D06BCE" w:rsidRDefault="00115458" w:rsidP="00D06BCE">
            <w:pPr>
              <w:spacing w:after="0" w:line="240" w:lineRule="auto"/>
              <w:rPr>
                <w:rFonts w:cs="Arial"/>
              </w:rPr>
            </w:pPr>
            <w:r w:rsidRPr="00D06BCE">
              <w:rPr>
                <w:rFonts w:cs="Arial"/>
              </w:rPr>
              <w:t>Date of repayment (second) (DDMMCCYY)</w:t>
            </w:r>
          </w:p>
        </w:tc>
        <w:tc>
          <w:tcPr>
            <w:tcW w:w="1537" w:type="pct"/>
            <w:tcBorders>
              <w:top w:val="nil"/>
              <w:left w:val="nil"/>
              <w:bottom w:val="single" w:sz="8" w:space="0" w:color="auto"/>
              <w:right w:val="single" w:sz="8" w:space="0" w:color="auto"/>
            </w:tcBorders>
            <w:vAlign w:val="center"/>
          </w:tcPr>
          <w:p w14:paraId="50C81C7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67AE4CD"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1DAC20F2" w14:textId="69B435C7" w:rsidR="00115458" w:rsidRPr="00D06BCE" w:rsidRDefault="00A871EC" w:rsidP="00D06BCE">
            <w:pPr>
              <w:spacing w:after="0" w:line="240" w:lineRule="auto"/>
            </w:pPr>
            <w:r>
              <w:t>9.155</w:t>
            </w:r>
          </w:p>
        </w:tc>
        <w:tc>
          <w:tcPr>
            <w:tcW w:w="2803" w:type="pct"/>
            <w:tcBorders>
              <w:top w:val="nil"/>
              <w:left w:val="nil"/>
              <w:bottom w:val="single" w:sz="8" w:space="0" w:color="auto"/>
              <w:right w:val="single" w:sz="8" w:space="0" w:color="auto"/>
            </w:tcBorders>
            <w:vAlign w:val="center"/>
          </w:tcPr>
          <w:p w14:paraId="6F78AA58" w14:textId="77777777" w:rsidR="00115458" w:rsidRPr="00D06BCE" w:rsidRDefault="00115458" w:rsidP="00D06BCE">
            <w:pPr>
              <w:spacing w:after="0" w:line="240" w:lineRule="auto"/>
              <w:rPr>
                <w:rFonts w:cs="Arial"/>
              </w:rPr>
            </w:pPr>
            <w:r w:rsidRPr="00D06BCE">
              <w:rPr>
                <w:rFonts w:cs="Arial"/>
              </w:rPr>
              <w:t>Amount of repayment (third) (cents)</w:t>
            </w:r>
          </w:p>
        </w:tc>
        <w:tc>
          <w:tcPr>
            <w:tcW w:w="1537" w:type="pct"/>
            <w:tcBorders>
              <w:top w:val="nil"/>
              <w:left w:val="nil"/>
              <w:bottom w:val="single" w:sz="8" w:space="0" w:color="auto"/>
              <w:right w:val="single" w:sz="8" w:space="0" w:color="auto"/>
            </w:tcBorders>
            <w:vAlign w:val="center"/>
          </w:tcPr>
          <w:p w14:paraId="032BE849"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922CBE4"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73A873B9" w14:textId="4D176995" w:rsidR="00115458" w:rsidRPr="00D06BCE" w:rsidRDefault="009C084F" w:rsidP="00D06BCE">
            <w:pPr>
              <w:spacing w:after="0" w:line="240" w:lineRule="auto"/>
            </w:pPr>
            <w:r>
              <w:t>9.156</w:t>
            </w:r>
          </w:p>
        </w:tc>
        <w:tc>
          <w:tcPr>
            <w:tcW w:w="2803" w:type="pct"/>
            <w:tcBorders>
              <w:top w:val="nil"/>
              <w:left w:val="nil"/>
              <w:bottom w:val="single" w:sz="8" w:space="0" w:color="auto"/>
              <w:right w:val="single" w:sz="8" w:space="0" w:color="auto"/>
            </w:tcBorders>
            <w:vAlign w:val="center"/>
          </w:tcPr>
          <w:p w14:paraId="206C7C97" w14:textId="77777777" w:rsidR="00115458" w:rsidRPr="00D06BCE" w:rsidRDefault="00115458" w:rsidP="00D06BCE">
            <w:pPr>
              <w:spacing w:after="0" w:line="240" w:lineRule="auto"/>
              <w:rPr>
                <w:rFonts w:cs="Arial"/>
              </w:rPr>
            </w:pPr>
            <w:r w:rsidRPr="00D06BCE">
              <w:rPr>
                <w:rFonts w:cs="Arial"/>
              </w:rPr>
              <w:t>Date of repayment (third) (DDMMCCYY)</w:t>
            </w:r>
          </w:p>
        </w:tc>
        <w:tc>
          <w:tcPr>
            <w:tcW w:w="1537" w:type="pct"/>
            <w:tcBorders>
              <w:top w:val="nil"/>
              <w:left w:val="nil"/>
              <w:bottom w:val="single" w:sz="8" w:space="0" w:color="auto"/>
              <w:right w:val="single" w:sz="8" w:space="0" w:color="auto"/>
            </w:tcBorders>
            <w:vAlign w:val="center"/>
          </w:tcPr>
          <w:p w14:paraId="7CF4746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2C43B07"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56F4CB75" w14:textId="06B6E822" w:rsidR="00115458" w:rsidRPr="00D06BCE" w:rsidRDefault="00A871EC" w:rsidP="00D06BCE">
            <w:pPr>
              <w:spacing w:after="0" w:line="240" w:lineRule="auto"/>
            </w:pPr>
            <w:r>
              <w:t>9.155</w:t>
            </w:r>
          </w:p>
        </w:tc>
        <w:tc>
          <w:tcPr>
            <w:tcW w:w="2803" w:type="pct"/>
            <w:tcBorders>
              <w:top w:val="nil"/>
              <w:left w:val="nil"/>
              <w:bottom w:val="single" w:sz="8" w:space="0" w:color="auto"/>
              <w:right w:val="single" w:sz="8" w:space="0" w:color="auto"/>
            </w:tcBorders>
            <w:vAlign w:val="center"/>
          </w:tcPr>
          <w:p w14:paraId="082E3B59" w14:textId="77777777" w:rsidR="00115458" w:rsidRPr="00D06BCE" w:rsidRDefault="00115458" w:rsidP="00D06BCE">
            <w:pPr>
              <w:spacing w:after="0" w:line="240" w:lineRule="auto"/>
              <w:rPr>
                <w:rFonts w:cs="Arial"/>
              </w:rPr>
            </w:pPr>
            <w:r w:rsidRPr="00D06BCE">
              <w:rPr>
                <w:rFonts w:cs="Arial"/>
              </w:rPr>
              <w:t>Amount of repayment (fourth) (cents)</w:t>
            </w:r>
          </w:p>
        </w:tc>
        <w:tc>
          <w:tcPr>
            <w:tcW w:w="1537" w:type="pct"/>
            <w:tcBorders>
              <w:top w:val="nil"/>
              <w:left w:val="nil"/>
              <w:bottom w:val="single" w:sz="8" w:space="0" w:color="auto"/>
              <w:right w:val="single" w:sz="8" w:space="0" w:color="auto"/>
            </w:tcBorders>
            <w:vAlign w:val="center"/>
          </w:tcPr>
          <w:p w14:paraId="70A771C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B443F83"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1D1958AE" w14:textId="3776F371" w:rsidR="00115458" w:rsidRPr="00D06BCE" w:rsidRDefault="009C084F" w:rsidP="00D06BCE">
            <w:pPr>
              <w:spacing w:after="0" w:line="240" w:lineRule="auto"/>
            </w:pPr>
            <w:r>
              <w:t>9.156</w:t>
            </w:r>
          </w:p>
        </w:tc>
        <w:tc>
          <w:tcPr>
            <w:tcW w:w="2803" w:type="pct"/>
            <w:tcBorders>
              <w:top w:val="nil"/>
              <w:left w:val="nil"/>
              <w:bottom w:val="single" w:sz="8" w:space="0" w:color="auto"/>
              <w:right w:val="single" w:sz="8" w:space="0" w:color="auto"/>
            </w:tcBorders>
            <w:vAlign w:val="center"/>
          </w:tcPr>
          <w:p w14:paraId="706BDC95" w14:textId="77777777" w:rsidR="00115458" w:rsidRPr="00D06BCE" w:rsidRDefault="00115458" w:rsidP="00D06BCE">
            <w:pPr>
              <w:spacing w:after="0" w:line="240" w:lineRule="auto"/>
              <w:rPr>
                <w:rFonts w:cs="Arial"/>
              </w:rPr>
            </w:pPr>
            <w:r w:rsidRPr="00D06BCE">
              <w:rPr>
                <w:rFonts w:cs="Arial"/>
              </w:rPr>
              <w:t>Date of repayment (fourth) (DDMMCCYY)</w:t>
            </w:r>
          </w:p>
        </w:tc>
        <w:tc>
          <w:tcPr>
            <w:tcW w:w="1537" w:type="pct"/>
            <w:tcBorders>
              <w:top w:val="nil"/>
              <w:left w:val="nil"/>
              <w:bottom w:val="single" w:sz="8" w:space="0" w:color="auto"/>
              <w:right w:val="single" w:sz="8" w:space="0" w:color="auto"/>
            </w:tcBorders>
            <w:vAlign w:val="center"/>
          </w:tcPr>
          <w:p w14:paraId="74FA240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1FC4CA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444555E3" w14:textId="3C67C2F7" w:rsidR="00115458" w:rsidRPr="00D06BCE" w:rsidRDefault="000E7348" w:rsidP="00D06BCE">
            <w:pPr>
              <w:spacing w:after="0" w:line="240" w:lineRule="auto"/>
            </w:pPr>
            <w:r>
              <w:t>9.157</w:t>
            </w:r>
          </w:p>
        </w:tc>
        <w:tc>
          <w:tcPr>
            <w:tcW w:w="2803" w:type="pct"/>
            <w:tcBorders>
              <w:top w:val="nil"/>
              <w:left w:val="nil"/>
              <w:bottom w:val="single" w:sz="8" w:space="0" w:color="auto"/>
              <w:right w:val="single" w:sz="8" w:space="0" w:color="auto"/>
            </w:tcBorders>
            <w:vAlign w:val="center"/>
          </w:tcPr>
          <w:p w14:paraId="32FCC261"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37" w:type="pct"/>
            <w:tcBorders>
              <w:top w:val="nil"/>
              <w:left w:val="nil"/>
              <w:bottom w:val="single" w:sz="8" w:space="0" w:color="auto"/>
              <w:right w:val="single" w:sz="8" w:space="0" w:color="auto"/>
            </w:tcBorders>
            <w:vAlign w:val="center"/>
          </w:tcPr>
          <w:p w14:paraId="25B9BFB5" w14:textId="77777777" w:rsidR="00115458" w:rsidRPr="00D06BCE" w:rsidRDefault="00115458" w:rsidP="00D06BCE">
            <w:pPr>
              <w:spacing w:after="0" w:line="240" w:lineRule="auto"/>
              <w:rPr>
                <w:rFonts w:cs="Arial"/>
              </w:rPr>
            </w:pPr>
            <w:r w:rsidRPr="00D06BCE">
              <w:rPr>
                <w:rFonts w:cs="Arial"/>
              </w:rPr>
              <w:t>000003500000</w:t>
            </w:r>
          </w:p>
        </w:tc>
      </w:tr>
      <w:tr w:rsidR="00115458" w:rsidRPr="00D06BCE" w14:paraId="43C9DD3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2714C070" w14:textId="1645C2DE" w:rsidR="00115458" w:rsidRPr="00D06BCE" w:rsidRDefault="00423041" w:rsidP="00D06BCE">
            <w:pPr>
              <w:spacing w:after="0" w:line="240" w:lineRule="auto"/>
            </w:pPr>
            <w:r>
              <w:t>9.158</w:t>
            </w:r>
          </w:p>
        </w:tc>
        <w:tc>
          <w:tcPr>
            <w:tcW w:w="2803" w:type="pct"/>
            <w:tcBorders>
              <w:top w:val="nil"/>
              <w:left w:val="nil"/>
              <w:bottom w:val="single" w:sz="8" w:space="0" w:color="auto"/>
              <w:right w:val="single" w:sz="8" w:space="0" w:color="auto"/>
            </w:tcBorders>
            <w:vAlign w:val="center"/>
          </w:tcPr>
          <w:p w14:paraId="62275D81"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37" w:type="pct"/>
            <w:tcBorders>
              <w:top w:val="nil"/>
              <w:left w:val="nil"/>
              <w:bottom w:val="single" w:sz="8" w:space="0" w:color="auto"/>
              <w:right w:val="single" w:sz="8" w:space="0" w:color="auto"/>
            </w:tcBorders>
            <w:vAlign w:val="center"/>
          </w:tcPr>
          <w:p w14:paraId="1B3B0F62" w14:textId="15B02A57" w:rsidR="00115458" w:rsidRPr="00D06BCE" w:rsidRDefault="00115458" w:rsidP="00D06BCE">
            <w:pPr>
              <w:spacing w:after="0" w:line="240" w:lineRule="auto"/>
              <w:rPr>
                <w:rFonts w:cs="Arial"/>
              </w:rPr>
            </w:pPr>
            <w:r w:rsidRPr="00D06BCE">
              <w:rPr>
                <w:rFonts w:cs="Arial"/>
              </w:rPr>
              <w:t>101120</w:t>
            </w:r>
            <w:r w:rsidR="00440B9D">
              <w:rPr>
                <w:rFonts w:cs="Arial"/>
              </w:rPr>
              <w:t>25</w:t>
            </w:r>
          </w:p>
        </w:tc>
      </w:tr>
      <w:tr w:rsidR="00115458" w:rsidRPr="00D06BCE" w14:paraId="4F6E0D14"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3237A2A7" w14:textId="687F4896" w:rsidR="00115458" w:rsidRPr="00D06BCE" w:rsidRDefault="00096F4C" w:rsidP="00D06BCE">
            <w:pPr>
              <w:spacing w:after="0" w:line="240" w:lineRule="auto"/>
            </w:pPr>
            <w:r>
              <w:t>9.159</w:t>
            </w:r>
          </w:p>
        </w:tc>
        <w:tc>
          <w:tcPr>
            <w:tcW w:w="2803" w:type="pct"/>
            <w:tcBorders>
              <w:top w:val="nil"/>
              <w:left w:val="nil"/>
              <w:bottom w:val="single" w:sz="8" w:space="0" w:color="auto"/>
              <w:right w:val="single" w:sz="8" w:space="0" w:color="auto"/>
            </w:tcBorders>
            <w:vAlign w:val="center"/>
          </w:tcPr>
          <w:p w14:paraId="1B67B231"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37" w:type="pct"/>
            <w:tcBorders>
              <w:top w:val="nil"/>
              <w:left w:val="nil"/>
              <w:bottom w:val="single" w:sz="8" w:space="0" w:color="auto"/>
              <w:right w:val="single" w:sz="8" w:space="0" w:color="auto"/>
            </w:tcBorders>
            <w:vAlign w:val="center"/>
          </w:tcPr>
          <w:p w14:paraId="742BCD40"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46A12E34"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4BF8A9C8" w14:textId="13F7ADDA" w:rsidR="00115458" w:rsidRPr="00D06BCE" w:rsidRDefault="00FB4EBA" w:rsidP="00D06BCE">
            <w:pPr>
              <w:spacing w:after="0" w:line="240" w:lineRule="auto"/>
            </w:pPr>
            <w:r>
              <w:t>9.160</w:t>
            </w:r>
          </w:p>
        </w:tc>
        <w:tc>
          <w:tcPr>
            <w:tcW w:w="2803" w:type="pct"/>
            <w:tcBorders>
              <w:top w:val="nil"/>
              <w:left w:val="nil"/>
              <w:bottom w:val="single" w:sz="8" w:space="0" w:color="auto"/>
              <w:right w:val="single" w:sz="8" w:space="0" w:color="auto"/>
            </w:tcBorders>
            <w:vAlign w:val="center"/>
          </w:tcPr>
          <w:p w14:paraId="1D963E9E"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37" w:type="pct"/>
            <w:tcBorders>
              <w:top w:val="nil"/>
              <w:left w:val="nil"/>
              <w:bottom w:val="single" w:sz="8" w:space="0" w:color="auto"/>
              <w:right w:val="single" w:sz="8" w:space="0" w:color="auto"/>
            </w:tcBorders>
            <w:vAlign w:val="center"/>
          </w:tcPr>
          <w:p w14:paraId="27ECE88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243F25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30764C58" w14:textId="30227F0A" w:rsidR="00115458" w:rsidRPr="00D06BCE" w:rsidRDefault="00FB4EBA" w:rsidP="00D06BCE">
            <w:pPr>
              <w:spacing w:after="0" w:line="240" w:lineRule="auto"/>
            </w:pPr>
            <w:r>
              <w:t>9.161</w:t>
            </w:r>
          </w:p>
        </w:tc>
        <w:tc>
          <w:tcPr>
            <w:tcW w:w="2803" w:type="pct"/>
            <w:tcBorders>
              <w:top w:val="nil"/>
              <w:left w:val="nil"/>
              <w:bottom w:val="single" w:sz="8" w:space="0" w:color="auto"/>
              <w:right w:val="single" w:sz="8" w:space="0" w:color="auto"/>
            </w:tcBorders>
            <w:vAlign w:val="center"/>
          </w:tcPr>
          <w:p w14:paraId="455BA270"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37" w:type="pct"/>
            <w:tcBorders>
              <w:top w:val="nil"/>
              <w:left w:val="nil"/>
              <w:bottom w:val="single" w:sz="8" w:space="0" w:color="auto"/>
              <w:right w:val="single" w:sz="8" w:space="0" w:color="auto"/>
            </w:tcBorders>
            <w:vAlign w:val="center"/>
          </w:tcPr>
          <w:p w14:paraId="67736DB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E63A295"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13B41786" w14:textId="7C001371" w:rsidR="00115458" w:rsidRPr="00D06BCE" w:rsidRDefault="00FB4EBA" w:rsidP="00D06BCE">
            <w:pPr>
              <w:spacing w:after="0" w:line="240" w:lineRule="auto"/>
            </w:pPr>
            <w:r>
              <w:t>9.162</w:t>
            </w:r>
          </w:p>
        </w:tc>
        <w:tc>
          <w:tcPr>
            <w:tcW w:w="2803" w:type="pct"/>
            <w:tcBorders>
              <w:top w:val="nil"/>
              <w:left w:val="nil"/>
              <w:bottom w:val="single" w:sz="8" w:space="0" w:color="auto"/>
              <w:right w:val="single" w:sz="8" w:space="0" w:color="auto"/>
            </w:tcBorders>
            <w:vAlign w:val="center"/>
          </w:tcPr>
          <w:p w14:paraId="7EF71A16" w14:textId="77777777" w:rsidR="00115458" w:rsidRPr="00D06BCE" w:rsidRDefault="00115458" w:rsidP="00D06BCE">
            <w:pPr>
              <w:spacing w:after="0" w:line="240" w:lineRule="auto"/>
              <w:rPr>
                <w:rFonts w:cs="Arial"/>
              </w:rPr>
            </w:pPr>
            <w:r w:rsidRPr="00D06BCE">
              <w:rPr>
                <w:rFonts w:cs="Arial"/>
              </w:rPr>
              <w:t>Transferee BSB number (first)</w:t>
            </w:r>
          </w:p>
        </w:tc>
        <w:tc>
          <w:tcPr>
            <w:tcW w:w="1537" w:type="pct"/>
            <w:tcBorders>
              <w:top w:val="nil"/>
              <w:left w:val="nil"/>
              <w:bottom w:val="single" w:sz="8" w:space="0" w:color="auto"/>
              <w:right w:val="single" w:sz="8" w:space="0" w:color="auto"/>
            </w:tcBorders>
            <w:vAlign w:val="center"/>
          </w:tcPr>
          <w:p w14:paraId="68B0B6D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5C1FFBD5"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2F6122B8" w14:textId="65D3662F" w:rsidR="00115458" w:rsidRPr="00D06BCE" w:rsidRDefault="00FB4EBA" w:rsidP="00D06BCE">
            <w:pPr>
              <w:spacing w:after="0" w:line="240" w:lineRule="auto"/>
            </w:pPr>
            <w:r>
              <w:t>9.160</w:t>
            </w:r>
          </w:p>
        </w:tc>
        <w:tc>
          <w:tcPr>
            <w:tcW w:w="2803" w:type="pct"/>
            <w:tcBorders>
              <w:top w:val="nil"/>
              <w:left w:val="nil"/>
              <w:bottom w:val="single" w:sz="8" w:space="0" w:color="auto"/>
              <w:right w:val="single" w:sz="8" w:space="0" w:color="auto"/>
            </w:tcBorders>
            <w:vAlign w:val="center"/>
          </w:tcPr>
          <w:p w14:paraId="3C7DB899"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37" w:type="pct"/>
            <w:tcBorders>
              <w:top w:val="nil"/>
              <w:left w:val="nil"/>
              <w:bottom w:val="single" w:sz="8" w:space="0" w:color="auto"/>
              <w:right w:val="single" w:sz="8" w:space="0" w:color="auto"/>
            </w:tcBorders>
            <w:vAlign w:val="center"/>
          </w:tcPr>
          <w:p w14:paraId="3E1F918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F37824D"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520CEEE6" w14:textId="6D5A3351" w:rsidR="00115458" w:rsidRPr="00D06BCE" w:rsidRDefault="00FB4EBA" w:rsidP="00D06BCE">
            <w:pPr>
              <w:spacing w:after="0" w:line="240" w:lineRule="auto"/>
            </w:pPr>
            <w:r>
              <w:t>9.161</w:t>
            </w:r>
          </w:p>
        </w:tc>
        <w:tc>
          <w:tcPr>
            <w:tcW w:w="2803" w:type="pct"/>
            <w:tcBorders>
              <w:top w:val="nil"/>
              <w:left w:val="nil"/>
              <w:bottom w:val="single" w:sz="8" w:space="0" w:color="auto"/>
              <w:right w:val="single" w:sz="8" w:space="0" w:color="auto"/>
            </w:tcBorders>
            <w:vAlign w:val="center"/>
          </w:tcPr>
          <w:p w14:paraId="5535C332"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37" w:type="pct"/>
            <w:tcBorders>
              <w:top w:val="nil"/>
              <w:left w:val="nil"/>
              <w:bottom w:val="single" w:sz="8" w:space="0" w:color="auto"/>
              <w:right w:val="single" w:sz="8" w:space="0" w:color="auto"/>
            </w:tcBorders>
            <w:vAlign w:val="center"/>
          </w:tcPr>
          <w:p w14:paraId="0A8E469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704889C"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5F8E7D37" w14:textId="5F310833" w:rsidR="00115458" w:rsidRPr="00D06BCE" w:rsidRDefault="00FB4EBA" w:rsidP="00D06BCE">
            <w:pPr>
              <w:spacing w:after="0" w:line="240" w:lineRule="auto"/>
            </w:pPr>
            <w:r>
              <w:t>9.162</w:t>
            </w:r>
          </w:p>
        </w:tc>
        <w:tc>
          <w:tcPr>
            <w:tcW w:w="2803" w:type="pct"/>
            <w:tcBorders>
              <w:top w:val="nil"/>
              <w:left w:val="nil"/>
              <w:bottom w:val="single" w:sz="8" w:space="0" w:color="auto"/>
              <w:right w:val="single" w:sz="8" w:space="0" w:color="auto"/>
            </w:tcBorders>
            <w:vAlign w:val="center"/>
          </w:tcPr>
          <w:p w14:paraId="78669E7D" w14:textId="77777777" w:rsidR="00115458" w:rsidRPr="00D06BCE" w:rsidRDefault="00115458" w:rsidP="00D06BCE">
            <w:pPr>
              <w:spacing w:after="0" w:line="240" w:lineRule="auto"/>
              <w:rPr>
                <w:rFonts w:cs="Arial"/>
              </w:rPr>
            </w:pPr>
            <w:r w:rsidRPr="00D06BCE">
              <w:rPr>
                <w:rFonts w:cs="Arial"/>
              </w:rPr>
              <w:t>Transferee BSB number (second)</w:t>
            </w:r>
          </w:p>
        </w:tc>
        <w:tc>
          <w:tcPr>
            <w:tcW w:w="1537" w:type="pct"/>
            <w:tcBorders>
              <w:top w:val="nil"/>
              <w:left w:val="nil"/>
              <w:bottom w:val="single" w:sz="8" w:space="0" w:color="auto"/>
              <w:right w:val="single" w:sz="8" w:space="0" w:color="auto"/>
            </w:tcBorders>
            <w:vAlign w:val="center"/>
          </w:tcPr>
          <w:p w14:paraId="13DB16C0"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CF528A7"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63F99FBD" w14:textId="65000D2B" w:rsidR="00115458" w:rsidRPr="00D06BCE" w:rsidRDefault="00FB4EBA" w:rsidP="00D06BCE">
            <w:pPr>
              <w:spacing w:after="0" w:line="240" w:lineRule="auto"/>
            </w:pPr>
            <w:r>
              <w:t>9.160</w:t>
            </w:r>
          </w:p>
        </w:tc>
        <w:tc>
          <w:tcPr>
            <w:tcW w:w="2803" w:type="pct"/>
            <w:tcBorders>
              <w:top w:val="nil"/>
              <w:left w:val="nil"/>
              <w:bottom w:val="single" w:sz="8" w:space="0" w:color="auto"/>
              <w:right w:val="single" w:sz="8" w:space="0" w:color="auto"/>
            </w:tcBorders>
            <w:vAlign w:val="center"/>
          </w:tcPr>
          <w:p w14:paraId="7A71F20B"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37" w:type="pct"/>
            <w:tcBorders>
              <w:top w:val="nil"/>
              <w:left w:val="nil"/>
              <w:bottom w:val="single" w:sz="8" w:space="0" w:color="auto"/>
              <w:right w:val="single" w:sz="8" w:space="0" w:color="auto"/>
            </w:tcBorders>
            <w:vAlign w:val="center"/>
          </w:tcPr>
          <w:p w14:paraId="005F8EC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E9C5C0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14259000" w14:textId="2B44E98C" w:rsidR="00115458" w:rsidRPr="00D06BCE" w:rsidRDefault="00FB4EBA" w:rsidP="00D06BCE">
            <w:pPr>
              <w:spacing w:after="0" w:line="240" w:lineRule="auto"/>
            </w:pPr>
            <w:r>
              <w:t>9.161</w:t>
            </w:r>
          </w:p>
        </w:tc>
        <w:tc>
          <w:tcPr>
            <w:tcW w:w="2803" w:type="pct"/>
            <w:tcBorders>
              <w:top w:val="nil"/>
              <w:left w:val="nil"/>
              <w:bottom w:val="single" w:sz="8" w:space="0" w:color="auto"/>
              <w:right w:val="single" w:sz="8" w:space="0" w:color="auto"/>
            </w:tcBorders>
            <w:vAlign w:val="center"/>
          </w:tcPr>
          <w:p w14:paraId="0011FF22"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37" w:type="pct"/>
            <w:tcBorders>
              <w:top w:val="nil"/>
              <w:left w:val="nil"/>
              <w:bottom w:val="single" w:sz="8" w:space="0" w:color="auto"/>
              <w:right w:val="single" w:sz="8" w:space="0" w:color="auto"/>
            </w:tcBorders>
            <w:vAlign w:val="center"/>
          </w:tcPr>
          <w:p w14:paraId="4D75787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C57FB1B"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3F827EDC" w14:textId="21B61D7F" w:rsidR="00115458" w:rsidRPr="00D06BCE" w:rsidRDefault="00FB4EBA" w:rsidP="00D06BCE">
            <w:pPr>
              <w:spacing w:after="0" w:line="240" w:lineRule="auto"/>
            </w:pPr>
            <w:r>
              <w:t>9.162</w:t>
            </w:r>
          </w:p>
        </w:tc>
        <w:tc>
          <w:tcPr>
            <w:tcW w:w="2803" w:type="pct"/>
            <w:tcBorders>
              <w:top w:val="nil"/>
              <w:left w:val="nil"/>
              <w:bottom w:val="single" w:sz="8" w:space="0" w:color="auto"/>
              <w:right w:val="single" w:sz="8" w:space="0" w:color="auto"/>
            </w:tcBorders>
            <w:vAlign w:val="center"/>
          </w:tcPr>
          <w:p w14:paraId="0C49985D" w14:textId="77777777" w:rsidR="00115458" w:rsidRPr="00D06BCE" w:rsidRDefault="00115458" w:rsidP="00D06BCE">
            <w:pPr>
              <w:spacing w:after="0" w:line="240" w:lineRule="auto"/>
              <w:rPr>
                <w:rFonts w:cs="Arial"/>
              </w:rPr>
            </w:pPr>
            <w:r w:rsidRPr="00D06BCE">
              <w:rPr>
                <w:rFonts w:cs="Arial"/>
              </w:rPr>
              <w:t>Transferee BSB number (third)</w:t>
            </w:r>
          </w:p>
        </w:tc>
        <w:tc>
          <w:tcPr>
            <w:tcW w:w="1537" w:type="pct"/>
            <w:tcBorders>
              <w:top w:val="nil"/>
              <w:left w:val="nil"/>
              <w:bottom w:val="single" w:sz="8" w:space="0" w:color="auto"/>
              <w:right w:val="single" w:sz="8" w:space="0" w:color="auto"/>
            </w:tcBorders>
            <w:vAlign w:val="center"/>
          </w:tcPr>
          <w:p w14:paraId="7E66E47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2929BBA"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66490C1B" w14:textId="74D69CE6" w:rsidR="00115458" w:rsidRPr="00D06BCE" w:rsidRDefault="00FB4EBA" w:rsidP="00D06BCE">
            <w:pPr>
              <w:spacing w:after="0" w:line="240" w:lineRule="auto"/>
            </w:pPr>
            <w:r>
              <w:t>9.16</w:t>
            </w:r>
            <w:r w:rsidR="006B5714">
              <w:t>0</w:t>
            </w:r>
          </w:p>
        </w:tc>
        <w:tc>
          <w:tcPr>
            <w:tcW w:w="2803" w:type="pct"/>
            <w:tcBorders>
              <w:top w:val="nil"/>
              <w:left w:val="nil"/>
              <w:bottom w:val="single" w:sz="8" w:space="0" w:color="auto"/>
              <w:right w:val="single" w:sz="8" w:space="0" w:color="auto"/>
            </w:tcBorders>
            <w:vAlign w:val="center"/>
          </w:tcPr>
          <w:p w14:paraId="1B6244B9"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37" w:type="pct"/>
            <w:tcBorders>
              <w:top w:val="nil"/>
              <w:left w:val="nil"/>
              <w:bottom w:val="single" w:sz="8" w:space="0" w:color="auto"/>
              <w:right w:val="single" w:sz="8" w:space="0" w:color="auto"/>
            </w:tcBorders>
            <w:vAlign w:val="center"/>
          </w:tcPr>
          <w:p w14:paraId="23F329AD"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75317CA"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0D6D0C29" w14:textId="62BE66DD" w:rsidR="00115458" w:rsidRPr="00D06BCE" w:rsidRDefault="006B5714" w:rsidP="00D06BCE">
            <w:pPr>
              <w:spacing w:after="0" w:line="240" w:lineRule="auto"/>
            </w:pPr>
            <w:r>
              <w:t>9.161</w:t>
            </w:r>
          </w:p>
        </w:tc>
        <w:tc>
          <w:tcPr>
            <w:tcW w:w="2803" w:type="pct"/>
            <w:tcBorders>
              <w:top w:val="nil"/>
              <w:left w:val="nil"/>
              <w:bottom w:val="single" w:sz="8" w:space="0" w:color="auto"/>
              <w:right w:val="single" w:sz="8" w:space="0" w:color="auto"/>
            </w:tcBorders>
            <w:vAlign w:val="center"/>
          </w:tcPr>
          <w:p w14:paraId="2B782F5A"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37" w:type="pct"/>
            <w:tcBorders>
              <w:top w:val="nil"/>
              <w:left w:val="nil"/>
              <w:bottom w:val="single" w:sz="8" w:space="0" w:color="auto"/>
              <w:right w:val="single" w:sz="8" w:space="0" w:color="auto"/>
            </w:tcBorders>
            <w:vAlign w:val="center"/>
          </w:tcPr>
          <w:p w14:paraId="3CBD5AD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80A0B2D"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59C47BDE" w14:textId="2489DC00" w:rsidR="00115458" w:rsidRPr="00D06BCE" w:rsidRDefault="006B5714" w:rsidP="00D06BCE">
            <w:pPr>
              <w:spacing w:after="0" w:line="240" w:lineRule="auto"/>
            </w:pPr>
            <w:r>
              <w:t>9.162</w:t>
            </w:r>
          </w:p>
        </w:tc>
        <w:tc>
          <w:tcPr>
            <w:tcW w:w="2803" w:type="pct"/>
            <w:tcBorders>
              <w:top w:val="nil"/>
              <w:left w:val="nil"/>
              <w:bottom w:val="single" w:sz="8" w:space="0" w:color="auto"/>
              <w:right w:val="single" w:sz="8" w:space="0" w:color="auto"/>
            </w:tcBorders>
            <w:vAlign w:val="center"/>
          </w:tcPr>
          <w:p w14:paraId="61D0EB88" w14:textId="77777777" w:rsidR="00115458" w:rsidRPr="00D06BCE" w:rsidRDefault="00115458" w:rsidP="00D06BCE">
            <w:pPr>
              <w:spacing w:after="0" w:line="240" w:lineRule="auto"/>
              <w:rPr>
                <w:rFonts w:cs="Arial"/>
              </w:rPr>
            </w:pPr>
            <w:r w:rsidRPr="00D06BCE">
              <w:rPr>
                <w:rFonts w:cs="Arial"/>
              </w:rPr>
              <w:t>Transferee BSB number (fourth)</w:t>
            </w:r>
          </w:p>
        </w:tc>
        <w:tc>
          <w:tcPr>
            <w:tcW w:w="1537" w:type="pct"/>
            <w:tcBorders>
              <w:top w:val="nil"/>
              <w:left w:val="nil"/>
              <w:bottom w:val="single" w:sz="8" w:space="0" w:color="auto"/>
              <w:right w:val="single" w:sz="8" w:space="0" w:color="auto"/>
            </w:tcBorders>
            <w:vAlign w:val="center"/>
          </w:tcPr>
          <w:p w14:paraId="26E8B23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099EA765"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445B885A" w14:textId="3A322029" w:rsidR="00115458" w:rsidRPr="00D06BCE" w:rsidRDefault="006B5714" w:rsidP="00D06BCE">
            <w:pPr>
              <w:spacing w:after="0" w:line="240" w:lineRule="auto"/>
            </w:pPr>
            <w:r>
              <w:t>9.163</w:t>
            </w:r>
          </w:p>
        </w:tc>
        <w:tc>
          <w:tcPr>
            <w:tcW w:w="2803" w:type="pct"/>
            <w:tcBorders>
              <w:top w:val="nil"/>
              <w:left w:val="nil"/>
              <w:bottom w:val="single" w:sz="8" w:space="0" w:color="auto"/>
              <w:right w:val="single" w:sz="8" w:space="0" w:color="auto"/>
            </w:tcBorders>
            <w:vAlign w:val="center"/>
          </w:tcPr>
          <w:p w14:paraId="068AB7B8"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37" w:type="pct"/>
            <w:tcBorders>
              <w:top w:val="nil"/>
              <w:left w:val="nil"/>
              <w:bottom w:val="single" w:sz="8" w:space="0" w:color="auto"/>
              <w:right w:val="single" w:sz="8" w:space="0" w:color="auto"/>
            </w:tcBorders>
            <w:vAlign w:val="center"/>
          </w:tcPr>
          <w:p w14:paraId="12B6CB3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2FBA591"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268879D3" w14:textId="61F5D090" w:rsidR="00115458" w:rsidRPr="00D06BCE" w:rsidRDefault="006B5714" w:rsidP="00D06BCE">
            <w:pPr>
              <w:spacing w:after="0" w:line="240" w:lineRule="auto"/>
            </w:pPr>
            <w:r>
              <w:t>9.164</w:t>
            </w:r>
          </w:p>
        </w:tc>
        <w:tc>
          <w:tcPr>
            <w:tcW w:w="2803" w:type="pct"/>
            <w:tcBorders>
              <w:top w:val="nil"/>
              <w:left w:val="nil"/>
              <w:bottom w:val="single" w:sz="8" w:space="0" w:color="auto"/>
              <w:right w:val="single" w:sz="8" w:space="0" w:color="auto"/>
            </w:tcBorders>
            <w:vAlign w:val="center"/>
          </w:tcPr>
          <w:p w14:paraId="5CB66CF7"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37" w:type="pct"/>
            <w:tcBorders>
              <w:top w:val="nil"/>
              <w:left w:val="nil"/>
              <w:bottom w:val="single" w:sz="8" w:space="0" w:color="auto"/>
              <w:right w:val="single" w:sz="8" w:space="0" w:color="auto"/>
            </w:tcBorders>
            <w:vAlign w:val="center"/>
          </w:tcPr>
          <w:p w14:paraId="5D7F2D59" w14:textId="77777777" w:rsidR="00115458" w:rsidRPr="00D06BCE" w:rsidRDefault="00115458" w:rsidP="00D06BCE">
            <w:pPr>
              <w:spacing w:after="0" w:line="240" w:lineRule="auto"/>
              <w:rPr>
                <w:rFonts w:cs="Arial"/>
              </w:rPr>
            </w:pPr>
            <w:r w:rsidRPr="00D06BCE">
              <w:rPr>
                <w:rFonts w:cs="Arial"/>
              </w:rPr>
              <w:t>000003500000</w:t>
            </w:r>
          </w:p>
        </w:tc>
      </w:tr>
      <w:tr w:rsidR="00115458" w:rsidRPr="00D06BCE" w14:paraId="4DC5425C"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3B0B9DA4" w14:textId="664D3983" w:rsidR="00115458" w:rsidRPr="00D06BCE" w:rsidRDefault="006B5714" w:rsidP="00D06BCE">
            <w:pPr>
              <w:spacing w:after="0" w:line="240" w:lineRule="auto"/>
            </w:pPr>
            <w:r>
              <w:t>9.165</w:t>
            </w:r>
          </w:p>
        </w:tc>
        <w:tc>
          <w:tcPr>
            <w:tcW w:w="2803" w:type="pct"/>
            <w:tcBorders>
              <w:top w:val="nil"/>
              <w:left w:val="nil"/>
              <w:bottom w:val="single" w:sz="8" w:space="0" w:color="auto"/>
              <w:right w:val="single" w:sz="8" w:space="0" w:color="auto"/>
            </w:tcBorders>
            <w:vAlign w:val="center"/>
          </w:tcPr>
          <w:p w14:paraId="47AB810F" w14:textId="77777777" w:rsidR="00115458" w:rsidRPr="00D06BCE" w:rsidRDefault="00115458" w:rsidP="00D06BCE">
            <w:pPr>
              <w:spacing w:after="0" w:line="240" w:lineRule="auto"/>
              <w:rPr>
                <w:rFonts w:cs="Arial"/>
              </w:rPr>
            </w:pPr>
            <w:r w:rsidRPr="00D06BCE">
              <w:rPr>
                <w:rFonts w:cs="Arial"/>
              </w:rPr>
              <w:t>Interest offset account (=Y or N)</w:t>
            </w:r>
          </w:p>
        </w:tc>
        <w:tc>
          <w:tcPr>
            <w:tcW w:w="1537" w:type="pct"/>
            <w:tcBorders>
              <w:top w:val="nil"/>
              <w:left w:val="nil"/>
              <w:bottom w:val="single" w:sz="8" w:space="0" w:color="auto"/>
              <w:right w:val="single" w:sz="8" w:space="0" w:color="auto"/>
            </w:tcBorders>
            <w:vAlign w:val="center"/>
          </w:tcPr>
          <w:p w14:paraId="1982E62E" w14:textId="77777777" w:rsidR="00115458" w:rsidRPr="00D06BCE" w:rsidRDefault="00115458" w:rsidP="00D06BCE">
            <w:pPr>
              <w:spacing w:after="0" w:line="240" w:lineRule="auto"/>
              <w:rPr>
                <w:rFonts w:cs="Arial"/>
              </w:rPr>
            </w:pPr>
            <w:r w:rsidRPr="00D06BCE">
              <w:rPr>
                <w:rFonts w:cs="Arial"/>
              </w:rPr>
              <w:t>N</w:t>
            </w:r>
          </w:p>
        </w:tc>
      </w:tr>
      <w:tr w:rsidR="00115458" w:rsidRPr="00D06BCE" w14:paraId="0AE21EA2" w14:textId="77777777" w:rsidTr="00427C84">
        <w:trPr>
          <w:trHeight w:val="270"/>
        </w:trPr>
        <w:tc>
          <w:tcPr>
            <w:tcW w:w="660" w:type="pct"/>
            <w:tcBorders>
              <w:top w:val="nil"/>
              <w:left w:val="single" w:sz="8" w:space="0" w:color="auto"/>
              <w:bottom w:val="single" w:sz="8" w:space="0" w:color="auto"/>
              <w:right w:val="single" w:sz="8" w:space="0" w:color="auto"/>
            </w:tcBorders>
            <w:vAlign w:val="center"/>
          </w:tcPr>
          <w:p w14:paraId="238FA07C" w14:textId="77777777" w:rsidR="00115458" w:rsidRPr="00D06BCE" w:rsidRDefault="00115458" w:rsidP="00D06BCE">
            <w:pPr>
              <w:spacing w:after="0" w:line="240" w:lineRule="auto"/>
            </w:pPr>
            <w:hyperlink w:anchor="d7_006" w:history="1">
              <w:r w:rsidRPr="00D06BCE">
                <w:t>9.6</w:t>
              </w:r>
            </w:hyperlink>
          </w:p>
        </w:tc>
        <w:tc>
          <w:tcPr>
            <w:tcW w:w="2803" w:type="pct"/>
            <w:tcBorders>
              <w:top w:val="nil"/>
              <w:left w:val="nil"/>
              <w:bottom w:val="single" w:sz="8" w:space="0" w:color="auto"/>
              <w:right w:val="single" w:sz="8" w:space="0" w:color="auto"/>
            </w:tcBorders>
            <w:vAlign w:val="center"/>
          </w:tcPr>
          <w:p w14:paraId="580C7F73" w14:textId="77777777" w:rsidR="00115458" w:rsidRPr="00D06BCE" w:rsidRDefault="00115458" w:rsidP="00D06BCE">
            <w:pPr>
              <w:spacing w:after="0" w:line="240" w:lineRule="auto"/>
              <w:rPr>
                <w:rFonts w:cs="Arial"/>
              </w:rPr>
            </w:pPr>
            <w:r w:rsidRPr="00D06BCE">
              <w:rPr>
                <w:rFonts w:cs="Arial"/>
              </w:rPr>
              <w:t>Filler</w:t>
            </w:r>
          </w:p>
        </w:tc>
        <w:tc>
          <w:tcPr>
            <w:tcW w:w="1537" w:type="pct"/>
            <w:tcBorders>
              <w:top w:val="nil"/>
              <w:left w:val="nil"/>
              <w:bottom w:val="single" w:sz="8" w:space="0" w:color="auto"/>
              <w:right w:val="single" w:sz="8" w:space="0" w:color="auto"/>
            </w:tcBorders>
            <w:vAlign w:val="center"/>
          </w:tcPr>
          <w:p w14:paraId="728246C6" w14:textId="77777777" w:rsidR="00115458" w:rsidRPr="00D06BCE" w:rsidRDefault="00115458" w:rsidP="00D06BCE">
            <w:pPr>
              <w:spacing w:after="0" w:line="240" w:lineRule="auto"/>
              <w:rPr>
                <w:rFonts w:cs="Arial"/>
              </w:rPr>
            </w:pPr>
            <w:r w:rsidRPr="00D06BCE">
              <w:rPr>
                <w:rFonts w:cs="Arial"/>
              </w:rPr>
              <w:t>Blank fill</w:t>
            </w:r>
          </w:p>
        </w:tc>
      </w:tr>
    </w:tbl>
    <w:p w14:paraId="1FBDD457" w14:textId="2E8796C7" w:rsidR="00115458" w:rsidRDefault="00115458" w:rsidP="00D06BCE">
      <w:pPr>
        <w:spacing w:after="0" w:line="240" w:lineRule="auto"/>
        <w:rPr>
          <w:rFonts w:cs="Arial"/>
        </w:rPr>
      </w:pPr>
      <w:r w:rsidRPr="00D06BCE">
        <w:rPr>
          <w:rFonts w:cs="Arial"/>
        </w:rPr>
        <w:t xml:space="preserve">Alternatively, if your system cannot distinguish between transfers in and deposits the credit amount can be reported as a deposit. </w:t>
      </w:r>
    </w:p>
    <w:p w14:paraId="22B00A11" w14:textId="77777777" w:rsidR="00D06BCE" w:rsidRPr="00D06BCE" w:rsidRDefault="00D06BCE" w:rsidP="00D06BCE">
      <w:pPr>
        <w:spacing w:after="0" w:line="240" w:lineRule="auto"/>
        <w:rPr>
          <w:rFonts w:cs="Arial"/>
        </w:rPr>
      </w:pPr>
    </w:p>
    <w:p w14:paraId="5087DCE1" w14:textId="03578D62" w:rsidR="00115458" w:rsidRDefault="00115458" w:rsidP="00D06BCE">
      <w:pPr>
        <w:keepNext/>
        <w:spacing w:after="0" w:line="240" w:lineRule="auto"/>
        <w:outlineLvl w:val="3"/>
        <w:rPr>
          <w:rFonts w:cs="Arial"/>
          <w:b/>
        </w:rPr>
      </w:pPr>
      <w:r w:rsidRPr="00D06BCE">
        <w:rPr>
          <w:rFonts w:cs="Arial"/>
          <w:b/>
        </w:rPr>
        <w:t>Example 9.5 – Existing FMD account (more than 12 months old) with 12 debit transactions</w:t>
      </w:r>
    </w:p>
    <w:p w14:paraId="50D7A033" w14:textId="77777777" w:rsidR="00D06BCE" w:rsidRPr="00D06BCE" w:rsidRDefault="00D06BCE" w:rsidP="00224633"/>
    <w:p w14:paraId="07318453" w14:textId="7AB4A78A" w:rsidR="00115458" w:rsidRPr="00D06BCE" w:rsidRDefault="00115458" w:rsidP="00D06BCE">
      <w:pPr>
        <w:spacing w:after="0" w:line="240" w:lineRule="auto"/>
        <w:rPr>
          <w:rFonts w:eastAsia="Calibri" w:cs="Arial"/>
        </w:rPr>
      </w:pPr>
      <w:r w:rsidRPr="00D06BCE">
        <w:rPr>
          <w:rFonts w:eastAsia="Calibri" w:cs="Arial"/>
        </w:rPr>
        <w:t>Esther McManus opened an FMD account on 17 September 20</w:t>
      </w:r>
      <w:r w:rsidR="00746063">
        <w:rPr>
          <w:rFonts w:eastAsia="Calibri" w:cs="Arial"/>
        </w:rPr>
        <w:t>23</w:t>
      </w:r>
      <w:r w:rsidRPr="00D06BCE">
        <w:rPr>
          <w:rFonts w:eastAsia="Calibri" w:cs="Arial"/>
        </w:rPr>
        <w:t>. She makes a repayment of $1,300 on the 25</w:t>
      </w:r>
      <w:r w:rsidRPr="00D06BCE">
        <w:rPr>
          <w:rFonts w:eastAsia="Calibri" w:cs="Arial"/>
          <w:vertAlign w:val="superscript"/>
        </w:rPr>
        <w:t>th</w:t>
      </w:r>
      <w:r w:rsidRPr="00D06BCE">
        <w:rPr>
          <w:rFonts w:eastAsia="Calibri" w:cs="Arial"/>
        </w:rPr>
        <w:t xml:space="preserve"> of each calendar month during the financial year. To simplify this example</w:t>
      </w:r>
      <w:r w:rsidR="00C71851">
        <w:rPr>
          <w:rFonts w:eastAsia="Calibri" w:cs="Arial"/>
        </w:rPr>
        <w:t>,</w:t>
      </w:r>
      <w:r w:rsidRPr="00D06BCE">
        <w:rPr>
          <w:rFonts w:eastAsia="Calibri" w:cs="Arial"/>
        </w:rPr>
        <w:t xml:space="preserve"> the repayment amounts have been aggregated </w:t>
      </w:r>
      <w:r w:rsidR="00C71851">
        <w:rPr>
          <w:rFonts w:eastAsia="Calibri" w:cs="Arial"/>
        </w:rPr>
        <w:t>as</w:t>
      </w:r>
      <w:r w:rsidRPr="00D06BCE">
        <w:rPr>
          <w:rFonts w:eastAsia="Calibri" w:cs="Arial"/>
        </w:rPr>
        <w:t xml:space="preserve"> this is an acceptable reporting option. Interest of $2,967.32 was paid on 31 December 20</w:t>
      </w:r>
      <w:r w:rsidR="00C71851">
        <w:rPr>
          <w:rFonts w:eastAsia="Calibri" w:cs="Arial"/>
        </w:rPr>
        <w:t>25</w:t>
      </w:r>
      <w:r w:rsidRPr="00D06BCE">
        <w:rPr>
          <w:rFonts w:eastAsia="Calibri" w:cs="Arial"/>
        </w:rPr>
        <w:t>. Closing balance as at 30 June 202</w:t>
      </w:r>
      <w:r w:rsidR="00C71851">
        <w:rPr>
          <w:rFonts w:eastAsia="Calibri" w:cs="Arial"/>
        </w:rPr>
        <w:t>6</w:t>
      </w:r>
      <w:r w:rsidRPr="00D06BCE">
        <w:rPr>
          <w:rFonts w:eastAsia="Calibri" w:cs="Arial"/>
        </w:rPr>
        <w:t xml:space="preserve"> is $157,000.00.</w:t>
      </w:r>
    </w:p>
    <w:p w14:paraId="11AE1CCD" w14:textId="77777777" w:rsidR="00115458" w:rsidRPr="00D06BCE" w:rsidRDefault="00115458" w:rsidP="00D06BCE">
      <w:pPr>
        <w:spacing w:after="0" w:line="240" w:lineRule="auto"/>
        <w:rPr>
          <w:rFonts w:eastAsia="Calibri" w:cs="Arial"/>
        </w:rPr>
      </w:pPr>
    </w:p>
    <w:p w14:paraId="5F93A43C" w14:textId="59422826" w:rsidR="00115458" w:rsidRPr="00D06BCE" w:rsidRDefault="00115458" w:rsidP="00D06BCE">
      <w:pPr>
        <w:spacing w:after="0" w:line="240" w:lineRule="auto"/>
        <w:rPr>
          <w:rFonts w:eastAsia="Calibri" w:cs="Arial"/>
        </w:rPr>
      </w:pPr>
      <w:r w:rsidRPr="00D06BCE">
        <w:rPr>
          <w:rFonts w:cs="Arial"/>
          <w:b/>
          <w:smallCaps/>
        </w:rPr>
        <w:t xml:space="preserve">farm management deposit account data record  </w:t>
      </w:r>
    </w:p>
    <w:p w14:paraId="3E1081BD" w14:textId="77777777" w:rsidR="00115458" w:rsidRPr="00D06BCE" w:rsidRDefault="00115458" w:rsidP="00D06BCE">
      <w:pPr>
        <w:spacing w:after="0" w:line="240" w:lineRule="auto"/>
        <w:rPr>
          <w:rFonts w:cs="Arial"/>
        </w:rPr>
      </w:pPr>
    </w:p>
    <w:tbl>
      <w:tblPr>
        <w:tblW w:w="9214" w:type="dxa"/>
        <w:tblInd w:w="93" w:type="dxa"/>
        <w:tblCellMar>
          <w:top w:w="28" w:type="dxa"/>
          <w:bottom w:w="28" w:type="dxa"/>
        </w:tblCellMar>
        <w:tblLook w:val="0000" w:firstRow="0" w:lastRow="0" w:firstColumn="0" w:lastColumn="0" w:noHBand="0" w:noVBand="0"/>
      </w:tblPr>
      <w:tblGrid>
        <w:gridCol w:w="1227"/>
        <w:gridCol w:w="4985"/>
        <w:gridCol w:w="3002"/>
      </w:tblGrid>
      <w:tr w:rsidR="00115458" w:rsidRPr="00D06BCE" w14:paraId="1842F1A1" w14:textId="77777777" w:rsidTr="000C1365">
        <w:trPr>
          <w:cantSplit/>
          <w:trHeight w:val="495"/>
          <w:tblHeader/>
        </w:trPr>
        <w:tc>
          <w:tcPr>
            <w:tcW w:w="660" w:type="pct"/>
            <w:tcBorders>
              <w:top w:val="single" w:sz="4" w:space="0" w:color="auto"/>
              <w:left w:val="single" w:sz="4" w:space="0" w:color="auto"/>
              <w:bottom w:val="single" w:sz="4" w:space="0" w:color="auto"/>
              <w:right w:val="single" w:sz="4" w:space="0" w:color="auto"/>
            </w:tcBorders>
            <w:shd w:val="clear" w:color="auto" w:fill="B3B3B3"/>
            <w:vAlign w:val="center"/>
          </w:tcPr>
          <w:p w14:paraId="1A4E17BD" w14:textId="77777777" w:rsidR="00115458" w:rsidRPr="00D06BCE" w:rsidRDefault="00115458" w:rsidP="00D06BCE">
            <w:pPr>
              <w:spacing w:after="0" w:line="240" w:lineRule="auto"/>
              <w:rPr>
                <w:rFonts w:cs="Arial"/>
                <w:b/>
                <w:bCs/>
              </w:rPr>
            </w:pPr>
            <w:r w:rsidRPr="00D06BCE">
              <w:rPr>
                <w:rFonts w:cs="Arial"/>
                <w:b/>
                <w:bCs/>
              </w:rPr>
              <w:t>Reference number</w:t>
            </w:r>
          </w:p>
        </w:tc>
        <w:tc>
          <w:tcPr>
            <w:tcW w:w="2708" w:type="pct"/>
            <w:tcBorders>
              <w:top w:val="single" w:sz="4" w:space="0" w:color="auto"/>
              <w:left w:val="single" w:sz="4" w:space="0" w:color="auto"/>
              <w:bottom w:val="single" w:sz="4" w:space="0" w:color="auto"/>
              <w:right w:val="single" w:sz="4" w:space="0" w:color="auto"/>
            </w:tcBorders>
            <w:shd w:val="clear" w:color="auto" w:fill="B3B3B3"/>
            <w:vAlign w:val="center"/>
          </w:tcPr>
          <w:p w14:paraId="40F16C9A" w14:textId="77777777" w:rsidR="00115458" w:rsidRPr="00D06BCE" w:rsidRDefault="00115458" w:rsidP="00D06BCE">
            <w:pPr>
              <w:spacing w:after="0" w:line="240" w:lineRule="auto"/>
              <w:rPr>
                <w:rFonts w:cs="Arial"/>
                <w:b/>
                <w:bCs/>
              </w:rPr>
            </w:pPr>
            <w:r w:rsidRPr="00D06BCE">
              <w:rPr>
                <w:rFonts w:cs="Arial"/>
                <w:b/>
                <w:bCs/>
              </w:rPr>
              <w:t>Field name</w:t>
            </w:r>
          </w:p>
        </w:tc>
        <w:tc>
          <w:tcPr>
            <w:tcW w:w="1632" w:type="pct"/>
            <w:tcBorders>
              <w:top w:val="single" w:sz="4" w:space="0" w:color="auto"/>
              <w:left w:val="single" w:sz="4" w:space="0" w:color="auto"/>
              <w:bottom w:val="single" w:sz="4" w:space="0" w:color="auto"/>
              <w:right w:val="single" w:sz="4" w:space="0" w:color="auto"/>
            </w:tcBorders>
            <w:shd w:val="clear" w:color="auto" w:fill="B3B3B3"/>
            <w:vAlign w:val="center"/>
          </w:tcPr>
          <w:p w14:paraId="08E0199A"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0CE7CC4D"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B3C684E" w14:textId="77777777" w:rsidR="00115458" w:rsidRPr="007F6219" w:rsidRDefault="00115458" w:rsidP="00D06BCE">
            <w:pPr>
              <w:spacing w:after="0" w:line="240" w:lineRule="auto"/>
            </w:pPr>
            <w:hyperlink w:anchor="d7_001" w:history="1">
              <w:r w:rsidRPr="007F6219">
                <w:t>9.1</w:t>
              </w:r>
            </w:hyperlink>
          </w:p>
        </w:tc>
        <w:tc>
          <w:tcPr>
            <w:tcW w:w="2708" w:type="pct"/>
            <w:tcBorders>
              <w:top w:val="nil"/>
              <w:left w:val="nil"/>
              <w:bottom w:val="single" w:sz="8" w:space="0" w:color="auto"/>
              <w:right w:val="single" w:sz="8" w:space="0" w:color="auto"/>
            </w:tcBorders>
            <w:vAlign w:val="center"/>
          </w:tcPr>
          <w:p w14:paraId="377A68BB" w14:textId="77777777" w:rsidR="00115458" w:rsidRPr="00D06BCE" w:rsidRDefault="00115458" w:rsidP="00D06BCE">
            <w:pPr>
              <w:spacing w:after="0" w:line="240" w:lineRule="auto"/>
              <w:rPr>
                <w:rFonts w:cs="Arial"/>
              </w:rPr>
            </w:pPr>
            <w:r w:rsidRPr="00D06BCE">
              <w:rPr>
                <w:rFonts w:cs="Arial"/>
              </w:rPr>
              <w:t>Record length (=850)</w:t>
            </w:r>
          </w:p>
        </w:tc>
        <w:tc>
          <w:tcPr>
            <w:tcW w:w="1632" w:type="pct"/>
            <w:tcBorders>
              <w:top w:val="nil"/>
              <w:left w:val="nil"/>
              <w:bottom w:val="single" w:sz="8" w:space="0" w:color="auto"/>
              <w:right w:val="single" w:sz="8" w:space="0" w:color="auto"/>
            </w:tcBorders>
            <w:vAlign w:val="center"/>
          </w:tcPr>
          <w:p w14:paraId="6E109317" w14:textId="77777777" w:rsidR="00115458" w:rsidRPr="00D06BCE" w:rsidRDefault="00115458" w:rsidP="00D06BCE">
            <w:pPr>
              <w:spacing w:after="0" w:line="240" w:lineRule="auto"/>
              <w:rPr>
                <w:rFonts w:cs="Arial"/>
              </w:rPr>
            </w:pPr>
            <w:r w:rsidRPr="00D06BCE">
              <w:rPr>
                <w:rFonts w:cs="Arial"/>
              </w:rPr>
              <w:t>850</w:t>
            </w:r>
          </w:p>
        </w:tc>
      </w:tr>
      <w:tr w:rsidR="00115458" w:rsidRPr="00D06BCE" w14:paraId="44E92D8A"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33954BAA" w14:textId="5066C837" w:rsidR="00115458" w:rsidRPr="007F6219" w:rsidRDefault="00944D41" w:rsidP="00D06BCE">
            <w:pPr>
              <w:spacing w:after="0" w:line="240" w:lineRule="auto"/>
            </w:pPr>
            <w:r>
              <w:rPr>
                <w:rFonts w:cs="Arial"/>
              </w:rPr>
              <w:t>9.147</w:t>
            </w:r>
          </w:p>
        </w:tc>
        <w:tc>
          <w:tcPr>
            <w:tcW w:w="2708" w:type="pct"/>
            <w:tcBorders>
              <w:top w:val="nil"/>
              <w:left w:val="nil"/>
              <w:bottom w:val="single" w:sz="8" w:space="0" w:color="auto"/>
              <w:right w:val="single" w:sz="8" w:space="0" w:color="auto"/>
            </w:tcBorders>
            <w:vAlign w:val="center"/>
          </w:tcPr>
          <w:p w14:paraId="01847A40"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632" w:type="pct"/>
            <w:tcBorders>
              <w:top w:val="nil"/>
              <w:left w:val="nil"/>
              <w:bottom w:val="single" w:sz="8" w:space="0" w:color="auto"/>
              <w:right w:val="single" w:sz="8" w:space="0" w:color="auto"/>
            </w:tcBorders>
            <w:vAlign w:val="center"/>
          </w:tcPr>
          <w:p w14:paraId="52529349"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55A2A603"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4084DA27" w14:textId="5155B4B1" w:rsidR="00115458" w:rsidRPr="007F6219" w:rsidRDefault="00DE4F64" w:rsidP="00D06BCE">
            <w:pPr>
              <w:spacing w:after="0" w:line="240" w:lineRule="auto"/>
            </w:pPr>
            <w:r>
              <w:rPr>
                <w:rFonts w:cs="Arial"/>
              </w:rPr>
              <w:t>9.148</w:t>
            </w:r>
          </w:p>
        </w:tc>
        <w:tc>
          <w:tcPr>
            <w:tcW w:w="2708" w:type="pct"/>
            <w:tcBorders>
              <w:top w:val="nil"/>
              <w:left w:val="nil"/>
              <w:bottom w:val="single" w:sz="8" w:space="0" w:color="auto"/>
              <w:right w:val="single" w:sz="8" w:space="0" w:color="auto"/>
            </w:tcBorders>
            <w:vAlign w:val="center"/>
          </w:tcPr>
          <w:p w14:paraId="43B1EDE6" w14:textId="77777777" w:rsidR="00115458" w:rsidRPr="00D06BCE" w:rsidRDefault="00115458" w:rsidP="00D06BCE">
            <w:pPr>
              <w:spacing w:after="0" w:line="240" w:lineRule="auto"/>
              <w:rPr>
                <w:rFonts w:cs="Arial"/>
              </w:rPr>
            </w:pPr>
            <w:r w:rsidRPr="00D06BCE">
              <w:rPr>
                <w:rFonts w:cs="Arial"/>
              </w:rPr>
              <w:t>Sequence number of DFMDACCT record</w:t>
            </w:r>
          </w:p>
        </w:tc>
        <w:tc>
          <w:tcPr>
            <w:tcW w:w="1632" w:type="pct"/>
            <w:tcBorders>
              <w:top w:val="nil"/>
              <w:left w:val="nil"/>
              <w:bottom w:val="single" w:sz="8" w:space="0" w:color="auto"/>
              <w:right w:val="single" w:sz="8" w:space="0" w:color="auto"/>
            </w:tcBorders>
            <w:vAlign w:val="center"/>
          </w:tcPr>
          <w:p w14:paraId="1C006154"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553100D4"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BC79A67" w14:textId="387D5B00" w:rsidR="00115458" w:rsidRPr="007F6219" w:rsidRDefault="002A10B0" w:rsidP="00D06BCE">
            <w:pPr>
              <w:spacing w:after="0" w:line="240" w:lineRule="auto"/>
            </w:pPr>
            <w:r>
              <w:rPr>
                <w:rFonts w:cs="Arial"/>
              </w:rPr>
              <w:t>9.149</w:t>
            </w:r>
          </w:p>
        </w:tc>
        <w:tc>
          <w:tcPr>
            <w:tcW w:w="2708" w:type="pct"/>
            <w:tcBorders>
              <w:top w:val="nil"/>
              <w:left w:val="nil"/>
              <w:bottom w:val="single" w:sz="8" w:space="0" w:color="auto"/>
              <w:right w:val="single" w:sz="8" w:space="0" w:color="auto"/>
            </w:tcBorders>
            <w:vAlign w:val="center"/>
          </w:tcPr>
          <w:p w14:paraId="137B4F0B"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632" w:type="pct"/>
            <w:tcBorders>
              <w:top w:val="nil"/>
              <w:left w:val="nil"/>
              <w:bottom w:val="single" w:sz="8" w:space="0" w:color="auto"/>
              <w:right w:val="single" w:sz="8" w:space="0" w:color="auto"/>
            </w:tcBorders>
            <w:vAlign w:val="center"/>
          </w:tcPr>
          <w:p w14:paraId="7C940281" w14:textId="77777777" w:rsidR="00115458" w:rsidRPr="00D06BCE" w:rsidRDefault="00115458" w:rsidP="00D06BCE">
            <w:pPr>
              <w:spacing w:after="0" w:line="240" w:lineRule="auto"/>
              <w:rPr>
                <w:rFonts w:cs="Arial"/>
              </w:rPr>
            </w:pPr>
            <w:r w:rsidRPr="00D06BCE">
              <w:rPr>
                <w:rFonts w:cs="Arial"/>
              </w:rPr>
              <w:t>01</w:t>
            </w:r>
          </w:p>
        </w:tc>
      </w:tr>
      <w:tr w:rsidR="00115458" w:rsidRPr="00D06BCE" w14:paraId="04FDEAAD"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3F9A97E" w14:textId="77777777" w:rsidR="00115458" w:rsidRPr="007F6219" w:rsidRDefault="00115458" w:rsidP="00D06BCE">
            <w:pPr>
              <w:spacing w:after="0" w:line="240" w:lineRule="auto"/>
            </w:pPr>
            <w:hyperlink w:anchor="d7_061" w:history="1">
              <w:r w:rsidRPr="007F6219">
                <w:t>9.63</w:t>
              </w:r>
            </w:hyperlink>
          </w:p>
        </w:tc>
        <w:tc>
          <w:tcPr>
            <w:tcW w:w="2708" w:type="pct"/>
            <w:tcBorders>
              <w:top w:val="nil"/>
              <w:left w:val="nil"/>
              <w:bottom w:val="single" w:sz="8" w:space="0" w:color="auto"/>
              <w:right w:val="single" w:sz="8" w:space="0" w:color="auto"/>
            </w:tcBorders>
            <w:vAlign w:val="center"/>
          </w:tcPr>
          <w:p w14:paraId="2BE836DE" w14:textId="77777777" w:rsidR="00115458" w:rsidRPr="00D06BCE" w:rsidRDefault="00115458" w:rsidP="00D06BCE">
            <w:pPr>
              <w:spacing w:after="0" w:line="240" w:lineRule="auto"/>
              <w:rPr>
                <w:rFonts w:cs="Arial"/>
              </w:rPr>
            </w:pPr>
            <w:r w:rsidRPr="00D06BCE">
              <w:rPr>
                <w:rFonts w:cs="Arial"/>
              </w:rPr>
              <w:t>Investment reference number</w:t>
            </w:r>
          </w:p>
        </w:tc>
        <w:tc>
          <w:tcPr>
            <w:tcW w:w="1632" w:type="pct"/>
            <w:tcBorders>
              <w:top w:val="nil"/>
              <w:left w:val="nil"/>
              <w:bottom w:val="single" w:sz="8" w:space="0" w:color="auto"/>
              <w:right w:val="single" w:sz="8" w:space="0" w:color="auto"/>
            </w:tcBorders>
            <w:vAlign w:val="center"/>
          </w:tcPr>
          <w:p w14:paraId="068DB24D" w14:textId="77777777" w:rsidR="00115458" w:rsidRPr="00D06BCE" w:rsidRDefault="00115458" w:rsidP="00D06BCE">
            <w:pPr>
              <w:spacing w:after="0" w:line="240" w:lineRule="auto"/>
              <w:rPr>
                <w:rFonts w:cs="Arial"/>
              </w:rPr>
            </w:pPr>
            <w:r w:rsidRPr="00D06BCE">
              <w:rPr>
                <w:rFonts w:cs="Arial"/>
              </w:rPr>
              <w:t>2225556748</w:t>
            </w:r>
          </w:p>
        </w:tc>
      </w:tr>
      <w:tr w:rsidR="00115458" w:rsidRPr="00D06BCE" w14:paraId="68A1B573"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1C2092E4" w14:textId="77777777" w:rsidR="00115458" w:rsidRPr="007F6219" w:rsidRDefault="00115458" w:rsidP="00D06BCE">
            <w:pPr>
              <w:spacing w:after="0" w:line="240" w:lineRule="auto"/>
            </w:pPr>
            <w:hyperlink w:anchor="d7_062" w:history="1">
              <w:r w:rsidRPr="007F6219">
                <w:t>9.64</w:t>
              </w:r>
            </w:hyperlink>
          </w:p>
        </w:tc>
        <w:tc>
          <w:tcPr>
            <w:tcW w:w="2708" w:type="pct"/>
            <w:tcBorders>
              <w:top w:val="nil"/>
              <w:left w:val="nil"/>
              <w:bottom w:val="single" w:sz="8" w:space="0" w:color="auto"/>
              <w:right w:val="single" w:sz="8" w:space="0" w:color="auto"/>
            </w:tcBorders>
            <w:vAlign w:val="center"/>
          </w:tcPr>
          <w:p w14:paraId="28AFF678" w14:textId="77777777" w:rsidR="00115458" w:rsidRPr="00D06BCE" w:rsidRDefault="00115458" w:rsidP="00D06BCE">
            <w:pPr>
              <w:spacing w:after="0" w:line="240" w:lineRule="auto"/>
              <w:rPr>
                <w:rFonts w:cs="Arial"/>
              </w:rPr>
            </w:pPr>
            <w:r w:rsidRPr="00D06BCE">
              <w:rPr>
                <w:rFonts w:cs="Arial"/>
              </w:rPr>
              <w:t>Account reference number</w:t>
            </w:r>
          </w:p>
        </w:tc>
        <w:tc>
          <w:tcPr>
            <w:tcW w:w="1632" w:type="pct"/>
            <w:tcBorders>
              <w:top w:val="nil"/>
              <w:left w:val="nil"/>
              <w:bottom w:val="single" w:sz="8" w:space="0" w:color="auto"/>
              <w:right w:val="single" w:sz="8" w:space="0" w:color="auto"/>
            </w:tcBorders>
            <w:vAlign w:val="center"/>
          </w:tcPr>
          <w:p w14:paraId="018F1192" w14:textId="77777777" w:rsidR="00115458" w:rsidRPr="00D06BCE" w:rsidRDefault="00115458" w:rsidP="00D06BCE">
            <w:pPr>
              <w:spacing w:after="0" w:line="240" w:lineRule="auto"/>
              <w:rPr>
                <w:rFonts w:cs="Arial"/>
              </w:rPr>
            </w:pPr>
            <w:r w:rsidRPr="00D06BCE">
              <w:rPr>
                <w:rFonts w:cs="Arial"/>
              </w:rPr>
              <w:t>FMD001</w:t>
            </w:r>
          </w:p>
        </w:tc>
      </w:tr>
      <w:tr w:rsidR="00115458" w:rsidRPr="00D06BCE" w14:paraId="30AD3E54"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1EBAEB73" w14:textId="77777777" w:rsidR="00115458" w:rsidRPr="007F6219" w:rsidRDefault="00115458" w:rsidP="00D06BCE">
            <w:pPr>
              <w:spacing w:after="0" w:line="240" w:lineRule="auto"/>
            </w:pPr>
            <w:hyperlink w:anchor="d7_063" w:history="1">
              <w:r w:rsidRPr="007F6219">
                <w:t>9.65</w:t>
              </w:r>
            </w:hyperlink>
          </w:p>
        </w:tc>
        <w:tc>
          <w:tcPr>
            <w:tcW w:w="2708" w:type="pct"/>
            <w:tcBorders>
              <w:top w:val="nil"/>
              <w:left w:val="nil"/>
              <w:bottom w:val="single" w:sz="8" w:space="0" w:color="auto"/>
              <w:right w:val="single" w:sz="8" w:space="0" w:color="auto"/>
            </w:tcBorders>
            <w:vAlign w:val="center"/>
          </w:tcPr>
          <w:p w14:paraId="03E76496" w14:textId="77777777" w:rsidR="00115458" w:rsidRPr="00D06BCE" w:rsidRDefault="00115458" w:rsidP="00D06BCE">
            <w:pPr>
              <w:spacing w:after="0" w:line="240" w:lineRule="auto"/>
              <w:rPr>
                <w:rFonts w:cs="Arial"/>
              </w:rPr>
            </w:pPr>
            <w:r w:rsidRPr="00D06BCE">
              <w:rPr>
                <w:rFonts w:cs="Arial"/>
              </w:rPr>
              <w:t>BSB number</w:t>
            </w:r>
          </w:p>
        </w:tc>
        <w:tc>
          <w:tcPr>
            <w:tcW w:w="1632" w:type="pct"/>
            <w:tcBorders>
              <w:top w:val="nil"/>
              <w:left w:val="nil"/>
              <w:bottom w:val="single" w:sz="8" w:space="0" w:color="auto"/>
              <w:right w:val="single" w:sz="8" w:space="0" w:color="auto"/>
            </w:tcBorders>
            <w:vAlign w:val="center"/>
          </w:tcPr>
          <w:p w14:paraId="5F0A7EBF"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36EB3620"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013CE74C" w14:textId="77777777" w:rsidR="00115458" w:rsidRPr="007F6219" w:rsidRDefault="00115458" w:rsidP="00D06BCE">
            <w:pPr>
              <w:spacing w:after="0" w:line="240" w:lineRule="auto"/>
            </w:pPr>
            <w:hyperlink w:anchor="d7_064" w:history="1">
              <w:r w:rsidRPr="007F6219">
                <w:t>9.66</w:t>
              </w:r>
            </w:hyperlink>
          </w:p>
        </w:tc>
        <w:tc>
          <w:tcPr>
            <w:tcW w:w="2708" w:type="pct"/>
            <w:tcBorders>
              <w:top w:val="nil"/>
              <w:left w:val="nil"/>
              <w:bottom w:val="single" w:sz="8" w:space="0" w:color="auto"/>
              <w:right w:val="single" w:sz="8" w:space="0" w:color="auto"/>
            </w:tcBorders>
            <w:vAlign w:val="center"/>
          </w:tcPr>
          <w:p w14:paraId="18820CBA" w14:textId="77777777" w:rsidR="00115458" w:rsidRPr="00D06BCE" w:rsidRDefault="00115458" w:rsidP="00D06BCE">
            <w:pPr>
              <w:spacing w:after="0" w:line="240" w:lineRule="auto"/>
              <w:rPr>
                <w:rFonts w:cs="Arial"/>
              </w:rPr>
            </w:pPr>
            <w:r w:rsidRPr="00D06BCE">
              <w:rPr>
                <w:rFonts w:cs="Arial"/>
              </w:rPr>
              <w:t>Branch location</w:t>
            </w:r>
          </w:p>
        </w:tc>
        <w:tc>
          <w:tcPr>
            <w:tcW w:w="1632" w:type="pct"/>
            <w:tcBorders>
              <w:top w:val="nil"/>
              <w:left w:val="nil"/>
              <w:bottom w:val="single" w:sz="8" w:space="0" w:color="auto"/>
              <w:right w:val="single" w:sz="8" w:space="0" w:color="auto"/>
            </w:tcBorders>
            <w:vAlign w:val="center"/>
          </w:tcPr>
          <w:p w14:paraId="502F054D"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5041DD70"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78882F01" w14:textId="77777777" w:rsidR="00115458" w:rsidRPr="007F6219" w:rsidRDefault="00115458" w:rsidP="00D06BCE">
            <w:pPr>
              <w:spacing w:after="0" w:line="240" w:lineRule="auto"/>
            </w:pPr>
            <w:hyperlink w:anchor="d7_065" w:history="1">
              <w:r w:rsidRPr="007F6219">
                <w:t>9.67</w:t>
              </w:r>
            </w:hyperlink>
          </w:p>
        </w:tc>
        <w:tc>
          <w:tcPr>
            <w:tcW w:w="2708" w:type="pct"/>
            <w:tcBorders>
              <w:top w:val="nil"/>
              <w:left w:val="nil"/>
              <w:bottom w:val="single" w:sz="8" w:space="0" w:color="auto"/>
              <w:right w:val="single" w:sz="8" w:space="0" w:color="auto"/>
            </w:tcBorders>
            <w:vAlign w:val="center"/>
          </w:tcPr>
          <w:p w14:paraId="1B804136" w14:textId="77777777" w:rsidR="00115458" w:rsidRPr="00D06BCE" w:rsidRDefault="00115458" w:rsidP="00D06BCE">
            <w:pPr>
              <w:spacing w:after="0" w:line="240" w:lineRule="auto"/>
              <w:rPr>
                <w:rFonts w:cs="Arial"/>
              </w:rPr>
            </w:pPr>
            <w:r w:rsidRPr="00D06BCE">
              <w:rPr>
                <w:rFonts w:cs="Arial"/>
              </w:rPr>
              <w:t>Account name</w:t>
            </w:r>
          </w:p>
        </w:tc>
        <w:tc>
          <w:tcPr>
            <w:tcW w:w="1632" w:type="pct"/>
            <w:tcBorders>
              <w:top w:val="nil"/>
              <w:left w:val="nil"/>
              <w:bottom w:val="single" w:sz="8" w:space="0" w:color="auto"/>
              <w:right w:val="single" w:sz="8" w:space="0" w:color="auto"/>
            </w:tcBorders>
            <w:vAlign w:val="center"/>
          </w:tcPr>
          <w:p w14:paraId="2252743C" w14:textId="77777777" w:rsidR="00115458" w:rsidRPr="00D06BCE" w:rsidRDefault="00115458" w:rsidP="00D06BCE">
            <w:pPr>
              <w:spacing w:after="0" w:line="240" w:lineRule="auto"/>
              <w:rPr>
                <w:rFonts w:cs="Arial"/>
              </w:rPr>
            </w:pPr>
            <w:r w:rsidRPr="00D06BCE">
              <w:rPr>
                <w:rFonts w:cs="Arial"/>
              </w:rPr>
              <w:t>ESTHER MCMANUS</w:t>
            </w:r>
          </w:p>
        </w:tc>
      </w:tr>
      <w:tr w:rsidR="00115458" w:rsidRPr="00D06BCE" w14:paraId="511E4A11"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09D90202" w14:textId="41A6F02C" w:rsidR="00115458" w:rsidRPr="007F6219" w:rsidRDefault="005575D6" w:rsidP="00D06BCE">
            <w:pPr>
              <w:spacing w:after="0" w:line="240" w:lineRule="auto"/>
            </w:pPr>
            <w:r>
              <w:t>9.150</w:t>
            </w:r>
          </w:p>
        </w:tc>
        <w:tc>
          <w:tcPr>
            <w:tcW w:w="2708" w:type="pct"/>
            <w:tcBorders>
              <w:top w:val="nil"/>
              <w:left w:val="nil"/>
              <w:bottom w:val="single" w:sz="8" w:space="0" w:color="auto"/>
              <w:right w:val="single" w:sz="8" w:space="0" w:color="auto"/>
            </w:tcBorders>
            <w:vAlign w:val="center"/>
          </w:tcPr>
          <w:p w14:paraId="652EC4EA" w14:textId="77777777" w:rsidR="00115458" w:rsidRPr="00D06BCE" w:rsidRDefault="00115458" w:rsidP="00D06BCE">
            <w:pPr>
              <w:spacing w:after="0" w:line="240" w:lineRule="auto"/>
              <w:rPr>
                <w:rFonts w:cs="Arial"/>
              </w:rPr>
            </w:pPr>
            <w:r w:rsidRPr="00D06BCE">
              <w:rPr>
                <w:rFonts w:cs="Arial"/>
              </w:rPr>
              <w:t>Personal identification number (PIN)</w:t>
            </w:r>
          </w:p>
        </w:tc>
        <w:tc>
          <w:tcPr>
            <w:tcW w:w="1632" w:type="pct"/>
            <w:tcBorders>
              <w:top w:val="nil"/>
              <w:left w:val="nil"/>
              <w:bottom w:val="single" w:sz="8" w:space="0" w:color="auto"/>
              <w:right w:val="single" w:sz="8" w:space="0" w:color="auto"/>
            </w:tcBorders>
            <w:vAlign w:val="center"/>
          </w:tcPr>
          <w:p w14:paraId="4E453C11" w14:textId="77777777" w:rsidR="00115458" w:rsidRPr="00D06BCE" w:rsidRDefault="00115458" w:rsidP="00D06BCE">
            <w:pPr>
              <w:spacing w:after="0" w:line="240" w:lineRule="auto"/>
              <w:rPr>
                <w:rFonts w:cs="Arial"/>
              </w:rPr>
            </w:pPr>
            <w:r w:rsidRPr="00D06BCE">
              <w:rPr>
                <w:rFonts w:cs="Arial"/>
              </w:rPr>
              <w:t>2634</w:t>
            </w:r>
          </w:p>
        </w:tc>
      </w:tr>
      <w:tr w:rsidR="00115458" w:rsidRPr="00D06BCE" w14:paraId="7248CD7C"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120C4B9D" w14:textId="6DEE79F8" w:rsidR="00115458" w:rsidRPr="007F6219" w:rsidRDefault="00107A53" w:rsidP="00D06BCE">
            <w:pPr>
              <w:spacing w:after="0" w:line="240" w:lineRule="auto"/>
            </w:pPr>
            <w:r>
              <w:rPr>
                <w:rFonts w:cs="Arial"/>
              </w:rPr>
              <w:t>9.151</w:t>
            </w:r>
          </w:p>
        </w:tc>
        <w:tc>
          <w:tcPr>
            <w:tcW w:w="2708" w:type="pct"/>
            <w:tcBorders>
              <w:top w:val="nil"/>
              <w:left w:val="nil"/>
              <w:bottom w:val="single" w:sz="8" w:space="0" w:color="auto"/>
              <w:right w:val="single" w:sz="8" w:space="0" w:color="auto"/>
            </w:tcBorders>
            <w:vAlign w:val="center"/>
          </w:tcPr>
          <w:p w14:paraId="7CBD8CEA" w14:textId="77777777" w:rsidR="00115458" w:rsidRPr="00D06BCE" w:rsidRDefault="00115458" w:rsidP="00D06BCE">
            <w:pPr>
              <w:spacing w:after="0" w:line="240" w:lineRule="auto"/>
              <w:rPr>
                <w:rFonts w:cs="Arial"/>
              </w:rPr>
            </w:pPr>
            <w:r w:rsidRPr="00D06BCE">
              <w:rPr>
                <w:rFonts w:cs="Arial"/>
              </w:rPr>
              <w:t>ANZSIC code</w:t>
            </w:r>
          </w:p>
        </w:tc>
        <w:tc>
          <w:tcPr>
            <w:tcW w:w="1632" w:type="pct"/>
            <w:tcBorders>
              <w:top w:val="nil"/>
              <w:left w:val="nil"/>
              <w:bottom w:val="single" w:sz="8" w:space="0" w:color="auto"/>
              <w:right w:val="single" w:sz="8" w:space="0" w:color="auto"/>
            </w:tcBorders>
            <w:vAlign w:val="center"/>
          </w:tcPr>
          <w:p w14:paraId="0ED3E6C5" w14:textId="77777777" w:rsidR="00115458" w:rsidRPr="00D06BCE" w:rsidRDefault="00115458" w:rsidP="00D06BCE">
            <w:pPr>
              <w:spacing w:after="0" w:line="240" w:lineRule="auto"/>
              <w:rPr>
                <w:rFonts w:cs="Arial"/>
              </w:rPr>
            </w:pPr>
            <w:r w:rsidRPr="00D06BCE">
              <w:rPr>
                <w:rFonts w:cs="Arial"/>
              </w:rPr>
              <w:t>0141</w:t>
            </w:r>
          </w:p>
        </w:tc>
      </w:tr>
      <w:tr w:rsidR="00115458" w:rsidRPr="00D06BCE" w14:paraId="5EBF7548"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6DFFF78B" w14:textId="77777777" w:rsidR="00115458" w:rsidRPr="007F6219" w:rsidRDefault="00115458" w:rsidP="00D06BCE">
            <w:pPr>
              <w:spacing w:after="0" w:line="240" w:lineRule="auto"/>
            </w:pPr>
            <w:hyperlink w:anchor="d7_068" w:history="1">
              <w:r w:rsidRPr="007F6219">
                <w:t>9.70</w:t>
              </w:r>
            </w:hyperlink>
          </w:p>
        </w:tc>
        <w:tc>
          <w:tcPr>
            <w:tcW w:w="2708" w:type="pct"/>
            <w:tcBorders>
              <w:top w:val="nil"/>
              <w:left w:val="nil"/>
              <w:bottom w:val="single" w:sz="8" w:space="0" w:color="auto"/>
              <w:right w:val="single" w:sz="8" w:space="0" w:color="auto"/>
            </w:tcBorders>
            <w:vAlign w:val="center"/>
          </w:tcPr>
          <w:p w14:paraId="0FC8861C" w14:textId="77777777" w:rsidR="00115458" w:rsidRPr="00D06BCE" w:rsidRDefault="00115458" w:rsidP="00D06BCE">
            <w:pPr>
              <w:spacing w:after="0" w:line="240" w:lineRule="auto"/>
              <w:rPr>
                <w:rFonts w:cs="Arial"/>
              </w:rPr>
            </w:pPr>
            <w:r w:rsidRPr="00D06BCE">
              <w:rPr>
                <w:rFonts w:cs="Arial"/>
              </w:rPr>
              <w:t>Date of payment (DDMMCCYY)</w:t>
            </w:r>
          </w:p>
        </w:tc>
        <w:tc>
          <w:tcPr>
            <w:tcW w:w="1632" w:type="pct"/>
            <w:tcBorders>
              <w:top w:val="nil"/>
              <w:left w:val="nil"/>
              <w:bottom w:val="single" w:sz="8" w:space="0" w:color="auto"/>
              <w:right w:val="single" w:sz="8" w:space="0" w:color="auto"/>
            </w:tcBorders>
            <w:vAlign w:val="center"/>
          </w:tcPr>
          <w:p w14:paraId="1ACDA855" w14:textId="60EA745D" w:rsidR="00115458" w:rsidRPr="00D06BCE" w:rsidRDefault="00115458" w:rsidP="00D06BCE">
            <w:pPr>
              <w:spacing w:after="0" w:line="240" w:lineRule="auto"/>
              <w:rPr>
                <w:rFonts w:cs="Arial"/>
              </w:rPr>
            </w:pPr>
            <w:r w:rsidRPr="00D06BCE">
              <w:rPr>
                <w:rFonts w:cs="Arial"/>
              </w:rPr>
              <w:t>311220</w:t>
            </w:r>
            <w:r w:rsidR="0044333A">
              <w:rPr>
                <w:rFonts w:cs="Arial"/>
              </w:rPr>
              <w:t>25</w:t>
            </w:r>
          </w:p>
        </w:tc>
      </w:tr>
      <w:tr w:rsidR="00115458" w:rsidRPr="00D06BCE" w14:paraId="352FAFF0"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72033208" w14:textId="77777777" w:rsidR="00115458" w:rsidRPr="007F6219" w:rsidRDefault="00115458" w:rsidP="00D06BCE">
            <w:pPr>
              <w:spacing w:after="0" w:line="240" w:lineRule="auto"/>
            </w:pPr>
            <w:hyperlink w:anchor="d7_069" w:history="1">
              <w:r w:rsidRPr="007F6219">
                <w:t>9.71</w:t>
              </w:r>
            </w:hyperlink>
          </w:p>
        </w:tc>
        <w:tc>
          <w:tcPr>
            <w:tcW w:w="2708" w:type="pct"/>
            <w:tcBorders>
              <w:top w:val="nil"/>
              <w:left w:val="nil"/>
              <w:bottom w:val="single" w:sz="8" w:space="0" w:color="auto"/>
              <w:right w:val="single" w:sz="8" w:space="0" w:color="auto"/>
            </w:tcBorders>
            <w:vAlign w:val="center"/>
          </w:tcPr>
          <w:p w14:paraId="7FA345CD" w14:textId="77777777" w:rsidR="00115458" w:rsidRPr="00D06BCE" w:rsidRDefault="00115458" w:rsidP="00D06BCE">
            <w:pPr>
              <w:spacing w:after="0" w:line="240" w:lineRule="auto"/>
              <w:rPr>
                <w:rFonts w:cs="Arial"/>
              </w:rPr>
            </w:pPr>
            <w:r w:rsidRPr="00D06BCE">
              <w:rPr>
                <w:rFonts w:cs="Arial"/>
              </w:rPr>
              <w:t>Type of investment</w:t>
            </w:r>
          </w:p>
        </w:tc>
        <w:tc>
          <w:tcPr>
            <w:tcW w:w="1632" w:type="pct"/>
            <w:tcBorders>
              <w:top w:val="nil"/>
              <w:left w:val="nil"/>
              <w:bottom w:val="single" w:sz="8" w:space="0" w:color="auto"/>
              <w:right w:val="single" w:sz="8" w:space="0" w:color="auto"/>
            </w:tcBorders>
            <w:vAlign w:val="center"/>
          </w:tcPr>
          <w:p w14:paraId="35B9D511" w14:textId="77777777" w:rsidR="00115458" w:rsidRPr="00D06BCE" w:rsidRDefault="00115458" w:rsidP="00D06BCE">
            <w:pPr>
              <w:spacing w:after="0" w:line="240" w:lineRule="auto"/>
              <w:rPr>
                <w:rFonts w:cs="Arial"/>
              </w:rPr>
            </w:pPr>
            <w:r w:rsidRPr="00D06BCE">
              <w:rPr>
                <w:rFonts w:cs="Arial"/>
              </w:rPr>
              <w:t>2</w:t>
            </w:r>
          </w:p>
        </w:tc>
      </w:tr>
      <w:tr w:rsidR="00115458" w:rsidRPr="00D06BCE" w14:paraId="0E6552C8"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017D5DF6" w14:textId="77777777" w:rsidR="00115458" w:rsidRPr="007F6219" w:rsidRDefault="00115458" w:rsidP="00D06BCE">
            <w:pPr>
              <w:spacing w:after="0" w:line="240" w:lineRule="auto"/>
            </w:pPr>
            <w:hyperlink w:anchor="d7_070" w:history="1">
              <w:r w:rsidRPr="007F6219">
                <w:t>9.72</w:t>
              </w:r>
            </w:hyperlink>
          </w:p>
        </w:tc>
        <w:tc>
          <w:tcPr>
            <w:tcW w:w="2708" w:type="pct"/>
            <w:tcBorders>
              <w:top w:val="nil"/>
              <w:left w:val="nil"/>
              <w:bottom w:val="single" w:sz="8" w:space="0" w:color="auto"/>
              <w:right w:val="single" w:sz="8" w:space="0" w:color="auto"/>
            </w:tcBorders>
            <w:vAlign w:val="center"/>
          </w:tcPr>
          <w:p w14:paraId="418A5CB1" w14:textId="77777777" w:rsidR="00115458" w:rsidRPr="00D06BCE" w:rsidRDefault="00115458" w:rsidP="00D06BCE">
            <w:pPr>
              <w:spacing w:after="0" w:line="240" w:lineRule="auto"/>
              <w:rPr>
                <w:rFonts w:cs="Arial"/>
              </w:rPr>
            </w:pPr>
            <w:r w:rsidRPr="00D06BCE">
              <w:rPr>
                <w:rFonts w:cs="Arial"/>
              </w:rPr>
              <w:t>Type of payment</w:t>
            </w:r>
          </w:p>
        </w:tc>
        <w:tc>
          <w:tcPr>
            <w:tcW w:w="1632" w:type="pct"/>
            <w:tcBorders>
              <w:top w:val="nil"/>
              <w:left w:val="nil"/>
              <w:bottom w:val="single" w:sz="8" w:space="0" w:color="auto"/>
              <w:right w:val="single" w:sz="8" w:space="0" w:color="auto"/>
            </w:tcBorders>
            <w:vAlign w:val="center"/>
          </w:tcPr>
          <w:p w14:paraId="7412C039" w14:textId="77777777" w:rsidR="00115458" w:rsidRPr="00D06BCE" w:rsidRDefault="00115458" w:rsidP="00D06BCE">
            <w:pPr>
              <w:spacing w:after="0" w:line="240" w:lineRule="auto"/>
              <w:rPr>
                <w:rFonts w:cs="Arial"/>
              </w:rPr>
            </w:pPr>
            <w:r w:rsidRPr="00D06BCE">
              <w:rPr>
                <w:rFonts w:cs="Arial"/>
              </w:rPr>
              <w:t>FMD</w:t>
            </w:r>
          </w:p>
        </w:tc>
      </w:tr>
      <w:tr w:rsidR="00115458" w:rsidRPr="00D06BCE" w14:paraId="03C28BAB"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602570BC" w14:textId="77777777" w:rsidR="00115458" w:rsidRPr="007F6219" w:rsidRDefault="00115458" w:rsidP="00D06BCE">
            <w:pPr>
              <w:spacing w:after="0" w:line="240" w:lineRule="auto"/>
            </w:pPr>
            <w:hyperlink w:anchor="d7_076" w:history="1">
              <w:r w:rsidRPr="007F6219">
                <w:t>9.79</w:t>
              </w:r>
            </w:hyperlink>
          </w:p>
        </w:tc>
        <w:tc>
          <w:tcPr>
            <w:tcW w:w="2708" w:type="pct"/>
            <w:tcBorders>
              <w:top w:val="nil"/>
              <w:left w:val="nil"/>
              <w:bottom w:val="single" w:sz="8" w:space="0" w:color="auto"/>
              <w:right w:val="single" w:sz="8" w:space="0" w:color="auto"/>
            </w:tcBorders>
            <w:vAlign w:val="center"/>
          </w:tcPr>
          <w:p w14:paraId="1762D156" w14:textId="77777777" w:rsidR="00115458" w:rsidRPr="00D06BCE" w:rsidRDefault="00115458" w:rsidP="00D06BCE">
            <w:pPr>
              <w:spacing w:after="0" w:line="240" w:lineRule="auto"/>
              <w:rPr>
                <w:rFonts w:cs="Arial"/>
              </w:rPr>
            </w:pPr>
            <w:r w:rsidRPr="00D06BCE">
              <w:rPr>
                <w:rFonts w:cs="Arial"/>
              </w:rPr>
              <w:t>Interest (cents)</w:t>
            </w:r>
          </w:p>
        </w:tc>
        <w:tc>
          <w:tcPr>
            <w:tcW w:w="1632" w:type="pct"/>
            <w:tcBorders>
              <w:top w:val="nil"/>
              <w:left w:val="nil"/>
              <w:bottom w:val="single" w:sz="8" w:space="0" w:color="auto"/>
              <w:right w:val="single" w:sz="8" w:space="0" w:color="auto"/>
            </w:tcBorders>
            <w:vAlign w:val="center"/>
          </w:tcPr>
          <w:p w14:paraId="45059F71" w14:textId="77777777" w:rsidR="00115458" w:rsidRPr="00D06BCE" w:rsidRDefault="00115458" w:rsidP="00D06BCE">
            <w:pPr>
              <w:spacing w:after="0" w:line="240" w:lineRule="auto"/>
              <w:rPr>
                <w:rFonts w:cs="Arial"/>
              </w:rPr>
            </w:pPr>
            <w:r w:rsidRPr="00D06BCE">
              <w:rPr>
                <w:rFonts w:cs="Arial"/>
              </w:rPr>
              <w:t>000000296732</w:t>
            </w:r>
          </w:p>
        </w:tc>
      </w:tr>
      <w:tr w:rsidR="00115458" w:rsidRPr="00D06BCE" w14:paraId="330EB9CF"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974DBE3" w14:textId="77777777" w:rsidR="00115458" w:rsidRPr="007F6219" w:rsidRDefault="00115458" w:rsidP="00D06BCE">
            <w:pPr>
              <w:spacing w:after="0" w:line="240" w:lineRule="auto"/>
            </w:pPr>
            <w:hyperlink w:anchor="d7_072" w:history="1">
              <w:r w:rsidRPr="007F6219">
                <w:t>9.74</w:t>
              </w:r>
            </w:hyperlink>
          </w:p>
        </w:tc>
        <w:tc>
          <w:tcPr>
            <w:tcW w:w="2708" w:type="pct"/>
            <w:tcBorders>
              <w:top w:val="nil"/>
              <w:left w:val="nil"/>
              <w:bottom w:val="single" w:sz="8" w:space="0" w:color="auto"/>
              <w:right w:val="single" w:sz="8" w:space="0" w:color="auto"/>
            </w:tcBorders>
            <w:vAlign w:val="center"/>
          </w:tcPr>
          <w:p w14:paraId="73247937" w14:textId="77777777" w:rsidR="00115458" w:rsidRPr="00D06BCE" w:rsidRDefault="00115458" w:rsidP="00D06BCE">
            <w:pPr>
              <w:spacing w:after="0" w:line="240" w:lineRule="auto"/>
              <w:rPr>
                <w:rFonts w:cs="Arial"/>
              </w:rPr>
            </w:pPr>
            <w:r w:rsidRPr="00D06BCE">
              <w:rPr>
                <w:rFonts w:cs="Arial"/>
              </w:rPr>
              <w:t>TFN withholding tax deducted (cents)</w:t>
            </w:r>
          </w:p>
        </w:tc>
        <w:tc>
          <w:tcPr>
            <w:tcW w:w="1632" w:type="pct"/>
            <w:tcBorders>
              <w:top w:val="nil"/>
              <w:left w:val="nil"/>
              <w:bottom w:val="single" w:sz="8" w:space="0" w:color="auto"/>
              <w:right w:val="single" w:sz="8" w:space="0" w:color="auto"/>
            </w:tcBorders>
            <w:vAlign w:val="center"/>
          </w:tcPr>
          <w:p w14:paraId="594B267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D3B44F0"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6FAFE3C" w14:textId="77777777" w:rsidR="00115458" w:rsidRPr="007F6219" w:rsidRDefault="00115458" w:rsidP="00D06BCE">
            <w:pPr>
              <w:spacing w:after="0" w:line="240" w:lineRule="auto"/>
            </w:pPr>
            <w:hyperlink w:anchor="d7_073" w:history="1">
              <w:r w:rsidRPr="007F6219">
                <w:t>9.75</w:t>
              </w:r>
            </w:hyperlink>
          </w:p>
        </w:tc>
        <w:tc>
          <w:tcPr>
            <w:tcW w:w="2708" w:type="pct"/>
            <w:tcBorders>
              <w:top w:val="nil"/>
              <w:left w:val="nil"/>
              <w:bottom w:val="single" w:sz="8" w:space="0" w:color="auto"/>
              <w:right w:val="single" w:sz="8" w:space="0" w:color="auto"/>
            </w:tcBorders>
            <w:vAlign w:val="center"/>
          </w:tcPr>
          <w:p w14:paraId="75F81AEF" w14:textId="77777777" w:rsidR="00115458" w:rsidRPr="00D06BCE" w:rsidRDefault="00115458" w:rsidP="00D06BCE">
            <w:pPr>
              <w:spacing w:after="0" w:line="240" w:lineRule="auto"/>
              <w:rPr>
                <w:rFonts w:cs="Arial"/>
              </w:rPr>
            </w:pPr>
            <w:r w:rsidRPr="00D06BCE">
              <w:rPr>
                <w:rFonts w:cs="Arial"/>
              </w:rPr>
              <w:t>TFN withholding tax refunded (cents)</w:t>
            </w:r>
          </w:p>
        </w:tc>
        <w:tc>
          <w:tcPr>
            <w:tcW w:w="1632" w:type="pct"/>
            <w:tcBorders>
              <w:top w:val="nil"/>
              <w:left w:val="nil"/>
              <w:bottom w:val="single" w:sz="8" w:space="0" w:color="auto"/>
              <w:right w:val="single" w:sz="8" w:space="0" w:color="auto"/>
            </w:tcBorders>
            <w:vAlign w:val="center"/>
          </w:tcPr>
          <w:p w14:paraId="4A2E4C8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DB4DA46"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15D0A03A" w14:textId="7B1B1700" w:rsidR="00115458" w:rsidRPr="007F6219" w:rsidRDefault="00E548B4" w:rsidP="00D06BCE">
            <w:pPr>
              <w:spacing w:after="0" w:line="240" w:lineRule="auto"/>
            </w:pPr>
            <w:r>
              <w:rPr>
                <w:rFonts w:cs="Arial"/>
              </w:rPr>
              <w:t>9.152</w:t>
            </w:r>
          </w:p>
        </w:tc>
        <w:tc>
          <w:tcPr>
            <w:tcW w:w="2708" w:type="pct"/>
            <w:tcBorders>
              <w:top w:val="nil"/>
              <w:left w:val="nil"/>
              <w:bottom w:val="single" w:sz="8" w:space="0" w:color="auto"/>
              <w:right w:val="single" w:sz="8" w:space="0" w:color="auto"/>
            </w:tcBorders>
            <w:vAlign w:val="center"/>
          </w:tcPr>
          <w:p w14:paraId="7F9FA06A" w14:textId="77777777" w:rsidR="00115458" w:rsidRPr="00D06BCE" w:rsidRDefault="00115458" w:rsidP="00D06BCE">
            <w:pPr>
              <w:spacing w:after="0" w:line="240" w:lineRule="auto"/>
              <w:rPr>
                <w:rFonts w:cs="Arial"/>
              </w:rPr>
            </w:pPr>
            <w:r w:rsidRPr="00D06BCE">
              <w:rPr>
                <w:rFonts w:cs="Arial"/>
              </w:rPr>
              <w:t>Amount of deductible deposit (cents)</w:t>
            </w:r>
          </w:p>
        </w:tc>
        <w:tc>
          <w:tcPr>
            <w:tcW w:w="1632" w:type="pct"/>
            <w:tcBorders>
              <w:top w:val="nil"/>
              <w:left w:val="nil"/>
              <w:bottom w:val="single" w:sz="8" w:space="0" w:color="auto"/>
              <w:right w:val="single" w:sz="8" w:space="0" w:color="auto"/>
            </w:tcBorders>
            <w:vAlign w:val="center"/>
          </w:tcPr>
          <w:p w14:paraId="29DA106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23DA21E"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0E267D82" w14:textId="4C07ED0D" w:rsidR="00115458" w:rsidRPr="007F6219" w:rsidRDefault="00704E70" w:rsidP="00D06BCE">
            <w:pPr>
              <w:spacing w:after="0" w:line="240" w:lineRule="auto"/>
            </w:pPr>
            <w:r>
              <w:t>9.153</w:t>
            </w:r>
          </w:p>
        </w:tc>
        <w:tc>
          <w:tcPr>
            <w:tcW w:w="2708" w:type="pct"/>
            <w:tcBorders>
              <w:top w:val="nil"/>
              <w:left w:val="nil"/>
              <w:bottom w:val="single" w:sz="8" w:space="0" w:color="auto"/>
              <w:right w:val="single" w:sz="8" w:space="0" w:color="auto"/>
            </w:tcBorders>
            <w:vAlign w:val="center"/>
          </w:tcPr>
          <w:p w14:paraId="75A9A20A"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632" w:type="pct"/>
            <w:tcBorders>
              <w:top w:val="nil"/>
              <w:left w:val="nil"/>
              <w:bottom w:val="single" w:sz="8" w:space="0" w:color="auto"/>
              <w:right w:val="single" w:sz="8" w:space="0" w:color="auto"/>
            </w:tcBorders>
            <w:vAlign w:val="center"/>
          </w:tcPr>
          <w:p w14:paraId="07BA5438"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E58AE24"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61810E19" w14:textId="1C7B767F" w:rsidR="00115458" w:rsidRPr="007F6219" w:rsidRDefault="00770CC8" w:rsidP="00D06BCE">
            <w:pPr>
              <w:spacing w:after="0" w:line="240" w:lineRule="auto"/>
            </w:pPr>
            <w:r>
              <w:t>9.154</w:t>
            </w:r>
          </w:p>
        </w:tc>
        <w:tc>
          <w:tcPr>
            <w:tcW w:w="2708" w:type="pct"/>
            <w:tcBorders>
              <w:top w:val="nil"/>
              <w:left w:val="nil"/>
              <w:bottom w:val="single" w:sz="8" w:space="0" w:color="auto"/>
              <w:right w:val="single" w:sz="8" w:space="0" w:color="auto"/>
            </w:tcBorders>
            <w:vAlign w:val="center"/>
          </w:tcPr>
          <w:p w14:paraId="2F06AD93"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632" w:type="pct"/>
            <w:tcBorders>
              <w:top w:val="nil"/>
              <w:left w:val="nil"/>
              <w:bottom w:val="single" w:sz="8" w:space="0" w:color="auto"/>
              <w:right w:val="single" w:sz="8" w:space="0" w:color="auto"/>
            </w:tcBorders>
            <w:vAlign w:val="center"/>
          </w:tcPr>
          <w:p w14:paraId="2E3DA7BC" w14:textId="02E4219F" w:rsidR="00115458" w:rsidRPr="00D06BCE" w:rsidRDefault="00115458" w:rsidP="00D06BCE">
            <w:pPr>
              <w:spacing w:after="0" w:line="240" w:lineRule="auto"/>
              <w:rPr>
                <w:rFonts w:cs="Arial"/>
              </w:rPr>
            </w:pPr>
            <w:r w:rsidRPr="00D06BCE">
              <w:rPr>
                <w:rFonts w:cs="Arial"/>
              </w:rPr>
              <w:t>170920</w:t>
            </w:r>
            <w:r w:rsidR="0044333A">
              <w:rPr>
                <w:rFonts w:cs="Arial"/>
              </w:rPr>
              <w:t>23</w:t>
            </w:r>
          </w:p>
        </w:tc>
      </w:tr>
      <w:tr w:rsidR="00115458" w:rsidRPr="00D06BCE" w14:paraId="7AC33A61"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7B1D628E" w14:textId="14EEB0A7" w:rsidR="00115458" w:rsidRPr="007F6219" w:rsidRDefault="006878DF" w:rsidP="00D06BCE">
            <w:pPr>
              <w:spacing w:after="0" w:line="240" w:lineRule="auto"/>
            </w:pPr>
            <w:r>
              <w:t>9.1</w:t>
            </w:r>
            <w:r w:rsidR="00AC6B52">
              <w:t>55</w:t>
            </w:r>
          </w:p>
        </w:tc>
        <w:tc>
          <w:tcPr>
            <w:tcW w:w="2708" w:type="pct"/>
            <w:tcBorders>
              <w:top w:val="nil"/>
              <w:left w:val="nil"/>
              <w:bottom w:val="single" w:sz="8" w:space="0" w:color="auto"/>
              <w:right w:val="single" w:sz="8" w:space="0" w:color="auto"/>
            </w:tcBorders>
            <w:vAlign w:val="center"/>
          </w:tcPr>
          <w:p w14:paraId="315AECBB" w14:textId="77777777" w:rsidR="00115458" w:rsidRPr="00D06BCE" w:rsidRDefault="00115458" w:rsidP="00D06BCE">
            <w:pPr>
              <w:spacing w:after="0" w:line="240" w:lineRule="auto"/>
              <w:rPr>
                <w:rFonts w:cs="Arial"/>
              </w:rPr>
            </w:pPr>
            <w:r w:rsidRPr="00D06BCE">
              <w:rPr>
                <w:rFonts w:cs="Arial"/>
              </w:rPr>
              <w:t>Amount of repayment (first) (cents)</w:t>
            </w:r>
          </w:p>
        </w:tc>
        <w:tc>
          <w:tcPr>
            <w:tcW w:w="1632" w:type="pct"/>
            <w:tcBorders>
              <w:top w:val="nil"/>
              <w:left w:val="nil"/>
              <w:bottom w:val="single" w:sz="8" w:space="0" w:color="auto"/>
              <w:right w:val="single" w:sz="8" w:space="0" w:color="auto"/>
            </w:tcBorders>
            <w:vAlign w:val="center"/>
          </w:tcPr>
          <w:p w14:paraId="08388140" w14:textId="77777777" w:rsidR="00115458" w:rsidRPr="00D06BCE" w:rsidRDefault="00115458" w:rsidP="00D06BCE">
            <w:pPr>
              <w:spacing w:after="0" w:line="240" w:lineRule="auto"/>
              <w:rPr>
                <w:rFonts w:cs="Arial"/>
              </w:rPr>
            </w:pPr>
            <w:r w:rsidRPr="00D06BCE">
              <w:rPr>
                <w:rFonts w:cs="Arial"/>
              </w:rPr>
              <w:t>000000130000</w:t>
            </w:r>
          </w:p>
        </w:tc>
      </w:tr>
      <w:tr w:rsidR="00115458" w:rsidRPr="00D06BCE" w14:paraId="039B7853"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2EA39C0B" w14:textId="31D38F25" w:rsidR="00115458" w:rsidRPr="007F6219" w:rsidRDefault="009C084F" w:rsidP="00D06BCE">
            <w:pPr>
              <w:spacing w:after="0" w:line="240" w:lineRule="auto"/>
            </w:pPr>
            <w:r>
              <w:t>9.156</w:t>
            </w:r>
          </w:p>
        </w:tc>
        <w:tc>
          <w:tcPr>
            <w:tcW w:w="2708" w:type="pct"/>
            <w:tcBorders>
              <w:top w:val="nil"/>
              <w:left w:val="nil"/>
              <w:bottom w:val="single" w:sz="8" w:space="0" w:color="auto"/>
              <w:right w:val="single" w:sz="8" w:space="0" w:color="auto"/>
            </w:tcBorders>
            <w:vAlign w:val="center"/>
          </w:tcPr>
          <w:p w14:paraId="55A60EC3" w14:textId="77777777" w:rsidR="00115458" w:rsidRPr="00D06BCE" w:rsidRDefault="00115458" w:rsidP="00D06BCE">
            <w:pPr>
              <w:spacing w:after="0" w:line="240" w:lineRule="auto"/>
              <w:rPr>
                <w:rFonts w:cs="Arial"/>
              </w:rPr>
            </w:pPr>
            <w:r w:rsidRPr="00D06BCE">
              <w:rPr>
                <w:rFonts w:cs="Arial"/>
              </w:rPr>
              <w:t>Date of repayment (first) (DDMMCCYY)</w:t>
            </w:r>
          </w:p>
        </w:tc>
        <w:tc>
          <w:tcPr>
            <w:tcW w:w="1632" w:type="pct"/>
            <w:tcBorders>
              <w:top w:val="nil"/>
              <w:left w:val="nil"/>
              <w:bottom w:val="single" w:sz="8" w:space="0" w:color="auto"/>
              <w:right w:val="single" w:sz="8" w:space="0" w:color="auto"/>
            </w:tcBorders>
            <w:vAlign w:val="center"/>
          </w:tcPr>
          <w:p w14:paraId="5E913497" w14:textId="402B1C68" w:rsidR="00115458" w:rsidRPr="00D06BCE" w:rsidRDefault="00115458" w:rsidP="00D06BCE">
            <w:pPr>
              <w:spacing w:after="0" w:line="240" w:lineRule="auto"/>
              <w:rPr>
                <w:rFonts w:cs="Arial"/>
              </w:rPr>
            </w:pPr>
            <w:r w:rsidRPr="00D06BCE">
              <w:rPr>
                <w:rFonts w:cs="Arial"/>
              </w:rPr>
              <w:t>250720</w:t>
            </w:r>
            <w:r w:rsidR="0044333A">
              <w:rPr>
                <w:rFonts w:cs="Arial"/>
              </w:rPr>
              <w:t>25</w:t>
            </w:r>
          </w:p>
        </w:tc>
      </w:tr>
      <w:tr w:rsidR="00115458" w:rsidRPr="00D06BCE" w14:paraId="4F68D416"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7E63B81A" w14:textId="3CE213B7" w:rsidR="00115458" w:rsidRPr="007F6219" w:rsidRDefault="00AC6B52" w:rsidP="00D06BCE">
            <w:pPr>
              <w:spacing w:after="0" w:line="240" w:lineRule="auto"/>
            </w:pPr>
            <w:r>
              <w:t>9.155</w:t>
            </w:r>
          </w:p>
        </w:tc>
        <w:tc>
          <w:tcPr>
            <w:tcW w:w="2708" w:type="pct"/>
            <w:tcBorders>
              <w:top w:val="nil"/>
              <w:left w:val="nil"/>
              <w:bottom w:val="single" w:sz="8" w:space="0" w:color="auto"/>
              <w:right w:val="single" w:sz="8" w:space="0" w:color="auto"/>
            </w:tcBorders>
            <w:vAlign w:val="center"/>
          </w:tcPr>
          <w:p w14:paraId="529AC73D" w14:textId="77777777" w:rsidR="00115458" w:rsidRPr="00D06BCE" w:rsidRDefault="00115458" w:rsidP="00D06BCE">
            <w:pPr>
              <w:spacing w:after="0" w:line="240" w:lineRule="auto"/>
              <w:rPr>
                <w:rFonts w:cs="Arial"/>
              </w:rPr>
            </w:pPr>
            <w:r w:rsidRPr="00D06BCE">
              <w:rPr>
                <w:rFonts w:cs="Arial"/>
              </w:rPr>
              <w:t>Amount of repayment (second) (cents)</w:t>
            </w:r>
          </w:p>
        </w:tc>
        <w:tc>
          <w:tcPr>
            <w:tcW w:w="1632" w:type="pct"/>
            <w:tcBorders>
              <w:top w:val="nil"/>
              <w:left w:val="nil"/>
              <w:bottom w:val="single" w:sz="8" w:space="0" w:color="auto"/>
              <w:right w:val="single" w:sz="8" w:space="0" w:color="auto"/>
            </w:tcBorders>
            <w:vAlign w:val="center"/>
          </w:tcPr>
          <w:p w14:paraId="16DA4A80" w14:textId="77777777" w:rsidR="00115458" w:rsidRPr="00D06BCE" w:rsidRDefault="00115458" w:rsidP="00D06BCE">
            <w:pPr>
              <w:spacing w:after="0" w:line="240" w:lineRule="auto"/>
              <w:rPr>
                <w:rFonts w:cs="Arial"/>
              </w:rPr>
            </w:pPr>
            <w:r w:rsidRPr="00D06BCE">
              <w:rPr>
                <w:rFonts w:cs="Arial"/>
              </w:rPr>
              <w:t>000001430000</w:t>
            </w:r>
          </w:p>
        </w:tc>
      </w:tr>
      <w:tr w:rsidR="00115458" w:rsidRPr="00D06BCE" w14:paraId="190AC423"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039D23B1" w14:textId="23EE9C03" w:rsidR="00115458" w:rsidRPr="007F6219" w:rsidRDefault="009C084F" w:rsidP="00D06BCE">
            <w:pPr>
              <w:spacing w:after="0" w:line="240" w:lineRule="auto"/>
            </w:pPr>
            <w:r>
              <w:t>9.156</w:t>
            </w:r>
          </w:p>
        </w:tc>
        <w:tc>
          <w:tcPr>
            <w:tcW w:w="2708" w:type="pct"/>
            <w:tcBorders>
              <w:top w:val="nil"/>
              <w:left w:val="nil"/>
              <w:bottom w:val="single" w:sz="8" w:space="0" w:color="auto"/>
              <w:right w:val="single" w:sz="8" w:space="0" w:color="auto"/>
            </w:tcBorders>
            <w:vAlign w:val="center"/>
          </w:tcPr>
          <w:p w14:paraId="3E6EECA8" w14:textId="77777777" w:rsidR="00115458" w:rsidRPr="00D06BCE" w:rsidRDefault="00115458" w:rsidP="00D06BCE">
            <w:pPr>
              <w:spacing w:after="0" w:line="240" w:lineRule="auto"/>
              <w:rPr>
                <w:rFonts w:cs="Arial"/>
              </w:rPr>
            </w:pPr>
            <w:r w:rsidRPr="00D06BCE">
              <w:rPr>
                <w:rFonts w:cs="Arial"/>
              </w:rPr>
              <w:t>Date of repayment (second) (DDMMCCYY)</w:t>
            </w:r>
          </w:p>
        </w:tc>
        <w:tc>
          <w:tcPr>
            <w:tcW w:w="1632" w:type="pct"/>
            <w:tcBorders>
              <w:top w:val="nil"/>
              <w:left w:val="nil"/>
              <w:bottom w:val="single" w:sz="8" w:space="0" w:color="auto"/>
              <w:right w:val="single" w:sz="8" w:space="0" w:color="auto"/>
            </w:tcBorders>
            <w:vAlign w:val="center"/>
          </w:tcPr>
          <w:p w14:paraId="4079BB14" w14:textId="0261ACEA" w:rsidR="00115458" w:rsidRPr="00D06BCE" w:rsidRDefault="00115458" w:rsidP="00D06BCE">
            <w:pPr>
              <w:spacing w:after="0" w:line="240" w:lineRule="auto"/>
              <w:rPr>
                <w:rFonts w:cs="Arial"/>
              </w:rPr>
            </w:pPr>
            <w:r w:rsidRPr="00D06BCE">
              <w:rPr>
                <w:rFonts w:cs="Arial"/>
              </w:rPr>
              <w:t>3006202</w:t>
            </w:r>
            <w:r w:rsidR="00975472">
              <w:rPr>
                <w:rFonts w:cs="Arial"/>
              </w:rPr>
              <w:t>6</w:t>
            </w:r>
          </w:p>
        </w:tc>
      </w:tr>
      <w:tr w:rsidR="00115458" w:rsidRPr="00D06BCE" w14:paraId="2237F343"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4D132C56" w14:textId="486C09EA" w:rsidR="00115458" w:rsidRPr="007F6219" w:rsidRDefault="00AC6B52" w:rsidP="00D06BCE">
            <w:pPr>
              <w:spacing w:after="0" w:line="240" w:lineRule="auto"/>
            </w:pPr>
            <w:r>
              <w:t>9.155</w:t>
            </w:r>
          </w:p>
        </w:tc>
        <w:tc>
          <w:tcPr>
            <w:tcW w:w="2708" w:type="pct"/>
            <w:tcBorders>
              <w:top w:val="nil"/>
              <w:left w:val="nil"/>
              <w:bottom w:val="single" w:sz="8" w:space="0" w:color="auto"/>
              <w:right w:val="single" w:sz="8" w:space="0" w:color="auto"/>
            </w:tcBorders>
            <w:vAlign w:val="center"/>
          </w:tcPr>
          <w:p w14:paraId="7398ACDD" w14:textId="77777777" w:rsidR="00115458" w:rsidRPr="00D06BCE" w:rsidRDefault="00115458" w:rsidP="00D06BCE">
            <w:pPr>
              <w:spacing w:after="0" w:line="240" w:lineRule="auto"/>
              <w:rPr>
                <w:rFonts w:cs="Arial"/>
              </w:rPr>
            </w:pPr>
            <w:r w:rsidRPr="00D06BCE">
              <w:rPr>
                <w:rFonts w:cs="Arial"/>
              </w:rPr>
              <w:t>Amount of repayment (third) (cents)</w:t>
            </w:r>
          </w:p>
        </w:tc>
        <w:tc>
          <w:tcPr>
            <w:tcW w:w="1632" w:type="pct"/>
            <w:tcBorders>
              <w:top w:val="nil"/>
              <w:left w:val="nil"/>
              <w:bottom w:val="single" w:sz="8" w:space="0" w:color="auto"/>
              <w:right w:val="single" w:sz="8" w:space="0" w:color="auto"/>
            </w:tcBorders>
            <w:vAlign w:val="center"/>
          </w:tcPr>
          <w:p w14:paraId="432CA16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871A97E"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77C0FD4" w14:textId="73DE9C48" w:rsidR="00115458" w:rsidRPr="007F6219" w:rsidRDefault="009C084F" w:rsidP="00D06BCE">
            <w:pPr>
              <w:spacing w:after="0" w:line="240" w:lineRule="auto"/>
            </w:pPr>
            <w:r>
              <w:t>9.156</w:t>
            </w:r>
          </w:p>
        </w:tc>
        <w:tc>
          <w:tcPr>
            <w:tcW w:w="2708" w:type="pct"/>
            <w:tcBorders>
              <w:top w:val="nil"/>
              <w:left w:val="nil"/>
              <w:bottom w:val="single" w:sz="8" w:space="0" w:color="auto"/>
              <w:right w:val="single" w:sz="8" w:space="0" w:color="auto"/>
            </w:tcBorders>
            <w:vAlign w:val="center"/>
          </w:tcPr>
          <w:p w14:paraId="4D782496" w14:textId="77777777" w:rsidR="00115458" w:rsidRPr="00D06BCE" w:rsidRDefault="00115458" w:rsidP="00D06BCE">
            <w:pPr>
              <w:spacing w:after="0" w:line="240" w:lineRule="auto"/>
              <w:rPr>
                <w:rFonts w:cs="Arial"/>
              </w:rPr>
            </w:pPr>
            <w:r w:rsidRPr="00D06BCE">
              <w:rPr>
                <w:rFonts w:cs="Arial"/>
              </w:rPr>
              <w:t>Date of repayment (third) (DDMMCCYY)</w:t>
            </w:r>
          </w:p>
        </w:tc>
        <w:tc>
          <w:tcPr>
            <w:tcW w:w="1632" w:type="pct"/>
            <w:tcBorders>
              <w:top w:val="nil"/>
              <w:left w:val="nil"/>
              <w:bottom w:val="single" w:sz="8" w:space="0" w:color="auto"/>
              <w:right w:val="single" w:sz="8" w:space="0" w:color="auto"/>
            </w:tcBorders>
            <w:vAlign w:val="center"/>
          </w:tcPr>
          <w:p w14:paraId="15206FE7"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8195D3F"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B7FFF91" w14:textId="4E0CA83D" w:rsidR="00115458" w:rsidRPr="007F6219" w:rsidRDefault="00AC6B52" w:rsidP="00D06BCE">
            <w:pPr>
              <w:spacing w:after="0" w:line="240" w:lineRule="auto"/>
            </w:pPr>
            <w:r>
              <w:t>9.155</w:t>
            </w:r>
          </w:p>
        </w:tc>
        <w:tc>
          <w:tcPr>
            <w:tcW w:w="2708" w:type="pct"/>
            <w:tcBorders>
              <w:top w:val="nil"/>
              <w:left w:val="nil"/>
              <w:bottom w:val="single" w:sz="8" w:space="0" w:color="auto"/>
              <w:right w:val="single" w:sz="8" w:space="0" w:color="auto"/>
            </w:tcBorders>
            <w:vAlign w:val="center"/>
          </w:tcPr>
          <w:p w14:paraId="587C51BD" w14:textId="77777777" w:rsidR="00115458" w:rsidRPr="00D06BCE" w:rsidRDefault="00115458" w:rsidP="00D06BCE">
            <w:pPr>
              <w:spacing w:after="0" w:line="240" w:lineRule="auto"/>
              <w:rPr>
                <w:rFonts w:cs="Arial"/>
              </w:rPr>
            </w:pPr>
            <w:r w:rsidRPr="00D06BCE">
              <w:rPr>
                <w:rFonts w:cs="Arial"/>
              </w:rPr>
              <w:t>Amount of repayment (fourth) (cents)</w:t>
            </w:r>
          </w:p>
        </w:tc>
        <w:tc>
          <w:tcPr>
            <w:tcW w:w="1632" w:type="pct"/>
            <w:tcBorders>
              <w:top w:val="nil"/>
              <w:left w:val="nil"/>
              <w:bottom w:val="single" w:sz="8" w:space="0" w:color="auto"/>
              <w:right w:val="single" w:sz="8" w:space="0" w:color="auto"/>
            </w:tcBorders>
            <w:vAlign w:val="center"/>
          </w:tcPr>
          <w:p w14:paraId="3458A75D"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B026A33"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101B1826" w14:textId="17819F33" w:rsidR="00115458" w:rsidRPr="007F6219" w:rsidRDefault="009C084F" w:rsidP="00D06BCE">
            <w:pPr>
              <w:spacing w:after="0" w:line="240" w:lineRule="auto"/>
            </w:pPr>
            <w:r>
              <w:t>9.156</w:t>
            </w:r>
          </w:p>
        </w:tc>
        <w:tc>
          <w:tcPr>
            <w:tcW w:w="2708" w:type="pct"/>
            <w:tcBorders>
              <w:top w:val="nil"/>
              <w:left w:val="nil"/>
              <w:bottom w:val="single" w:sz="8" w:space="0" w:color="auto"/>
              <w:right w:val="single" w:sz="8" w:space="0" w:color="auto"/>
            </w:tcBorders>
            <w:vAlign w:val="center"/>
          </w:tcPr>
          <w:p w14:paraId="7A7A309C" w14:textId="77777777" w:rsidR="00115458" w:rsidRPr="00D06BCE" w:rsidRDefault="00115458" w:rsidP="00D06BCE">
            <w:pPr>
              <w:spacing w:after="0" w:line="240" w:lineRule="auto"/>
              <w:rPr>
                <w:rFonts w:cs="Arial"/>
              </w:rPr>
            </w:pPr>
            <w:r w:rsidRPr="00D06BCE">
              <w:rPr>
                <w:rFonts w:cs="Arial"/>
              </w:rPr>
              <w:t>Date of repayment (fourth) (DDMMCCYY)</w:t>
            </w:r>
          </w:p>
        </w:tc>
        <w:tc>
          <w:tcPr>
            <w:tcW w:w="1632" w:type="pct"/>
            <w:tcBorders>
              <w:top w:val="nil"/>
              <w:left w:val="nil"/>
              <w:bottom w:val="single" w:sz="8" w:space="0" w:color="auto"/>
              <w:right w:val="single" w:sz="8" w:space="0" w:color="auto"/>
            </w:tcBorders>
            <w:vAlign w:val="center"/>
          </w:tcPr>
          <w:p w14:paraId="3CA7C37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ADEEC12"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76B0E251" w14:textId="5B1ACEFC" w:rsidR="00115458" w:rsidRPr="007F6219" w:rsidRDefault="000E7348" w:rsidP="00D06BCE">
            <w:pPr>
              <w:spacing w:after="0" w:line="240" w:lineRule="auto"/>
            </w:pPr>
            <w:r>
              <w:t>9.157</w:t>
            </w:r>
          </w:p>
        </w:tc>
        <w:tc>
          <w:tcPr>
            <w:tcW w:w="2708" w:type="pct"/>
            <w:tcBorders>
              <w:top w:val="nil"/>
              <w:left w:val="nil"/>
              <w:bottom w:val="single" w:sz="8" w:space="0" w:color="auto"/>
              <w:right w:val="single" w:sz="8" w:space="0" w:color="auto"/>
            </w:tcBorders>
            <w:vAlign w:val="center"/>
          </w:tcPr>
          <w:p w14:paraId="7AE73BAD"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632" w:type="pct"/>
            <w:tcBorders>
              <w:top w:val="nil"/>
              <w:left w:val="nil"/>
              <w:bottom w:val="single" w:sz="8" w:space="0" w:color="auto"/>
              <w:right w:val="single" w:sz="8" w:space="0" w:color="auto"/>
            </w:tcBorders>
            <w:vAlign w:val="center"/>
          </w:tcPr>
          <w:p w14:paraId="13E95E9A"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E0B733B"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5135C3C" w14:textId="167BD884" w:rsidR="00115458" w:rsidRPr="007F6219" w:rsidRDefault="00423041" w:rsidP="00D06BCE">
            <w:pPr>
              <w:spacing w:after="0" w:line="240" w:lineRule="auto"/>
            </w:pPr>
            <w:r>
              <w:t>9.158</w:t>
            </w:r>
          </w:p>
        </w:tc>
        <w:tc>
          <w:tcPr>
            <w:tcW w:w="2708" w:type="pct"/>
            <w:tcBorders>
              <w:top w:val="nil"/>
              <w:left w:val="nil"/>
              <w:bottom w:val="single" w:sz="8" w:space="0" w:color="auto"/>
              <w:right w:val="single" w:sz="8" w:space="0" w:color="auto"/>
            </w:tcBorders>
            <w:vAlign w:val="center"/>
          </w:tcPr>
          <w:p w14:paraId="62C640A3"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632" w:type="pct"/>
            <w:tcBorders>
              <w:top w:val="nil"/>
              <w:left w:val="nil"/>
              <w:bottom w:val="single" w:sz="8" w:space="0" w:color="auto"/>
              <w:right w:val="single" w:sz="8" w:space="0" w:color="auto"/>
            </w:tcBorders>
            <w:vAlign w:val="center"/>
          </w:tcPr>
          <w:p w14:paraId="6AAA9B0F"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4950CFC"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08505DAD" w14:textId="0103A96A" w:rsidR="00115458" w:rsidRPr="007F6219" w:rsidRDefault="00096F4C" w:rsidP="00D06BCE">
            <w:pPr>
              <w:spacing w:after="0" w:line="240" w:lineRule="auto"/>
            </w:pPr>
            <w:r>
              <w:t>9.159</w:t>
            </w:r>
          </w:p>
        </w:tc>
        <w:tc>
          <w:tcPr>
            <w:tcW w:w="2708" w:type="pct"/>
            <w:tcBorders>
              <w:top w:val="nil"/>
              <w:left w:val="nil"/>
              <w:bottom w:val="single" w:sz="8" w:space="0" w:color="auto"/>
              <w:right w:val="single" w:sz="8" w:space="0" w:color="auto"/>
            </w:tcBorders>
            <w:vAlign w:val="center"/>
          </w:tcPr>
          <w:p w14:paraId="0E267504"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632" w:type="pct"/>
            <w:tcBorders>
              <w:top w:val="nil"/>
              <w:left w:val="nil"/>
              <w:bottom w:val="single" w:sz="8" w:space="0" w:color="auto"/>
              <w:right w:val="single" w:sz="8" w:space="0" w:color="auto"/>
            </w:tcBorders>
            <w:vAlign w:val="center"/>
          </w:tcPr>
          <w:p w14:paraId="7463D2A5"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33729A7"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52001ED" w14:textId="0B3F16D9" w:rsidR="00115458" w:rsidRPr="007F6219" w:rsidRDefault="006B5714" w:rsidP="00D06BCE">
            <w:pPr>
              <w:spacing w:after="0" w:line="240" w:lineRule="auto"/>
            </w:pPr>
            <w:r>
              <w:t>9.160</w:t>
            </w:r>
          </w:p>
        </w:tc>
        <w:tc>
          <w:tcPr>
            <w:tcW w:w="2708" w:type="pct"/>
            <w:tcBorders>
              <w:top w:val="nil"/>
              <w:left w:val="nil"/>
              <w:bottom w:val="single" w:sz="8" w:space="0" w:color="auto"/>
              <w:right w:val="single" w:sz="8" w:space="0" w:color="auto"/>
            </w:tcBorders>
            <w:vAlign w:val="center"/>
          </w:tcPr>
          <w:p w14:paraId="47F6CDE5" w14:textId="77777777" w:rsidR="00115458" w:rsidRPr="00D06BCE" w:rsidRDefault="00115458" w:rsidP="00D06BCE">
            <w:pPr>
              <w:spacing w:after="0" w:line="240" w:lineRule="auto"/>
              <w:rPr>
                <w:rFonts w:cs="Arial"/>
              </w:rPr>
            </w:pPr>
            <w:r w:rsidRPr="00D06BCE">
              <w:rPr>
                <w:rFonts w:cs="Arial"/>
              </w:rPr>
              <w:t>Amount of transfer out (first) (cents)</w:t>
            </w:r>
          </w:p>
        </w:tc>
        <w:tc>
          <w:tcPr>
            <w:tcW w:w="1632" w:type="pct"/>
            <w:tcBorders>
              <w:top w:val="nil"/>
              <w:left w:val="nil"/>
              <w:bottom w:val="single" w:sz="8" w:space="0" w:color="auto"/>
              <w:right w:val="single" w:sz="8" w:space="0" w:color="auto"/>
            </w:tcBorders>
            <w:vAlign w:val="center"/>
          </w:tcPr>
          <w:p w14:paraId="62459A2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D0030C3"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1645A597" w14:textId="1226DBBD" w:rsidR="00115458" w:rsidRPr="007F6219" w:rsidRDefault="006B5714" w:rsidP="00D06BCE">
            <w:pPr>
              <w:spacing w:after="0" w:line="240" w:lineRule="auto"/>
            </w:pPr>
            <w:r>
              <w:t>9.161</w:t>
            </w:r>
          </w:p>
        </w:tc>
        <w:tc>
          <w:tcPr>
            <w:tcW w:w="2708" w:type="pct"/>
            <w:tcBorders>
              <w:top w:val="nil"/>
              <w:left w:val="nil"/>
              <w:bottom w:val="single" w:sz="8" w:space="0" w:color="auto"/>
              <w:right w:val="single" w:sz="8" w:space="0" w:color="auto"/>
            </w:tcBorders>
            <w:vAlign w:val="center"/>
          </w:tcPr>
          <w:p w14:paraId="08EE54FF"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632" w:type="pct"/>
            <w:tcBorders>
              <w:top w:val="nil"/>
              <w:left w:val="nil"/>
              <w:bottom w:val="single" w:sz="8" w:space="0" w:color="auto"/>
              <w:right w:val="single" w:sz="8" w:space="0" w:color="auto"/>
            </w:tcBorders>
            <w:vAlign w:val="center"/>
          </w:tcPr>
          <w:p w14:paraId="3A3F648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086BDE7"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7B5B78A3" w14:textId="70BC2091" w:rsidR="00115458" w:rsidRPr="007F6219" w:rsidRDefault="006B5714" w:rsidP="00D06BCE">
            <w:pPr>
              <w:spacing w:after="0" w:line="240" w:lineRule="auto"/>
            </w:pPr>
            <w:r>
              <w:t>9.162</w:t>
            </w:r>
          </w:p>
        </w:tc>
        <w:tc>
          <w:tcPr>
            <w:tcW w:w="2708" w:type="pct"/>
            <w:tcBorders>
              <w:top w:val="nil"/>
              <w:left w:val="nil"/>
              <w:bottom w:val="single" w:sz="8" w:space="0" w:color="auto"/>
              <w:right w:val="single" w:sz="8" w:space="0" w:color="auto"/>
            </w:tcBorders>
            <w:vAlign w:val="center"/>
          </w:tcPr>
          <w:p w14:paraId="7F2FF035" w14:textId="77777777" w:rsidR="00115458" w:rsidRPr="00D06BCE" w:rsidRDefault="00115458" w:rsidP="00D06BCE">
            <w:pPr>
              <w:spacing w:after="0" w:line="240" w:lineRule="auto"/>
              <w:rPr>
                <w:rFonts w:cs="Arial"/>
              </w:rPr>
            </w:pPr>
            <w:r w:rsidRPr="00D06BCE">
              <w:rPr>
                <w:rFonts w:cs="Arial"/>
              </w:rPr>
              <w:t>Transferee BSB number (first)</w:t>
            </w:r>
          </w:p>
        </w:tc>
        <w:tc>
          <w:tcPr>
            <w:tcW w:w="1632" w:type="pct"/>
            <w:tcBorders>
              <w:top w:val="nil"/>
              <w:left w:val="nil"/>
              <w:bottom w:val="single" w:sz="8" w:space="0" w:color="auto"/>
              <w:right w:val="single" w:sz="8" w:space="0" w:color="auto"/>
            </w:tcBorders>
            <w:vAlign w:val="center"/>
          </w:tcPr>
          <w:p w14:paraId="6D1F3024"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A7E3B8F"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2C302541" w14:textId="6F618F4F" w:rsidR="00115458" w:rsidRPr="007F6219" w:rsidRDefault="008F34C1" w:rsidP="00D06BCE">
            <w:pPr>
              <w:spacing w:after="0" w:line="240" w:lineRule="auto"/>
            </w:pPr>
            <w:r>
              <w:t>9.</w:t>
            </w:r>
            <w:r w:rsidR="008A78D7">
              <w:t>160</w:t>
            </w:r>
          </w:p>
        </w:tc>
        <w:tc>
          <w:tcPr>
            <w:tcW w:w="2708" w:type="pct"/>
            <w:tcBorders>
              <w:top w:val="nil"/>
              <w:left w:val="nil"/>
              <w:bottom w:val="single" w:sz="8" w:space="0" w:color="auto"/>
              <w:right w:val="single" w:sz="8" w:space="0" w:color="auto"/>
            </w:tcBorders>
            <w:vAlign w:val="center"/>
          </w:tcPr>
          <w:p w14:paraId="4E11FC63"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632" w:type="pct"/>
            <w:tcBorders>
              <w:top w:val="nil"/>
              <w:left w:val="nil"/>
              <w:bottom w:val="single" w:sz="8" w:space="0" w:color="auto"/>
              <w:right w:val="single" w:sz="8" w:space="0" w:color="auto"/>
            </w:tcBorders>
            <w:vAlign w:val="center"/>
          </w:tcPr>
          <w:p w14:paraId="230C50A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EAB42B4"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47BF9538" w14:textId="56F9A517" w:rsidR="00115458" w:rsidRPr="007F6219" w:rsidRDefault="006B5714" w:rsidP="00D06BCE">
            <w:pPr>
              <w:spacing w:after="0" w:line="240" w:lineRule="auto"/>
            </w:pPr>
            <w:r>
              <w:t>9.161</w:t>
            </w:r>
          </w:p>
        </w:tc>
        <w:tc>
          <w:tcPr>
            <w:tcW w:w="2708" w:type="pct"/>
            <w:tcBorders>
              <w:top w:val="nil"/>
              <w:left w:val="nil"/>
              <w:bottom w:val="single" w:sz="8" w:space="0" w:color="auto"/>
              <w:right w:val="single" w:sz="8" w:space="0" w:color="auto"/>
            </w:tcBorders>
            <w:vAlign w:val="center"/>
          </w:tcPr>
          <w:p w14:paraId="1BCC6EFF"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632" w:type="pct"/>
            <w:tcBorders>
              <w:top w:val="nil"/>
              <w:left w:val="nil"/>
              <w:bottom w:val="single" w:sz="8" w:space="0" w:color="auto"/>
              <w:right w:val="single" w:sz="8" w:space="0" w:color="auto"/>
            </w:tcBorders>
            <w:vAlign w:val="center"/>
          </w:tcPr>
          <w:p w14:paraId="0CCAE47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9A9A42B"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6B2AEA4D" w14:textId="01990501" w:rsidR="00115458" w:rsidRPr="007F6219" w:rsidRDefault="006B5714" w:rsidP="00D06BCE">
            <w:pPr>
              <w:spacing w:after="0" w:line="240" w:lineRule="auto"/>
            </w:pPr>
            <w:r>
              <w:t>9.162</w:t>
            </w:r>
          </w:p>
        </w:tc>
        <w:tc>
          <w:tcPr>
            <w:tcW w:w="2708" w:type="pct"/>
            <w:tcBorders>
              <w:top w:val="nil"/>
              <w:left w:val="nil"/>
              <w:bottom w:val="single" w:sz="8" w:space="0" w:color="auto"/>
              <w:right w:val="single" w:sz="8" w:space="0" w:color="auto"/>
            </w:tcBorders>
            <w:vAlign w:val="center"/>
          </w:tcPr>
          <w:p w14:paraId="686B6FED" w14:textId="77777777" w:rsidR="00115458" w:rsidRPr="00D06BCE" w:rsidRDefault="00115458" w:rsidP="00D06BCE">
            <w:pPr>
              <w:spacing w:after="0" w:line="240" w:lineRule="auto"/>
              <w:rPr>
                <w:rFonts w:cs="Arial"/>
              </w:rPr>
            </w:pPr>
            <w:r w:rsidRPr="00D06BCE">
              <w:rPr>
                <w:rFonts w:cs="Arial"/>
              </w:rPr>
              <w:t>Transferee BSB number (second)</w:t>
            </w:r>
          </w:p>
        </w:tc>
        <w:tc>
          <w:tcPr>
            <w:tcW w:w="1632" w:type="pct"/>
            <w:tcBorders>
              <w:top w:val="nil"/>
              <w:left w:val="nil"/>
              <w:bottom w:val="single" w:sz="8" w:space="0" w:color="auto"/>
              <w:right w:val="single" w:sz="8" w:space="0" w:color="auto"/>
            </w:tcBorders>
            <w:vAlign w:val="center"/>
          </w:tcPr>
          <w:p w14:paraId="7CB1BCEC"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56F74A1"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0C0BD7F9" w14:textId="1A814671" w:rsidR="00115458" w:rsidRPr="007F6219" w:rsidRDefault="006B5714" w:rsidP="00D06BCE">
            <w:pPr>
              <w:spacing w:after="0" w:line="240" w:lineRule="auto"/>
            </w:pPr>
            <w:r>
              <w:t>9.160</w:t>
            </w:r>
          </w:p>
        </w:tc>
        <w:tc>
          <w:tcPr>
            <w:tcW w:w="2708" w:type="pct"/>
            <w:tcBorders>
              <w:top w:val="nil"/>
              <w:left w:val="nil"/>
              <w:bottom w:val="single" w:sz="8" w:space="0" w:color="auto"/>
              <w:right w:val="single" w:sz="8" w:space="0" w:color="auto"/>
            </w:tcBorders>
            <w:vAlign w:val="center"/>
          </w:tcPr>
          <w:p w14:paraId="3D691079" w14:textId="77777777" w:rsidR="00115458" w:rsidRPr="00D06BCE" w:rsidRDefault="00115458" w:rsidP="00D06BCE">
            <w:pPr>
              <w:spacing w:after="0" w:line="240" w:lineRule="auto"/>
              <w:rPr>
                <w:rFonts w:cs="Arial"/>
              </w:rPr>
            </w:pPr>
            <w:r w:rsidRPr="00D06BCE">
              <w:rPr>
                <w:rFonts w:cs="Arial"/>
              </w:rPr>
              <w:t>Amount of transfer out (third) (cents)</w:t>
            </w:r>
          </w:p>
        </w:tc>
        <w:tc>
          <w:tcPr>
            <w:tcW w:w="1632" w:type="pct"/>
            <w:tcBorders>
              <w:top w:val="nil"/>
              <w:left w:val="nil"/>
              <w:bottom w:val="single" w:sz="8" w:space="0" w:color="auto"/>
              <w:right w:val="single" w:sz="8" w:space="0" w:color="auto"/>
            </w:tcBorders>
            <w:vAlign w:val="center"/>
          </w:tcPr>
          <w:p w14:paraId="02A9C17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E305C36"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FDA1723" w14:textId="331D20CF" w:rsidR="00115458" w:rsidRPr="007F6219" w:rsidRDefault="006B5714" w:rsidP="00D06BCE">
            <w:pPr>
              <w:spacing w:after="0" w:line="240" w:lineRule="auto"/>
            </w:pPr>
            <w:r>
              <w:t>9.161</w:t>
            </w:r>
          </w:p>
        </w:tc>
        <w:tc>
          <w:tcPr>
            <w:tcW w:w="2708" w:type="pct"/>
            <w:tcBorders>
              <w:top w:val="nil"/>
              <w:left w:val="nil"/>
              <w:bottom w:val="single" w:sz="8" w:space="0" w:color="auto"/>
              <w:right w:val="single" w:sz="8" w:space="0" w:color="auto"/>
            </w:tcBorders>
            <w:vAlign w:val="center"/>
          </w:tcPr>
          <w:p w14:paraId="4CB6719B"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632" w:type="pct"/>
            <w:tcBorders>
              <w:top w:val="nil"/>
              <w:left w:val="nil"/>
              <w:bottom w:val="single" w:sz="8" w:space="0" w:color="auto"/>
              <w:right w:val="single" w:sz="8" w:space="0" w:color="auto"/>
            </w:tcBorders>
            <w:vAlign w:val="center"/>
          </w:tcPr>
          <w:p w14:paraId="0E3123A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8350CF8"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704E4819" w14:textId="161708FF" w:rsidR="00115458" w:rsidRPr="007F6219" w:rsidRDefault="006B5714" w:rsidP="00D06BCE">
            <w:pPr>
              <w:spacing w:after="0" w:line="240" w:lineRule="auto"/>
            </w:pPr>
            <w:r>
              <w:t>9.162</w:t>
            </w:r>
          </w:p>
        </w:tc>
        <w:tc>
          <w:tcPr>
            <w:tcW w:w="2708" w:type="pct"/>
            <w:tcBorders>
              <w:top w:val="nil"/>
              <w:left w:val="nil"/>
              <w:bottom w:val="single" w:sz="8" w:space="0" w:color="auto"/>
              <w:right w:val="single" w:sz="8" w:space="0" w:color="auto"/>
            </w:tcBorders>
            <w:vAlign w:val="center"/>
          </w:tcPr>
          <w:p w14:paraId="0630E80A" w14:textId="77777777" w:rsidR="00115458" w:rsidRPr="00D06BCE" w:rsidRDefault="00115458" w:rsidP="00D06BCE">
            <w:pPr>
              <w:spacing w:after="0" w:line="240" w:lineRule="auto"/>
              <w:rPr>
                <w:rFonts w:cs="Arial"/>
              </w:rPr>
            </w:pPr>
            <w:r w:rsidRPr="00D06BCE">
              <w:rPr>
                <w:rFonts w:cs="Arial"/>
              </w:rPr>
              <w:t>Transferee BSB number (third)</w:t>
            </w:r>
          </w:p>
        </w:tc>
        <w:tc>
          <w:tcPr>
            <w:tcW w:w="1632" w:type="pct"/>
            <w:tcBorders>
              <w:top w:val="nil"/>
              <w:left w:val="nil"/>
              <w:bottom w:val="single" w:sz="8" w:space="0" w:color="auto"/>
              <w:right w:val="single" w:sz="8" w:space="0" w:color="auto"/>
            </w:tcBorders>
            <w:vAlign w:val="center"/>
          </w:tcPr>
          <w:p w14:paraId="1D426BFA"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6EA7B2D3"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463F53F2" w14:textId="55BE2EEB" w:rsidR="00115458" w:rsidRPr="007F6219" w:rsidRDefault="006B5714" w:rsidP="00D06BCE">
            <w:pPr>
              <w:spacing w:after="0" w:line="240" w:lineRule="auto"/>
            </w:pPr>
            <w:r>
              <w:t>9.160</w:t>
            </w:r>
          </w:p>
        </w:tc>
        <w:tc>
          <w:tcPr>
            <w:tcW w:w="2708" w:type="pct"/>
            <w:tcBorders>
              <w:top w:val="nil"/>
              <w:left w:val="nil"/>
              <w:bottom w:val="single" w:sz="8" w:space="0" w:color="auto"/>
              <w:right w:val="single" w:sz="8" w:space="0" w:color="auto"/>
            </w:tcBorders>
            <w:vAlign w:val="center"/>
          </w:tcPr>
          <w:p w14:paraId="06843A31"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632" w:type="pct"/>
            <w:tcBorders>
              <w:top w:val="nil"/>
              <w:left w:val="nil"/>
              <w:bottom w:val="single" w:sz="8" w:space="0" w:color="auto"/>
              <w:right w:val="single" w:sz="8" w:space="0" w:color="auto"/>
            </w:tcBorders>
            <w:vAlign w:val="center"/>
          </w:tcPr>
          <w:p w14:paraId="19B9240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EB82334"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32842EC8" w14:textId="1A445BB8" w:rsidR="00115458" w:rsidRPr="007F6219" w:rsidRDefault="006B5714" w:rsidP="00D06BCE">
            <w:pPr>
              <w:spacing w:after="0" w:line="240" w:lineRule="auto"/>
            </w:pPr>
            <w:r>
              <w:t>9.161</w:t>
            </w:r>
          </w:p>
        </w:tc>
        <w:tc>
          <w:tcPr>
            <w:tcW w:w="2708" w:type="pct"/>
            <w:tcBorders>
              <w:top w:val="nil"/>
              <w:left w:val="nil"/>
              <w:bottom w:val="single" w:sz="8" w:space="0" w:color="auto"/>
              <w:right w:val="single" w:sz="8" w:space="0" w:color="auto"/>
            </w:tcBorders>
            <w:vAlign w:val="center"/>
          </w:tcPr>
          <w:p w14:paraId="14037850"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632" w:type="pct"/>
            <w:tcBorders>
              <w:top w:val="nil"/>
              <w:left w:val="nil"/>
              <w:bottom w:val="single" w:sz="8" w:space="0" w:color="auto"/>
              <w:right w:val="single" w:sz="8" w:space="0" w:color="auto"/>
            </w:tcBorders>
            <w:vAlign w:val="center"/>
          </w:tcPr>
          <w:p w14:paraId="642B5DB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38B6B4A"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292B7249" w14:textId="4098812A" w:rsidR="00115458" w:rsidRPr="007F6219" w:rsidRDefault="006B5714" w:rsidP="00D06BCE">
            <w:pPr>
              <w:spacing w:after="0" w:line="240" w:lineRule="auto"/>
            </w:pPr>
            <w:r>
              <w:t>9.162</w:t>
            </w:r>
          </w:p>
        </w:tc>
        <w:tc>
          <w:tcPr>
            <w:tcW w:w="2708" w:type="pct"/>
            <w:tcBorders>
              <w:top w:val="nil"/>
              <w:left w:val="nil"/>
              <w:bottom w:val="single" w:sz="8" w:space="0" w:color="auto"/>
              <w:right w:val="single" w:sz="8" w:space="0" w:color="auto"/>
            </w:tcBorders>
            <w:vAlign w:val="center"/>
          </w:tcPr>
          <w:p w14:paraId="02CC1FAF" w14:textId="77777777" w:rsidR="00115458" w:rsidRPr="00D06BCE" w:rsidRDefault="00115458" w:rsidP="00D06BCE">
            <w:pPr>
              <w:spacing w:after="0" w:line="240" w:lineRule="auto"/>
              <w:rPr>
                <w:rFonts w:cs="Arial"/>
              </w:rPr>
            </w:pPr>
            <w:r w:rsidRPr="00D06BCE">
              <w:rPr>
                <w:rFonts w:cs="Arial"/>
              </w:rPr>
              <w:t>Transferee BSB number (fourth)</w:t>
            </w:r>
          </w:p>
        </w:tc>
        <w:tc>
          <w:tcPr>
            <w:tcW w:w="1632" w:type="pct"/>
            <w:tcBorders>
              <w:top w:val="nil"/>
              <w:left w:val="nil"/>
              <w:bottom w:val="single" w:sz="8" w:space="0" w:color="auto"/>
              <w:right w:val="single" w:sz="8" w:space="0" w:color="auto"/>
            </w:tcBorders>
            <w:vAlign w:val="center"/>
          </w:tcPr>
          <w:p w14:paraId="6BE822C9"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23FE8DA"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569FC06F" w14:textId="4D2BAAD7" w:rsidR="00115458" w:rsidRPr="007F6219" w:rsidRDefault="006B5714" w:rsidP="00D06BCE">
            <w:pPr>
              <w:spacing w:after="0" w:line="240" w:lineRule="auto"/>
            </w:pPr>
            <w:r>
              <w:t>9.163</w:t>
            </w:r>
          </w:p>
        </w:tc>
        <w:tc>
          <w:tcPr>
            <w:tcW w:w="2708" w:type="pct"/>
            <w:tcBorders>
              <w:top w:val="nil"/>
              <w:left w:val="nil"/>
              <w:bottom w:val="single" w:sz="8" w:space="0" w:color="auto"/>
              <w:right w:val="single" w:sz="8" w:space="0" w:color="auto"/>
            </w:tcBorders>
            <w:vAlign w:val="center"/>
          </w:tcPr>
          <w:p w14:paraId="49A65843"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632" w:type="pct"/>
            <w:tcBorders>
              <w:top w:val="nil"/>
              <w:left w:val="nil"/>
              <w:bottom w:val="single" w:sz="8" w:space="0" w:color="auto"/>
              <w:right w:val="single" w:sz="8" w:space="0" w:color="auto"/>
            </w:tcBorders>
            <w:vAlign w:val="center"/>
          </w:tcPr>
          <w:p w14:paraId="0D94D87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3288244"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08D4B476" w14:textId="14150EA4" w:rsidR="00115458" w:rsidRPr="007F6219" w:rsidRDefault="006B5714" w:rsidP="00D06BCE">
            <w:pPr>
              <w:spacing w:after="0" w:line="240" w:lineRule="auto"/>
            </w:pPr>
            <w:r>
              <w:t>9.164</w:t>
            </w:r>
          </w:p>
        </w:tc>
        <w:tc>
          <w:tcPr>
            <w:tcW w:w="2708" w:type="pct"/>
            <w:tcBorders>
              <w:top w:val="nil"/>
              <w:left w:val="nil"/>
              <w:bottom w:val="single" w:sz="8" w:space="0" w:color="auto"/>
              <w:right w:val="single" w:sz="8" w:space="0" w:color="auto"/>
            </w:tcBorders>
            <w:vAlign w:val="center"/>
          </w:tcPr>
          <w:p w14:paraId="631BCE5C"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632" w:type="pct"/>
            <w:tcBorders>
              <w:top w:val="nil"/>
              <w:left w:val="nil"/>
              <w:bottom w:val="single" w:sz="8" w:space="0" w:color="auto"/>
              <w:right w:val="single" w:sz="8" w:space="0" w:color="auto"/>
            </w:tcBorders>
            <w:vAlign w:val="center"/>
          </w:tcPr>
          <w:p w14:paraId="3CC881CE" w14:textId="77777777" w:rsidR="00115458" w:rsidRPr="00D06BCE" w:rsidRDefault="00115458" w:rsidP="00D06BCE">
            <w:pPr>
              <w:spacing w:after="0" w:line="240" w:lineRule="auto"/>
              <w:rPr>
                <w:rFonts w:cs="Arial"/>
              </w:rPr>
            </w:pPr>
            <w:r w:rsidRPr="00D06BCE">
              <w:rPr>
                <w:rFonts w:cs="Arial"/>
              </w:rPr>
              <w:t>0015700000</w:t>
            </w:r>
          </w:p>
        </w:tc>
      </w:tr>
      <w:tr w:rsidR="00115458" w:rsidRPr="00D06BCE" w14:paraId="765E8120"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741A6103" w14:textId="201550A3" w:rsidR="00115458" w:rsidRPr="007F6219" w:rsidRDefault="006B5714" w:rsidP="00D06BCE">
            <w:pPr>
              <w:spacing w:after="0" w:line="240" w:lineRule="auto"/>
            </w:pPr>
            <w:r>
              <w:t>9.165</w:t>
            </w:r>
          </w:p>
        </w:tc>
        <w:tc>
          <w:tcPr>
            <w:tcW w:w="2708" w:type="pct"/>
            <w:tcBorders>
              <w:top w:val="nil"/>
              <w:left w:val="nil"/>
              <w:bottom w:val="single" w:sz="8" w:space="0" w:color="auto"/>
              <w:right w:val="single" w:sz="8" w:space="0" w:color="auto"/>
            </w:tcBorders>
            <w:vAlign w:val="center"/>
          </w:tcPr>
          <w:p w14:paraId="3308A91A" w14:textId="77777777" w:rsidR="00115458" w:rsidRPr="00D06BCE" w:rsidRDefault="00115458" w:rsidP="00D06BCE">
            <w:pPr>
              <w:spacing w:after="0" w:line="240" w:lineRule="auto"/>
              <w:rPr>
                <w:rFonts w:cs="Arial"/>
              </w:rPr>
            </w:pPr>
            <w:r w:rsidRPr="00D06BCE">
              <w:t>Interest offset account (=Y or N)</w:t>
            </w:r>
          </w:p>
        </w:tc>
        <w:tc>
          <w:tcPr>
            <w:tcW w:w="1632" w:type="pct"/>
            <w:tcBorders>
              <w:top w:val="nil"/>
              <w:left w:val="nil"/>
              <w:bottom w:val="single" w:sz="8" w:space="0" w:color="auto"/>
              <w:right w:val="single" w:sz="8" w:space="0" w:color="auto"/>
            </w:tcBorders>
            <w:vAlign w:val="center"/>
          </w:tcPr>
          <w:p w14:paraId="6E4C0B68" w14:textId="77777777" w:rsidR="00115458" w:rsidRPr="00D06BCE" w:rsidRDefault="00115458" w:rsidP="00D06BCE">
            <w:pPr>
              <w:spacing w:after="0" w:line="240" w:lineRule="auto"/>
              <w:rPr>
                <w:rFonts w:cs="Arial"/>
              </w:rPr>
            </w:pPr>
            <w:r w:rsidRPr="00D06BCE">
              <w:rPr>
                <w:rFonts w:cs="Arial"/>
              </w:rPr>
              <w:t>N</w:t>
            </w:r>
          </w:p>
        </w:tc>
      </w:tr>
      <w:tr w:rsidR="00115458" w:rsidRPr="00D06BCE" w14:paraId="275D6DF2" w14:textId="77777777" w:rsidTr="00427C84">
        <w:trPr>
          <w:cantSplit/>
          <w:trHeight w:val="270"/>
        </w:trPr>
        <w:tc>
          <w:tcPr>
            <w:tcW w:w="660" w:type="pct"/>
            <w:tcBorders>
              <w:top w:val="nil"/>
              <w:left w:val="single" w:sz="8" w:space="0" w:color="auto"/>
              <w:bottom w:val="single" w:sz="8" w:space="0" w:color="auto"/>
              <w:right w:val="single" w:sz="8" w:space="0" w:color="auto"/>
            </w:tcBorders>
            <w:vAlign w:val="center"/>
          </w:tcPr>
          <w:p w14:paraId="228C9BA4" w14:textId="77777777" w:rsidR="00115458" w:rsidRPr="007F6219" w:rsidRDefault="00115458" w:rsidP="00D06BCE">
            <w:pPr>
              <w:spacing w:after="0" w:line="240" w:lineRule="auto"/>
            </w:pPr>
            <w:hyperlink w:anchor="d7_006" w:history="1">
              <w:r w:rsidRPr="007F6219">
                <w:t>9.6</w:t>
              </w:r>
            </w:hyperlink>
          </w:p>
        </w:tc>
        <w:tc>
          <w:tcPr>
            <w:tcW w:w="2708" w:type="pct"/>
            <w:tcBorders>
              <w:top w:val="nil"/>
              <w:left w:val="nil"/>
              <w:bottom w:val="single" w:sz="8" w:space="0" w:color="auto"/>
              <w:right w:val="single" w:sz="8" w:space="0" w:color="auto"/>
            </w:tcBorders>
            <w:vAlign w:val="center"/>
          </w:tcPr>
          <w:p w14:paraId="073BB587" w14:textId="77777777" w:rsidR="00115458" w:rsidRPr="00D06BCE" w:rsidRDefault="00115458" w:rsidP="00D06BCE">
            <w:pPr>
              <w:spacing w:after="0" w:line="240" w:lineRule="auto"/>
              <w:rPr>
                <w:rFonts w:cs="Arial"/>
              </w:rPr>
            </w:pPr>
            <w:r w:rsidRPr="00D06BCE">
              <w:rPr>
                <w:rFonts w:cs="Arial"/>
              </w:rPr>
              <w:t>Filler</w:t>
            </w:r>
          </w:p>
        </w:tc>
        <w:tc>
          <w:tcPr>
            <w:tcW w:w="1632" w:type="pct"/>
            <w:tcBorders>
              <w:top w:val="nil"/>
              <w:left w:val="nil"/>
              <w:bottom w:val="single" w:sz="8" w:space="0" w:color="auto"/>
              <w:right w:val="single" w:sz="8" w:space="0" w:color="auto"/>
            </w:tcBorders>
            <w:vAlign w:val="center"/>
          </w:tcPr>
          <w:p w14:paraId="18AFB272" w14:textId="77777777" w:rsidR="00115458" w:rsidRPr="00D06BCE" w:rsidRDefault="00115458" w:rsidP="00D06BCE">
            <w:pPr>
              <w:spacing w:after="0" w:line="240" w:lineRule="auto"/>
              <w:rPr>
                <w:rFonts w:cs="Arial"/>
              </w:rPr>
            </w:pPr>
            <w:r w:rsidRPr="00D06BCE">
              <w:rPr>
                <w:rFonts w:cs="Arial"/>
              </w:rPr>
              <w:t>Blank fill</w:t>
            </w:r>
          </w:p>
        </w:tc>
      </w:tr>
    </w:tbl>
    <w:p w14:paraId="464FAF09" w14:textId="77777777" w:rsidR="00115458" w:rsidRPr="00D06BCE" w:rsidRDefault="00115458" w:rsidP="00D06BCE">
      <w:pPr>
        <w:spacing w:after="0" w:line="240" w:lineRule="auto"/>
        <w:rPr>
          <w:rFonts w:cs="Arial"/>
        </w:rPr>
      </w:pPr>
    </w:p>
    <w:p w14:paraId="79FAC91A" w14:textId="4FBD3BCF" w:rsidR="00115458" w:rsidRDefault="00115458" w:rsidP="00D06BCE">
      <w:pPr>
        <w:spacing w:after="0" w:line="240" w:lineRule="auto"/>
        <w:rPr>
          <w:rFonts w:cs="Arial"/>
        </w:rPr>
      </w:pPr>
      <w:r w:rsidRPr="00D06BCE">
        <w:rPr>
          <w:rFonts w:cs="Arial"/>
        </w:rPr>
        <w:t xml:space="preserve">Alternatively the repayments can be reported by reporting each transaction separately in the four </w:t>
      </w:r>
      <w:r w:rsidRPr="00D06BCE">
        <w:rPr>
          <w:rFonts w:cs="Arial"/>
          <w:i/>
        </w:rPr>
        <w:t>Amount of repayment</w:t>
      </w:r>
      <w:r w:rsidRPr="00D06BCE">
        <w:rPr>
          <w:rFonts w:cs="Arial"/>
        </w:rPr>
        <w:t xml:space="preserve"> (</w:t>
      </w:r>
      <w:r w:rsidDel="00AC6B52">
        <w:t>9.</w:t>
      </w:r>
      <w:r w:rsidR="00AC6B52">
        <w:t>155</w:t>
      </w:r>
      <w:r w:rsidRPr="00D06BCE">
        <w:rPr>
          <w:rFonts w:cs="Arial"/>
        </w:rPr>
        <w:t xml:space="preserve">) fields and the four </w:t>
      </w:r>
      <w:r w:rsidRPr="00D06BCE">
        <w:rPr>
          <w:rFonts w:cs="Arial"/>
          <w:i/>
        </w:rPr>
        <w:t>Amount of transfer in</w:t>
      </w:r>
      <w:r w:rsidRPr="00D06BCE">
        <w:rPr>
          <w:rFonts w:cs="Arial"/>
        </w:rPr>
        <w:t xml:space="preserve"> (</w:t>
      </w:r>
      <w:r w:rsidDel="000E7348">
        <w:t>9.</w:t>
      </w:r>
      <w:r w:rsidR="000E7348">
        <w:t>157</w:t>
      </w:r>
      <w:r w:rsidRPr="00D06BCE">
        <w:rPr>
          <w:rFonts w:cs="Arial"/>
        </w:rPr>
        <w:t xml:space="preserve">) fields in the first FMD account data record and in the four </w:t>
      </w:r>
      <w:r w:rsidRPr="00D06BCE">
        <w:rPr>
          <w:rFonts w:cs="Arial"/>
          <w:i/>
        </w:rPr>
        <w:t>Amount of repayment</w:t>
      </w:r>
      <w:r w:rsidRPr="00D06BCE">
        <w:rPr>
          <w:rFonts w:cs="Arial"/>
        </w:rPr>
        <w:t xml:space="preserve"> (</w:t>
      </w:r>
      <w:r w:rsidDel="00AC6B52">
        <w:t>9.</w:t>
      </w:r>
      <w:r w:rsidR="00AC6B52">
        <w:t>155</w:t>
      </w:r>
      <w:r w:rsidRPr="00D06BCE">
        <w:rPr>
          <w:rFonts w:cs="Arial"/>
        </w:rPr>
        <w:t>) fields in a second FMD account data record. Reporting separately is a requirement if the account is less than 12 months old.</w:t>
      </w:r>
    </w:p>
    <w:p w14:paraId="1D2B4E79" w14:textId="77777777" w:rsidR="007F6219" w:rsidRPr="00D06BCE" w:rsidRDefault="007F6219" w:rsidP="00D06BCE">
      <w:pPr>
        <w:spacing w:after="0" w:line="240" w:lineRule="auto"/>
        <w:rPr>
          <w:rFonts w:cs="Arial"/>
        </w:rPr>
      </w:pPr>
    </w:p>
    <w:p w14:paraId="2501ECAC" w14:textId="13BD362A" w:rsidR="00115458" w:rsidRDefault="00115458" w:rsidP="00D06BCE">
      <w:pPr>
        <w:keepNext/>
        <w:spacing w:after="0" w:line="240" w:lineRule="auto"/>
        <w:outlineLvl w:val="3"/>
        <w:rPr>
          <w:rFonts w:cs="Arial"/>
          <w:b/>
        </w:rPr>
      </w:pPr>
      <w:r w:rsidRPr="00D06BCE">
        <w:rPr>
          <w:rFonts w:cs="Arial"/>
          <w:b/>
        </w:rPr>
        <w:t>Example 9.6 – Consolidation of existing accounts into an existing account</w:t>
      </w:r>
    </w:p>
    <w:p w14:paraId="5CD395FD" w14:textId="77777777" w:rsidR="007F6219" w:rsidRPr="00D06BCE" w:rsidRDefault="007F6219" w:rsidP="00224633"/>
    <w:p w14:paraId="058D9145" w14:textId="67880A86" w:rsidR="007F6219" w:rsidRDefault="00115458" w:rsidP="00D06BCE">
      <w:pPr>
        <w:spacing w:after="0" w:line="240" w:lineRule="auto"/>
        <w:rPr>
          <w:rFonts w:cs="Arial"/>
        </w:rPr>
      </w:pPr>
      <w:bookmarkStart w:id="1951" w:name="_Toc372885458"/>
      <w:r w:rsidRPr="00D06BCE">
        <w:rPr>
          <w:rFonts w:cs="Arial"/>
        </w:rPr>
        <w:t xml:space="preserve">Isobelle Ashingly has four FMD accounts with the same provider and </w:t>
      </w:r>
      <w:r w:rsidR="007F6219">
        <w:rPr>
          <w:rFonts w:cs="Arial"/>
        </w:rPr>
        <w:t>consolidate</w:t>
      </w:r>
      <w:r w:rsidR="00C725D5">
        <w:rPr>
          <w:rFonts w:cs="Arial"/>
        </w:rPr>
        <w:t>s</w:t>
      </w:r>
    </w:p>
    <w:p w14:paraId="55E150A2" w14:textId="01B9A661" w:rsidR="00115458" w:rsidRPr="00D06BCE" w:rsidRDefault="00115458" w:rsidP="00D06BCE">
      <w:pPr>
        <w:spacing w:after="0" w:line="240" w:lineRule="auto"/>
        <w:rPr>
          <w:rFonts w:cs="Arial"/>
        </w:rPr>
      </w:pPr>
      <w:r w:rsidRPr="00D06BCE">
        <w:rPr>
          <w:rFonts w:cs="Arial"/>
        </w:rPr>
        <w:t>them into her existing account (account 1) on the 01/07/20</w:t>
      </w:r>
      <w:r w:rsidR="007A25D6">
        <w:rPr>
          <w:rFonts w:cs="Arial"/>
        </w:rPr>
        <w:t>25</w:t>
      </w:r>
      <w:r w:rsidRPr="00D06BCE">
        <w:rPr>
          <w:rFonts w:cs="Arial"/>
        </w:rPr>
        <w:t>.</w:t>
      </w:r>
    </w:p>
    <w:p w14:paraId="3FDF4200" w14:textId="640FEC2A" w:rsidR="00115458" w:rsidRPr="00D06BCE" w:rsidRDefault="00115458" w:rsidP="007F6219">
      <w:pPr>
        <w:numPr>
          <w:ilvl w:val="0"/>
          <w:numId w:val="86"/>
        </w:numPr>
        <w:spacing w:after="0" w:line="240" w:lineRule="auto"/>
        <w:rPr>
          <w:rFonts w:cs="Arial"/>
        </w:rPr>
      </w:pPr>
      <w:r w:rsidRPr="00D06BCE">
        <w:rPr>
          <w:rFonts w:cs="Arial"/>
        </w:rPr>
        <w:t>Account 1 balance = $20,000.00 Date of original deductible deposit 10/12/20</w:t>
      </w:r>
      <w:r w:rsidR="007A25D6">
        <w:rPr>
          <w:rFonts w:cs="Arial"/>
        </w:rPr>
        <w:t>20</w:t>
      </w:r>
      <w:r w:rsidRPr="00D06BCE">
        <w:rPr>
          <w:rFonts w:cs="Arial"/>
        </w:rPr>
        <w:t xml:space="preserve"> </w:t>
      </w:r>
    </w:p>
    <w:p w14:paraId="72F3CA18" w14:textId="7A15EF67" w:rsidR="00115458" w:rsidRPr="00D06BCE" w:rsidRDefault="00115458" w:rsidP="007F6219">
      <w:pPr>
        <w:numPr>
          <w:ilvl w:val="0"/>
          <w:numId w:val="86"/>
        </w:numPr>
        <w:spacing w:after="0" w:line="240" w:lineRule="auto"/>
        <w:rPr>
          <w:rFonts w:cs="Arial"/>
        </w:rPr>
      </w:pPr>
      <w:r w:rsidRPr="00D06BCE">
        <w:rPr>
          <w:rFonts w:cs="Arial"/>
        </w:rPr>
        <w:t>Account 2 balance = $15,000.00 Date of original deductible deposit 27/08/20</w:t>
      </w:r>
      <w:r w:rsidR="007A25D6">
        <w:rPr>
          <w:rFonts w:cs="Arial"/>
        </w:rPr>
        <w:t>2</w:t>
      </w:r>
      <w:r w:rsidRPr="00D06BCE">
        <w:rPr>
          <w:rFonts w:cs="Arial"/>
        </w:rPr>
        <w:t>1</w:t>
      </w:r>
    </w:p>
    <w:p w14:paraId="0D9D0198" w14:textId="608FA324" w:rsidR="00115458" w:rsidRPr="00D06BCE" w:rsidRDefault="00115458" w:rsidP="007F6219">
      <w:pPr>
        <w:numPr>
          <w:ilvl w:val="0"/>
          <w:numId w:val="86"/>
        </w:numPr>
        <w:spacing w:after="0" w:line="240" w:lineRule="auto"/>
        <w:rPr>
          <w:rFonts w:cs="Arial"/>
        </w:rPr>
      </w:pPr>
      <w:r w:rsidRPr="00D06BCE">
        <w:rPr>
          <w:rFonts w:cs="Arial"/>
        </w:rPr>
        <w:t>Account 3 balance = $80,000.00 Date of original deductible deposit 09/09/20</w:t>
      </w:r>
      <w:r w:rsidR="00A27929">
        <w:rPr>
          <w:rFonts w:cs="Arial"/>
        </w:rPr>
        <w:t>22</w:t>
      </w:r>
    </w:p>
    <w:p w14:paraId="5B52D5E5" w14:textId="6A424112" w:rsidR="00115458" w:rsidRDefault="00115458" w:rsidP="007F6219">
      <w:pPr>
        <w:numPr>
          <w:ilvl w:val="0"/>
          <w:numId w:val="86"/>
        </w:numPr>
        <w:spacing w:after="0" w:line="240" w:lineRule="auto"/>
        <w:rPr>
          <w:rFonts w:cs="Arial"/>
        </w:rPr>
      </w:pPr>
      <w:r w:rsidRPr="00D06BCE">
        <w:rPr>
          <w:rFonts w:cs="Arial"/>
        </w:rPr>
        <w:t>Account 4 balance = $9,200.00 Date of original deductible deposit 01/02/20</w:t>
      </w:r>
      <w:r w:rsidR="00A27929">
        <w:rPr>
          <w:rFonts w:cs="Arial"/>
        </w:rPr>
        <w:t>23</w:t>
      </w:r>
    </w:p>
    <w:p w14:paraId="6F15EC40" w14:textId="77777777" w:rsidR="007F6219" w:rsidRPr="00D06BCE" w:rsidRDefault="007F6219" w:rsidP="007F6219">
      <w:pPr>
        <w:spacing w:after="0" w:line="240" w:lineRule="auto"/>
        <w:ind w:left="720"/>
        <w:rPr>
          <w:rFonts w:cs="Arial"/>
        </w:rPr>
      </w:pPr>
    </w:p>
    <w:p w14:paraId="13E49C71" w14:textId="2785E161" w:rsidR="00115458" w:rsidRPr="00D06BCE" w:rsidRDefault="00115458" w:rsidP="00D06BCE">
      <w:pPr>
        <w:spacing w:after="0" w:line="240" w:lineRule="auto"/>
        <w:rPr>
          <w:rFonts w:eastAsia="Calibri" w:cs="Arial"/>
        </w:rPr>
      </w:pPr>
      <w:r w:rsidRPr="00D06BCE">
        <w:rPr>
          <w:rFonts w:eastAsia="Calibri" w:cs="Arial"/>
        </w:rPr>
        <w:t>She made three cash repayments, $21,000.00 on 3 August 20</w:t>
      </w:r>
      <w:r w:rsidR="00AF6848">
        <w:rPr>
          <w:rFonts w:eastAsia="Calibri" w:cs="Arial"/>
        </w:rPr>
        <w:t>25</w:t>
      </w:r>
      <w:r w:rsidRPr="00D06BCE">
        <w:rPr>
          <w:rFonts w:eastAsia="Calibri" w:cs="Arial"/>
        </w:rPr>
        <w:t>, $9,000 on 18 December 20</w:t>
      </w:r>
      <w:r w:rsidR="00AF6848">
        <w:rPr>
          <w:rFonts w:eastAsia="Calibri" w:cs="Arial"/>
        </w:rPr>
        <w:t>25</w:t>
      </w:r>
      <w:r w:rsidRPr="00D06BCE">
        <w:rPr>
          <w:rFonts w:eastAsia="Calibri" w:cs="Arial"/>
        </w:rPr>
        <w:t xml:space="preserve"> and $15,000.00 on 18 June 202</w:t>
      </w:r>
      <w:r w:rsidR="00AF6848">
        <w:rPr>
          <w:rFonts w:eastAsia="Calibri" w:cs="Arial"/>
        </w:rPr>
        <w:t>6</w:t>
      </w:r>
      <w:r w:rsidRPr="00D06BCE">
        <w:rPr>
          <w:rFonts w:eastAsia="Calibri" w:cs="Arial"/>
        </w:rPr>
        <w:t>.</w:t>
      </w:r>
      <w:r w:rsidR="00AF6848">
        <w:rPr>
          <w:rFonts w:eastAsia="Calibri" w:cs="Arial"/>
        </w:rPr>
        <w:t xml:space="preserve"> </w:t>
      </w:r>
      <w:r w:rsidRPr="00D06BCE">
        <w:rPr>
          <w:rFonts w:eastAsia="Calibri" w:cs="Arial"/>
        </w:rPr>
        <w:t>Interest of $261.78 was paid on 31 December 20</w:t>
      </w:r>
      <w:r w:rsidR="00975472">
        <w:rPr>
          <w:rFonts w:eastAsia="Calibri" w:cs="Arial"/>
        </w:rPr>
        <w:t>25</w:t>
      </w:r>
      <w:r w:rsidRPr="00D06BCE">
        <w:rPr>
          <w:rFonts w:eastAsia="Calibri" w:cs="Arial"/>
        </w:rPr>
        <w:t>.</w:t>
      </w:r>
    </w:p>
    <w:p w14:paraId="44526441" w14:textId="1030C630" w:rsidR="00115458" w:rsidRPr="00D06BCE" w:rsidRDefault="00115458" w:rsidP="00D06BCE">
      <w:pPr>
        <w:spacing w:after="0" w:line="240" w:lineRule="auto"/>
        <w:rPr>
          <w:rFonts w:eastAsia="Calibri" w:cs="Arial"/>
        </w:rPr>
      </w:pPr>
      <w:r w:rsidRPr="00D06BCE">
        <w:rPr>
          <w:rFonts w:eastAsia="Calibri" w:cs="Arial"/>
        </w:rPr>
        <w:t>Closing balance as at 30 June 202</w:t>
      </w:r>
      <w:r w:rsidR="00975472">
        <w:rPr>
          <w:rFonts w:eastAsia="Calibri" w:cs="Arial"/>
        </w:rPr>
        <w:t>6</w:t>
      </w:r>
      <w:r w:rsidRPr="00D06BCE">
        <w:rPr>
          <w:rFonts w:eastAsia="Calibri" w:cs="Arial"/>
        </w:rPr>
        <w:t xml:space="preserve"> is $79,200.00</w:t>
      </w:r>
    </w:p>
    <w:p w14:paraId="27DCFD36" w14:textId="77777777" w:rsidR="00115458" w:rsidRPr="00D06BCE" w:rsidRDefault="00115458" w:rsidP="00D06BCE">
      <w:pPr>
        <w:spacing w:after="0" w:line="240" w:lineRule="auto"/>
        <w:rPr>
          <w:rFonts w:eastAsia="Calibri" w:cs="Arial"/>
        </w:rPr>
      </w:pPr>
    </w:p>
    <w:p w14:paraId="63EAD429" w14:textId="68FDE401" w:rsidR="00115458" w:rsidRPr="00D06BCE" w:rsidRDefault="00115458" w:rsidP="00D06BCE">
      <w:pPr>
        <w:spacing w:after="0" w:line="240" w:lineRule="auto"/>
        <w:rPr>
          <w:rFonts w:eastAsia="Calibri" w:cs="Arial"/>
        </w:rPr>
      </w:pPr>
      <w:r w:rsidRPr="00D06BCE">
        <w:rPr>
          <w:rFonts w:eastAsia="Calibri" w:cs="Arial"/>
        </w:rPr>
        <w:t>The amount being consolidated from each account may not be the amount of the original deposit due to repayments or transfer outs occurring during the financial year on one account prior to consolidations. The date the original deposit was made is always required but must be the most recent original deposit date of the accounts being consolidated, which may not be the original date of the account into which the accounts are consolidated – in this instance Account 4 is the date to be used.</w:t>
      </w:r>
      <w:r w:rsidR="00397610">
        <w:rPr>
          <w:rFonts w:eastAsia="Calibri" w:cs="Arial"/>
        </w:rPr>
        <w:t xml:space="preserve"> </w:t>
      </w:r>
    </w:p>
    <w:p w14:paraId="42DA170A" w14:textId="77777777" w:rsidR="00115458" w:rsidRPr="00D06BCE" w:rsidRDefault="00115458" w:rsidP="00D06BCE">
      <w:pPr>
        <w:spacing w:after="0" w:line="240" w:lineRule="auto"/>
        <w:rPr>
          <w:rFonts w:cs="Arial"/>
        </w:rPr>
      </w:pPr>
    </w:p>
    <w:p w14:paraId="43B2B4EC" w14:textId="77777777" w:rsidR="00115458" w:rsidRPr="00D06BCE" w:rsidRDefault="00115458" w:rsidP="00D06BCE">
      <w:pPr>
        <w:spacing w:after="0" w:line="240" w:lineRule="auto"/>
        <w:rPr>
          <w:rFonts w:cs="Arial"/>
          <w:b/>
          <w:smallCaps/>
        </w:rPr>
      </w:pPr>
      <w:r w:rsidRPr="00D06BCE">
        <w:rPr>
          <w:rFonts w:cs="Arial"/>
          <w:b/>
          <w:smallCaps/>
        </w:rPr>
        <w:t>farm management deposit account data record 1</w:t>
      </w:r>
    </w:p>
    <w:p w14:paraId="39D396DB" w14:textId="77777777" w:rsidR="00115458" w:rsidRPr="00D06BCE" w:rsidRDefault="00115458" w:rsidP="00D06BCE">
      <w:pPr>
        <w:spacing w:after="0" w:line="240" w:lineRule="auto"/>
        <w:rPr>
          <w:rFonts w:cs="Arial"/>
        </w:rPr>
      </w:pPr>
    </w:p>
    <w:tbl>
      <w:tblPr>
        <w:tblW w:w="9195" w:type="dxa"/>
        <w:tblInd w:w="93" w:type="dxa"/>
        <w:tblLook w:val="0000" w:firstRow="0" w:lastRow="0" w:firstColumn="0" w:lastColumn="0" w:noHBand="0" w:noVBand="0"/>
      </w:tblPr>
      <w:tblGrid>
        <w:gridCol w:w="1227"/>
        <w:gridCol w:w="5148"/>
        <w:gridCol w:w="2820"/>
      </w:tblGrid>
      <w:tr w:rsidR="00115458" w:rsidRPr="00D06BCE" w14:paraId="5BF97676" w14:textId="77777777" w:rsidTr="000C1365">
        <w:trPr>
          <w:trHeight w:val="495"/>
          <w:tblHeader/>
        </w:trPr>
        <w:tc>
          <w:tcPr>
            <w:tcW w:w="662" w:type="pct"/>
            <w:tcBorders>
              <w:top w:val="single" w:sz="4" w:space="0" w:color="auto"/>
              <w:left w:val="single" w:sz="4" w:space="0" w:color="auto"/>
              <w:bottom w:val="single" w:sz="4" w:space="0" w:color="auto"/>
              <w:right w:val="single" w:sz="4" w:space="0" w:color="auto"/>
            </w:tcBorders>
            <w:shd w:val="clear" w:color="auto" w:fill="B3B3B3"/>
            <w:vAlign w:val="center"/>
          </w:tcPr>
          <w:p w14:paraId="054F103A" w14:textId="77777777" w:rsidR="00115458" w:rsidRPr="00D06BCE" w:rsidRDefault="00115458" w:rsidP="00D06BCE">
            <w:pPr>
              <w:spacing w:after="0" w:line="240" w:lineRule="auto"/>
              <w:rPr>
                <w:rFonts w:cs="Arial"/>
                <w:b/>
                <w:bCs/>
              </w:rPr>
            </w:pPr>
            <w:r w:rsidRPr="00D06BCE">
              <w:rPr>
                <w:rFonts w:cs="Arial"/>
                <w:b/>
                <w:bCs/>
              </w:rPr>
              <w:t>Reference number</w:t>
            </w:r>
          </w:p>
        </w:tc>
        <w:tc>
          <w:tcPr>
            <w:tcW w:w="2802" w:type="pct"/>
            <w:tcBorders>
              <w:top w:val="single" w:sz="4" w:space="0" w:color="auto"/>
              <w:left w:val="single" w:sz="4" w:space="0" w:color="auto"/>
              <w:bottom w:val="single" w:sz="4" w:space="0" w:color="auto"/>
              <w:right w:val="single" w:sz="4" w:space="0" w:color="auto"/>
            </w:tcBorders>
            <w:shd w:val="clear" w:color="auto" w:fill="B3B3B3"/>
            <w:vAlign w:val="center"/>
          </w:tcPr>
          <w:p w14:paraId="452E2B2E" w14:textId="77777777" w:rsidR="00115458" w:rsidRPr="00D06BCE" w:rsidRDefault="00115458" w:rsidP="00D06BCE">
            <w:pPr>
              <w:spacing w:after="0" w:line="240" w:lineRule="auto"/>
              <w:rPr>
                <w:rFonts w:cs="Arial"/>
                <w:b/>
                <w:bCs/>
              </w:rPr>
            </w:pPr>
            <w:r w:rsidRPr="00D06BCE">
              <w:rPr>
                <w:rFonts w:cs="Arial"/>
                <w:b/>
                <w:bCs/>
              </w:rPr>
              <w:t>Field name</w:t>
            </w:r>
          </w:p>
        </w:tc>
        <w:tc>
          <w:tcPr>
            <w:tcW w:w="1536" w:type="pct"/>
            <w:tcBorders>
              <w:top w:val="single" w:sz="4" w:space="0" w:color="auto"/>
              <w:left w:val="single" w:sz="4" w:space="0" w:color="auto"/>
              <w:bottom w:val="single" w:sz="4" w:space="0" w:color="auto"/>
              <w:right w:val="single" w:sz="4" w:space="0" w:color="auto"/>
            </w:tcBorders>
            <w:shd w:val="clear" w:color="auto" w:fill="B3B3B3"/>
            <w:vAlign w:val="center"/>
          </w:tcPr>
          <w:p w14:paraId="173B60B3"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3BA216B0" w14:textId="77777777" w:rsidTr="00427C84">
        <w:trPr>
          <w:trHeight w:val="270"/>
        </w:trPr>
        <w:tc>
          <w:tcPr>
            <w:tcW w:w="662" w:type="pct"/>
            <w:tcBorders>
              <w:top w:val="nil"/>
              <w:left w:val="single" w:sz="8" w:space="0" w:color="auto"/>
              <w:bottom w:val="single" w:sz="8" w:space="0" w:color="auto"/>
              <w:right w:val="single" w:sz="8" w:space="0" w:color="auto"/>
            </w:tcBorders>
          </w:tcPr>
          <w:p w14:paraId="0C4278FE" w14:textId="77777777" w:rsidR="00115458" w:rsidRPr="00D06BCE" w:rsidRDefault="00115458" w:rsidP="00D06BCE">
            <w:pPr>
              <w:spacing w:after="0" w:line="240" w:lineRule="auto"/>
              <w:rPr>
                <w:rFonts w:cs="Arial"/>
              </w:rPr>
            </w:pPr>
            <w:r w:rsidRPr="00D06BCE">
              <w:rPr>
                <w:rFonts w:cs="Arial"/>
              </w:rPr>
              <w:t>9.1</w:t>
            </w:r>
          </w:p>
        </w:tc>
        <w:tc>
          <w:tcPr>
            <w:tcW w:w="2802" w:type="pct"/>
            <w:tcBorders>
              <w:top w:val="nil"/>
              <w:left w:val="nil"/>
              <w:bottom w:val="single" w:sz="8" w:space="0" w:color="auto"/>
              <w:right w:val="single" w:sz="8" w:space="0" w:color="auto"/>
            </w:tcBorders>
            <w:vAlign w:val="center"/>
          </w:tcPr>
          <w:p w14:paraId="6D285FDE" w14:textId="77777777" w:rsidR="00115458" w:rsidRPr="00D06BCE" w:rsidRDefault="00115458" w:rsidP="00D06BCE">
            <w:pPr>
              <w:spacing w:after="0" w:line="240" w:lineRule="auto"/>
              <w:rPr>
                <w:rFonts w:cs="Arial"/>
              </w:rPr>
            </w:pPr>
            <w:r w:rsidRPr="00D06BCE">
              <w:rPr>
                <w:rFonts w:cs="Arial"/>
              </w:rPr>
              <w:t>Record length (=850)</w:t>
            </w:r>
          </w:p>
        </w:tc>
        <w:tc>
          <w:tcPr>
            <w:tcW w:w="1536" w:type="pct"/>
            <w:tcBorders>
              <w:top w:val="nil"/>
              <w:left w:val="nil"/>
              <w:bottom w:val="single" w:sz="8" w:space="0" w:color="auto"/>
              <w:right w:val="single" w:sz="8" w:space="0" w:color="auto"/>
            </w:tcBorders>
            <w:vAlign w:val="center"/>
          </w:tcPr>
          <w:p w14:paraId="40F2BF4F" w14:textId="77777777" w:rsidR="00115458" w:rsidRPr="00D06BCE" w:rsidRDefault="00115458" w:rsidP="00D06BCE">
            <w:pPr>
              <w:spacing w:after="0" w:line="240" w:lineRule="auto"/>
              <w:rPr>
                <w:rFonts w:cs="Arial"/>
              </w:rPr>
            </w:pPr>
            <w:r w:rsidRPr="00D06BCE">
              <w:rPr>
                <w:rFonts w:cs="Arial"/>
              </w:rPr>
              <w:t>850</w:t>
            </w:r>
          </w:p>
        </w:tc>
      </w:tr>
      <w:tr w:rsidR="00115458" w:rsidRPr="00D06BCE" w14:paraId="42261DDC" w14:textId="77777777" w:rsidTr="00427C84">
        <w:trPr>
          <w:trHeight w:val="270"/>
        </w:trPr>
        <w:tc>
          <w:tcPr>
            <w:tcW w:w="662" w:type="pct"/>
            <w:tcBorders>
              <w:top w:val="nil"/>
              <w:left w:val="single" w:sz="8" w:space="0" w:color="auto"/>
              <w:bottom w:val="single" w:sz="8" w:space="0" w:color="auto"/>
              <w:right w:val="single" w:sz="8" w:space="0" w:color="auto"/>
            </w:tcBorders>
          </w:tcPr>
          <w:p w14:paraId="544D215F" w14:textId="7E00746C" w:rsidR="00115458" w:rsidRPr="007F6219" w:rsidRDefault="00944D41" w:rsidP="00D06BCE">
            <w:pPr>
              <w:spacing w:after="0" w:line="240" w:lineRule="auto"/>
              <w:rPr>
                <w:rFonts w:cs="Arial"/>
              </w:rPr>
            </w:pPr>
            <w:r>
              <w:rPr>
                <w:rFonts w:cs="Arial"/>
              </w:rPr>
              <w:t>9.147</w:t>
            </w:r>
          </w:p>
        </w:tc>
        <w:tc>
          <w:tcPr>
            <w:tcW w:w="2802" w:type="pct"/>
            <w:tcBorders>
              <w:top w:val="nil"/>
              <w:left w:val="nil"/>
              <w:bottom w:val="single" w:sz="8" w:space="0" w:color="auto"/>
              <w:right w:val="single" w:sz="8" w:space="0" w:color="auto"/>
            </w:tcBorders>
            <w:vAlign w:val="center"/>
          </w:tcPr>
          <w:p w14:paraId="2E0625A2"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36" w:type="pct"/>
            <w:tcBorders>
              <w:top w:val="nil"/>
              <w:left w:val="nil"/>
              <w:bottom w:val="single" w:sz="8" w:space="0" w:color="auto"/>
              <w:right w:val="single" w:sz="8" w:space="0" w:color="auto"/>
            </w:tcBorders>
            <w:vAlign w:val="center"/>
          </w:tcPr>
          <w:p w14:paraId="3CDE95D0"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2FAD31E0" w14:textId="77777777" w:rsidTr="00427C84">
        <w:trPr>
          <w:trHeight w:val="270"/>
        </w:trPr>
        <w:tc>
          <w:tcPr>
            <w:tcW w:w="662" w:type="pct"/>
            <w:tcBorders>
              <w:top w:val="nil"/>
              <w:left w:val="single" w:sz="8" w:space="0" w:color="auto"/>
              <w:bottom w:val="single" w:sz="8" w:space="0" w:color="auto"/>
              <w:right w:val="single" w:sz="8" w:space="0" w:color="auto"/>
            </w:tcBorders>
          </w:tcPr>
          <w:p w14:paraId="4B545DD5" w14:textId="6072F204" w:rsidR="00115458" w:rsidRPr="007F6219" w:rsidRDefault="00DE4F64" w:rsidP="00D06BCE">
            <w:pPr>
              <w:spacing w:after="0" w:line="240" w:lineRule="auto"/>
              <w:rPr>
                <w:rFonts w:cs="Arial"/>
              </w:rPr>
            </w:pPr>
            <w:r>
              <w:rPr>
                <w:rFonts w:cs="Arial"/>
              </w:rPr>
              <w:t>9.148</w:t>
            </w:r>
          </w:p>
        </w:tc>
        <w:tc>
          <w:tcPr>
            <w:tcW w:w="2802" w:type="pct"/>
            <w:tcBorders>
              <w:top w:val="nil"/>
              <w:left w:val="nil"/>
              <w:bottom w:val="single" w:sz="8" w:space="0" w:color="auto"/>
              <w:right w:val="single" w:sz="8" w:space="0" w:color="auto"/>
            </w:tcBorders>
            <w:vAlign w:val="center"/>
          </w:tcPr>
          <w:p w14:paraId="7EA09735"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36" w:type="pct"/>
            <w:tcBorders>
              <w:top w:val="nil"/>
              <w:left w:val="nil"/>
              <w:bottom w:val="single" w:sz="8" w:space="0" w:color="auto"/>
              <w:right w:val="single" w:sz="8" w:space="0" w:color="auto"/>
            </w:tcBorders>
            <w:vAlign w:val="center"/>
          </w:tcPr>
          <w:p w14:paraId="71D5BC7E" w14:textId="77777777" w:rsidR="00115458" w:rsidRPr="00D06BCE" w:rsidRDefault="00115458" w:rsidP="00D06BCE">
            <w:pPr>
              <w:spacing w:after="0" w:line="240" w:lineRule="auto"/>
              <w:rPr>
                <w:rFonts w:cs="Arial"/>
              </w:rPr>
            </w:pPr>
            <w:r w:rsidRPr="00D06BCE">
              <w:rPr>
                <w:rFonts w:cs="Arial"/>
              </w:rPr>
              <w:t>00000001</w:t>
            </w:r>
          </w:p>
        </w:tc>
      </w:tr>
      <w:tr w:rsidR="00115458" w:rsidRPr="00D06BCE" w14:paraId="426E7D31" w14:textId="77777777" w:rsidTr="00427C84">
        <w:trPr>
          <w:trHeight w:val="270"/>
        </w:trPr>
        <w:tc>
          <w:tcPr>
            <w:tcW w:w="662" w:type="pct"/>
            <w:tcBorders>
              <w:top w:val="nil"/>
              <w:left w:val="single" w:sz="8" w:space="0" w:color="auto"/>
              <w:bottom w:val="single" w:sz="8" w:space="0" w:color="auto"/>
              <w:right w:val="single" w:sz="8" w:space="0" w:color="auto"/>
            </w:tcBorders>
          </w:tcPr>
          <w:p w14:paraId="225F1AD8" w14:textId="53E248C1" w:rsidR="00115458" w:rsidRPr="007F6219" w:rsidRDefault="002A10B0" w:rsidP="00D06BCE">
            <w:pPr>
              <w:spacing w:after="0" w:line="240" w:lineRule="auto"/>
              <w:rPr>
                <w:rFonts w:cs="Arial"/>
              </w:rPr>
            </w:pPr>
            <w:r>
              <w:rPr>
                <w:rFonts w:cs="Arial"/>
              </w:rPr>
              <w:t>9.149</w:t>
            </w:r>
          </w:p>
        </w:tc>
        <w:tc>
          <w:tcPr>
            <w:tcW w:w="2802" w:type="pct"/>
            <w:tcBorders>
              <w:top w:val="nil"/>
              <w:left w:val="nil"/>
              <w:bottom w:val="single" w:sz="8" w:space="0" w:color="auto"/>
              <w:right w:val="single" w:sz="8" w:space="0" w:color="auto"/>
            </w:tcBorders>
            <w:vAlign w:val="center"/>
          </w:tcPr>
          <w:p w14:paraId="35959A59"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36" w:type="pct"/>
            <w:tcBorders>
              <w:top w:val="nil"/>
              <w:left w:val="nil"/>
              <w:bottom w:val="single" w:sz="8" w:space="0" w:color="auto"/>
              <w:right w:val="single" w:sz="8" w:space="0" w:color="auto"/>
            </w:tcBorders>
            <w:vAlign w:val="center"/>
          </w:tcPr>
          <w:p w14:paraId="474F25EB" w14:textId="77777777" w:rsidR="00115458" w:rsidRPr="00D06BCE" w:rsidRDefault="00115458" w:rsidP="00D06BCE">
            <w:pPr>
              <w:spacing w:after="0" w:line="240" w:lineRule="auto"/>
              <w:rPr>
                <w:rFonts w:cs="Arial"/>
              </w:rPr>
            </w:pPr>
            <w:r w:rsidRPr="00D06BCE">
              <w:rPr>
                <w:rFonts w:cs="Arial"/>
              </w:rPr>
              <w:t>01</w:t>
            </w:r>
          </w:p>
        </w:tc>
      </w:tr>
      <w:tr w:rsidR="00115458" w:rsidRPr="00D06BCE" w14:paraId="0897F924" w14:textId="77777777" w:rsidTr="00427C84">
        <w:trPr>
          <w:trHeight w:val="270"/>
        </w:trPr>
        <w:tc>
          <w:tcPr>
            <w:tcW w:w="662" w:type="pct"/>
            <w:tcBorders>
              <w:top w:val="nil"/>
              <w:left w:val="single" w:sz="8" w:space="0" w:color="auto"/>
              <w:bottom w:val="single" w:sz="8" w:space="0" w:color="auto"/>
              <w:right w:val="single" w:sz="8" w:space="0" w:color="auto"/>
            </w:tcBorders>
          </w:tcPr>
          <w:p w14:paraId="23C58BF5" w14:textId="77777777" w:rsidR="00115458" w:rsidRPr="007F6219" w:rsidRDefault="00115458" w:rsidP="00D06BCE">
            <w:pPr>
              <w:spacing w:after="0" w:line="240" w:lineRule="auto"/>
              <w:rPr>
                <w:rFonts w:cs="Arial"/>
              </w:rPr>
            </w:pPr>
            <w:hyperlink w:anchor="d7_061" w:history="1">
              <w:r w:rsidRPr="007F6219">
                <w:rPr>
                  <w:rFonts w:cs="Arial"/>
                </w:rPr>
                <w:t>9.63</w:t>
              </w:r>
            </w:hyperlink>
          </w:p>
        </w:tc>
        <w:tc>
          <w:tcPr>
            <w:tcW w:w="2802" w:type="pct"/>
            <w:tcBorders>
              <w:top w:val="nil"/>
              <w:left w:val="nil"/>
              <w:bottom w:val="single" w:sz="8" w:space="0" w:color="auto"/>
              <w:right w:val="single" w:sz="8" w:space="0" w:color="auto"/>
            </w:tcBorders>
            <w:vAlign w:val="center"/>
          </w:tcPr>
          <w:p w14:paraId="6C96F098" w14:textId="77777777" w:rsidR="00115458" w:rsidRPr="00D06BCE" w:rsidRDefault="00115458" w:rsidP="00D06BCE">
            <w:pPr>
              <w:spacing w:after="0" w:line="240" w:lineRule="auto"/>
              <w:rPr>
                <w:rFonts w:cs="Arial"/>
              </w:rPr>
            </w:pPr>
            <w:r w:rsidRPr="00D06BCE">
              <w:rPr>
                <w:rFonts w:cs="Arial"/>
              </w:rPr>
              <w:t>Investment reference number</w:t>
            </w:r>
          </w:p>
        </w:tc>
        <w:tc>
          <w:tcPr>
            <w:tcW w:w="1536" w:type="pct"/>
            <w:tcBorders>
              <w:top w:val="nil"/>
              <w:left w:val="nil"/>
              <w:bottom w:val="single" w:sz="8" w:space="0" w:color="auto"/>
              <w:right w:val="single" w:sz="8" w:space="0" w:color="auto"/>
            </w:tcBorders>
            <w:vAlign w:val="center"/>
          </w:tcPr>
          <w:p w14:paraId="7598F911" w14:textId="77777777" w:rsidR="00115458" w:rsidRPr="00D06BCE" w:rsidRDefault="00115458" w:rsidP="00D06BCE">
            <w:pPr>
              <w:spacing w:after="0" w:line="240" w:lineRule="auto"/>
              <w:rPr>
                <w:rFonts w:cs="Arial"/>
              </w:rPr>
            </w:pPr>
            <w:r w:rsidRPr="00D06BCE">
              <w:rPr>
                <w:rFonts w:cs="Arial"/>
              </w:rPr>
              <w:t>22133156879</w:t>
            </w:r>
          </w:p>
        </w:tc>
      </w:tr>
      <w:tr w:rsidR="00115458" w:rsidRPr="00D06BCE" w14:paraId="6BCB3B80" w14:textId="77777777" w:rsidTr="00427C84">
        <w:trPr>
          <w:trHeight w:val="270"/>
        </w:trPr>
        <w:tc>
          <w:tcPr>
            <w:tcW w:w="662" w:type="pct"/>
            <w:tcBorders>
              <w:top w:val="nil"/>
              <w:left w:val="single" w:sz="8" w:space="0" w:color="auto"/>
              <w:bottom w:val="single" w:sz="8" w:space="0" w:color="auto"/>
              <w:right w:val="single" w:sz="8" w:space="0" w:color="auto"/>
            </w:tcBorders>
          </w:tcPr>
          <w:p w14:paraId="493D8636" w14:textId="77777777" w:rsidR="00115458" w:rsidRPr="007F6219" w:rsidRDefault="00115458" w:rsidP="00D06BCE">
            <w:pPr>
              <w:spacing w:after="0" w:line="240" w:lineRule="auto"/>
              <w:rPr>
                <w:rFonts w:cs="Arial"/>
              </w:rPr>
            </w:pPr>
            <w:hyperlink w:anchor="d7_062" w:history="1">
              <w:r w:rsidRPr="007F6219">
                <w:rPr>
                  <w:rFonts w:cs="Arial"/>
                </w:rPr>
                <w:t>9.64</w:t>
              </w:r>
            </w:hyperlink>
          </w:p>
        </w:tc>
        <w:tc>
          <w:tcPr>
            <w:tcW w:w="2802" w:type="pct"/>
            <w:tcBorders>
              <w:top w:val="nil"/>
              <w:left w:val="nil"/>
              <w:bottom w:val="single" w:sz="8" w:space="0" w:color="auto"/>
              <w:right w:val="single" w:sz="8" w:space="0" w:color="auto"/>
            </w:tcBorders>
            <w:vAlign w:val="center"/>
          </w:tcPr>
          <w:p w14:paraId="58529EEE" w14:textId="77777777" w:rsidR="00115458" w:rsidRPr="00D06BCE" w:rsidRDefault="00115458" w:rsidP="00D06BCE">
            <w:pPr>
              <w:spacing w:after="0" w:line="240" w:lineRule="auto"/>
              <w:rPr>
                <w:rFonts w:cs="Arial"/>
              </w:rPr>
            </w:pPr>
            <w:r w:rsidRPr="00D06BCE">
              <w:rPr>
                <w:rFonts w:cs="Arial"/>
              </w:rPr>
              <w:t>Account reference number</w:t>
            </w:r>
          </w:p>
        </w:tc>
        <w:tc>
          <w:tcPr>
            <w:tcW w:w="1536" w:type="pct"/>
            <w:tcBorders>
              <w:top w:val="nil"/>
              <w:left w:val="nil"/>
              <w:bottom w:val="single" w:sz="8" w:space="0" w:color="auto"/>
              <w:right w:val="single" w:sz="8" w:space="0" w:color="auto"/>
            </w:tcBorders>
            <w:vAlign w:val="center"/>
          </w:tcPr>
          <w:p w14:paraId="74A7FE14" w14:textId="77777777" w:rsidR="00115458" w:rsidRPr="00D06BCE" w:rsidRDefault="00115458" w:rsidP="00D06BCE">
            <w:pPr>
              <w:spacing w:after="0" w:line="240" w:lineRule="auto"/>
              <w:rPr>
                <w:rFonts w:cs="Arial"/>
              </w:rPr>
            </w:pPr>
            <w:r w:rsidRPr="00D06BCE">
              <w:rPr>
                <w:rFonts w:cs="Arial"/>
              </w:rPr>
              <w:t>FMD427</w:t>
            </w:r>
          </w:p>
        </w:tc>
      </w:tr>
      <w:tr w:rsidR="00115458" w:rsidRPr="00D06BCE" w14:paraId="188D53D6" w14:textId="77777777" w:rsidTr="00427C84">
        <w:trPr>
          <w:trHeight w:val="270"/>
        </w:trPr>
        <w:tc>
          <w:tcPr>
            <w:tcW w:w="662" w:type="pct"/>
            <w:tcBorders>
              <w:top w:val="nil"/>
              <w:left w:val="single" w:sz="8" w:space="0" w:color="auto"/>
              <w:bottom w:val="single" w:sz="8" w:space="0" w:color="auto"/>
              <w:right w:val="single" w:sz="8" w:space="0" w:color="auto"/>
            </w:tcBorders>
          </w:tcPr>
          <w:p w14:paraId="6EB68F9D" w14:textId="77777777" w:rsidR="00115458" w:rsidRPr="007F6219" w:rsidRDefault="00115458" w:rsidP="00D06BCE">
            <w:pPr>
              <w:spacing w:after="0" w:line="240" w:lineRule="auto"/>
              <w:rPr>
                <w:rFonts w:cs="Arial"/>
              </w:rPr>
            </w:pPr>
            <w:hyperlink w:anchor="d7_063" w:history="1">
              <w:r w:rsidRPr="007F6219">
                <w:rPr>
                  <w:rFonts w:cs="Arial"/>
                </w:rPr>
                <w:t>9.65</w:t>
              </w:r>
            </w:hyperlink>
          </w:p>
        </w:tc>
        <w:tc>
          <w:tcPr>
            <w:tcW w:w="2802" w:type="pct"/>
            <w:tcBorders>
              <w:top w:val="nil"/>
              <w:left w:val="nil"/>
              <w:bottom w:val="single" w:sz="8" w:space="0" w:color="auto"/>
              <w:right w:val="single" w:sz="8" w:space="0" w:color="auto"/>
            </w:tcBorders>
            <w:vAlign w:val="center"/>
          </w:tcPr>
          <w:p w14:paraId="6CB06C73" w14:textId="77777777" w:rsidR="00115458" w:rsidRPr="00D06BCE" w:rsidRDefault="00115458" w:rsidP="00D06BCE">
            <w:pPr>
              <w:spacing w:after="0" w:line="240" w:lineRule="auto"/>
              <w:rPr>
                <w:rFonts w:cs="Arial"/>
              </w:rPr>
            </w:pPr>
            <w:r w:rsidRPr="00D06BCE">
              <w:rPr>
                <w:rFonts w:cs="Arial"/>
              </w:rPr>
              <w:t>BSB number</w:t>
            </w:r>
          </w:p>
        </w:tc>
        <w:tc>
          <w:tcPr>
            <w:tcW w:w="1536" w:type="pct"/>
            <w:tcBorders>
              <w:top w:val="nil"/>
              <w:left w:val="nil"/>
              <w:bottom w:val="single" w:sz="8" w:space="0" w:color="auto"/>
              <w:right w:val="single" w:sz="8" w:space="0" w:color="auto"/>
            </w:tcBorders>
            <w:vAlign w:val="center"/>
          </w:tcPr>
          <w:p w14:paraId="473D5FB4"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222E9190" w14:textId="77777777" w:rsidTr="00427C84">
        <w:trPr>
          <w:trHeight w:val="270"/>
        </w:trPr>
        <w:tc>
          <w:tcPr>
            <w:tcW w:w="662" w:type="pct"/>
            <w:tcBorders>
              <w:top w:val="nil"/>
              <w:left w:val="single" w:sz="8" w:space="0" w:color="auto"/>
              <w:bottom w:val="single" w:sz="8" w:space="0" w:color="auto"/>
              <w:right w:val="single" w:sz="8" w:space="0" w:color="auto"/>
            </w:tcBorders>
          </w:tcPr>
          <w:p w14:paraId="00D5EB3F" w14:textId="77777777" w:rsidR="00115458" w:rsidRPr="007F6219" w:rsidRDefault="00115458" w:rsidP="00D06BCE">
            <w:pPr>
              <w:spacing w:after="0" w:line="240" w:lineRule="auto"/>
              <w:rPr>
                <w:rFonts w:cs="Arial"/>
              </w:rPr>
            </w:pPr>
            <w:hyperlink w:anchor="d7_064" w:history="1">
              <w:r w:rsidRPr="007F6219">
                <w:rPr>
                  <w:rFonts w:cs="Arial"/>
                </w:rPr>
                <w:t>9.66</w:t>
              </w:r>
            </w:hyperlink>
          </w:p>
        </w:tc>
        <w:tc>
          <w:tcPr>
            <w:tcW w:w="2802" w:type="pct"/>
            <w:tcBorders>
              <w:top w:val="nil"/>
              <w:left w:val="nil"/>
              <w:bottom w:val="single" w:sz="8" w:space="0" w:color="auto"/>
              <w:right w:val="single" w:sz="8" w:space="0" w:color="auto"/>
            </w:tcBorders>
            <w:vAlign w:val="center"/>
          </w:tcPr>
          <w:p w14:paraId="29AE93B3" w14:textId="77777777" w:rsidR="00115458" w:rsidRPr="00D06BCE" w:rsidRDefault="00115458" w:rsidP="00D06BCE">
            <w:pPr>
              <w:spacing w:after="0" w:line="240" w:lineRule="auto"/>
              <w:rPr>
                <w:rFonts w:cs="Arial"/>
              </w:rPr>
            </w:pPr>
            <w:r w:rsidRPr="00D06BCE">
              <w:rPr>
                <w:rFonts w:cs="Arial"/>
              </w:rPr>
              <w:t>Branch location</w:t>
            </w:r>
          </w:p>
        </w:tc>
        <w:tc>
          <w:tcPr>
            <w:tcW w:w="1536" w:type="pct"/>
            <w:tcBorders>
              <w:top w:val="nil"/>
              <w:left w:val="nil"/>
              <w:bottom w:val="single" w:sz="8" w:space="0" w:color="auto"/>
              <w:right w:val="single" w:sz="8" w:space="0" w:color="auto"/>
            </w:tcBorders>
            <w:vAlign w:val="center"/>
          </w:tcPr>
          <w:p w14:paraId="2964FC44"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2D0B8106" w14:textId="77777777" w:rsidTr="00427C84">
        <w:trPr>
          <w:trHeight w:val="270"/>
        </w:trPr>
        <w:tc>
          <w:tcPr>
            <w:tcW w:w="662" w:type="pct"/>
            <w:tcBorders>
              <w:top w:val="nil"/>
              <w:left w:val="single" w:sz="8" w:space="0" w:color="auto"/>
              <w:bottom w:val="single" w:sz="8" w:space="0" w:color="auto"/>
              <w:right w:val="single" w:sz="8" w:space="0" w:color="auto"/>
            </w:tcBorders>
          </w:tcPr>
          <w:p w14:paraId="6F92FCC4" w14:textId="77777777" w:rsidR="00115458" w:rsidRPr="007F6219" w:rsidRDefault="00115458" w:rsidP="00D06BCE">
            <w:pPr>
              <w:spacing w:after="0" w:line="240" w:lineRule="auto"/>
              <w:rPr>
                <w:rFonts w:cs="Arial"/>
              </w:rPr>
            </w:pPr>
            <w:hyperlink w:anchor="d7_065" w:history="1">
              <w:r w:rsidRPr="007F6219">
                <w:rPr>
                  <w:rFonts w:cs="Arial"/>
                </w:rPr>
                <w:t>9.67</w:t>
              </w:r>
            </w:hyperlink>
          </w:p>
        </w:tc>
        <w:tc>
          <w:tcPr>
            <w:tcW w:w="2802" w:type="pct"/>
            <w:tcBorders>
              <w:top w:val="nil"/>
              <w:left w:val="nil"/>
              <w:bottom w:val="single" w:sz="8" w:space="0" w:color="auto"/>
              <w:right w:val="single" w:sz="8" w:space="0" w:color="auto"/>
            </w:tcBorders>
            <w:vAlign w:val="center"/>
          </w:tcPr>
          <w:p w14:paraId="74F7DD47" w14:textId="77777777" w:rsidR="00115458" w:rsidRPr="00D06BCE" w:rsidRDefault="00115458" w:rsidP="00D06BCE">
            <w:pPr>
              <w:spacing w:after="0" w:line="240" w:lineRule="auto"/>
              <w:rPr>
                <w:rFonts w:cs="Arial"/>
              </w:rPr>
            </w:pPr>
            <w:r w:rsidRPr="00D06BCE">
              <w:rPr>
                <w:rFonts w:cs="Arial"/>
              </w:rPr>
              <w:t>Account name</w:t>
            </w:r>
          </w:p>
        </w:tc>
        <w:tc>
          <w:tcPr>
            <w:tcW w:w="1536" w:type="pct"/>
            <w:tcBorders>
              <w:top w:val="nil"/>
              <w:left w:val="nil"/>
              <w:bottom w:val="single" w:sz="8" w:space="0" w:color="auto"/>
              <w:right w:val="single" w:sz="8" w:space="0" w:color="auto"/>
            </w:tcBorders>
            <w:vAlign w:val="center"/>
          </w:tcPr>
          <w:p w14:paraId="63F0EEF1" w14:textId="77777777" w:rsidR="00115458" w:rsidRPr="00D06BCE" w:rsidRDefault="00115458" w:rsidP="00D06BCE">
            <w:pPr>
              <w:spacing w:after="0" w:line="240" w:lineRule="auto"/>
              <w:rPr>
                <w:rFonts w:cs="Arial"/>
              </w:rPr>
            </w:pPr>
            <w:r w:rsidRPr="00D06BCE">
              <w:rPr>
                <w:rFonts w:cs="Arial"/>
              </w:rPr>
              <w:t>ISOBELLE ASHINGLY</w:t>
            </w:r>
          </w:p>
        </w:tc>
      </w:tr>
      <w:tr w:rsidR="00115458" w:rsidRPr="00D06BCE" w14:paraId="06C84405" w14:textId="77777777" w:rsidTr="00427C84">
        <w:trPr>
          <w:trHeight w:val="270"/>
        </w:trPr>
        <w:tc>
          <w:tcPr>
            <w:tcW w:w="662" w:type="pct"/>
            <w:tcBorders>
              <w:top w:val="nil"/>
              <w:left w:val="single" w:sz="8" w:space="0" w:color="auto"/>
              <w:bottom w:val="single" w:sz="8" w:space="0" w:color="auto"/>
              <w:right w:val="single" w:sz="8" w:space="0" w:color="auto"/>
            </w:tcBorders>
          </w:tcPr>
          <w:p w14:paraId="2D61851E" w14:textId="2DA71CB9" w:rsidR="00115458" w:rsidRPr="007F6219" w:rsidRDefault="004A060C" w:rsidP="00D06BCE">
            <w:pPr>
              <w:spacing w:after="0" w:line="240" w:lineRule="auto"/>
              <w:rPr>
                <w:rFonts w:cs="Arial"/>
              </w:rPr>
            </w:pPr>
            <w:r>
              <w:t>9.150</w:t>
            </w:r>
          </w:p>
        </w:tc>
        <w:tc>
          <w:tcPr>
            <w:tcW w:w="2802" w:type="pct"/>
            <w:tcBorders>
              <w:top w:val="nil"/>
              <w:left w:val="nil"/>
              <w:bottom w:val="single" w:sz="8" w:space="0" w:color="auto"/>
              <w:right w:val="single" w:sz="8" w:space="0" w:color="auto"/>
            </w:tcBorders>
            <w:vAlign w:val="center"/>
          </w:tcPr>
          <w:p w14:paraId="113CA3BF"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36" w:type="pct"/>
            <w:tcBorders>
              <w:top w:val="nil"/>
              <w:left w:val="nil"/>
              <w:bottom w:val="single" w:sz="8" w:space="0" w:color="auto"/>
              <w:right w:val="single" w:sz="8" w:space="0" w:color="auto"/>
            </w:tcBorders>
            <w:vAlign w:val="center"/>
          </w:tcPr>
          <w:p w14:paraId="5E6293AD" w14:textId="77777777" w:rsidR="00115458" w:rsidRPr="00D06BCE" w:rsidRDefault="00115458" w:rsidP="00D06BCE">
            <w:pPr>
              <w:spacing w:after="0" w:line="240" w:lineRule="auto"/>
              <w:rPr>
                <w:rFonts w:cs="Arial"/>
              </w:rPr>
            </w:pPr>
            <w:r w:rsidRPr="00D06BCE">
              <w:rPr>
                <w:rFonts w:cs="Arial"/>
              </w:rPr>
              <w:t>2802</w:t>
            </w:r>
          </w:p>
        </w:tc>
      </w:tr>
      <w:tr w:rsidR="00115458" w:rsidRPr="00D06BCE" w14:paraId="795E1F58" w14:textId="77777777" w:rsidTr="00427C84">
        <w:trPr>
          <w:trHeight w:val="270"/>
        </w:trPr>
        <w:tc>
          <w:tcPr>
            <w:tcW w:w="662" w:type="pct"/>
            <w:tcBorders>
              <w:top w:val="nil"/>
              <w:left w:val="single" w:sz="8" w:space="0" w:color="auto"/>
              <w:bottom w:val="single" w:sz="8" w:space="0" w:color="auto"/>
              <w:right w:val="single" w:sz="8" w:space="0" w:color="auto"/>
            </w:tcBorders>
          </w:tcPr>
          <w:p w14:paraId="4BE62412" w14:textId="1D711332" w:rsidR="00115458" w:rsidRPr="007F6219" w:rsidRDefault="00107A53" w:rsidP="00D06BCE">
            <w:pPr>
              <w:spacing w:after="0" w:line="240" w:lineRule="auto"/>
              <w:rPr>
                <w:rFonts w:cs="Arial"/>
              </w:rPr>
            </w:pPr>
            <w:r>
              <w:rPr>
                <w:rFonts w:cs="Arial"/>
              </w:rPr>
              <w:t>9.151</w:t>
            </w:r>
          </w:p>
        </w:tc>
        <w:tc>
          <w:tcPr>
            <w:tcW w:w="2802" w:type="pct"/>
            <w:tcBorders>
              <w:top w:val="nil"/>
              <w:left w:val="nil"/>
              <w:bottom w:val="single" w:sz="8" w:space="0" w:color="auto"/>
              <w:right w:val="single" w:sz="8" w:space="0" w:color="auto"/>
            </w:tcBorders>
            <w:vAlign w:val="center"/>
          </w:tcPr>
          <w:p w14:paraId="57029F7A" w14:textId="77777777" w:rsidR="00115458" w:rsidRPr="00D06BCE" w:rsidRDefault="00115458" w:rsidP="00D06BCE">
            <w:pPr>
              <w:spacing w:after="0" w:line="240" w:lineRule="auto"/>
              <w:rPr>
                <w:rFonts w:cs="Arial"/>
              </w:rPr>
            </w:pPr>
            <w:r w:rsidRPr="00D06BCE">
              <w:rPr>
                <w:rFonts w:cs="Arial"/>
              </w:rPr>
              <w:t>ANZSIC code</w:t>
            </w:r>
          </w:p>
        </w:tc>
        <w:tc>
          <w:tcPr>
            <w:tcW w:w="1536" w:type="pct"/>
            <w:tcBorders>
              <w:top w:val="nil"/>
              <w:left w:val="nil"/>
              <w:bottom w:val="single" w:sz="8" w:space="0" w:color="auto"/>
              <w:right w:val="single" w:sz="8" w:space="0" w:color="auto"/>
            </w:tcBorders>
            <w:vAlign w:val="center"/>
          </w:tcPr>
          <w:p w14:paraId="1AACFC77"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26CF7FDE" w14:textId="77777777" w:rsidTr="00427C84">
        <w:trPr>
          <w:trHeight w:val="270"/>
        </w:trPr>
        <w:tc>
          <w:tcPr>
            <w:tcW w:w="662" w:type="pct"/>
            <w:tcBorders>
              <w:top w:val="nil"/>
              <w:left w:val="single" w:sz="8" w:space="0" w:color="auto"/>
              <w:bottom w:val="single" w:sz="8" w:space="0" w:color="auto"/>
              <w:right w:val="single" w:sz="8" w:space="0" w:color="auto"/>
            </w:tcBorders>
          </w:tcPr>
          <w:p w14:paraId="2AE56310" w14:textId="77777777" w:rsidR="00115458" w:rsidRPr="007F6219" w:rsidRDefault="00115458" w:rsidP="00D06BCE">
            <w:pPr>
              <w:spacing w:after="0" w:line="240" w:lineRule="auto"/>
              <w:rPr>
                <w:rFonts w:cs="Arial"/>
              </w:rPr>
            </w:pPr>
            <w:hyperlink w:anchor="d7_068" w:history="1">
              <w:r w:rsidRPr="007F6219">
                <w:rPr>
                  <w:rFonts w:cs="Arial"/>
                </w:rPr>
                <w:t>9.70</w:t>
              </w:r>
            </w:hyperlink>
          </w:p>
        </w:tc>
        <w:tc>
          <w:tcPr>
            <w:tcW w:w="2802" w:type="pct"/>
            <w:tcBorders>
              <w:top w:val="nil"/>
              <w:left w:val="nil"/>
              <w:bottom w:val="single" w:sz="8" w:space="0" w:color="auto"/>
              <w:right w:val="single" w:sz="8" w:space="0" w:color="auto"/>
            </w:tcBorders>
            <w:vAlign w:val="center"/>
          </w:tcPr>
          <w:p w14:paraId="3D162C76" w14:textId="77777777" w:rsidR="00115458" w:rsidRPr="00D06BCE" w:rsidRDefault="00115458" w:rsidP="00D06BCE">
            <w:pPr>
              <w:spacing w:after="0" w:line="240" w:lineRule="auto"/>
              <w:rPr>
                <w:rFonts w:cs="Arial"/>
              </w:rPr>
            </w:pPr>
            <w:r w:rsidRPr="00D06BCE">
              <w:rPr>
                <w:rFonts w:cs="Arial"/>
              </w:rPr>
              <w:t>Date of payment (DDMMCCYY)</w:t>
            </w:r>
          </w:p>
        </w:tc>
        <w:tc>
          <w:tcPr>
            <w:tcW w:w="1536" w:type="pct"/>
            <w:tcBorders>
              <w:top w:val="nil"/>
              <w:left w:val="nil"/>
              <w:bottom w:val="single" w:sz="8" w:space="0" w:color="auto"/>
              <w:right w:val="single" w:sz="8" w:space="0" w:color="auto"/>
            </w:tcBorders>
            <w:vAlign w:val="center"/>
          </w:tcPr>
          <w:p w14:paraId="16B487EE" w14:textId="57FA6F54" w:rsidR="00115458" w:rsidRPr="00D06BCE" w:rsidRDefault="00115458" w:rsidP="00D06BCE">
            <w:pPr>
              <w:spacing w:after="0" w:line="240" w:lineRule="auto"/>
              <w:rPr>
                <w:rFonts w:cs="Arial"/>
              </w:rPr>
            </w:pPr>
            <w:r w:rsidRPr="00D06BCE">
              <w:rPr>
                <w:rFonts w:cs="Arial"/>
              </w:rPr>
              <w:t>311220</w:t>
            </w:r>
            <w:r w:rsidR="00A27929">
              <w:rPr>
                <w:rFonts w:cs="Arial"/>
              </w:rPr>
              <w:t>25</w:t>
            </w:r>
          </w:p>
        </w:tc>
      </w:tr>
      <w:tr w:rsidR="00115458" w:rsidRPr="00D06BCE" w14:paraId="45230503" w14:textId="77777777" w:rsidTr="00427C84">
        <w:trPr>
          <w:trHeight w:val="270"/>
        </w:trPr>
        <w:tc>
          <w:tcPr>
            <w:tcW w:w="662" w:type="pct"/>
            <w:tcBorders>
              <w:top w:val="nil"/>
              <w:left w:val="single" w:sz="8" w:space="0" w:color="auto"/>
              <w:bottom w:val="single" w:sz="8" w:space="0" w:color="auto"/>
              <w:right w:val="single" w:sz="8" w:space="0" w:color="auto"/>
            </w:tcBorders>
          </w:tcPr>
          <w:p w14:paraId="0169294A" w14:textId="77777777" w:rsidR="00115458" w:rsidRPr="007F6219" w:rsidRDefault="00115458" w:rsidP="00D06BCE">
            <w:pPr>
              <w:spacing w:after="0" w:line="240" w:lineRule="auto"/>
              <w:rPr>
                <w:rFonts w:cs="Arial"/>
              </w:rPr>
            </w:pPr>
            <w:hyperlink w:anchor="d7_069" w:history="1">
              <w:r w:rsidRPr="007F6219">
                <w:rPr>
                  <w:rFonts w:cs="Arial"/>
                </w:rPr>
                <w:t>9.71</w:t>
              </w:r>
            </w:hyperlink>
          </w:p>
        </w:tc>
        <w:tc>
          <w:tcPr>
            <w:tcW w:w="2802" w:type="pct"/>
            <w:tcBorders>
              <w:top w:val="nil"/>
              <w:left w:val="nil"/>
              <w:bottom w:val="single" w:sz="8" w:space="0" w:color="auto"/>
              <w:right w:val="single" w:sz="8" w:space="0" w:color="auto"/>
            </w:tcBorders>
            <w:vAlign w:val="center"/>
          </w:tcPr>
          <w:p w14:paraId="3A61B3DB" w14:textId="77777777" w:rsidR="00115458" w:rsidRPr="00D06BCE" w:rsidRDefault="00115458" w:rsidP="00D06BCE">
            <w:pPr>
              <w:spacing w:after="0" w:line="240" w:lineRule="auto"/>
              <w:rPr>
                <w:rFonts w:cs="Arial"/>
              </w:rPr>
            </w:pPr>
            <w:r w:rsidRPr="00D06BCE">
              <w:rPr>
                <w:rFonts w:cs="Arial"/>
              </w:rPr>
              <w:t>Type of investment</w:t>
            </w:r>
          </w:p>
        </w:tc>
        <w:tc>
          <w:tcPr>
            <w:tcW w:w="1536" w:type="pct"/>
            <w:tcBorders>
              <w:top w:val="nil"/>
              <w:left w:val="nil"/>
              <w:bottom w:val="single" w:sz="8" w:space="0" w:color="auto"/>
              <w:right w:val="single" w:sz="8" w:space="0" w:color="auto"/>
            </w:tcBorders>
            <w:vAlign w:val="center"/>
          </w:tcPr>
          <w:p w14:paraId="513DA656" w14:textId="77777777" w:rsidR="00115458" w:rsidRPr="00D06BCE" w:rsidRDefault="00115458" w:rsidP="00D06BCE">
            <w:pPr>
              <w:spacing w:after="0" w:line="240" w:lineRule="auto"/>
              <w:rPr>
                <w:rFonts w:cs="Arial"/>
              </w:rPr>
            </w:pPr>
            <w:r w:rsidRPr="00D06BCE">
              <w:rPr>
                <w:rFonts w:cs="Arial"/>
              </w:rPr>
              <w:t>2</w:t>
            </w:r>
          </w:p>
        </w:tc>
      </w:tr>
      <w:tr w:rsidR="00115458" w:rsidRPr="00D06BCE" w14:paraId="77A1A8F3" w14:textId="77777777" w:rsidTr="00427C84">
        <w:trPr>
          <w:trHeight w:val="270"/>
        </w:trPr>
        <w:tc>
          <w:tcPr>
            <w:tcW w:w="662" w:type="pct"/>
            <w:tcBorders>
              <w:top w:val="nil"/>
              <w:left w:val="single" w:sz="8" w:space="0" w:color="auto"/>
              <w:bottom w:val="single" w:sz="8" w:space="0" w:color="auto"/>
              <w:right w:val="single" w:sz="8" w:space="0" w:color="auto"/>
            </w:tcBorders>
          </w:tcPr>
          <w:p w14:paraId="6B8420C6" w14:textId="77777777" w:rsidR="00115458" w:rsidRPr="007F6219" w:rsidRDefault="00115458" w:rsidP="00D06BCE">
            <w:pPr>
              <w:spacing w:after="0" w:line="240" w:lineRule="auto"/>
              <w:rPr>
                <w:rFonts w:cs="Arial"/>
              </w:rPr>
            </w:pPr>
            <w:hyperlink w:anchor="d7_070" w:history="1">
              <w:r w:rsidRPr="007F6219">
                <w:rPr>
                  <w:rFonts w:cs="Arial"/>
                </w:rPr>
                <w:t>9.72</w:t>
              </w:r>
            </w:hyperlink>
          </w:p>
        </w:tc>
        <w:tc>
          <w:tcPr>
            <w:tcW w:w="2802" w:type="pct"/>
            <w:tcBorders>
              <w:top w:val="nil"/>
              <w:left w:val="nil"/>
              <w:bottom w:val="single" w:sz="8" w:space="0" w:color="auto"/>
              <w:right w:val="single" w:sz="8" w:space="0" w:color="auto"/>
            </w:tcBorders>
            <w:vAlign w:val="center"/>
          </w:tcPr>
          <w:p w14:paraId="46EA4038" w14:textId="77777777" w:rsidR="00115458" w:rsidRPr="00D06BCE" w:rsidRDefault="00115458" w:rsidP="00D06BCE">
            <w:pPr>
              <w:spacing w:after="0" w:line="240" w:lineRule="auto"/>
              <w:rPr>
                <w:rFonts w:cs="Arial"/>
              </w:rPr>
            </w:pPr>
            <w:r w:rsidRPr="00D06BCE">
              <w:rPr>
                <w:rFonts w:cs="Arial"/>
              </w:rPr>
              <w:t>Type of payment</w:t>
            </w:r>
          </w:p>
        </w:tc>
        <w:tc>
          <w:tcPr>
            <w:tcW w:w="1536" w:type="pct"/>
            <w:tcBorders>
              <w:top w:val="nil"/>
              <w:left w:val="nil"/>
              <w:bottom w:val="single" w:sz="8" w:space="0" w:color="auto"/>
              <w:right w:val="single" w:sz="8" w:space="0" w:color="auto"/>
            </w:tcBorders>
            <w:vAlign w:val="center"/>
          </w:tcPr>
          <w:p w14:paraId="23AE7A97" w14:textId="77777777" w:rsidR="00115458" w:rsidRPr="00D06BCE" w:rsidRDefault="00115458" w:rsidP="00D06BCE">
            <w:pPr>
              <w:spacing w:after="0" w:line="240" w:lineRule="auto"/>
              <w:rPr>
                <w:rFonts w:cs="Arial"/>
              </w:rPr>
            </w:pPr>
            <w:r w:rsidRPr="00D06BCE">
              <w:rPr>
                <w:rFonts w:cs="Arial"/>
              </w:rPr>
              <w:t>FMD</w:t>
            </w:r>
          </w:p>
        </w:tc>
      </w:tr>
      <w:tr w:rsidR="00115458" w:rsidRPr="00D06BCE" w14:paraId="189D28E7" w14:textId="77777777" w:rsidTr="00427C84">
        <w:trPr>
          <w:trHeight w:val="270"/>
        </w:trPr>
        <w:tc>
          <w:tcPr>
            <w:tcW w:w="662" w:type="pct"/>
            <w:tcBorders>
              <w:top w:val="nil"/>
              <w:left w:val="single" w:sz="8" w:space="0" w:color="auto"/>
              <w:bottom w:val="single" w:sz="8" w:space="0" w:color="auto"/>
              <w:right w:val="single" w:sz="8" w:space="0" w:color="auto"/>
            </w:tcBorders>
          </w:tcPr>
          <w:p w14:paraId="0FDB7807" w14:textId="77777777" w:rsidR="00115458" w:rsidRPr="007F6219" w:rsidRDefault="00115458" w:rsidP="00D06BCE">
            <w:pPr>
              <w:spacing w:after="0" w:line="240" w:lineRule="auto"/>
              <w:rPr>
                <w:rFonts w:cs="Arial"/>
              </w:rPr>
            </w:pPr>
            <w:hyperlink w:anchor="d7_076" w:history="1">
              <w:r w:rsidRPr="007F6219">
                <w:rPr>
                  <w:rFonts w:cs="Arial"/>
                </w:rPr>
                <w:t>9.79</w:t>
              </w:r>
            </w:hyperlink>
          </w:p>
        </w:tc>
        <w:tc>
          <w:tcPr>
            <w:tcW w:w="2802" w:type="pct"/>
            <w:tcBorders>
              <w:top w:val="nil"/>
              <w:left w:val="nil"/>
              <w:bottom w:val="single" w:sz="8" w:space="0" w:color="auto"/>
              <w:right w:val="single" w:sz="8" w:space="0" w:color="auto"/>
            </w:tcBorders>
            <w:vAlign w:val="center"/>
          </w:tcPr>
          <w:p w14:paraId="719860DC" w14:textId="77777777" w:rsidR="00115458" w:rsidRPr="00D06BCE" w:rsidRDefault="00115458" w:rsidP="00D06BCE">
            <w:pPr>
              <w:spacing w:after="0" w:line="240" w:lineRule="auto"/>
              <w:rPr>
                <w:rFonts w:cs="Arial"/>
              </w:rPr>
            </w:pPr>
            <w:r w:rsidRPr="00D06BCE">
              <w:rPr>
                <w:rFonts w:cs="Arial"/>
              </w:rPr>
              <w:t>Interest (cents)</w:t>
            </w:r>
          </w:p>
        </w:tc>
        <w:tc>
          <w:tcPr>
            <w:tcW w:w="1536" w:type="pct"/>
            <w:tcBorders>
              <w:top w:val="nil"/>
              <w:left w:val="nil"/>
              <w:bottom w:val="single" w:sz="8" w:space="0" w:color="auto"/>
              <w:right w:val="single" w:sz="8" w:space="0" w:color="auto"/>
            </w:tcBorders>
            <w:vAlign w:val="center"/>
          </w:tcPr>
          <w:p w14:paraId="7DC8BA39" w14:textId="77777777" w:rsidR="00115458" w:rsidRPr="00D06BCE" w:rsidRDefault="00115458" w:rsidP="00D06BCE">
            <w:pPr>
              <w:spacing w:after="0" w:line="240" w:lineRule="auto"/>
              <w:rPr>
                <w:rFonts w:cs="Arial"/>
              </w:rPr>
            </w:pPr>
            <w:r w:rsidRPr="00D06BCE">
              <w:rPr>
                <w:rFonts w:cs="Arial"/>
              </w:rPr>
              <w:t>000000026178</w:t>
            </w:r>
          </w:p>
        </w:tc>
      </w:tr>
      <w:tr w:rsidR="00115458" w:rsidRPr="00D06BCE" w14:paraId="00AD932B" w14:textId="77777777" w:rsidTr="00427C84">
        <w:trPr>
          <w:trHeight w:val="270"/>
        </w:trPr>
        <w:tc>
          <w:tcPr>
            <w:tcW w:w="662" w:type="pct"/>
            <w:tcBorders>
              <w:top w:val="nil"/>
              <w:left w:val="single" w:sz="8" w:space="0" w:color="auto"/>
              <w:bottom w:val="single" w:sz="8" w:space="0" w:color="auto"/>
              <w:right w:val="single" w:sz="8" w:space="0" w:color="auto"/>
            </w:tcBorders>
          </w:tcPr>
          <w:p w14:paraId="6036D3B3" w14:textId="77777777" w:rsidR="00115458" w:rsidRPr="007F6219" w:rsidRDefault="00115458" w:rsidP="00D06BCE">
            <w:pPr>
              <w:spacing w:after="0" w:line="240" w:lineRule="auto"/>
              <w:rPr>
                <w:rFonts w:cs="Arial"/>
              </w:rPr>
            </w:pPr>
            <w:hyperlink w:anchor="d7_072" w:history="1">
              <w:r w:rsidRPr="007F6219">
                <w:rPr>
                  <w:rFonts w:cs="Arial"/>
                </w:rPr>
                <w:t>9.74</w:t>
              </w:r>
            </w:hyperlink>
          </w:p>
        </w:tc>
        <w:tc>
          <w:tcPr>
            <w:tcW w:w="2802" w:type="pct"/>
            <w:tcBorders>
              <w:top w:val="nil"/>
              <w:left w:val="nil"/>
              <w:bottom w:val="single" w:sz="8" w:space="0" w:color="auto"/>
              <w:right w:val="single" w:sz="8" w:space="0" w:color="auto"/>
            </w:tcBorders>
            <w:vAlign w:val="center"/>
          </w:tcPr>
          <w:p w14:paraId="32645331"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36" w:type="pct"/>
            <w:tcBorders>
              <w:top w:val="nil"/>
              <w:left w:val="nil"/>
              <w:bottom w:val="single" w:sz="8" w:space="0" w:color="auto"/>
              <w:right w:val="single" w:sz="8" w:space="0" w:color="auto"/>
            </w:tcBorders>
            <w:vAlign w:val="center"/>
          </w:tcPr>
          <w:p w14:paraId="4DD85E7C"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41813AF" w14:textId="77777777" w:rsidTr="00427C84">
        <w:trPr>
          <w:trHeight w:val="270"/>
        </w:trPr>
        <w:tc>
          <w:tcPr>
            <w:tcW w:w="662" w:type="pct"/>
            <w:tcBorders>
              <w:top w:val="nil"/>
              <w:left w:val="single" w:sz="8" w:space="0" w:color="auto"/>
              <w:bottom w:val="single" w:sz="8" w:space="0" w:color="auto"/>
              <w:right w:val="single" w:sz="8" w:space="0" w:color="auto"/>
            </w:tcBorders>
          </w:tcPr>
          <w:p w14:paraId="1DF37D1D" w14:textId="77777777" w:rsidR="00115458" w:rsidRPr="007F6219" w:rsidRDefault="00115458" w:rsidP="00D06BCE">
            <w:pPr>
              <w:spacing w:after="0" w:line="240" w:lineRule="auto"/>
              <w:rPr>
                <w:rFonts w:cs="Arial"/>
              </w:rPr>
            </w:pPr>
            <w:hyperlink w:anchor="d7_073" w:history="1">
              <w:r w:rsidRPr="007F6219">
                <w:rPr>
                  <w:rFonts w:cs="Arial"/>
                </w:rPr>
                <w:t>9.75</w:t>
              </w:r>
            </w:hyperlink>
          </w:p>
        </w:tc>
        <w:tc>
          <w:tcPr>
            <w:tcW w:w="2802" w:type="pct"/>
            <w:tcBorders>
              <w:top w:val="nil"/>
              <w:left w:val="nil"/>
              <w:bottom w:val="single" w:sz="8" w:space="0" w:color="auto"/>
              <w:right w:val="single" w:sz="8" w:space="0" w:color="auto"/>
            </w:tcBorders>
            <w:vAlign w:val="center"/>
          </w:tcPr>
          <w:p w14:paraId="2113869F"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36" w:type="pct"/>
            <w:tcBorders>
              <w:top w:val="nil"/>
              <w:left w:val="nil"/>
              <w:bottom w:val="single" w:sz="8" w:space="0" w:color="auto"/>
              <w:right w:val="single" w:sz="8" w:space="0" w:color="auto"/>
            </w:tcBorders>
            <w:vAlign w:val="center"/>
          </w:tcPr>
          <w:p w14:paraId="052052E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0DB9CED" w14:textId="77777777" w:rsidTr="00427C84">
        <w:trPr>
          <w:trHeight w:val="270"/>
        </w:trPr>
        <w:tc>
          <w:tcPr>
            <w:tcW w:w="662" w:type="pct"/>
            <w:tcBorders>
              <w:top w:val="nil"/>
              <w:left w:val="single" w:sz="8" w:space="0" w:color="auto"/>
              <w:bottom w:val="single" w:sz="8" w:space="0" w:color="auto"/>
              <w:right w:val="single" w:sz="8" w:space="0" w:color="auto"/>
            </w:tcBorders>
          </w:tcPr>
          <w:p w14:paraId="6AB7FA86" w14:textId="78C7283E" w:rsidR="00115458" w:rsidRPr="007F6219" w:rsidRDefault="00E548B4" w:rsidP="00D06BCE">
            <w:pPr>
              <w:spacing w:after="0" w:line="240" w:lineRule="auto"/>
              <w:rPr>
                <w:rFonts w:cs="Arial"/>
              </w:rPr>
            </w:pPr>
            <w:r>
              <w:rPr>
                <w:rFonts w:cs="Arial"/>
              </w:rPr>
              <w:t>9.152</w:t>
            </w:r>
          </w:p>
        </w:tc>
        <w:tc>
          <w:tcPr>
            <w:tcW w:w="2802" w:type="pct"/>
            <w:tcBorders>
              <w:top w:val="nil"/>
              <w:left w:val="nil"/>
              <w:bottom w:val="single" w:sz="8" w:space="0" w:color="auto"/>
              <w:right w:val="single" w:sz="8" w:space="0" w:color="auto"/>
            </w:tcBorders>
            <w:vAlign w:val="center"/>
          </w:tcPr>
          <w:p w14:paraId="2F12D606"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36" w:type="pct"/>
            <w:tcBorders>
              <w:top w:val="nil"/>
              <w:left w:val="nil"/>
              <w:bottom w:val="single" w:sz="8" w:space="0" w:color="auto"/>
              <w:right w:val="single" w:sz="8" w:space="0" w:color="auto"/>
            </w:tcBorders>
            <w:vAlign w:val="center"/>
          </w:tcPr>
          <w:p w14:paraId="00A97AE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A36B376" w14:textId="77777777" w:rsidTr="00427C84">
        <w:trPr>
          <w:trHeight w:val="270"/>
        </w:trPr>
        <w:tc>
          <w:tcPr>
            <w:tcW w:w="662" w:type="pct"/>
            <w:tcBorders>
              <w:top w:val="nil"/>
              <w:left w:val="single" w:sz="8" w:space="0" w:color="auto"/>
              <w:bottom w:val="single" w:sz="8" w:space="0" w:color="auto"/>
              <w:right w:val="single" w:sz="8" w:space="0" w:color="auto"/>
            </w:tcBorders>
          </w:tcPr>
          <w:p w14:paraId="041FD066" w14:textId="47662E9C" w:rsidR="00115458" w:rsidRPr="007F6219" w:rsidRDefault="00704E70" w:rsidP="00D06BCE">
            <w:pPr>
              <w:spacing w:after="0" w:line="240" w:lineRule="auto"/>
              <w:rPr>
                <w:rFonts w:cs="Arial"/>
              </w:rPr>
            </w:pPr>
            <w:r>
              <w:t>9.153</w:t>
            </w:r>
          </w:p>
        </w:tc>
        <w:tc>
          <w:tcPr>
            <w:tcW w:w="2802" w:type="pct"/>
            <w:tcBorders>
              <w:top w:val="nil"/>
              <w:left w:val="nil"/>
              <w:bottom w:val="single" w:sz="8" w:space="0" w:color="auto"/>
              <w:right w:val="single" w:sz="8" w:space="0" w:color="auto"/>
            </w:tcBorders>
            <w:vAlign w:val="center"/>
          </w:tcPr>
          <w:p w14:paraId="538A7CAE"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36" w:type="pct"/>
            <w:tcBorders>
              <w:top w:val="nil"/>
              <w:left w:val="nil"/>
              <w:bottom w:val="single" w:sz="8" w:space="0" w:color="auto"/>
              <w:right w:val="single" w:sz="8" w:space="0" w:color="auto"/>
            </w:tcBorders>
            <w:vAlign w:val="center"/>
          </w:tcPr>
          <w:p w14:paraId="02DE037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D93EE9B" w14:textId="77777777" w:rsidTr="00427C84">
        <w:trPr>
          <w:trHeight w:val="270"/>
        </w:trPr>
        <w:tc>
          <w:tcPr>
            <w:tcW w:w="662" w:type="pct"/>
            <w:tcBorders>
              <w:top w:val="nil"/>
              <w:left w:val="single" w:sz="8" w:space="0" w:color="auto"/>
              <w:bottom w:val="single" w:sz="8" w:space="0" w:color="auto"/>
              <w:right w:val="single" w:sz="8" w:space="0" w:color="auto"/>
            </w:tcBorders>
          </w:tcPr>
          <w:p w14:paraId="3F8F6C31" w14:textId="7DA3285E" w:rsidR="00115458" w:rsidRPr="007F6219" w:rsidRDefault="00BE2AF7" w:rsidP="00D06BCE">
            <w:pPr>
              <w:spacing w:after="0" w:line="240" w:lineRule="auto"/>
              <w:rPr>
                <w:rFonts w:cs="Arial"/>
              </w:rPr>
            </w:pPr>
            <w:r>
              <w:t>9.15</w:t>
            </w:r>
            <w:r w:rsidR="00D428B9">
              <w:t>4</w:t>
            </w:r>
          </w:p>
        </w:tc>
        <w:tc>
          <w:tcPr>
            <w:tcW w:w="2802" w:type="pct"/>
            <w:tcBorders>
              <w:top w:val="nil"/>
              <w:left w:val="nil"/>
              <w:bottom w:val="single" w:sz="8" w:space="0" w:color="auto"/>
              <w:right w:val="single" w:sz="8" w:space="0" w:color="auto"/>
            </w:tcBorders>
            <w:vAlign w:val="center"/>
          </w:tcPr>
          <w:p w14:paraId="7C3678BA"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36" w:type="pct"/>
            <w:tcBorders>
              <w:top w:val="nil"/>
              <w:left w:val="nil"/>
              <w:bottom w:val="single" w:sz="8" w:space="0" w:color="auto"/>
              <w:right w:val="single" w:sz="8" w:space="0" w:color="auto"/>
            </w:tcBorders>
            <w:vAlign w:val="center"/>
          </w:tcPr>
          <w:p w14:paraId="50C26B1C" w14:textId="76AC8055" w:rsidR="00115458" w:rsidRPr="00D06BCE" w:rsidRDefault="00115458" w:rsidP="00D06BCE">
            <w:pPr>
              <w:spacing w:after="0" w:line="240" w:lineRule="auto"/>
              <w:rPr>
                <w:rFonts w:cs="Arial"/>
              </w:rPr>
            </w:pPr>
            <w:r w:rsidRPr="00D06BCE">
              <w:rPr>
                <w:rFonts w:cs="Arial"/>
              </w:rPr>
              <w:t>010220</w:t>
            </w:r>
            <w:r w:rsidR="00A27929">
              <w:rPr>
                <w:rFonts w:cs="Arial"/>
              </w:rPr>
              <w:t>23</w:t>
            </w:r>
          </w:p>
        </w:tc>
      </w:tr>
      <w:tr w:rsidR="00115458" w:rsidRPr="00D06BCE" w14:paraId="61ADC2DB" w14:textId="77777777" w:rsidTr="00427C84">
        <w:trPr>
          <w:trHeight w:val="270"/>
        </w:trPr>
        <w:tc>
          <w:tcPr>
            <w:tcW w:w="662" w:type="pct"/>
            <w:tcBorders>
              <w:top w:val="nil"/>
              <w:left w:val="single" w:sz="8" w:space="0" w:color="auto"/>
              <w:bottom w:val="single" w:sz="8" w:space="0" w:color="auto"/>
              <w:right w:val="single" w:sz="8" w:space="0" w:color="auto"/>
            </w:tcBorders>
          </w:tcPr>
          <w:p w14:paraId="3F359D8E" w14:textId="0A737276" w:rsidR="00115458" w:rsidRPr="007F6219" w:rsidRDefault="00AC6B52" w:rsidP="00D06BCE">
            <w:pPr>
              <w:spacing w:after="0" w:line="240" w:lineRule="auto"/>
              <w:rPr>
                <w:rFonts w:cs="Arial"/>
              </w:rPr>
            </w:pPr>
            <w:r>
              <w:t>9.155</w:t>
            </w:r>
          </w:p>
        </w:tc>
        <w:tc>
          <w:tcPr>
            <w:tcW w:w="2802" w:type="pct"/>
            <w:tcBorders>
              <w:top w:val="nil"/>
              <w:left w:val="nil"/>
              <w:bottom w:val="single" w:sz="8" w:space="0" w:color="auto"/>
              <w:right w:val="single" w:sz="8" w:space="0" w:color="auto"/>
            </w:tcBorders>
            <w:vAlign w:val="center"/>
          </w:tcPr>
          <w:p w14:paraId="06EA23FC" w14:textId="77777777" w:rsidR="00115458" w:rsidRPr="00D06BCE" w:rsidRDefault="00115458" w:rsidP="00D06BCE">
            <w:pPr>
              <w:spacing w:after="0" w:line="240" w:lineRule="auto"/>
              <w:rPr>
                <w:rFonts w:cs="Arial"/>
              </w:rPr>
            </w:pPr>
            <w:r w:rsidRPr="00D06BCE">
              <w:rPr>
                <w:rFonts w:cs="Arial"/>
              </w:rPr>
              <w:t>Amount of repayment (first) (cents)</w:t>
            </w:r>
          </w:p>
        </w:tc>
        <w:tc>
          <w:tcPr>
            <w:tcW w:w="1536" w:type="pct"/>
            <w:tcBorders>
              <w:top w:val="nil"/>
              <w:left w:val="nil"/>
              <w:bottom w:val="single" w:sz="8" w:space="0" w:color="auto"/>
              <w:right w:val="single" w:sz="8" w:space="0" w:color="auto"/>
            </w:tcBorders>
            <w:vAlign w:val="center"/>
          </w:tcPr>
          <w:p w14:paraId="5F733464" w14:textId="77777777" w:rsidR="00115458" w:rsidRPr="00D06BCE" w:rsidRDefault="00115458" w:rsidP="00D06BCE">
            <w:pPr>
              <w:spacing w:after="0" w:line="240" w:lineRule="auto"/>
              <w:rPr>
                <w:rFonts w:cs="Arial"/>
              </w:rPr>
            </w:pPr>
            <w:r w:rsidRPr="00D06BCE">
              <w:rPr>
                <w:rFonts w:cs="Arial"/>
              </w:rPr>
              <w:t>000002100000</w:t>
            </w:r>
          </w:p>
        </w:tc>
      </w:tr>
      <w:tr w:rsidR="00115458" w:rsidRPr="00D06BCE" w14:paraId="28D22F9C" w14:textId="77777777" w:rsidTr="00427C84">
        <w:trPr>
          <w:trHeight w:val="270"/>
        </w:trPr>
        <w:tc>
          <w:tcPr>
            <w:tcW w:w="662" w:type="pct"/>
            <w:tcBorders>
              <w:top w:val="nil"/>
              <w:left w:val="single" w:sz="8" w:space="0" w:color="auto"/>
              <w:bottom w:val="single" w:sz="8" w:space="0" w:color="auto"/>
              <w:right w:val="single" w:sz="8" w:space="0" w:color="auto"/>
            </w:tcBorders>
          </w:tcPr>
          <w:p w14:paraId="6219464A" w14:textId="14561C71" w:rsidR="00115458" w:rsidRPr="007F6219" w:rsidRDefault="009C084F" w:rsidP="00D06BCE">
            <w:pPr>
              <w:spacing w:after="0" w:line="240" w:lineRule="auto"/>
              <w:rPr>
                <w:rFonts w:cs="Arial"/>
              </w:rPr>
            </w:pPr>
            <w:r>
              <w:t>9.156</w:t>
            </w:r>
          </w:p>
        </w:tc>
        <w:tc>
          <w:tcPr>
            <w:tcW w:w="2802" w:type="pct"/>
            <w:tcBorders>
              <w:top w:val="nil"/>
              <w:left w:val="nil"/>
              <w:bottom w:val="single" w:sz="8" w:space="0" w:color="auto"/>
              <w:right w:val="single" w:sz="8" w:space="0" w:color="auto"/>
            </w:tcBorders>
            <w:vAlign w:val="center"/>
          </w:tcPr>
          <w:p w14:paraId="7EAA72F3" w14:textId="77777777" w:rsidR="00115458" w:rsidRPr="00D06BCE" w:rsidRDefault="00115458" w:rsidP="00D06BCE">
            <w:pPr>
              <w:spacing w:after="0" w:line="240" w:lineRule="auto"/>
              <w:rPr>
                <w:rFonts w:cs="Arial"/>
              </w:rPr>
            </w:pPr>
            <w:r w:rsidRPr="00D06BCE">
              <w:rPr>
                <w:rFonts w:cs="Arial"/>
              </w:rPr>
              <w:t>Date of repayment (first) (DDMMCCYY)</w:t>
            </w:r>
          </w:p>
        </w:tc>
        <w:tc>
          <w:tcPr>
            <w:tcW w:w="1536" w:type="pct"/>
            <w:tcBorders>
              <w:top w:val="nil"/>
              <w:left w:val="nil"/>
              <w:bottom w:val="single" w:sz="8" w:space="0" w:color="auto"/>
              <w:right w:val="single" w:sz="8" w:space="0" w:color="auto"/>
            </w:tcBorders>
            <w:vAlign w:val="center"/>
          </w:tcPr>
          <w:p w14:paraId="6C08CDF5" w14:textId="07181A89" w:rsidR="00115458" w:rsidRPr="00D06BCE" w:rsidRDefault="00115458" w:rsidP="00D06BCE">
            <w:pPr>
              <w:spacing w:after="0" w:line="240" w:lineRule="auto"/>
              <w:rPr>
                <w:rFonts w:cs="Arial"/>
              </w:rPr>
            </w:pPr>
            <w:r w:rsidRPr="00D06BCE">
              <w:rPr>
                <w:rFonts w:cs="Arial"/>
              </w:rPr>
              <w:t>030820</w:t>
            </w:r>
            <w:r w:rsidR="00A27929">
              <w:rPr>
                <w:rFonts w:cs="Arial"/>
              </w:rPr>
              <w:t>25</w:t>
            </w:r>
          </w:p>
        </w:tc>
      </w:tr>
      <w:tr w:rsidR="00115458" w:rsidRPr="00D06BCE" w14:paraId="6CB89237" w14:textId="77777777" w:rsidTr="00427C84">
        <w:trPr>
          <w:trHeight w:val="270"/>
        </w:trPr>
        <w:tc>
          <w:tcPr>
            <w:tcW w:w="662" w:type="pct"/>
            <w:tcBorders>
              <w:top w:val="nil"/>
              <w:left w:val="single" w:sz="8" w:space="0" w:color="auto"/>
              <w:bottom w:val="single" w:sz="8" w:space="0" w:color="auto"/>
              <w:right w:val="single" w:sz="8" w:space="0" w:color="auto"/>
            </w:tcBorders>
          </w:tcPr>
          <w:p w14:paraId="2279340A" w14:textId="0FC8F0A8" w:rsidR="00115458" w:rsidRPr="007F6219" w:rsidRDefault="00AC6B52" w:rsidP="00D06BCE">
            <w:pPr>
              <w:spacing w:after="0" w:line="240" w:lineRule="auto"/>
              <w:rPr>
                <w:rFonts w:cs="Arial"/>
              </w:rPr>
            </w:pPr>
            <w:r>
              <w:t>9.155</w:t>
            </w:r>
          </w:p>
        </w:tc>
        <w:tc>
          <w:tcPr>
            <w:tcW w:w="2802" w:type="pct"/>
            <w:tcBorders>
              <w:top w:val="nil"/>
              <w:left w:val="nil"/>
              <w:bottom w:val="single" w:sz="8" w:space="0" w:color="auto"/>
              <w:right w:val="single" w:sz="8" w:space="0" w:color="auto"/>
            </w:tcBorders>
            <w:vAlign w:val="center"/>
          </w:tcPr>
          <w:p w14:paraId="1ECE183C" w14:textId="77777777" w:rsidR="00115458" w:rsidRPr="00D06BCE" w:rsidRDefault="00115458" w:rsidP="00D06BCE">
            <w:pPr>
              <w:spacing w:after="0" w:line="240" w:lineRule="auto"/>
              <w:rPr>
                <w:rFonts w:cs="Arial"/>
              </w:rPr>
            </w:pPr>
            <w:r w:rsidRPr="00D06BCE">
              <w:rPr>
                <w:rFonts w:cs="Arial"/>
              </w:rPr>
              <w:t>Amount of repayment (second) (cents)</w:t>
            </w:r>
          </w:p>
        </w:tc>
        <w:tc>
          <w:tcPr>
            <w:tcW w:w="1536" w:type="pct"/>
            <w:tcBorders>
              <w:top w:val="nil"/>
              <w:left w:val="nil"/>
              <w:bottom w:val="single" w:sz="8" w:space="0" w:color="auto"/>
              <w:right w:val="single" w:sz="8" w:space="0" w:color="auto"/>
            </w:tcBorders>
            <w:vAlign w:val="center"/>
          </w:tcPr>
          <w:p w14:paraId="63847CE7" w14:textId="77777777" w:rsidR="00115458" w:rsidRPr="00D06BCE" w:rsidRDefault="00115458" w:rsidP="00D06BCE">
            <w:pPr>
              <w:spacing w:after="0" w:line="240" w:lineRule="auto"/>
              <w:rPr>
                <w:rFonts w:cs="Arial"/>
              </w:rPr>
            </w:pPr>
            <w:r w:rsidRPr="00D06BCE">
              <w:rPr>
                <w:rFonts w:cs="Arial"/>
              </w:rPr>
              <w:t>000000900000</w:t>
            </w:r>
          </w:p>
        </w:tc>
      </w:tr>
      <w:tr w:rsidR="00115458" w:rsidRPr="00D06BCE" w14:paraId="16C69610" w14:textId="77777777" w:rsidTr="00427C84">
        <w:trPr>
          <w:trHeight w:val="270"/>
        </w:trPr>
        <w:tc>
          <w:tcPr>
            <w:tcW w:w="662" w:type="pct"/>
            <w:tcBorders>
              <w:top w:val="nil"/>
              <w:left w:val="single" w:sz="8" w:space="0" w:color="auto"/>
              <w:bottom w:val="single" w:sz="8" w:space="0" w:color="auto"/>
              <w:right w:val="single" w:sz="8" w:space="0" w:color="auto"/>
            </w:tcBorders>
          </w:tcPr>
          <w:p w14:paraId="7FCE422F" w14:textId="729AF691" w:rsidR="00115458" w:rsidRPr="007F6219" w:rsidRDefault="009C084F" w:rsidP="00D06BCE">
            <w:pPr>
              <w:spacing w:after="0" w:line="240" w:lineRule="auto"/>
              <w:rPr>
                <w:rFonts w:cs="Arial"/>
              </w:rPr>
            </w:pPr>
            <w:r>
              <w:t>9.156</w:t>
            </w:r>
          </w:p>
        </w:tc>
        <w:tc>
          <w:tcPr>
            <w:tcW w:w="2802" w:type="pct"/>
            <w:tcBorders>
              <w:top w:val="nil"/>
              <w:left w:val="nil"/>
              <w:bottom w:val="single" w:sz="8" w:space="0" w:color="auto"/>
              <w:right w:val="single" w:sz="8" w:space="0" w:color="auto"/>
            </w:tcBorders>
            <w:vAlign w:val="center"/>
          </w:tcPr>
          <w:p w14:paraId="26CE0F2B" w14:textId="77777777" w:rsidR="00115458" w:rsidRPr="00D06BCE" w:rsidRDefault="00115458" w:rsidP="00D06BCE">
            <w:pPr>
              <w:spacing w:after="0" w:line="240" w:lineRule="auto"/>
              <w:rPr>
                <w:rFonts w:cs="Arial"/>
              </w:rPr>
            </w:pPr>
            <w:r w:rsidRPr="00D06BCE">
              <w:rPr>
                <w:rFonts w:cs="Arial"/>
              </w:rPr>
              <w:t>Date of repayment (second) (DDMMCCYY)</w:t>
            </w:r>
          </w:p>
        </w:tc>
        <w:tc>
          <w:tcPr>
            <w:tcW w:w="1536" w:type="pct"/>
            <w:tcBorders>
              <w:top w:val="nil"/>
              <w:left w:val="nil"/>
              <w:bottom w:val="single" w:sz="8" w:space="0" w:color="auto"/>
              <w:right w:val="single" w:sz="8" w:space="0" w:color="auto"/>
            </w:tcBorders>
            <w:vAlign w:val="center"/>
          </w:tcPr>
          <w:p w14:paraId="4A28B578" w14:textId="1EAE607F" w:rsidR="00115458" w:rsidRPr="00D06BCE" w:rsidRDefault="00115458" w:rsidP="00D06BCE">
            <w:pPr>
              <w:spacing w:after="0" w:line="240" w:lineRule="auto"/>
              <w:rPr>
                <w:rFonts w:cs="Arial"/>
              </w:rPr>
            </w:pPr>
            <w:r w:rsidRPr="00D06BCE">
              <w:rPr>
                <w:rFonts w:cs="Arial"/>
              </w:rPr>
              <w:t>181220</w:t>
            </w:r>
            <w:r w:rsidR="00A27929">
              <w:rPr>
                <w:rFonts w:cs="Arial"/>
              </w:rPr>
              <w:t>25</w:t>
            </w:r>
          </w:p>
        </w:tc>
      </w:tr>
      <w:tr w:rsidR="00115458" w:rsidRPr="00D06BCE" w14:paraId="6B379379" w14:textId="77777777" w:rsidTr="00427C84">
        <w:trPr>
          <w:trHeight w:val="270"/>
        </w:trPr>
        <w:tc>
          <w:tcPr>
            <w:tcW w:w="662" w:type="pct"/>
            <w:tcBorders>
              <w:top w:val="nil"/>
              <w:left w:val="single" w:sz="8" w:space="0" w:color="auto"/>
              <w:bottom w:val="single" w:sz="8" w:space="0" w:color="auto"/>
              <w:right w:val="single" w:sz="8" w:space="0" w:color="auto"/>
            </w:tcBorders>
          </w:tcPr>
          <w:p w14:paraId="5B7792A4" w14:textId="711D5A1F" w:rsidR="00115458" w:rsidRPr="00D06BCE" w:rsidRDefault="00AC6B52" w:rsidP="00D06BCE">
            <w:pPr>
              <w:spacing w:after="0" w:line="240" w:lineRule="auto"/>
              <w:rPr>
                <w:rFonts w:cs="Arial"/>
              </w:rPr>
            </w:pPr>
            <w:r>
              <w:t>9.155</w:t>
            </w:r>
          </w:p>
        </w:tc>
        <w:tc>
          <w:tcPr>
            <w:tcW w:w="2802" w:type="pct"/>
            <w:tcBorders>
              <w:top w:val="nil"/>
              <w:left w:val="nil"/>
              <w:bottom w:val="single" w:sz="8" w:space="0" w:color="auto"/>
              <w:right w:val="single" w:sz="8" w:space="0" w:color="auto"/>
            </w:tcBorders>
            <w:vAlign w:val="center"/>
          </w:tcPr>
          <w:p w14:paraId="15418B93" w14:textId="77777777" w:rsidR="00115458" w:rsidRPr="00D06BCE" w:rsidRDefault="00115458" w:rsidP="00D06BCE">
            <w:pPr>
              <w:spacing w:after="0" w:line="240" w:lineRule="auto"/>
              <w:rPr>
                <w:rFonts w:cs="Arial"/>
              </w:rPr>
            </w:pPr>
            <w:r w:rsidRPr="00D06BCE">
              <w:rPr>
                <w:rFonts w:cs="Arial"/>
              </w:rPr>
              <w:t>Amount of repayment (third) (cents)</w:t>
            </w:r>
          </w:p>
        </w:tc>
        <w:tc>
          <w:tcPr>
            <w:tcW w:w="1536" w:type="pct"/>
            <w:tcBorders>
              <w:top w:val="nil"/>
              <w:left w:val="nil"/>
              <w:bottom w:val="single" w:sz="8" w:space="0" w:color="auto"/>
              <w:right w:val="single" w:sz="8" w:space="0" w:color="auto"/>
            </w:tcBorders>
            <w:vAlign w:val="center"/>
          </w:tcPr>
          <w:p w14:paraId="0E9452C2" w14:textId="77777777" w:rsidR="00115458" w:rsidRPr="00D06BCE" w:rsidRDefault="00115458" w:rsidP="00D06BCE">
            <w:pPr>
              <w:spacing w:after="0" w:line="240" w:lineRule="auto"/>
              <w:rPr>
                <w:rFonts w:cs="Arial"/>
              </w:rPr>
            </w:pPr>
            <w:r w:rsidRPr="00D06BCE">
              <w:rPr>
                <w:rFonts w:cs="Arial"/>
              </w:rPr>
              <w:t>000001500000</w:t>
            </w:r>
          </w:p>
        </w:tc>
      </w:tr>
      <w:tr w:rsidR="00115458" w:rsidRPr="00D06BCE" w14:paraId="01E9F523" w14:textId="77777777" w:rsidTr="00427C84">
        <w:trPr>
          <w:trHeight w:val="270"/>
        </w:trPr>
        <w:tc>
          <w:tcPr>
            <w:tcW w:w="662" w:type="pct"/>
            <w:tcBorders>
              <w:top w:val="nil"/>
              <w:left w:val="single" w:sz="8" w:space="0" w:color="auto"/>
              <w:bottom w:val="single" w:sz="8" w:space="0" w:color="auto"/>
              <w:right w:val="single" w:sz="8" w:space="0" w:color="auto"/>
            </w:tcBorders>
          </w:tcPr>
          <w:p w14:paraId="4E216F3C" w14:textId="0EFEEAD5" w:rsidR="00115458" w:rsidRPr="007F6219" w:rsidRDefault="009C084F" w:rsidP="00D06BCE">
            <w:pPr>
              <w:spacing w:after="0" w:line="240" w:lineRule="auto"/>
              <w:rPr>
                <w:rFonts w:cs="Arial"/>
              </w:rPr>
            </w:pPr>
            <w:r>
              <w:t>9.156</w:t>
            </w:r>
          </w:p>
        </w:tc>
        <w:tc>
          <w:tcPr>
            <w:tcW w:w="2802" w:type="pct"/>
            <w:tcBorders>
              <w:top w:val="nil"/>
              <w:left w:val="nil"/>
              <w:bottom w:val="single" w:sz="8" w:space="0" w:color="auto"/>
              <w:right w:val="single" w:sz="8" w:space="0" w:color="auto"/>
            </w:tcBorders>
            <w:vAlign w:val="center"/>
          </w:tcPr>
          <w:p w14:paraId="73B52863" w14:textId="77777777" w:rsidR="00115458" w:rsidRPr="00D06BCE" w:rsidRDefault="00115458" w:rsidP="00D06BCE">
            <w:pPr>
              <w:spacing w:after="0" w:line="240" w:lineRule="auto"/>
              <w:rPr>
                <w:rFonts w:cs="Arial"/>
              </w:rPr>
            </w:pPr>
            <w:r w:rsidRPr="00D06BCE">
              <w:rPr>
                <w:rFonts w:cs="Arial"/>
              </w:rPr>
              <w:t>Date of repayment (third) (DDMMCCYY)</w:t>
            </w:r>
          </w:p>
        </w:tc>
        <w:tc>
          <w:tcPr>
            <w:tcW w:w="1536" w:type="pct"/>
            <w:tcBorders>
              <w:top w:val="nil"/>
              <w:left w:val="nil"/>
              <w:bottom w:val="single" w:sz="8" w:space="0" w:color="auto"/>
              <w:right w:val="single" w:sz="8" w:space="0" w:color="auto"/>
            </w:tcBorders>
            <w:vAlign w:val="center"/>
          </w:tcPr>
          <w:p w14:paraId="07DB44C5" w14:textId="5A08EAFA" w:rsidR="00115458" w:rsidRPr="00D06BCE" w:rsidRDefault="00115458" w:rsidP="00D06BCE">
            <w:pPr>
              <w:spacing w:after="0" w:line="240" w:lineRule="auto"/>
              <w:rPr>
                <w:rFonts w:cs="Arial"/>
              </w:rPr>
            </w:pPr>
            <w:r w:rsidRPr="00D06BCE">
              <w:rPr>
                <w:rFonts w:cs="Arial"/>
              </w:rPr>
              <w:t>1806202</w:t>
            </w:r>
            <w:r w:rsidR="00A27929">
              <w:rPr>
                <w:rFonts w:cs="Arial"/>
              </w:rPr>
              <w:t>6</w:t>
            </w:r>
          </w:p>
        </w:tc>
      </w:tr>
      <w:tr w:rsidR="00115458" w:rsidRPr="00D06BCE" w14:paraId="4CDB39DA" w14:textId="77777777" w:rsidTr="00427C84">
        <w:trPr>
          <w:trHeight w:val="270"/>
        </w:trPr>
        <w:tc>
          <w:tcPr>
            <w:tcW w:w="662" w:type="pct"/>
            <w:tcBorders>
              <w:top w:val="nil"/>
              <w:left w:val="single" w:sz="8" w:space="0" w:color="auto"/>
              <w:bottom w:val="single" w:sz="8" w:space="0" w:color="auto"/>
              <w:right w:val="single" w:sz="8" w:space="0" w:color="auto"/>
            </w:tcBorders>
          </w:tcPr>
          <w:p w14:paraId="076E02B4" w14:textId="57B8E82E" w:rsidR="00115458" w:rsidRPr="00D06BCE" w:rsidRDefault="00AC6B52" w:rsidP="00D06BCE">
            <w:pPr>
              <w:spacing w:after="0" w:line="240" w:lineRule="auto"/>
              <w:rPr>
                <w:rFonts w:cs="Arial"/>
              </w:rPr>
            </w:pPr>
            <w:r>
              <w:t>9.155</w:t>
            </w:r>
          </w:p>
        </w:tc>
        <w:tc>
          <w:tcPr>
            <w:tcW w:w="2802" w:type="pct"/>
            <w:tcBorders>
              <w:top w:val="nil"/>
              <w:left w:val="nil"/>
              <w:bottom w:val="single" w:sz="8" w:space="0" w:color="auto"/>
              <w:right w:val="single" w:sz="8" w:space="0" w:color="auto"/>
            </w:tcBorders>
            <w:vAlign w:val="center"/>
          </w:tcPr>
          <w:p w14:paraId="226A75B5" w14:textId="77777777" w:rsidR="00115458" w:rsidRPr="00D06BCE" w:rsidRDefault="00115458" w:rsidP="00D06BCE">
            <w:pPr>
              <w:spacing w:after="0" w:line="240" w:lineRule="auto"/>
              <w:rPr>
                <w:rFonts w:cs="Arial"/>
              </w:rPr>
            </w:pPr>
            <w:r w:rsidRPr="00D06BCE">
              <w:rPr>
                <w:rFonts w:cs="Arial"/>
              </w:rPr>
              <w:t>Amount of repayment (fourth) (cents)</w:t>
            </w:r>
          </w:p>
        </w:tc>
        <w:tc>
          <w:tcPr>
            <w:tcW w:w="1536" w:type="pct"/>
            <w:tcBorders>
              <w:top w:val="nil"/>
              <w:left w:val="nil"/>
              <w:bottom w:val="single" w:sz="8" w:space="0" w:color="auto"/>
              <w:right w:val="single" w:sz="8" w:space="0" w:color="auto"/>
            </w:tcBorders>
            <w:vAlign w:val="center"/>
          </w:tcPr>
          <w:p w14:paraId="693261B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33DC998" w14:textId="77777777" w:rsidTr="00427C84">
        <w:trPr>
          <w:trHeight w:val="270"/>
        </w:trPr>
        <w:tc>
          <w:tcPr>
            <w:tcW w:w="662" w:type="pct"/>
            <w:tcBorders>
              <w:top w:val="nil"/>
              <w:left w:val="single" w:sz="8" w:space="0" w:color="auto"/>
              <w:bottom w:val="single" w:sz="8" w:space="0" w:color="auto"/>
              <w:right w:val="single" w:sz="8" w:space="0" w:color="auto"/>
            </w:tcBorders>
          </w:tcPr>
          <w:p w14:paraId="1147414E" w14:textId="2F4A375D" w:rsidR="00115458" w:rsidRPr="007F6219" w:rsidRDefault="009C084F" w:rsidP="00D06BCE">
            <w:pPr>
              <w:spacing w:after="0" w:line="240" w:lineRule="auto"/>
              <w:rPr>
                <w:rFonts w:cs="Arial"/>
              </w:rPr>
            </w:pPr>
            <w:r>
              <w:t>9.156</w:t>
            </w:r>
          </w:p>
        </w:tc>
        <w:tc>
          <w:tcPr>
            <w:tcW w:w="2802" w:type="pct"/>
            <w:tcBorders>
              <w:top w:val="nil"/>
              <w:left w:val="nil"/>
              <w:bottom w:val="single" w:sz="8" w:space="0" w:color="auto"/>
              <w:right w:val="single" w:sz="8" w:space="0" w:color="auto"/>
            </w:tcBorders>
            <w:vAlign w:val="center"/>
          </w:tcPr>
          <w:p w14:paraId="75A11065" w14:textId="77777777" w:rsidR="00115458" w:rsidRPr="00D06BCE" w:rsidRDefault="00115458" w:rsidP="00D06BCE">
            <w:pPr>
              <w:spacing w:after="0" w:line="240" w:lineRule="auto"/>
              <w:rPr>
                <w:rFonts w:cs="Arial"/>
              </w:rPr>
            </w:pPr>
            <w:r w:rsidRPr="00D06BCE">
              <w:rPr>
                <w:rFonts w:cs="Arial"/>
              </w:rPr>
              <w:t>Date of repayment (fourth) (DDMMCCYY)</w:t>
            </w:r>
          </w:p>
        </w:tc>
        <w:tc>
          <w:tcPr>
            <w:tcW w:w="1536" w:type="pct"/>
            <w:tcBorders>
              <w:top w:val="nil"/>
              <w:left w:val="nil"/>
              <w:bottom w:val="single" w:sz="8" w:space="0" w:color="auto"/>
              <w:right w:val="single" w:sz="8" w:space="0" w:color="auto"/>
            </w:tcBorders>
            <w:vAlign w:val="center"/>
          </w:tcPr>
          <w:p w14:paraId="3EFEE25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362EB6D" w14:textId="77777777" w:rsidTr="00427C84">
        <w:trPr>
          <w:trHeight w:val="270"/>
        </w:trPr>
        <w:tc>
          <w:tcPr>
            <w:tcW w:w="662" w:type="pct"/>
            <w:tcBorders>
              <w:top w:val="nil"/>
              <w:left w:val="single" w:sz="8" w:space="0" w:color="auto"/>
              <w:bottom w:val="single" w:sz="8" w:space="0" w:color="auto"/>
              <w:right w:val="single" w:sz="8" w:space="0" w:color="auto"/>
            </w:tcBorders>
          </w:tcPr>
          <w:p w14:paraId="046BA995" w14:textId="35F35233" w:rsidR="00115458" w:rsidRPr="007F6219" w:rsidRDefault="000E7348" w:rsidP="00D06BCE">
            <w:pPr>
              <w:spacing w:after="0" w:line="240" w:lineRule="auto"/>
              <w:rPr>
                <w:rFonts w:cs="Arial"/>
              </w:rPr>
            </w:pPr>
            <w:r>
              <w:t>9.157</w:t>
            </w:r>
          </w:p>
        </w:tc>
        <w:tc>
          <w:tcPr>
            <w:tcW w:w="2802" w:type="pct"/>
            <w:tcBorders>
              <w:top w:val="nil"/>
              <w:left w:val="nil"/>
              <w:bottom w:val="single" w:sz="8" w:space="0" w:color="auto"/>
              <w:right w:val="single" w:sz="8" w:space="0" w:color="auto"/>
            </w:tcBorders>
            <w:vAlign w:val="center"/>
          </w:tcPr>
          <w:p w14:paraId="3155790B"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36" w:type="pct"/>
            <w:tcBorders>
              <w:top w:val="nil"/>
              <w:left w:val="nil"/>
              <w:bottom w:val="single" w:sz="8" w:space="0" w:color="auto"/>
              <w:right w:val="single" w:sz="8" w:space="0" w:color="auto"/>
            </w:tcBorders>
            <w:vAlign w:val="center"/>
          </w:tcPr>
          <w:p w14:paraId="37117283" w14:textId="77777777" w:rsidR="00115458" w:rsidRPr="00D06BCE" w:rsidRDefault="00115458" w:rsidP="00D06BCE">
            <w:pPr>
              <w:spacing w:after="0" w:line="240" w:lineRule="auto"/>
              <w:rPr>
                <w:rFonts w:cs="Arial"/>
              </w:rPr>
            </w:pPr>
            <w:r w:rsidRPr="00D06BCE">
              <w:rPr>
                <w:rFonts w:cs="Arial"/>
              </w:rPr>
              <w:t>000010420000</w:t>
            </w:r>
          </w:p>
        </w:tc>
      </w:tr>
      <w:tr w:rsidR="00115458" w:rsidRPr="00D06BCE" w14:paraId="25670CF8" w14:textId="77777777" w:rsidTr="00427C84">
        <w:trPr>
          <w:trHeight w:val="270"/>
        </w:trPr>
        <w:tc>
          <w:tcPr>
            <w:tcW w:w="662" w:type="pct"/>
            <w:tcBorders>
              <w:top w:val="nil"/>
              <w:left w:val="single" w:sz="8" w:space="0" w:color="auto"/>
              <w:bottom w:val="single" w:sz="8" w:space="0" w:color="auto"/>
              <w:right w:val="single" w:sz="8" w:space="0" w:color="auto"/>
            </w:tcBorders>
          </w:tcPr>
          <w:p w14:paraId="74EE7449" w14:textId="5BAE8A6C" w:rsidR="00115458" w:rsidRPr="007F6219" w:rsidRDefault="00423041" w:rsidP="00D06BCE">
            <w:pPr>
              <w:spacing w:after="0" w:line="240" w:lineRule="auto"/>
              <w:rPr>
                <w:rFonts w:cs="Arial"/>
              </w:rPr>
            </w:pPr>
            <w:r>
              <w:t>9.158</w:t>
            </w:r>
          </w:p>
        </w:tc>
        <w:tc>
          <w:tcPr>
            <w:tcW w:w="2802" w:type="pct"/>
            <w:tcBorders>
              <w:top w:val="nil"/>
              <w:left w:val="nil"/>
              <w:bottom w:val="single" w:sz="8" w:space="0" w:color="auto"/>
              <w:right w:val="single" w:sz="8" w:space="0" w:color="auto"/>
            </w:tcBorders>
            <w:vAlign w:val="center"/>
          </w:tcPr>
          <w:p w14:paraId="7AEFFD7E"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36" w:type="pct"/>
            <w:tcBorders>
              <w:top w:val="nil"/>
              <w:left w:val="nil"/>
              <w:bottom w:val="single" w:sz="8" w:space="0" w:color="auto"/>
              <w:right w:val="single" w:sz="8" w:space="0" w:color="auto"/>
            </w:tcBorders>
            <w:vAlign w:val="center"/>
          </w:tcPr>
          <w:p w14:paraId="63DCB70B" w14:textId="53036E8B" w:rsidR="00115458" w:rsidRPr="00D06BCE" w:rsidRDefault="00115458" w:rsidP="00D06BCE">
            <w:pPr>
              <w:spacing w:after="0" w:line="240" w:lineRule="auto"/>
              <w:rPr>
                <w:rFonts w:cs="Arial"/>
              </w:rPr>
            </w:pPr>
            <w:r w:rsidRPr="00D06BCE">
              <w:rPr>
                <w:rFonts w:cs="Arial"/>
              </w:rPr>
              <w:t>010720</w:t>
            </w:r>
            <w:r w:rsidR="002634BD">
              <w:rPr>
                <w:rFonts w:cs="Arial"/>
              </w:rPr>
              <w:t>25</w:t>
            </w:r>
          </w:p>
        </w:tc>
      </w:tr>
      <w:tr w:rsidR="00115458" w:rsidRPr="00D06BCE" w14:paraId="3221A894" w14:textId="77777777" w:rsidTr="00427C84">
        <w:trPr>
          <w:trHeight w:val="270"/>
        </w:trPr>
        <w:tc>
          <w:tcPr>
            <w:tcW w:w="662" w:type="pct"/>
            <w:tcBorders>
              <w:top w:val="nil"/>
              <w:left w:val="single" w:sz="8" w:space="0" w:color="auto"/>
              <w:bottom w:val="single" w:sz="8" w:space="0" w:color="auto"/>
              <w:right w:val="single" w:sz="8" w:space="0" w:color="auto"/>
            </w:tcBorders>
          </w:tcPr>
          <w:p w14:paraId="7D69561D" w14:textId="59547BEC" w:rsidR="00115458" w:rsidRPr="007F6219" w:rsidRDefault="00096F4C" w:rsidP="00D06BCE">
            <w:pPr>
              <w:spacing w:after="0" w:line="240" w:lineRule="auto"/>
              <w:rPr>
                <w:rFonts w:cs="Arial"/>
              </w:rPr>
            </w:pPr>
            <w:r>
              <w:t>9.159</w:t>
            </w:r>
          </w:p>
        </w:tc>
        <w:tc>
          <w:tcPr>
            <w:tcW w:w="2802" w:type="pct"/>
            <w:tcBorders>
              <w:top w:val="nil"/>
              <w:left w:val="nil"/>
              <w:bottom w:val="single" w:sz="8" w:space="0" w:color="auto"/>
              <w:right w:val="single" w:sz="8" w:space="0" w:color="auto"/>
            </w:tcBorders>
            <w:vAlign w:val="center"/>
          </w:tcPr>
          <w:p w14:paraId="4D199670"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36" w:type="pct"/>
            <w:tcBorders>
              <w:top w:val="nil"/>
              <w:left w:val="nil"/>
              <w:bottom w:val="single" w:sz="8" w:space="0" w:color="auto"/>
              <w:right w:val="single" w:sz="8" w:space="0" w:color="auto"/>
            </w:tcBorders>
            <w:vAlign w:val="center"/>
          </w:tcPr>
          <w:p w14:paraId="69AD22EC"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461092FE" w14:textId="77777777" w:rsidTr="00427C84">
        <w:trPr>
          <w:trHeight w:val="270"/>
        </w:trPr>
        <w:tc>
          <w:tcPr>
            <w:tcW w:w="662" w:type="pct"/>
            <w:tcBorders>
              <w:top w:val="nil"/>
              <w:left w:val="single" w:sz="8" w:space="0" w:color="auto"/>
              <w:bottom w:val="single" w:sz="8" w:space="0" w:color="auto"/>
              <w:right w:val="single" w:sz="8" w:space="0" w:color="auto"/>
            </w:tcBorders>
          </w:tcPr>
          <w:p w14:paraId="504CFE5F" w14:textId="0F88B852" w:rsidR="00115458" w:rsidRPr="007F6219" w:rsidRDefault="002E5B30" w:rsidP="00D06BCE">
            <w:pPr>
              <w:spacing w:after="0" w:line="240" w:lineRule="auto"/>
              <w:rPr>
                <w:rFonts w:cs="Arial"/>
              </w:rPr>
            </w:pPr>
            <w:r>
              <w:t>9.160</w:t>
            </w:r>
          </w:p>
        </w:tc>
        <w:tc>
          <w:tcPr>
            <w:tcW w:w="2802" w:type="pct"/>
            <w:tcBorders>
              <w:top w:val="nil"/>
              <w:left w:val="nil"/>
              <w:bottom w:val="single" w:sz="8" w:space="0" w:color="auto"/>
              <w:right w:val="single" w:sz="8" w:space="0" w:color="auto"/>
            </w:tcBorders>
            <w:vAlign w:val="center"/>
          </w:tcPr>
          <w:p w14:paraId="34C75CBA"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36" w:type="pct"/>
            <w:tcBorders>
              <w:top w:val="nil"/>
              <w:left w:val="nil"/>
              <w:bottom w:val="single" w:sz="8" w:space="0" w:color="auto"/>
              <w:right w:val="single" w:sz="8" w:space="0" w:color="auto"/>
            </w:tcBorders>
            <w:vAlign w:val="center"/>
          </w:tcPr>
          <w:p w14:paraId="5F3D19B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687DEDCE" w14:textId="77777777" w:rsidTr="00427C84">
        <w:trPr>
          <w:trHeight w:val="270"/>
        </w:trPr>
        <w:tc>
          <w:tcPr>
            <w:tcW w:w="662" w:type="pct"/>
            <w:tcBorders>
              <w:top w:val="nil"/>
              <w:left w:val="single" w:sz="8" w:space="0" w:color="auto"/>
              <w:bottom w:val="single" w:sz="8" w:space="0" w:color="auto"/>
              <w:right w:val="single" w:sz="8" w:space="0" w:color="auto"/>
            </w:tcBorders>
          </w:tcPr>
          <w:p w14:paraId="04E3EA60" w14:textId="219E60E4" w:rsidR="00115458" w:rsidRPr="007F6219" w:rsidRDefault="002E5B30" w:rsidP="00D06BCE">
            <w:pPr>
              <w:spacing w:after="0" w:line="240" w:lineRule="auto"/>
              <w:rPr>
                <w:rFonts w:cs="Arial"/>
              </w:rPr>
            </w:pPr>
            <w:r>
              <w:t>9.161</w:t>
            </w:r>
          </w:p>
        </w:tc>
        <w:tc>
          <w:tcPr>
            <w:tcW w:w="2802" w:type="pct"/>
            <w:tcBorders>
              <w:top w:val="nil"/>
              <w:left w:val="nil"/>
              <w:bottom w:val="single" w:sz="8" w:space="0" w:color="auto"/>
              <w:right w:val="single" w:sz="8" w:space="0" w:color="auto"/>
            </w:tcBorders>
            <w:vAlign w:val="center"/>
          </w:tcPr>
          <w:p w14:paraId="36A31F05"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36" w:type="pct"/>
            <w:tcBorders>
              <w:top w:val="nil"/>
              <w:left w:val="nil"/>
              <w:bottom w:val="single" w:sz="8" w:space="0" w:color="auto"/>
              <w:right w:val="single" w:sz="8" w:space="0" w:color="auto"/>
            </w:tcBorders>
            <w:vAlign w:val="center"/>
          </w:tcPr>
          <w:p w14:paraId="2AE9DAD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E8256C8" w14:textId="77777777" w:rsidTr="00427C84">
        <w:trPr>
          <w:trHeight w:val="270"/>
        </w:trPr>
        <w:tc>
          <w:tcPr>
            <w:tcW w:w="662" w:type="pct"/>
            <w:tcBorders>
              <w:top w:val="nil"/>
              <w:left w:val="single" w:sz="8" w:space="0" w:color="auto"/>
              <w:bottom w:val="single" w:sz="8" w:space="0" w:color="auto"/>
              <w:right w:val="single" w:sz="8" w:space="0" w:color="auto"/>
            </w:tcBorders>
          </w:tcPr>
          <w:p w14:paraId="4218E768" w14:textId="602596FD" w:rsidR="00115458" w:rsidRPr="007F6219" w:rsidRDefault="002E5B30" w:rsidP="00D06BCE">
            <w:pPr>
              <w:spacing w:after="0" w:line="240" w:lineRule="auto"/>
              <w:rPr>
                <w:rFonts w:cs="Arial"/>
              </w:rPr>
            </w:pPr>
            <w:r>
              <w:t>9.162</w:t>
            </w:r>
          </w:p>
        </w:tc>
        <w:tc>
          <w:tcPr>
            <w:tcW w:w="2802" w:type="pct"/>
            <w:tcBorders>
              <w:top w:val="nil"/>
              <w:left w:val="nil"/>
              <w:bottom w:val="single" w:sz="8" w:space="0" w:color="auto"/>
              <w:right w:val="single" w:sz="8" w:space="0" w:color="auto"/>
            </w:tcBorders>
            <w:vAlign w:val="center"/>
          </w:tcPr>
          <w:p w14:paraId="50724604" w14:textId="77777777" w:rsidR="00115458" w:rsidRPr="00D06BCE" w:rsidRDefault="00115458" w:rsidP="00D06BCE">
            <w:pPr>
              <w:spacing w:after="0" w:line="240" w:lineRule="auto"/>
              <w:rPr>
                <w:rFonts w:cs="Arial"/>
              </w:rPr>
            </w:pPr>
            <w:r w:rsidRPr="00D06BCE">
              <w:rPr>
                <w:rFonts w:cs="Arial"/>
              </w:rPr>
              <w:t>Transferee BSB number (first)</w:t>
            </w:r>
          </w:p>
        </w:tc>
        <w:tc>
          <w:tcPr>
            <w:tcW w:w="1536" w:type="pct"/>
            <w:tcBorders>
              <w:top w:val="nil"/>
              <w:left w:val="nil"/>
              <w:bottom w:val="single" w:sz="8" w:space="0" w:color="auto"/>
              <w:right w:val="single" w:sz="8" w:space="0" w:color="auto"/>
            </w:tcBorders>
            <w:vAlign w:val="center"/>
          </w:tcPr>
          <w:p w14:paraId="4AF4DAFF"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01EFA74D" w14:textId="77777777" w:rsidTr="00427C84">
        <w:trPr>
          <w:trHeight w:val="270"/>
        </w:trPr>
        <w:tc>
          <w:tcPr>
            <w:tcW w:w="662" w:type="pct"/>
            <w:tcBorders>
              <w:top w:val="nil"/>
              <w:left w:val="single" w:sz="8" w:space="0" w:color="auto"/>
              <w:bottom w:val="single" w:sz="8" w:space="0" w:color="auto"/>
              <w:right w:val="single" w:sz="8" w:space="0" w:color="auto"/>
            </w:tcBorders>
          </w:tcPr>
          <w:p w14:paraId="594810F2" w14:textId="61B5AA6C" w:rsidR="00115458" w:rsidRPr="007F6219" w:rsidRDefault="002E5B30" w:rsidP="00D06BCE">
            <w:pPr>
              <w:spacing w:after="0" w:line="240" w:lineRule="auto"/>
              <w:rPr>
                <w:rFonts w:cs="Arial"/>
              </w:rPr>
            </w:pPr>
            <w:r>
              <w:t>9.160</w:t>
            </w:r>
          </w:p>
        </w:tc>
        <w:tc>
          <w:tcPr>
            <w:tcW w:w="2802" w:type="pct"/>
            <w:tcBorders>
              <w:top w:val="nil"/>
              <w:left w:val="nil"/>
              <w:bottom w:val="single" w:sz="8" w:space="0" w:color="auto"/>
              <w:right w:val="single" w:sz="8" w:space="0" w:color="auto"/>
            </w:tcBorders>
            <w:vAlign w:val="center"/>
          </w:tcPr>
          <w:p w14:paraId="3CBEE908"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36" w:type="pct"/>
            <w:tcBorders>
              <w:top w:val="nil"/>
              <w:left w:val="nil"/>
              <w:bottom w:val="single" w:sz="8" w:space="0" w:color="auto"/>
              <w:right w:val="single" w:sz="8" w:space="0" w:color="auto"/>
            </w:tcBorders>
            <w:vAlign w:val="center"/>
          </w:tcPr>
          <w:p w14:paraId="02FEBEF0"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A5AD233" w14:textId="77777777" w:rsidTr="00427C84">
        <w:trPr>
          <w:trHeight w:val="270"/>
        </w:trPr>
        <w:tc>
          <w:tcPr>
            <w:tcW w:w="662" w:type="pct"/>
            <w:tcBorders>
              <w:top w:val="nil"/>
              <w:left w:val="single" w:sz="8" w:space="0" w:color="auto"/>
              <w:bottom w:val="single" w:sz="8" w:space="0" w:color="auto"/>
              <w:right w:val="single" w:sz="8" w:space="0" w:color="auto"/>
            </w:tcBorders>
          </w:tcPr>
          <w:p w14:paraId="61F1EB99" w14:textId="64D26B4A" w:rsidR="00115458" w:rsidRPr="007F6219" w:rsidRDefault="002E5B30" w:rsidP="00D06BCE">
            <w:pPr>
              <w:spacing w:after="0" w:line="240" w:lineRule="auto"/>
              <w:rPr>
                <w:rFonts w:cs="Arial"/>
              </w:rPr>
            </w:pPr>
            <w:r>
              <w:t>9.161</w:t>
            </w:r>
          </w:p>
        </w:tc>
        <w:tc>
          <w:tcPr>
            <w:tcW w:w="2802" w:type="pct"/>
            <w:tcBorders>
              <w:top w:val="nil"/>
              <w:left w:val="nil"/>
              <w:bottom w:val="single" w:sz="8" w:space="0" w:color="auto"/>
              <w:right w:val="single" w:sz="8" w:space="0" w:color="auto"/>
            </w:tcBorders>
            <w:vAlign w:val="center"/>
          </w:tcPr>
          <w:p w14:paraId="18E82705"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36" w:type="pct"/>
            <w:tcBorders>
              <w:top w:val="nil"/>
              <w:left w:val="nil"/>
              <w:bottom w:val="single" w:sz="8" w:space="0" w:color="auto"/>
              <w:right w:val="single" w:sz="8" w:space="0" w:color="auto"/>
            </w:tcBorders>
            <w:vAlign w:val="center"/>
          </w:tcPr>
          <w:p w14:paraId="1D2D9FDE"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FC0E541" w14:textId="77777777" w:rsidTr="00427C84">
        <w:trPr>
          <w:trHeight w:val="270"/>
        </w:trPr>
        <w:tc>
          <w:tcPr>
            <w:tcW w:w="662" w:type="pct"/>
            <w:tcBorders>
              <w:top w:val="nil"/>
              <w:left w:val="single" w:sz="8" w:space="0" w:color="auto"/>
              <w:bottom w:val="single" w:sz="8" w:space="0" w:color="auto"/>
              <w:right w:val="single" w:sz="8" w:space="0" w:color="auto"/>
            </w:tcBorders>
          </w:tcPr>
          <w:p w14:paraId="093EE478" w14:textId="0F876D58" w:rsidR="00115458" w:rsidRPr="007F6219" w:rsidRDefault="002E5B30" w:rsidP="00D06BCE">
            <w:pPr>
              <w:spacing w:after="0" w:line="240" w:lineRule="auto"/>
              <w:rPr>
                <w:rFonts w:cs="Arial"/>
              </w:rPr>
            </w:pPr>
            <w:r>
              <w:t>9.162</w:t>
            </w:r>
          </w:p>
        </w:tc>
        <w:tc>
          <w:tcPr>
            <w:tcW w:w="2802" w:type="pct"/>
            <w:tcBorders>
              <w:top w:val="nil"/>
              <w:left w:val="nil"/>
              <w:bottom w:val="single" w:sz="8" w:space="0" w:color="auto"/>
              <w:right w:val="single" w:sz="8" w:space="0" w:color="auto"/>
            </w:tcBorders>
            <w:vAlign w:val="center"/>
          </w:tcPr>
          <w:p w14:paraId="4CCF7F79" w14:textId="77777777" w:rsidR="00115458" w:rsidRPr="00D06BCE" w:rsidRDefault="00115458" w:rsidP="00D06BCE">
            <w:pPr>
              <w:spacing w:after="0" w:line="240" w:lineRule="auto"/>
              <w:rPr>
                <w:rFonts w:cs="Arial"/>
              </w:rPr>
            </w:pPr>
            <w:r w:rsidRPr="00D06BCE">
              <w:rPr>
                <w:rFonts w:cs="Arial"/>
              </w:rPr>
              <w:t>Transferee BSB number (second)</w:t>
            </w:r>
          </w:p>
        </w:tc>
        <w:tc>
          <w:tcPr>
            <w:tcW w:w="1536" w:type="pct"/>
            <w:tcBorders>
              <w:top w:val="nil"/>
              <w:left w:val="nil"/>
              <w:bottom w:val="single" w:sz="8" w:space="0" w:color="auto"/>
              <w:right w:val="single" w:sz="8" w:space="0" w:color="auto"/>
            </w:tcBorders>
            <w:vAlign w:val="center"/>
          </w:tcPr>
          <w:p w14:paraId="4F5A216B"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30B6D97" w14:textId="77777777" w:rsidTr="00427C84">
        <w:trPr>
          <w:trHeight w:val="270"/>
        </w:trPr>
        <w:tc>
          <w:tcPr>
            <w:tcW w:w="662" w:type="pct"/>
            <w:tcBorders>
              <w:top w:val="nil"/>
              <w:left w:val="single" w:sz="8" w:space="0" w:color="auto"/>
              <w:bottom w:val="single" w:sz="8" w:space="0" w:color="auto"/>
              <w:right w:val="single" w:sz="8" w:space="0" w:color="auto"/>
            </w:tcBorders>
          </w:tcPr>
          <w:p w14:paraId="3627D138" w14:textId="4D2D6317" w:rsidR="00115458" w:rsidRPr="007F6219" w:rsidRDefault="002E5B30" w:rsidP="00D06BCE">
            <w:pPr>
              <w:spacing w:after="0" w:line="240" w:lineRule="auto"/>
              <w:rPr>
                <w:rFonts w:cs="Arial"/>
              </w:rPr>
            </w:pPr>
            <w:r>
              <w:t>9.160</w:t>
            </w:r>
          </w:p>
        </w:tc>
        <w:tc>
          <w:tcPr>
            <w:tcW w:w="2802" w:type="pct"/>
            <w:tcBorders>
              <w:top w:val="nil"/>
              <w:left w:val="nil"/>
              <w:bottom w:val="single" w:sz="8" w:space="0" w:color="auto"/>
              <w:right w:val="single" w:sz="8" w:space="0" w:color="auto"/>
            </w:tcBorders>
            <w:vAlign w:val="center"/>
          </w:tcPr>
          <w:p w14:paraId="30922CAF"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36" w:type="pct"/>
            <w:tcBorders>
              <w:top w:val="nil"/>
              <w:left w:val="nil"/>
              <w:bottom w:val="single" w:sz="8" w:space="0" w:color="auto"/>
              <w:right w:val="single" w:sz="8" w:space="0" w:color="auto"/>
            </w:tcBorders>
            <w:vAlign w:val="center"/>
          </w:tcPr>
          <w:p w14:paraId="72C8F92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185C321" w14:textId="77777777" w:rsidTr="00427C84">
        <w:trPr>
          <w:trHeight w:val="270"/>
        </w:trPr>
        <w:tc>
          <w:tcPr>
            <w:tcW w:w="662" w:type="pct"/>
            <w:tcBorders>
              <w:top w:val="nil"/>
              <w:left w:val="single" w:sz="8" w:space="0" w:color="auto"/>
              <w:bottom w:val="single" w:sz="8" w:space="0" w:color="auto"/>
              <w:right w:val="single" w:sz="8" w:space="0" w:color="auto"/>
            </w:tcBorders>
          </w:tcPr>
          <w:p w14:paraId="08780FA7" w14:textId="33238850" w:rsidR="00115458" w:rsidRPr="007F6219" w:rsidRDefault="002E5B30" w:rsidP="00D06BCE">
            <w:pPr>
              <w:spacing w:after="0" w:line="240" w:lineRule="auto"/>
              <w:rPr>
                <w:rFonts w:cs="Arial"/>
              </w:rPr>
            </w:pPr>
            <w:r>
              <w:t>9.161</w:t>
            </w:r>
          </w:p>
        </w:tc>
        <w:tc>
          <w:tcPr>
            <w:tcW w:w="2802" w:type="pct"/>
            <w:tcBorders>
              <w:top w:val="nil"/>
              <w:left w:val="nil"/>
              <w:bottom w:val="single" w:sz="8" w:space="0" w:color="auto"/>
              <w:right w:val="single" w:sz="8" w:space="0" w:color="auto"/>
            </w:tcBorders>
            <w:vAlign w:val="center"/>
          </w:tcPr>
          <w:p w14:paraId="00FD2C53"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36" w:type="pct"/>
            <w:tcBorders>
              <w:top w:val="nil"/>
              <w:left w:val="nil"/>
              <w:bottom w:val="single" w:sz="8" w:space="0" w:color="auto"/>
              <w:right w:val="single" w:sz="8" w:space="0" w:color="auto"/>
            </w:tcBorders>
            <w:vAlign w:val="center"/>
          </w:tcPr>
          <w:p w14:paraId="0B9A178A"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9D2C638" w14:textId="77777777" w:rsidTr="00427C84">
        <w:trPr>
          <w:trHeight w:val="270"/>
        </w:trPr>
        <w:tc>
          <w:tcPr>
            <w:tcW w:w="662" w:type="pct"/>
            <w:tcBorders>
              <w:top w:val="nil"/>
              <w:left w:val="single" w:sz="8" w:space="0" w:color="auto"/>
              <w:bottom w:val="single" w:sz="8" w:space="0" w:color="auto"/>
              <w:right w:val="single" w:sz="8" w:space="0" w:color="auto"/>
            </w:tcBorders>
          </w:tcPr>
          <w:p w14:paraId="739B9E97" w14:textId="7D4A7349" w:rsidR="00115458" w:rsidRPr="007F6219" w:rsidRDefault="002E5B30" w:rsidP="00D06BCE">
            <w:pPr>
              <w:spacing w:after="0" w:line="240" w:lineRule="auto"/>
              <w:rPr>
                <w:rFonts w:cs="Arial"/>
              </w:rPr>
            </w:pPr>
            <w:r>
              <w:t>9.162</w:t>
            </w:r>
          </w:p>
        </w:tc>
        <w:tc>
          <w:tcPr>
            <w:tcW w:w="2802" w:type="pct"/>
            <w:tcBorders>
              <w:top w:val="nil"/>
              <w:left w:val="nil"/>
              <w:bottom w:val="single" w:sz="8" w:space="0" w:color="auto"/>
              <w:right w:val="single" w:sz="8" w:space="0" w:color="auto"/>
            </w:tcBorders>
            <w:vAlign w:val="center"/>
          </w:tcPr>
          <w:p w14:paraId="342007FF" w14:textId="77777777" w:rsidR="00115458" w:rsidRPr="00D06BCE" w:rsidRDefault="00115458" w:rsidP="00D06BCE">
            <w:pPr>
              <w:spacing w:after="0" w:line="240" w:lineRule="auto"/>
              <w:rPr>
                <w:rFonts w:cs="Arial"/>
              </w:rPr>
            </w:pPr>
            <w:r w:rsidRPr="00D06BCE">
              <w:rPr>
                <w:rFonts w:cs="Arial"/>
              </w:rPr>
              <w:t>Transferee BSB number (third)</w:t>
            </w:r>
          </w:p>
        </w:tc>
        <w:tc>
          <w:tcPr>
            <w:tcW w:w="1536" w:type="pct"/>
            <w:tcBorders>
              <w:top w:val="nil"/>
              <w:left w:val="nil"/>
              <w:bottom w:val="single" w:sz="8" w:space="0" w:color="auto"/>
              <w:right w:val="single" w:sz="8" w:space="0" w:color="auto"/>
            </w:tcBorders>
            <w:vAlign w:val="center"/>
          </w:tcPr>
          <w:p w14:paraId="4BDF8A8B"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0E316C2C" w14:textId="77777777" w:rsidTr="00427C84">
        <w:trPr>
          <w:trHeight w:val="270"/>
        </w:trPr>
        <w:tc>
          <w:tcPr>
            <w:tcW w:w="662" w:type="pct"/>
            <w:tcBorders>
              <w:top w:val="nil"/>
              <w:left w:val="single" w:sz="8" w:space="0" w:color="auto"/>
              <w:bottom w:val="single" w:sz="8" w:space="0" w:color="auto"/>
              <w:right w:val="single" w:sz="8" w:space="0" w:color="auto"/>
            </w:tcBorders>
          </w:tcPr>
          <w:p w14:paraId="060B3660" w14:textId="1CE612ED" w:rsidR="00115458" w:rsidRPr="007F6219" w:rsidRDefault="002E5B30" w:rsidP="00D06BCE">
            <w:pPr>
              <w:spacing w:after="0" w:line="240" w:lineRule="auto"/>
              <w:rPr>
                <w:rFonts w:cs="Arial"/>
              </w:rPr>
            </w:pPr>
            <w:r>
              <w:t>9.160</w:t>
            </w:r>
          </w:p>
        </w:tc>
        <w:tc>
          <w:tcPr>
            <w:tcW w:w="2802" w:type="pct"/>
            <w:tcBorders>
              <w:top w:val="nil"/>
              <w:left w:val="nil"/>
              <w:bottom w:val="single" w:sz="8" w:space="0" w:color="auto"/>
              <w:right w:val="single" w:sz="8" w:space="0" w:color="auto"/>
            </w:tcBorders>
            <w:vAlign w:val="center"/>
          </w:tcPr>
          <w:p w14:paraId="7731C728"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36" w:type="pct"/>
            <w:tcBorders>
              <w:top w:val="nil"/>
              <w:left w:val="nil"/>
              <w:bottom w:val="single" w:sz="8" w:space="0" w:color="auto"/>
              <w:right w:val="single" w:sz="8" w:space="0" w:color="auto"/>
            </w:tcBorders>
            <w:vAlign w:val="center"/>
          </w:tcPr>
          <w:p w14:paraId="4BB231E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0F2032C" w14:textId="77777777" w:rsidTr="00427C84">
        <w:trPr>
          <w:trHeight w:val="270"/>
        </w:trPr>
        <w:tc>
          <w:tcPr>
            <w:tcW w:w="662" w:type="pct"/>
            <w:tcBorders>
              <w:top w:val="nil"/>
              <w:left w:val="single" w:sz="8" w:space="0" w:color="auto"/>
              <w:bottom w:val="single" w:sz="8" w:space="0" w:color="auto"/>
              <w:right w:val="single" w:sz="8" w:space="0" w:color="auto"/>
            </w:tcBorders>
          </w:tcPr>
          <w:p w14:paraId="190F9420" w14:textId="7D931066" w:rsidR="00115458" w:rsidRPr="007F6219" w:rsidRDefault="002E5B30" w:rsidP="00D06BCE">
            <w:pPr>
              <w:spacing w:after="0" w:line="240" w:lineRule="auto"/>
              <w:rPr>
                <w:rFonts w:cs="Arial"/>
              </w:rPr>
            </w:pPr>
            <w:r>
              <w:t>9.161</w:t>
            </w:r>
          </w:p>
        </w:tc>
        <w:tc>
          <w:tcPr>
            <w:tcW w:w="2802" w:type="pct"/>
            <w:tcBorders>
              <w:top w:val="nil"/>
              <w:left w:val="nil"/>
              <w:bottom w:val="single" w:sz="8" w:space="0" w:color="auto"/>
              <w:right w:val="single" w:sz="8" w:space="0" w:color="auto"/>
            </w:tcBorders>
            <w:vAlign w:val="center"/>
          </w:tcPr>
          <w:p w14:paraId="05B255B0"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36" w:type="pct"/>
            <w:tcBorders>
              <w:top w:val="nil"/>
              <w:left w:val="nil"/>
              <w:bottom w:val="single" w:sz="8" w:space="0" w:color="auto"/>
              <w:right w:val="single" w:sz="8" w:space="0" w:color="auto"/>
            </w:tcBorders>
            <w:vAlign w:val="center"/>
          </w:tcPr>
          <w:p w14:paraId="258DEE0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15FBBF5" w14:textId="77777777" w:rsidTr="00427C84">
        <w:trPr>
          <w:trHeight w:val="270"/>
        </w:trPr>
        <w:tc>
          <w:tcPr>
            <w:tcW w:w="662" w:type="pct"/>
            <w:tcBorders>
              <w:top w:val="nil"/>
              <w:left w:val="single" w:sz="8" w:space="0" w:color="auto"/>
              <w:bottom w:val="single" w:sz="8" w:space="0" w:color="auto"/>
              <w:right w:val="single" w:sz="8" w:space="0" w:color="auto"/>
            </w:tcBorders>
          </w:tcPr>
          <w:p w14:paraId="6F708D64" w14:textId="10D4DD01" w:rsidR="00115458" w:rsidRPr="007F6219" w:rsidRDefault="002E5B30" w:rsidP="00D06BCE">
            <w:pPr>
              <w:spacing w:after="0" w:line="240" w:lineRule="auto"/>
              <w:rPr>
                <w:rFonts w:cs="Arial"/>
              </w:rPr>
            </w:pPr>
            <w:r>
              <w:t>9.162</w:t>
            </w:r>
          </w:p>
        </w:tc>
        <w:tc>
          <w:tcPr>
            <w:tcW w:w="2802" w:type="pct"/>
            <w:tcBorders>
              <w:top w:val="nil"/>
              <w:left w:val="nil"/>
              <w:bottom w:val="single" w:sz="8" w:space="0" w:color="auto"/>
              <w:right w:val="single" w:sz="8" w:space="0" w:color="auto"/>
            </w:tcBorders>
            <w:vAlign w:val="center"/>
          </w:tcPr>
          <w:p w14:paraId="4BED306F" w14:textId="77777777" w:rsidR="00115458" w:rsidRPr="00D06BCE" w:rsidRDefault="00115458" w:rsidP="00D06BCE">
            <w:pPr>
              <w:spacing w:after="0" w:line="240" w:lineRule="auto"/>
              <w:rPr>
                <w:rFonts w:cs="Arial"/>
              </w:rPr>
            </w:pPr>
            <w:r w:rsidRPr="00D06BCE">
              <w:rPr>
                <w:rFonts w:cs="Arial"/>
              </w:rPr>
              <w:t>Transferee BSB number (fourth)</w:t>
            </w:r>
          </w:p>
        </w:tc>
        <w:tc>
          <w:tcPr>
            <w:tcW w:w="1536" w:type="pct"/>
            <w:tcBorders>
              <w:top w:val="nil"/>
              <w:left w:val="nil"/>
              <w:bottom w:val="single" w:sz="8" w:space="0" w:color="auto"/>
              <w:right w:val="single" w:sz="8" w:space="0" w:color="auto"/>
            </w:tcBorders>
            <w:vAlign w:val="center"/>
          </w:tcPr>
          <w:p w14:paraId="6567FCF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1806FAEF" w14:textId="77777777" w:rsidTr="00427C84">
        <w:trPr>
          <w:trHeight w:val="270"/>
        </w:trPr>
        <w:tc>
          <w:tcPr>
            <w:tcW w:w="662" w:type="pct"/>
            <w:tcBorders>
              <w:top w:val="nil"/>
              <w:left w:val="single" w:sz="8" w:space="0" w:color="auto"/>
              <w:bottom w:val="single" w:sz="8" w:space="0" w:color="auto"/>
              <w:right w:val="single" w:sz="8" w:space="0" w:color="auto"/>
            </w:tcBorders>
          </w:tcPr>
          <w:p w14:paraId="30BAA35C" w14:textId="46E6F72C" w:rsidR="00115458" w:rsidRPr="007F6219" w:rsidRDefault="002E5B30" w:rsidP="00D06BCE">
            <w:pPr>
              <w:spacing w:after="0" w:line="240" w:lineRule="auto"/>
              <w:rPr>
                <w:rFonts w:cs="Arial"/>
              </w:rPr>
            </w:pPr>
            <w:r>
              <w:t>9.163</w:t>
            </w:r>
          </w:p>
        </w:tc>
        <w:tc>
          <w:tcPr>
            <w:tcW w:w="2802" w:type="pct"/>
            <w:tcBorders>
              <w:top w:val="nil"/>
              <w:left w:val="nil"/>
              <w:bottom w:val="single" w:sz="8" w:space="0" w:color="auto"/>
              <w:right w:val="single" w:sz="8" w:space="0" w:color="auto"/>
            </w:tcBorders>
            <w:vAlign w:val="center"/>
          </w:tcPr>
          <w:p w14:paraId="0319D5D8"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36" w:type="pct"/>
            <w:tcBorders>
              <w:top w:val="nil"/>
              <w:left w:val="nil"/>
              <w:bottom w:val="single" w:sz="8" w:space="0" w:color="auto"/>
              <w:right w:val="single" w:sz="8" w:space="0" w:color="auto"/>
            </w:tcBorders>
            <w:vAlign w:val="center"/>
          </w:tcPr>
          <w:p w14:paraId="112D75A5"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A3AADEC" w14:textId="77777777" w:rsidTr="00427C84">
        <w:trPr>
          <w:trHeight w:val="270"/>
        </w:trPr>
        <w:tc>
          <w:tcPr>
            <w:tcW w:w="662" w:type="pct"/>
            <w:tcBorders>
              <w:top w:val="nil"/>
              <w:left w:val="single" w:sz="8" w:space="0" w:color="auto"/>
              <w:bottom w:val="single" w:sz="8" w:space="0" w:color="auto"/>
              <w:right w:val="single" w:sz="8" w:space="0" w:color="auto"/>
            </w:tcBorders>
          </w:tcPr>
          <w:p w14:paraId="5ED571F2" w14:textId="6FEDD6EC" w:rsidR="00115458" w:rsidRPr="007F6219" w:rsidRDefault="002E5B30" w:rsidP="00D06BCE">
            <w:pPr>
              <w:spacing w:after="0" w:line="240" w:lineRule="auto"/>
              <w:rPr>
                <w:rFonts w:cs="Arial"/>
              </w:rPr>
            </w:pPr>
            <w:r>
              <w:t>9.164</w:t>
            </w:r>
          </w:p>
        </w:tc>
        <w:tc>
          <w:tcPr>
            <w:tcW w:w="2802" w:type="pct"/>
            <w:tcBorders>
              <w:top w:val="nil"/>
              <w:left w:val="nil"/>
              <w:bottom w:val="single" w:sz="8" w:space="0" w:color="auto"/>
              <w:right w:val="single" w:sz="8" w:space="0" w:color="auto"/>
            </w:tcBorders>
            <w:vAlign w:val="center"/>
          </w:tcPr>
          <w:p w14:paraId="3D8149EC"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36" w:type="pct"/>
            <w:tcBorders>
              <w:top w:val="nil"/>
              <w:left w:val="nil"/>
              <w:bottom w:val="single" w:sz="8" w:space="0" w:color="auto"/>
              <w:right w:val="single" w:sz="8" w:space="0" w:color="auto"/>
            </w:tcBorders>
            <w:vAlign w:val="center"/>
          </w:tcPr>
          <w:p w14:paraId="23FDC9FD" w14:textId="77777777" w:rsidR="00115458" w:rsidRPr="00D06BCE" w:rsidRDefault="00115458" w:rsidP="00D06BCE">
            <w:pPr>
              <w:spacing w:after="0" w:line="240" w:lineRule="auto"/>
              <w:rPr>
                <w:rFonts w:cs="Arial"/>
              </w:rPr>
            </w:pPr>
            <w:r w:rsidRPr="00D06BCE">
              <w:rPr>
                <w:rFonts w:cs="Arial"/>
              </w:rPr>
              <w:t>000007920000</w:t>
            </w:r>
          </w:p>
        </w:tc>
      </w:tr>
      <w:tr w:rsidR="00115458" w:rsidRPr="00D06BCE" w14:paraId="242A4559" w14:textId="77777777" w:rsidTr="00427C84">
        <w:trPr>
          <w:trHeight w:val="270"/>
        </w:trPr>
        <w:tc>
          <w:tcPr>
            <w:tcW w:w="662" w:type="pct"/>
            <w:tcBorders>
              <w:top w:val="nil"/>
              <w:left w:val="single" w:sz="8" w:space="0" w:color="auto"/>
              <w:bottom w:val="single" w:sz="8" w:space="0" w:color="auto"/>
              <w:right w:val="single" w:sz="8" w:space="0" w:color="auto"/>
            </w:tcBorders>
          </w:tcPr>
          <w:p w14:paraId="182F2DB9" w14:textId="72DF3FD0" w:rsidR="00115458" w:rsidRPr="007F6219" w:rsidRDefault="002E5B30" w:rsidP="00D06BCE">
            <w:pPr>
              <w:spacing w:after="0" w:line="240" w:lineRule="auto"/>
              <w:rPr>
                <w:rFonts w:cs="Arial"/>
              </w:rPr>
            </w:pPr>
            <w:r>
              <w:t>9.165</w:t>
            </w:r>
          </w:p>
        </w:tc>
        <w:tc>
          <w:tcPr>
            <w:tcW w:w="2802" w:type="pct"/>
            <w:tcBorders>
              <w:top w:val="nil"/>
              <w:left w:val="nil"/>
              <w:bottom w:val="single" w:sz="8" w:space="0" w:color="auto"/>
              <w:right w:val="single" w:sz="8" w:space="0" w:color="auto"/>
            </w:tcBorders>
            <w:vAlign w:val="center"/>
          </w:tcPr>
          <w:p w14:paraId="64F9D6C4" w14:textId="77777777" w:rsidR="00115458" w:rsidRPr="00D06BCE" w:rsidRDefault="00115458" w:rsidP="00D06BCE">
            <w:pPr>
              <w:spacing w:after="0" w:line="240" w:lineRule="auto"/>
              <w:rPr>
                <w:rFonts w:cs="Arial"/>
              </w:rPr>
            </w:pPr>
            <w:r w:rsidRPr="00D06BCE">
              <w:t>Interest offset account (=Y or N)</w:t>
            </w:r>
          </w:p>
        </w:tc>
        <w:tc>
          <w:tcPr>
            <w:tcW w:w="1536" w:type="pct"/>
            <w:tcBorders>
              <w:top w:val="nil"/>
              <w:left w:val="nil"/>
              <w:bottom w:val="single" w:sz="8" w:space="0" w:color="auto"/>
              <w:right w:val="single" w:sz="8" w:space="0" w:color="auto"/>
            </w:tcBorders>
            <w:vAlign w:val="center"/>
          </w:tcPr>
          <w:p w14:paraId="5FB0FEC2" w14:textId="77777777" w:rsidR="00115458" w:rsidRPr="00D06BCE" w:rsidRDefault="00115458" w:rsidP="00D06BCE">
            <w:pPr>
              <w:spacing w:after="0" w:line="240" w:lineRule="auto"/>
              <w:rPr>
                <w:rFonts w:cs="Arial"/>
              </w:rPr>
            </w:pPr>
            <w:r w:rsidRPr="00D06BCE">
              <w:rPr>
                <w:rFonts w:cs="Arial"/>
              </w:rPr>
              <w:t>N</w:t>
            </w:r>
          </w:p>
        </w:tc>
      </w:tr>
      <w:tr w:rsidR="00115458" w:rsidRPr="00D06BCE" w14:paraId="3F3BA9B4" w14:textId="77777777" w:rsidTr="00427C84">
        <w:trPr>
          <w:trHeight w:val="270"/>
        </w:trPr>
        <w:tc>
          <w:tcPr>
            <w:tcW w:w="662" w:type="pct"/>
            <w:tcBorders>
              <w:top w:val="nil"/>
              <w:left w:val="single" w:sz="8" w:space="0" w:color="auto"/>
              <w:bottom w:val="single" w:sz="8" w:space="0" w:color="auto"/>
              <w:right w:val="single" w:sz="8" w:space="0" w:color="auto"/>
            </w:tcBorders>
          </w:tcPr>
          <w:p w14:paraId="04B33E41" w14:textId="77777777" w:rsidR="00115458" w:rsidRPr="007F6219" w:rsidRDefault="00115458" w:rsidP="00D06BCE">
            <w:pPr>
              <w:spacing w:after="0" w:line="240" w:lineRule="auto"/>
              <w:rPr>
                <w:rFonts w:cs="Arial"/>
              </w:rPr>
            </w:pPr>
            <w:hyperlink w:anchor="d7_006" w:history="1">
              <w:r w:rsidRPr="007F6219">
                <w:rPr>
                  <w:rFonts w:cs="Arial"/>
                </w:rPr>
                <w:t>9.6</w:t>
              </w:r>
            </w:hyperlink>
          </w:p>
        </w:tc>
        <w:tc>
          <w:tcPr>
            <w:tcW w:w="2802" w:type="pct"/>
            <w:tcBorders>
              <w:top w:val="nil"/>
              <w:left w:val="nil"/>
              <w:bottom w:val="single" w:sz="8" w:space="0" w:color="auto"/>
              <w:right w:val="single" w:sz="8" w:space="0" w:color="auto"/>
            </w:tcBorders>
            <w:vAlign w:val="center"/>
          </w:tcPr>
          <w:p w14:paraId="6B67EBB3" w14:textId="77777777" w:rsidR="00115458" w:rsidRPr="00D06BCE" w:rsidRDefault="00115458" w:rsidP="00D06BCE">
            <w:pPr>
              <w:spacing w:after="0" w:line="240" w:lineRule="auto"/>
              <w:rPr>
                <w:rFonts w:cs="Arial"/>
              </w:rPr>
            </w:pPr>
            <w:r w:rsidRPr="00D06BCE">
              <w:rPr>
                <w:rFonts w:cs="Arial"/>
              </w:rPr>
              <w:t>Filler</w:t>
            </w:r>
          </w:p>
        </w:tc>
        <w:tc>
          <w:tcPr>
            <w:tcW w:w="1536" w:type="pct"/>
            <w:tcBorders>
              <w:top w:val="nil"/>
              <w:left w:val="nil"/>
              <w:bottom w:val="single" w:sz="8" w:space="0" w:color="auto"/>
              <w:right w:val="single" w:sz="8" w:space="0" w:color="auto"/>
            </w:tcBorders>
            <w:vAlign w:val="center"/>
          </w:tcPr>
          <w:p w14:paraId="0CCA12B0" w14:textId="77777777" w:rsidR="00115458" w:rsidRPr="00D06BCE" w:rsidRDefault="00115458" w:rsidP="00D06BCE">
            <w:pPr>
              <w:spacing w:after="0" w:line="240" w:lineRule="auto"/>
              <w:rPr>
                <w:rFonts w:cs="Arial"/>
              </w:rPr>
            </w:pPr>
            <w:r w:rsidRPr="00D06BCE">
              <w:rPr>
                <w:rFonts w:cs="Arial"/>
              </w:rPr>
              <w:t>Blank fill</w:t>
            </w:r>
          </w:p>
        </w:tc>
      </w:tr>
    </w:tbl>
    <w:p w14:paraId="6EEA27F8" w14:textId="77777777" w:rsidR="00115458" w:rsidRPr="00D06BCE" w:rsidRDefault="00115458" w:rsidP="00D06BCE">
      <w:pPr>
        <w:spacing w:after="0" w:line="240" w:lineRule="auto"/>
        <w:rPr>
          <w:rFonts w:cs="Arial"/>
        </w:rPr>
      </w:pPr>
      <w:r w:rsidRPr="00D06BCE">
        <w:rPr>
          <w:rFonts w:cs="Arial"/>
          <w:b/>
          <w:smallCaps/>
        </w:rPr>
        <w:t>*</w:t>
      </w:r>
      <w:r w:rsidRPr="00D06BCE">
        <w:rPr>
          <w:rFonts w:cs="Arial"/>
        </w:rPr>
        <w:t xml:space="preserve"> Date of deductible deposit is optional for this transaction as the deposit has been held for more than 12 months. If your natural systems capture and reports this information then continue to do so. </w:t>
      </w:r>
    </w:p>
    <w:p w14:paraId="280C3D2C" w14:textId="77777777" w:rsidR="00115458" w:rsidRPr="00D06BCE" w:rsidRDefault="00115458" w:rsidP="00D06BCE">
      <w:pPr>
        <w:spacing w:after="0" w:line="240" w:lineRule="auto"/>
        <w:rPr>
          <w:rFonts w:cs="Arial"/>
        </w:rPr>
      </w:pPr>
    </w:p>
    <w:p w14:paraId="78937FFF" w14:textId="77777777" w:rsidR="00115458" w:rsidRPr="00D06BCE" w:rsidRDefault="00115458" w:rsidP="00D06BCE">
      <w:pPr>
        <w:spacing w:after="0" w:line="240" w:lineRule="auto"/>
        <w:rPr>
          <w:rFonts w:cs="Arial"/>
        </w:rPr>
      </w:pPr>
      <w:r w:rsidRPr="00D06BCE">
        <w:rPr>
          <w:rFonts w:cs="Arial"/>
        </w:rPr>
        <w:t>This is the record for Account 1 which has received the proceeds from Accounts 2, 3 and 4 and then made the repayments.</w:t>
      </w:r>
    </w:p>
    <w:p w14:paraId="66FBCEAF" w14:textId="77777777" w:rsidR="00115458" w:rsidRPr="00D06BCE" w:rsidRDefault="00115458" w:rsidP="00D06BCE">
      <w:pPr>
        <w:spacing w:after="0" w:line="240" w:lineRule="auto"/>
        <w:rPr>
          <w:rFonts w:cs="Arial"/>
        </w:rPr>
      </w:pPr>
    </w:p>
    <w:p w14:paraId="6534F121" w14:textId="77777777" w:rsidR="00115458" w:rsidRPr="00D06BCE" w:rsidRDefault="00115458" w:rsidP="00D06BCE">
      <w:pPr>
        <w:spacing w:after="0" w:line="240" w:lineRule="auto"/>
        <w:rPr>
          <w:rFonts w:eastAsia="Calibri" w:cs="Arial"/>
          <w:smallCaps/>
        </w:rPr>
      </w:pPr>
      <w:r w:rsidRPr="00D06BCE">
        <w:rPr>
          <w:rFonts w:cs="Arial"/>
          <w:b/>
          <w:smallCaps/>
        </w:rPr>
        <w:t>farm management deposit account data record 2</w:t>
      </w:r>
    </w:p>
    <w:p w14:paraId="3B136BDC" w14:textId="77777777" w:rsidR="00115458" w:rsidRPr="00D06BCE" w:rsidRDefault="00115458" w:rsidP="00D06BCE">
      <w:pPr>
        <w:spacing w:after="0" w:line="240" w:lineRule="auto"/>
        <w:rPr>
          <w:rFonts w:eastAsia="Calibri" w:cs="Arial"/>
          <w:smallCaps/>
        </w:rPr>
      </w:pPr>
    </w:p>
    <w:tbl>
      <w:tblPr>
        <w:tblW w:w="9195" w:type="dxa"/>
        <w:tblInd w:w="93" w:type="dxa"/>
        <w:tblLook w:val="0000" w:firstRow="0" w:lastRow="0" w:firstColumn="0" w:lastColumn="0" w:noHBand="0" w:noVBand="0"/>
      </w:tblPr>
      <w:tblGrid>
        <w:gridCol w:w="1227"/>
        <w:gridCol w:w="5148"/>
        <w:gridCol w:w="2820"/>
      </w:tblGrid>
      <w:tr w:rsidR="00115458" w:rsidRPr="00D06BCE" w14:paraId="1BF5AF60" w14:textId="77777777" w:rsidTr="000C1365">
        <w:trPr>
          <w:trHeight w:val="495"/>
          <w:tblHeader/>
        </w:trPr>
        <w:tc>
          <w:tcPr>
            <w:tcW w:w="662" w:type="pct"/>
            <w:tcBorders>
              <w:top w:val="single" w:sz="4" w:space="0" w:color="auto"/>
              <w:left w:val="single" w:sz="4" w:space="0" w:color="auto"/>
              <w:bottom w:val="single" w:sz="4" w:space="0" w:color="auto"/>
              <w:right w:val="single" w:sz="4" w:space="0" w:color="auto"/>
            </w:tcBorders>
            <w:shd w:val="clear" w:color="auto" w:fill="B3B3B3"/>
            <w:vAlign w:val="center"/>
          </w:tcPr>
          <w:p w14:paraId="731DADD6" w14:textId="77777777" w:rsidR="00115458" w:rsidRPr="00D06BCE" w:rsidRDefault="00115458" w:rsidP="00D06BCE">
            <w:pPr>
              <w:spacing w:after="0" w:line="240" w:lineRule="auto"/>
              <w:rPr>
                <w:rFonts w:cs="Arial"/>
                <w:b/>
                <w:bCs/>
              </w:rPr>
            </w:pPr>
            <w:r w:rsidRPr="00D06BCE">
              <w:rPr>
                <w:rFonts w:cs="Arial"/>
                <w:b/>
                <w:bCs/>
              </w:rPr>
              <w:t>Reference number</w:t>
            </w:r>
          </w:p>
        </w:tc>
        <w:tc>
          <w:tcPr>
            <w:tcW w:w="2802" w:type="pct"/>
            <w:tcBorders>
              <w:top w:val="single" w:sz="4" w:space="0" w:color="auto"/>
              <w:left w:val="single" w:sz="4" w:space="0" w:color="auto"/>
              <w:bottom w:val="single" w:sz="4" w:space="0" w:color="auto"/>
              <w:right w:val="single" w:sz="4" w:space="0" w:color="auto"/>
            </w:tcBorders>
            <w:shd w:val="clear" w:color="auto" w:fill="B3B3B3"/>
            <w:vAlign w:val="center"/>
          </w:tcPr>
          <w:p w14:paraId="54A2DF8E" w14:textId="77777777" w:rsidR="00115458" w:rsidRPr="00D06BCE" w:rsidRDefault="00115458" w:rsidP="00D06BCE">
            <w:pPr>
              <w:spacing w:after="0" w:line="240" w:lineRule="auto"/>
              <w:rPr>
                <w:rFonts w:cs="Arial"/>
                <w:b/>
                <w:bCs/>
              </w:rPr>
            </w:pPr>
            <w:r w:rsidRPr="00D06BCE">
              <w:rPr>
                <w:rFonts w:cs="Arial"/>
                <w:b/>
                <w:bCs/>
              </w:rPr>
              <w:t>Field name</w:t>
            </w:r>
          </w:p>
        </w:tc>
        <w:tc>
          <w:tcPr>
            <w:tcW w:w="1536" w:type="pct"/>
            <w:tcBorders>
              <w:top w:val="single" w:sz="4" w:space="0" w:color="auto"/>
              <w:left w:val="single" w:sz="4" w:space="0" w:color="auto"/>
              <w:bottom w:val="single" w:sz="4" w:space="0" w:color="auto"/>
              <w:right w:val="single" w:sz="4" w:space="0" w:color="auto"/>
            </w:tcBorders>
            <w:shd w:val="clear" w:color="auto" w:fill="B3B3B3"/>
            <w:vAlign w:val="center"/>
          </w:tcPr>
          <w:p w14:paraId="07672B52" w14:textId="77777777" w:rsidR="00115458" w:rsidRPr="00D06BCE" w:rsidRDefault="00115458" w:rsidP="00D06BCE">
            <w:pPr>
              <w:spacing w:after="0" w:line="240" w:lineRule="auto"/>
              <w:rPr>
                <w:rFonts w:cs="Arial"/>
                <w:b/>
                <w:bCs/>
              </w:rPr>
            </w:pPr>
            <w:r w:rsidRPr="00D06BCE">
              <w:rPr>
                <w:rFonts w:cs="Arial"/>
                <w:b/>
                <w:bCs/>
              </w:rPr>
              <w:t>Content</w:t>
            </w:r>
          </w:p>
        </w:tc>
      </w:tr>
      <w:tr w:rsidR="00115458" w:rsidRPr="00D06BCE" w14:paraId="6A6EC54E" w14:textId="77777777" w:rsidTr="00427C84">
        <w:trPr>
          <w:trHeight w:val="270"/>
        </w:trPr>
        <w:tc>
          <w:tcPr>
            <w:tcW w:w="662" w:type="pct"/>
            <w:tcBorders>
              <w:top w:val="nil"/>
              <w:left w:val="single" w:sz="8" w:space="0" w:color="auto"/>
              <w:bottom w:val="single" w:sz="8" w:space="0" w:color="auto"/>
              <w:right w:val="single" w:sz="8" w:space="0" w:color="auto"/>
            </w:tcBorders>
          </w:tcPr>
          <w:p w14:paraId="3B55AD66" w14:textId="77777777" w:rsidR="00115458" w:rsidRPr="007F6219" w:rsidRDefault="00115458" w:rsidP="00D06BCE">
            <w:pPr>
              <w:spacing w:after="0" w:line="240" w:lineRule="auto"/>
            </w:pPr>
            <w:hyperlink w:anchor="d7_001" w:history="1">
              <w:r w:rsidRPr="007F6219">
                <w:t>9.1</w:t>
              </w:r>
            </w:hyperlink>
          </w:p>
        </w:tc>
        <w:tc>
          <w:tcPr>
            <w:tcW w:w="2802" w:type="pct"/>
            <w:tcBorders>
              <w:top w:val="nil"/>
              <w:left w:val="nil"/>
              <w:bottom w:val="single" w:sz="8" w:space="0" w:color="auto"/>
              <w:right w:val="single" w:sz="8" w:space="0" w:color="auto"/>
            </w:tcBorders>
            <w:vAlign w:val="center"/>
          </w:tcPr>
          <w:p w14:paraId="60E9EC62" w14:textId="77777777" w:rsidR="00115458" w:rsidRPr="00D06BCE" w:rsidRDefault="00115458" w:rsidP="00D06BCE">
            <w:pPr>
              <w:spacing w:after="0" w:line="240" w:lineRule="auto"/>
              <w:rPr>
                <w:rFonts w:cs="Arial"/>
              </w:rPr>
            </w:pPr>
            <w:r w:rsidRPr="00D06BCE">
              <w:rPr>
                <w:rFonts w:cs="Arial"/>
              </w:rPr>
              <w:t>Record length (=850)</w:t>
            </w:r>
          </w:p>
        </w:tc>
        <w:tc>
          <w:tcPr>
            <w:tcW w:w="1536" w:type="pct"/>
            <w:tcBorders>
              <w:top w:val="nil"/>
              <w:left w:val="nil"/>
              <w:bottom w:val="single" w:sz="8" w:space="0" w:color="auto"/>
              <w:right w:val="single" w:sz="8" w:space="0" w:color="auto"/>
            </w:tcBorders>
            <w:vAlign w:val="center"/>
          </w:tcPr>
          <w:p w14:paraId="091E4CA3" w14:textId="77777777" w:rsidR="00115458" w:rsidRPr="00D06BCE" w:rsidRDefault="00115458" w:rsidP="00D06BCE">
            <w:pPr>
              <w:spacing w:after="0" w:line="240" w:lineRule="auto"/>
              <w:rPr>
                <w:rFonts w:cs="Arial"/>
              </w:rPr>
            </w:pPr>
            <w:r w:rsidRPr="00D06BCE">
              <w:rPr>
                <w:rFonts w:cs="Arial"/>
              </w:rPr>
              <w:t>850</w:t>
            </w:r>
          </w:p>
        </w:tc>
      </w:tr>
      <w:tr w:rsidR="00115458" w:rsidRPr="00D06BCE" w14:paraId="138851B7" w14:textId="77777777" w:rsidTr="00427C84">
        <w:trPr>
          <w:trHeight w:val="270"/>
        </w:trPr>
        <w:tc>
          <w:tcPr>
            <w:tcW w:w="662" w:type="pct"/>
            <w:tcBorders>
              <w:top w:val="nil"/>
              <w:left w:val="single" w:sz="8" w:space="0" w:color="auto"/>
              <w:bottom w:val="single" w:sz="8" w:space="0" w:color="auto"/>
              <w:right w:val="single" w:sz="8" w:space="0" w:color="auto"/>
            </w:tcBorders>
          </w:tcPr>
          <w:p w14:paraId="3694351A" w14:textId="31C8EA73" w:rsidR="00115458" w:rsidRPr="007F6219" w:rsidRDefault="00944D41" w:rsidP="00D06BCE">
            <w:pPr>
              <w:spacing w:after="0" w:line="240" w:lineRule="auto"/>
            </w:pPr>
            <w:r>
              <w:rPr>
                <w:rFonts w:cs="Arial"/>
              </w:rPr>
              <w:t>9.147</w:t>
            </w:r>
          </w:p>
        </w:tc>
        <w:tc>
          <w:tcPr>
            <w:tcW w:w="2802" w:type="pct"/>
            <w:tcBorders>
              <w:top w:val="nil"/>
              <w:left w:val="nil"/>
              <w:bottom w:val="single" w:sz="8" w:space="0" w:color="auto"/>
              <w:right w:val="single" w:sz="8" w:space="0" w:color="auto"/>
            </w:tcBorders>
            <w:vAlign w:val="center"/>
          </w:tcPr>
          <w:p w14:paraId="6EC5F245" w14:textId="77777777" w:rsidR="00115458" w:rsidRPr="00D06BCE" w:rsidRDefault="00115458" w:rsidP="00D06BCE">
            <w:pPr>
              <w:spacing w:after="0" w:line="240" w:lineRule="auto"/>
              <w:rPr>
                <w:rFonts w:cs="Arial"/>
              </w:rPr>
            </w:pPr>
            <w:r w:rsidRPr="00D06BCE">
              <w:rPr>
                <w:rFonts w:cs="Arial"/>
              </w:rPr>
              <w:t xml:space="preserve">Record identifier </w:t>
            </w:r>
          </w:p>
        </w:tc>
        <w:tc>
          <w:tcPr>
            <w:tcW w:w="1536" w:type="pct"/>
            <w:tcBorders>
              <w:top w:val="nil"/>
              <w:left w:val="nil"/>
              <w:bottom w:val="single" w:sz="8" w:space="0" w:color="auto"/>
              <w:right w:val="single" w:sz="8" w:space="0" w:color="auto"/>
            </w:tcBorders>
            <w:vAlign w:val="center"/>
          </w:tcPr>
          <w:p w14:paraId="3AEC3A60" w14:textId="77777777" w:rsidR="00115458" w:rsidRPr="00D06BCE" w:rsidRDefault="00115458" w:rsidP="00D06BCE">
            <w:pPr>
              <w:spacing w:after="0" w:line="240" w:lineRule="auto"/>
              <w:rPr>
                <w:rFonts w:cs="Arial"/>
              </w:rPr>
            </w:pPr>
            <w:r w:rsidRPr="00D06BCE">
              <w:rPr>
                <w:rFonts w:cs="Arial"/>
              </w:rPr>
              <w:t>DFMDACCT</w:t>
            </w:r>
          </w:p>
        </w:tc>
      </w:tr>
      <w:tr w:rsidR="00115458" w:rsidRPr="00D06BCE" w14:paraId="4DCCB9BB" w14:textId="77777777" w:rsidTr="00427C84">
        <w:trPr>
          <w:trHeight w:val="270"/>
        </w:trPr>
        <w:tc>
          <w:tcPr>
            <w:tcW w:w="662" w:type="pct"/>
            <w:tcBorders>
              <w:top w:val="nil"/>
              <w:left w:val="single" w:sz="8" w:space="0" w:color="auto"/>
              <w:bottom w:val="single" w:sz="8" w:space="0" w:color="auto"/>
              <w:right w:val="single" w:sz="8" w:space="0" w:color="auto"/>
            </w:tcBorders>
          </w:tcPr>
          <w:p w14:paraId="6FB38EFA" w14:textId="4487EFD9" w:rsidR="00115458" w:rsidRPr="007F6219" w:rsidRDefault="00DE4F64" w:rsidP="00D06BCE">
            <w:pPr>
              <w:spacing w:after="0" w:line="240" w:lineRule="auto"/>
            </w:pPr>
            <w:r>
              <w:rPr>
                <w:rFonts w:cs="Arial"/>
              </w:rPr>
              <w:t>9.148</w:t>
            </w:r>
          </w:p>
        </w:tc>
        <w:tc>
          <w:tcPr>
            <w:tcW w:w="2802" w:type="pct"/>
            <w:tcBorders>
              <w:top w:val="nil"/>
              <w:left w:val="nil"/>
              <w:bottom w:val="single" w:sz="8" w:space="0" w:color="auto"/>
              <w:right w:val="single" w:sz="8" w:space="0" w:color="auto"/>
            </w:tcBorders>
            <w:vAlign w:val="center"/>
          </w:tcPr>
          <w:p w14:paraId="5681012F" w14:textId="77777777" w:rsidR="00115458" w:rsidRPr="00D06BCE" w:rsidRDefault="00115458" w:rsidP="00D06BCE">
            <w:pPr>
              <w:spacing w:after="0" w:line="240" w:lineRule="auto"/>
              <w:rPr>
                <w:rFonts w:cs="Arial"/>
              </w:rPr>
            </w:pPr>
            <w:r w:rsidRPr="00D06BCE">
              <w:rPr>
                <w:rFonts w:cs="Arial"/>
              </w:rPr>
              <w:t>Sequence number of DFMDACCT record</w:t>
            </w:r>
          </w:p>
        </w:tc>
        <w:tc>
          <w:tcPr>
            <w:tcW w:w="1536" w:type="pct"/>
            <w:tcBorders>
              <w:top w:val="nil"/>
              <w:left w:val="nil"/>
              <w:bottom w:val="single" w:sz="8" w:space="0" w:color="auto"/>
              <w:right w:val="single" w:sz="8" w:space="0" w:color="auto"/>
            </w:tcBorders>
            <w:vAlign w:val="center"/>
          </w:tcPr>
          <w:p w14:paraId="2E17455D" w14:textId="77777777" w:rsidR="00115458" w:rsidRPr="00D06BCE" w:rsidRDefault="00115458" w:rsidP="00D06BCE">
            <w:pPr>
              <w:spacing w:after="0" w:line="240" w:lineRule="auto"/>
              <w:rPr>
                <w:rFonts w:cs="Arial"/>
              </w:rPr>
            </w:pPr>
            <w:r w:rsidRPr="00D06BCE">
              <w:rPr>
                <w:rFonts w:cs="Arial"/>
              </w:rPr>
              <w:t>00000002</w:t>
            </w:r>
          </w:p>
        </w:tc>
      </w:tr>
      <w:tr w:rsidR="00115458" w:rsidRPr="00D06BCE" w14:paraId="56B7D855" w14:textId="77777777" w:rsidTr="00427C84">
        <w:trPr>
          <w:trHeight w:val="270"/>
        </w:trPr>
        <w:tc>
          <w:tcPr>
            <w:tcW w:w="662" w:type="pct"/>
            <w:tcBorders>
              <w:top w:val="nil"/>
              <w:left w:val="single" w:sz="8" w:space="0" w:color="auto"/>
              <w:bottom w:val="single" w:sz="8" w:space="0" w:color="auto"/>
              <w:right w:val="single" w:sz="8" w:space="0" w:color="auto"/>
            </w:tcBorders>
          </w:tcPr>
          <w:p w14:paraId="41FE1692" w14:textId="39567851" w:rsidR="00115458" w:rsidRPr="007F6219" w:rsidRDefault="002A10B0" w:rsidP="00D06BCE">
            <w:pPr>
              <w:spacing w:after="0" w:line="240" w:lineRule="auto"/>
            </w:pPr>
            <w:r>
              <w:rPr>
                <w:rFonts w:cs="Arial"/>
              </w:rPr>
              <w:t>9.149</w:t>
            </w:r>
          </w:p>
        </w:tc>
        <w:tc>
          <w:tcPr>
            <w:tcW w:w="2802" w:type="pct"/>
            <w:tcBorders>
              <w:top w:val="nil"/>
              <w:left w:val="nil"/>
              <w:bottom w:val="single" w:sz="8" w:space="0" w:color="auto"/>
              <w:right w:val="single" w:sz="8" w:space="0" w:color="auto"/>
            </w:tcBorders>
            <w:vAlign w:val="center"/>
          </w:tcPr>
          <w:p w14:paraId="4BB4BE7F" w14:textId="77777777" w:rsidR="00115458" w:rsidRPr="00D06BCE" w:rsidRDefault="00115458" w:rsidP="00D06BCE">
            <w:pPr>
              <w:spacing w:after="0" w:line="240" w:lineRule="auto"/>
              <w:rPr>
                <w:rFonts w:cs="Arial"/>
              </w:rPr>
            </w:pPr>
            <w:r w:rsidRPr="00D06BCE">
              <w:rPr>
                <w:rFonts w:cs="Arial"/>
              </w:rPr>
              <w:t>Sequence number of multiple DFMDACCT records</w:t>
            </w:r>
          </w:p>
        </w:tc>
        <w:tc>
          <w:tcPr>
            <w:tcW w:w="1536" w:type="pct"/>
            <w:tcBorders>
              <w:top w:val="nil"/>
              <w:left w:val="nil"/>
              <w:bottom w:val="single" w:sz="8" w:space="0" w:color="auto"/>
              <w:right w:val="single" w:sz="8" w:space="0" w:color="auto"/>
            </w:tcBorders>
            <w:vAlign w:val="center"/>
          </w:tcPr>
          <w:p w14:paraId="6FFCF7B5" w14:textId="77777777" w:rsidR="00115458" w:rsidRPr="00D06BCE" w:rsidRDefault="00115458" w:rsidP="00D06BCE">
            <w:pPr>
              <w:spacing w:after="0" w:line="240" w:lineRule="auto"/>
              <w:rPr>
                <w:rFonts w:cs="Arial"/>
              </w:rPr>
            </w:pPr>
            <w:r w:rsidRPr="00D06BCE">
              <w:rPr>
                <w:rFonts w:cs="Arial"/>
              </w:rPr>
              <w:t>01</w:t>
            </w:r>
          </w:p>
        </w:tc>
      </w:tr>
      <w:tr w:rsidR="00115458" w:rsidRPr="00D06BCE" w14:paraId="4EA931CD" w14:textId="77777777" w:rsidTr="00427C84">
        <w:trPr>
          <w:trHeight w:val="270"/>
        </w:trPr>
        <w:tc>
          <w:tcPr>
            <w:tcW w:w="662" w:type="pct"/>
            <w:tcBorders>
              <w:top w:val="nil"/>
              <w:left w:val="single" w:sz="8" w:space="0" w:color="auto"/>
              <w:bottom w:val="single" w:sz="8" w:space="0" w:color="auto"/>
              <w:right w:val="single" w:sz="8" w:space="0" w:color="auto"/>
            </w:tcBorders>
          </w:tcPr>
          <w:p w14:paraId="65F31F33" w14:textId="77777777" w:rsidR="00115458" w:rsidRPr="007F6219" w:rsidRDefault="00115458" w:rsidP="00D06BCE">
            <w:pPr>
              <w:spacing w:after="0" w:line="240" w:lineRule="auto"/>
            </w:pPr>
            <w:hyperlink w:anchor="d7_061" w:history="1">
              <w:r w:rsidRPr="007F6219">
                <w:t>9.63</w:t>
              </w:r>
            </w:hyperlink>
          </w:p>
        </w:tc>
        <w:tc>
          <w:tcPr>
            <w:tcW w:w="2802" w:type="pct"/>
            <w:tcBorders>
              <w:top w:val="nil"/>
              <w:left w:val="nil"/>
              <w:bottom w:val="single" w:sz="8" w:space="0" w:color="auto"/>
              <w:right w:val="single" w:sz="8" w:space="0" w:color="auto"/>
            </w:tcBorders>
            <w:vAlign w:val="center"/>
          </w:tcPr>
          <w:p w14:paraId="3B00DE11" w14:textId="77777777" w:rsidR="00115458" w:rsidRPr="00D06BCE" w:rsidRDefault="00115458" w:rsidP="00D06BCE">
            <w:pPr>
              <w:spacing w:after="0" w:line="240" w:lineRule="auto"/>
              <w:rPr>
                <w:rFonts w:cs="Arial"/>
              </w:rPr>
            </w:pPr>
            <w:r w:rsidRPr="00D06BCE">
              <w:rPr>
                <w:rFonts w:cs="Arial"/>
              </w:rPr>
              <w:t>Investment reference number</w:t>
            </w:r>
          </w:p>
        </w:tc>
        <w:tc>
          <w:tcPr>
            <w:tcW w:w="1536" w:type="pct"/>
            <w:tcBorders>
              <w:top w:val="nil"/>
              <w:left w:val="nil"/>
              <w:bottom w:val="single" w:sz="8" w:space="0" w:color="auto"/>
              <w:right w:val="single" w:sz="8" w:space="0" w:color="auto"/>
            </w:tcBorders>
            <w:vAlign w:val="center"/>
          </w:tcPr>
          <w:p w14:paraId="2B53F34A" w14:textId="77777777" w:rsidR="00115458" w:rsidRPr="00D06BCE" w:rsidRDefault="00115458" w:rsidP="00D06BCE">
            <w:pPr>
              <w:spacing w:after="0" w:line="240" w:lineRule="auto"/>
              <w:rPr>
                <w:rFonts w:cs="Arial"/>
              </w:rPr>
            </w:pPr>
            <w:r w:rsidRPr="00D06BCE">
              <w:rPr>
                <w:rFonts w:cs="Arial"/>
              </w:rPr>
              <w:t>223344567</w:t>
            </w:r>
          </w:p>
        </w:tc>
      </w:tr>
      <w:tr w:rsidR="00115458" w:rsidRPr="00D06BCE" w14:paraId="0DE3C596" w14:textId="77777777" w:rsidTr="00427C84">
        <w:trPr>
          <w:trHeight w:val="270"/>
        </w:trPr>
        <w:tc>
          <w:tcPr>
            <w:tcW w:w="662" w:type="pct"/>
            <w:tcBorders>
              <w:top w:val="nil"/>
              <w:left w:val="single" w:sz="8" w:space="0" w:color="auto"/>
              <w:bottom w:val="single" w:sz="8" w:space="0" w:color="auto"/>
              <w:right w:val="single" w:sz="8" w:space="0" w:color="auto"/>
            </w:tcBorders>
          </w:tcPr>
          <w:p w14:paraId="4BE87018" w14:textId="77777777" w:rsidR="00115458" w:rsidRPr="007F6219" w:rsidRDefault="00115458" w:rsidP="00D06BCE">
            <w:pPr>
              <w:spacing w:after="0" w:line="240" w:lineRule="auto"/>
            </w:pPr>
            <w:hyperlink w:anchor="d7_062" w:history="1">
              <w:r w:rsidRPr="007F6219">
                <w:t>9.64</w:t>
              </w:r>
            </w:hyperlink>
          </w:p>
        </w:tc>
        <w:tc>
          <w:tcPr>
            <w:tcW w:w="2802" w:type="pct"/>
            <w:tcBorders>
              <w:top w:val="nil"/>
              <w:left w:val="nil"/>
              <w:bottom w:val="single" w:sz="8" w:space="0" w:color="auto"/>
              <w:right w:val="single" w:sz="8" w:space="0" w:color="auto"/>
            </w:tcBorders>
            <w:vAlign w:val="center"/>
          </w:tcPr>
          <w:p w14:paraId="2F2134C4" w14:textId="77777777" w:rsidR="00115458" w:rsidRPr="00D06BCE" w:rsidRDefault="00115458" w:rsidP="00D06BCE">
            <w:pPr>
              <w:spacing w:after="0" w:line="240" w:lineRule="auto"/>
              <w:rPr>
                <w:rFonts w:cs="Arial"/>
              </w:rPr>
            </w:pPr>
            <w:r w:rsidRPr="00D06BCE">
              <w:rPr>
                <w:rFonts w:cs="Arial"/>
              </w:rPr>
              <w:t>Account reference number</w:t>
            </w:r>
          </w:p>
        </w:tc>
        <w:tc>
          <w:tcPr>
            <w:tcW w:w="1536" w:type="pct"/>
            <w:tcBorders>
              <w:top w:val="nil"/>
              <w:left w:val="nil"/>
              <w:bottom w:val="single" w:sz="8" w:space="0" w:color="auto"/>
              <w:right w:val="single" w:sz="8" w:space="0" w:color="auto"/>
            </w:tcBorders>
            <w:vAlign w:val="center"/>
          </w:tcPr>
          <w:p w14:paraId="27F21A32" w14:textId="77777777" w:rsidR="00115458" w:rsidRPr="00D06BCE" w:rsidRDefault="00115458" w:rsidP="00D06BCE">
            <w:pPr>
              <w:spacing w:after="0" w:line="240" w:lineRule="auto"/>
              <w:rPr>
                <w:rFonts w:cs="Arial"/>
              </w:rPr>
            </w:pPr>
            <w:r w:rsidRPr="00D06BCE">
              <w:rPr>
                <w:rFonts w:cs="Arial"/>
              </w:rPr>
              <w:t>FMD116</w:t>
            </w:r>
          </w:p>
        </w:tc>
      </w:tr>
      <w:tr w:rsidR="00115458" w:rsidRPr="00D06BCE" w14:paraId="6F26BD7B" w14:textId="77777777" w:rsidTr="00427C84">
        <w:trPr>
          <w:trHeight w:val="270"/>
        </w:trPr>
        <w:tc>
          <w:tcPr>
            <w:tcW w:w="662" w:type="pct"/>
            <w:tcBorders>
              <w:top w:val="nil"/>
              <w:left w:val="single" w:sz="8" w:space="0" w:color="auto"/>
              <w:bottom w:val="single" w:sz="8" w:space="0" w:color="auto"/>
              <w:right w:val="single" w:sz="8" w:space="0" w:color="auto"/>
            </w:tcBorders>
          </w:tcPr>
          <w:p w14:paraId="761FC1AA" w14:textId="77777777" w:rsidR="00115458" w:rsidRPr="007F6219" w:rsidRDefault="00115458" w:rsidP="00D06BCE">
            <w:pPr>
              <w:spacing w:after="0" w:line="240" w:lineRule="auto"/>
            </w:pPr>
            <w:hyperlink w:anchor="d7_063" w:history="1">
              <w:r w:rsidRPr="007F6219">
                <w:t>9.65</w:t>
              </w:r>
            </w:hyperlink>
          </w:p>
        </w:tc>
        <w:tc>
          <w:tcPr>
            <w:tcW w:w="2802" w:type="pct"/>
            <w:tcBorders>
              <w:top w:val="nil"/>
              <w:left w:val="nil"/>
              <w:bottom w:val="single" w:sz="8" w:space="0" w:color="auto"/>
              <w:right w:val="single" w:sz="8" w:space="0" w:color="auto"/>
            </w:tcBorders>
            <w:vAlign w:val="center"/>
          </w:tcPr>
          <w:p w14:paraId="3B557D1C" w14:textId="77777777" w:rsidR="00115458" w:rsidRPr="00D06BCE" w:rsidRDefault="00115458" w:rsidP="00D06BCE">
            <w:pPr>
              <w:spacing w:after="0" w:line="240" w:lineRule="auto"/>
              <w:rPr>
                <w:rFonts w:cs="Arial"/>
              </w:rPr>
            </w:pPr>
            <w:r w:rsidRPr="00D06BCE">
              <w:rPr>
                <w:rFonts w:cs="Arial"/>
              </w:rPr>
              <w:t>BSB number</w:t>
            </w:r>
          </w:p>
        </w:tc>
        <w:tc>
          <w:tcPr>
            <w:tcW w:w="1536" w:type="pct"/>
            <w:tcBorders>
              <w:top w:val="nil"/>
              <w:left w:val="nil"/>
              <w:bottom w:val="single" w:sz="8" w:space="0" w:color="auto"/>
              <w:right w:val="single" w:sz="8" w:space="0" w:color="auto"/>
            </w:tcBorders>
            <w:vAlign w:val="center"/>
          </w:tcPr>
          <w:p w14:paraId="59AD79CE"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17C0A0B1" w14:textId="77777777" w:rsidTr="00427C84">
        <w:trPr>
          <w:trHeight w:val="270"/>
        </w:trPr>
        <w:tc>
          <w:tcPr>
            <w:tcW w:w="662" w:type="pct"/>
            <w:tcBorders>
              <w:top w:val="nil"/>
              <w:left w:val="single" w:sz="8" w:space="0" w:color="auto"/>
              <w:bottom w:val="single" w:sz="8" w:space="0" w:color="auto"/>
              <w:right w:val="single" w:sz="8" w:space="0" w:color="auto"/>
            </w:tcBorders>
          </w:tcPr>
          <w:p w14:paraId="3C401C3B" w14:textId="77777777" w:rsidR="00115458" w:rsidRPr="007F6219" w:rsidRDefault="00115458" w:rsidP="00D06BCE">
            <w:pPr>
              <w:spacing w:after="0" w:line="240" w:lineRule="auto"/>
            </w:pPr>
            <w:hyperlink w:anchor="d7_064" w:history="1">
              <w:r w:rsidRPr="007F6219">
                <w:t>9.66</w:t>
              </w:r>
            </w:hyperlink>
          </w:p>
        </w:tc>
        <w:tc>
          <w:tcPr>
            <w:tcW w:w="2802" w:type="pct"/>
            <w:tcBorders>
              <w:top w:val="nil"/>
              <w:left w:val="nil"/>
              <w:bottom w:val="single" w:sz="8" w:space="0" w:color="auto"/>
              <w:right w:val="single" w:sz="8" w:space="0" w:color="auto"/>
            </w:tcBorders>
            <w:vAlign w:val="center"/>
          </w:tcPr>
          <w:p w14:paraId="0287E9B7" w14:textId="77777777" w:rsidR="00115458" w:rsidRPr="00D06BCE" w:rsidRDefault="00115458" w:rsidP="00D06BCE">
            <w:pPr>
              <w:spacing w:after="0" w:line="240" w:lineRule="auto"/>
              <w:rPr>
                <w:rFonts w:cs="Arial"/>
              </w:rPr>
            </w:pPr>
            <w:r w:rsidRPr="00D06BCE">
              <w:rPr>
                <w:rFonts w:cs="Arial"/>
              </w:rPr>
              <w:t>Branch location</w:t>
            </w:r>
          </w:p>
        </w:tc>
        <w:tc>
          <w:tcPr>
            <w:tcW w:w="1536" w:type="pct"/>
            <w:tcBorders>
              <w:top w:val="nil"/>
              <w:left w:val="nil"/>
              <w:bottom w:val="single" w:sz="8" w:space="0" w:color="auto"/>
              <w:right w:val="single" w:sz="8" w:space="0" w:color="auto"/>
            </w:tcBorders>
            <w:vAlign w:val="center"/>
          </w:tcPr>
          <w:p w14:paraId="331DC2A2" w14:textId="77777777" w:rsidR="00115458" w:rsidRPr="00D06BCE" w:rsidRDefault="00115458" w:rsidP="00D06BCE">
            <w:pPr>
              <w:spacing w:after="0" w:line="240" w:lineRule="auto"/>
              <w:rPr>
                <w:rFonts w:cs="Arial"/>
              </w:rPr>
            </w:pPr>
            <w:r w:rsidRPr="00D06BCE">
              <w:rPr>
                <w:rFonts w:cs="Arial"/>
              </w:rPr>
              <w:t>Blank fill</w:t>
            </w:r>
          </w:p>
        </w:tc>
      </w:tr>
      <w:tr w:rsidR="00115458" w:rsidRPr="00D06BCE" w14:paraId="50374BF8" w14:textId="77777777" w:rsidTr="00427C84">
        <w:trPr>
          <w:trHeight w:val="270"/>
        </w:trPr>
        <w:tc>
          <w:tcPr>
            <w:tcW w:w="662" w:type="pct"/>
            <w:tcBorders>
              <w:top w:val="nil"/>
              <w:left w:val="single" w:sz="8" w:space="0" w:color="auto"/>
              <w:bottom w:val="single" w:sz="8" w:space="0" w:color="auto"/>
              <w:right w:val="single" w:sz="8" w:space="0" w:color="auto"/>
            </w:tcBorders>
          </w:tcPr>
          <w:p w14:paraId="53E156A1" w14:textId="77777777" w:rsidR="00115458" w:rsidRPr="007F6219" w:rsidRDefault="00115458" w:rsidP="00D06BCE">
            <w:pPr>
              <w:spacing w:after="0" w:line="240" w:lineRule="auto"/>
            </w:pPr>
            <w:hyperlink w:anchor="d7_065" w:history="1">
              <w:r w:rsidRPr="007F6219">
                <w:t>9.67</w:t>
              </w:r>
            </w:hyperlink>
          </w:p>
        </w:tc>
        <w:tc>
          <w:tcPr>
            <w:tcW w:w="2802" w:type="pct"/>
            <w:tcBorders>
              <w:top w:val="nil"/>
              <w:left w:val="nil"/>
              <w:bottom w:val="single" w:sz="8" w:space="0" w:color="auto"/>
              <w:right w:val="single" w:sz="8" w:space="0" w:color="auto"/>
            </w:tcBorders>
            <w:vAlign w:val="center"/>
          </w:tcPr>
          <w:p w14:paraId="06C53E66" w14:textId="77777777" w:rsidR="00115458" w:rsidRPr="00D06BCE" w:rsidRDefault="00115458" w:rsidP="00D06BCE">
            <w:pPr>
              <w:spacing w:after="0" w:line="240" w:lineRule="auto"/>
              <w:rPr>
                <w:rFonts w:cs="Arial"/>
              </w:rPr>
            </w:pPr>
            <w:r w:rsidRPr="00D06BCE">
              <w:rPr>
                <w:rFonts w:cs="Arial"/>
              </w:rPr>
              <w:t>Account name</w:t>
            </w:r>
          </w:p>
        </w:tc>
        <w:tc>
          <w:tcPr>
            <w:tcW w:w="1536" w:type="pct"/>
            <w:tcBorders>
              <w:top w:val="nil"/>
              <w:left w:val="nil"/>
              <w:bottom w:val="single" w:sz="8" w:space="0" w:color="auto"/>
              <w:right w:val="single" w:sz="8" w:space="0" w:color="auto"/>
            </w:tcBorders>
            <w:vAlign w:val="center"/>
          </w:tcPr>
          <w:p w14:paraId="57F795B6" w14:textId="77777777" w:rsidR="00115458" w:rsidRPr="00D06BCE" w:rsidRDefault="00115458" w:rsidP="00D06BCE">
            <w:pPr>
              <w:spacing w:after="0" w:line="240" w:lineRule="auto"/>
              <w:rPr>
                <w:rFonts w:cs="Arial"/>
              </w:rPr>
            </w:pPr>
            <w:r w:rsidRPr="00D06BCE">
              <w:rPr>
                <w:rFonts w:cs="Arial"/>
              </w:rPr>
              <w:t>ISOBELLE ASHINGLY</w:t>
            </w:r>
          </w:p>
        </w:tc>
      </w:tr>
      <w:tr w:rsidR="00115458" w:rsidRPr="00D06BCE" w14:paraId="380E94F6" w14:textId="77777777" w:rsidTr="00427C84">
        <w:trPr>
          <w:trHeight w:val="270"/>
        </w:trPr>
        <w:tc>
          <w:tcPr>
            <w:tcW w:w="662" w:type="pct"/>
            <w:tcBorders>
              <w:top w:val="nil"/>
              <w:left w:val="single" w:sz="8" w:space="0" w:color="auto"/>
              <w:bottom w:val="single" w:sz="8" w:space="0" w:color="auto"/>
              <w:right w:val="single" w:sz="8" w:space="0" w:color="auto"/>
            </w:tcBorders>
          </w:tcPr>
          <w:p w14:paraId="746A55A9" w14:textId="678E5461" w:rsidR="00115458" w:rsidRPr="007F6219" w:rsidRDefault="004A060C" w:rsidP="00D06BCE">
            <w:pPr>
              <w:spacing w:after="0" w:line="240" w:lineRule="auto"/>
            </w:pPr>
            <w:r>
              <w:t>9.150</w:t>
            </w:r>
          </w:p>
        </w:tc>
        <w:tc>
          <w:tcPr>
            <w:tcW w:w="2802" w:type="pct"/>
            <w:tcBorders>
              <w:top w:val="nil"/>
              <w:left w:val="nil"/>
              <w:bottom w:val="single" w:sz="8" w:space="0" w:color="auto"/>
              <w:right w:val="single" w:sz="8" w:space="0" w:color="auto"/>
            </w:tcBorders>
            <w:vAlign w:val="center"/>
          </w:tcPr>
          <w:p w14:paraId="2E653C2A" w14:textId="77777777" w:rsidR="00115458" w:rsidRPr="00D06BCE" w:rsidRDefault="00115458" w:rsidP="00D06BCE">
            <w:pPr>
              <w:spacing w:after="0" w:line="240" w:lineRule="auto"/>
              <w:rPr>
                <w:rFonts w:cs="Arial"/>
              </w:rPr>
            </w:pPr>
            <w:r w:rsidRPr="00D06BCE">
              <w:rPr>
                <w:rFonts w:cs="Arial"/>
              </w:rPr>
              <w:t>Personal identification number (PIN)</w:t>
            </w:r>
          </w:p>
        </w:tc>
        <w:tc>
          <w:tcPr>
            <w:tcW w:w="1536" w:type="pct"/>
            <w:tcBorders>
              <w:top w:val="nil"/>
              <w:left w:val="nil"/>
              <w:bottom w:val="single" w:sz="8" w:space="0" w:color="auto"/>
              <w:right w:val="single" w:sz="8" w:space="0" w:color="auto"/>
            </w:tcBorders>
            <w:vAlign w:val="center"/>
          </w:tcPr>
          <w:p w14:paraId="7CC1F630" w14:textId="77777777" w:rsidR="00115458" w:rsidRPr="00D06BCE" w:rsidRDefault="00115458" w:rsidP="00D06BCE">
            <w:pPr>
              <w:spacing w:after="0" w:line="240" w:lineRule="auto"/>
              <w:rPr>
                <w:rFonts w:cs="Arial"/>
              </w:rPr>
            </w:pPr>
            <w:r w:rsidRPr="00D06BCE">
              <w:rPr>
                <w:rFonts w:cs="Arial"/>
              </w:rPr>
              <w:t>1035</w:t>
            </w:r>
          </w:p>
        </w:tc>
      </w:tr>
      <w:tr w:rsidR="00115458" w:rsidRPr="00D06BCE" w14:paraId="43B6EB31" w14:textId="77777777" w:rsidTr="00427C84">
        <w:trPr>
          <w:trHeight w:val="270"/>
        </w:trPr>
        <w:tc>
          <w:tcPr>
            <w:tcW w:w="662" w:type="pct"/>
            <w:tcBorders>
              <w:top w:val="nil"/>
              <w:left w:val="single" w:sz="8" w:space="0" w:color="auto"/>
              <w:bottom w:val="single" w:sz="8" w:space="0" w:color="auto"/>
              <w:right w:val="single" w:sz="8" w:space="0" w:color="auto"/>
            </w:tcBorders>
          </w:tcPr>
          <w:p w14:paraId="22756F38" w14:textId="4A84E7E7" w:rsidR="00115458" w:rsidRPr="007F6219" w:rsidRDefault="00107A53" w:rsidP="00D06BCE">
            <w:pPr>
              <w:spacing w:after="0" w:line="240" w:lineRule="auto"/>
            </w:pPr>
            <w:r>
              <w:rPr>
                <w:rFonts w:cs="Arial"/>
              </w:rPr>
              <w:t>9.151</w:t>
            </w:r>
          </w:p>
        </w:tc>
        <w:tc>
          <w:tcPr>
            <w:tcW w:w="2802" w:type="pct"/>
            <w:tcBorders>
              <w:top w:val="nil"/>
              <w:left w:val="nil"/>
              <w:bottom w:val="single" w:sz="8" w:space="0" w:color="auto"/>
              <w:right w:val="single" w:sz="8" w:space="0" w:color="auto"/>
            </w:tcBorders>
            <w:vAlign w:val="center"/>
          </w:tcPr>
          <w:p w14:paraId="0E38869F" w14:textId="77777777" w:rsidR="00115458" w:rsidRPr="00D06BCE" w:rsidRDefault="00115458" w:rsidP="00D06BCE">
            <w:pPr>
              <w:spacing w:after="0" w:line="240" w:lineRule="auto"/>
              <w:rPr>
                <w:rFonts w:cs="Arial"/>
              </w:rPr>
            </w:pPr>
            <w:r w:rsidRPr="00D06BCE">
              <w:rPr>
                <w:rFonts w:cs="Arial"/>
              </w:rPr>
              <w:t>ANZSIC code</w:t>
            </w:r>
          </w:p>
        </w:tc>
        <w:tc>
          <w:tcPr>
            <w:tcW w:w="1536" w:type="pct"/>
            <w:tcBorders>
              <w:top w:val="nil"/>
              <w:left w:val="nil"/>
              <w:bottom w:val="single" w:sz="8" w:space="0" w:color="auto"/>
              <w:right w:val="single" w:sz="8" w:space="0" w:color="auto"/>
            </w:tcBorders>
            <w:vAlign w:val="center"/>
          </w:tcPr>
          <w:p w14:paraId="29913BFC" w14:textId="77777777" w:rsidR="00115458" w:rsidRPr="00D06BCE" w:rsidRDefault="00115458" w:rsidP="00D06BCE">
            <w:pPr>
              <w:spacing w:after="0" w:line="240" w:lineRule="auto"/>
              <w:rPr>
                <w:rFonts w:cs="Arial"/>
              </w:rPr>
            </w:pPr>
            <w:r w:rsidRPr="00D06BCE">
              <w:rPr>
                <w:rFonts w:cs="Arial"/>
              </w:rPr>
              <w:t>0160</w:t>
            </w:r>
          </w:p>
        </w:tc>
      </w:tr>
      <w:tr w:rsidR="00115458" w:rsidRPr="00D06BCE" w14:paraId="1C4C9022" w14:textId="77777777" w:rsidTr="00427C84">
        <w:trPr>
          <w:trHeight w:val="270"/>
        </w:trPr>
        <w:tc>
          <w:tcPr>
            <w:tcW w:w="662" w:type="pct"/>
            <w:tcBorders>
              <w:top w:val="nil"/>
              <w:left w:val="single" w:sz="8" w:space="0" w:color="auto"/>
              <w:bottom w:val="single" w:sz="8" w:space="0" w:color="auto"/>
              <w:right w:val="single" w:sz="8" w:space="0" w:color="auto"/>
            </w:tcBorders>
          </w:tcPr>
          <w:p w14:paraId="5B699CED" w14:textId="77777777" w:rsidR="00115458" w:rsidRPr="007F6219" w:rsidRDefault="00115458" w:rsidP="00D06BCE">
            <w:pPr>
              <w:spacing w:after="0" w:line="240" w:lineRule="auto"/>
            </w:pPr>
            <w:hyperlink w:anchor="d7_068" w:history="1">
              <w:r w:rsidRPr="007F6219">
                <w:t>9.70</w:t>
              </w:r>
            </w:hyperlink>
          </w:p>
        </w:tc>
        <w:tc>
          <w:tcPr>
            <w:tcW w:w="2802" w:type="pct"/>
            <w:tcBorders>
              <w:top w:val="nil"/>
              <w:left w:val="nil"/>
              <w:bottom w:val="single" w:sz="8" w:space="0" w:color="auto"/>
              <w:right w:val="single" w:sz="8" w:space="0" w:color="auto"/>
            </w:tcBorders>
            <w:vAlign w:val="center"/>
          </w:tcPr>
          <w:p w14:paraId="7DB62009" w14:textId="77777777" w:rsidR="00115458" w:rsidRPr="00D06BCE" w:rsidRDefault="00115458" w:rsidP="00D06BCE">
            <w:pPr>
              <w:spacing w:after="0" w:line="240" w:lineRule="auto"/>
              <w:rPr>
                <w:rFonts w:cs="Arial"/>
              </w:rPr>
            </w:pPr>
            <w:r w:rsidRPr="00D06BCE">
              <w:rPr>
                <w:rFonts w:cs="Arial"/>
              </w:rPr>
              <w:t>Date of payment (DDMMCCYY)</w:t>
            </w:r>
          </w:p>
        </w:tc>
        <w:tc>
          <w:tcPr>
            <w:tcW w:w="1536" w:type="pct"/>
            <w:tcBorders>
              <w:top w:val="nil"/>
              <w:left w:val="nil"/>
              <w:bottom w:val="single" w:sz="8" w:space="0" w:color="auto"/>
              <w:right w:val="single" w:sz="8" w:space="0" w:color="auto"/>
            </w:tcBorders>
            <w:vAlign w:val="center"/>
          </w:tcPr>
          <w:p w14:paraId="4EF807B5"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1FE7459F" w14:textId="77777777" w:rsidTr="00427C84">
        <w:trPr>
          <w:trHeight w:val="270"/>
        </w:trPr>
        <w:tc>
          <w:tcPr>
            <w:tcW w:w="662" w:type="pct"/>
            <w:tcBorders>
              <w:top w:val="nil"/>
              <w:left w:val="single" w:sz="8" w:space="0" w:color="auto"/>
              <w:bottom w:val="single" w:sz="8" w:space="0" w:color="auto"/>
              <w:right w:val="single" w:sz="8" w:space="0" w:color="auto"/>
            </w:tcBorders>
          </w:tcPr>
          <w:p w14:paraId="404238FA" w14:textId="77777777" w:rsidR="00115458" w:rsidRPr="007F6219" w:rsidRDefault="00115458" w:rsidP="00D06BCE">
            <w:pPr>
              <w:spacing w:after="0" w:line="240" w:lineRule="auto"/>
            </w:pPr>
            <w:hyperlink w:anchor="d7_069" w:history="1">
              <w:r w:rsidRPr="007F6219">
                <w:t>9.71</w:t>
              </w:r>
            </w:hyperlink>
          </w:p>
        </w:tc>
        <w:tc>
          <w:tcPr>
            <w:tcW w:w="2802" w:type="pct"/>
            <w:tcBorders>
              <w:top w:val="nil"/>
              <w:left w:val="nil"/>
              <w:bottom w:val="single" w:sz="8" w:space="0" w:color="auto"/>
              <w:right w:val="single" w:sz="8" w:space="0" w:color="auto"/>
            </w:tcBorders>
            <w:vAlign w:val="center"/>
          </w:tcPr>
          <w:p w14:paraId="47909361" w14:textId="77777777" w:rsidR="00115458" w:rsidRPr="00D06BCE" w:rsidRDefault="00115458" w:rsidP="00D06BCE">
            <w:pPr>
              <w:spacing w:after="0" w:line="240" w:lineRule="auto"/>
              <w:rPr>
                <w:rFonts w:cs="Arial"/>
              </w:rPr>
            </w:pPr>
            <w:r w:rsidRPr="00D06BCE">
              <w:rPr>
                <w:rFonts w:cs="Arial"/>
              </w:rPr>
              <w:t>Type of investment</w:t>
            </w:r>
          </w:p>
        </w:tc>
        <w:tc>
          <w:tcPr>
            <w:tcW w:w="1536" w:type="pct"/>
            <w:tcBorders>
              <w:top w:val="nil"/>
              <w:left w:val="nil"/>
              <w:bottom w:val="single" w:sz="8" w:space="0" w:color="auto"/>
              <w:right w:val="single" w:sz="8" w:space="0" w:color="auto"/>
            </w:tcBorders>
            <w:vAlign w:val="center"/>
          </w:tcPr>
          <w:p w14:paraId="1072D1CC" w14:textId="77777777" w:rsidR="00115458" w:rsidRPr="00D06BCE" w:rsidRDefault="00115458" w:rsidP="00D06BCE">
            <w:pPr>
              <w:spacing w:after="0" w:line="240" w:lineRule="auto"/>
              <w:rPr>
                <w:rFonts w:cs="Arial"/>
              </w:rPr>
            </w:pPr>
            <w:r w:rsidRPr="00D06BCE">
              <w:rPr>
                <w:rFonts w:cs="Arial"/>
              </w:rPr>
              <w:t>2</w:t>
            </w:r>
          </w:p>
        </w:tc>
      </w:tr>
      <w:tr w:rsidR="00115458" w:rsidRPr="00D06BCE" w14:paraId="72C4A4E2" w14:textId="77777777" w:rsidTr="00427C84">
        <w:trPr>
          <w:trHeight w:val="270"/>
        </w:trPr>
        <w:tc>
          <w:tcPr>
            <w:tcW w:w="662" w:type="pct"/>
            <w:tcBorders>
              <w:top w:val="nil"/>
              <w:left w:val="single" w:sz="8" w:space="0" w:color="auto"/>
              <w:bottom w:val="single" w:sz="8" w:space="0" w:color="auto"/>
              <w:right w:val="single" w:sz="8" w:space="0" w:color="auto"/>
            </w:tcBorders>
          </w:tcPr>
          <w:p w14:paraId="06669552" w14:textId="77777777" w:rsidR="00115458" w:rsidRPr="007F6219" w:rsidRDefault="00115458" w:rsidP="00D06BCE">
            <w:pPr>
              <w:spacing w:after="0" w:line="240" w:lineRule="auto"/>
            </w:pPr>
            <w:hyperlink w:anchor="d7_070" w:history="1">
              <w:r w:rsidRPr="007F6219">
                <w:t>9.72</w:t>
              </w:r>
            </w:hyperlink>
          </w:p>
        </w:tc>
        <w:tc>
          <w:tcPr>
            <w:tcW w:w="2802" w:type="pct"/>
            <w:tcBorders>
              <w:top w:val="nil"/>
              <w:left w:val="nil"/>
              <w:bottom w:val="single" w:sz="8" w:space="0" w:color="auto"/>
              <w:right w:val="single" w:sz="8" w:space="0" w:color="auto"/>
            </w:tcBorders>
            <w:vAlign w:val="center"/>
          </w:tcPr>
          <w:p w14:paraId="287B12E1" w14:textId="77777777" w:rsidR="00115458" w:rsidRPr="00D06BCE" w:rsidRDefault="00115458" w:rsidP="00D06BCE">
            <w:pPr>
              <w:spacing w:after="0" w:line="240" w:lineRule="auto"/>
              <w:rPr>
                <w:rFonts w:cs="Arial"/>
              </w:rPr>
            </w:pPr>
            <w:r w:rsidRPr="00D06BCE">
              <w:rPr>
                <w:rFonts w:cs="Arial"/>
              </w:rPr>
              <w:t>Type of payment</w:t>
            </w:r>
          </w:p>
        </w:tc>
        <w:tc>
          <w:tcPr>
            <w:tcW w:w="1536" w:type="pct"/>
            <w:tcBorders>
              <w:top w:val="nil"/>
              <w:left w:val="nil"/>
              <w:bottom w:val="single" w:sz="8" w:space="0" w:color="auto"/>
              <w:right w:val="single" w:sz="8" w:space="0" w:color="auto"/>
            </w:tcBorders>
            <w:vAlign w:val="center"/>
          </w:tcPr>
          <w:p w14:paraId="148FFC09" w14:textId="77777777" w:rsidR="00115458" w:rsidRPr="00D06BCE" w:rsidRDefault="00115458" w:rsidP="00D06BCE">
            <w:pPr>
              <w:spacing w:after="0" w:line="240" w:lineRule="auto"/>
              <w:rPr>
                <w:rFonts w:cs="Arial"/>
              </w:rPr>
            </w:pPr>
            <w:r w:rsidRPr="00D06BCE">
              <w:rPr>
                <w:rFonts w:cs="Arial"/>
              </w:rPr>
              <w:t>FMD</w:t>
            </w:r>
          </w:p>
        </w:tc>
      </w:tr>
      <w:tr w:rsidR="00115458" w:rsidRPr="00D06BCE" w14:paraId="7D750547" w14:textId="77777777" w:rsidTr="00427C84">
        <w:trPr>
          <w:trHeight w:val="270"/>
        </w:trPr>
        <w:tc>
          <w:tcPr>
            <w:tcW w:w="662" w:type="pct"/>
            <w:tcBorders>
              <w:top w:val="nil"/>
              <w:left w:val="single" w:sz="8" w:space="0" w:color="auto"/>
              <w:bottom w:val="single" w:sz="8" w:space="0" w:color="auto"/>
              <w:right w:val="single" w:sz="8" w:space="0" w:color="auto"/>
            </w:tcBorders>
          </w:tcPr>
          <w:p w14:paraId="7CF6541B" w14:textId="77777777" w:rsidR="00115458" w:rsidRPr="007F6219" w:rsidRDefault="00115458" w:rsidP="00D06BCE">
            <w:pPr>
              <w:spacing w:after="0" w:line="240" w:lineRule="auto"/>
            </w:pPr>
            <w:hyperlink w:anchor="d7_076" w:history="1">
              <w:r w:rsidRPr="007F6219">
                <w:t>9.79</w:t>
              </w:r>
            </w:hyperlink>
          </w:p>
        </w:tc>
        <w:tc>
          <w:tcPr>
            <w:tcW w:w="2802" w:type="pct"/>
            <w:tcBorders>
              <w:top w:val="nil"/>
              <w:left w:val="nil"/>
              <w:bottom w:val="single" w:sz="8" w:space="0" w:color="auto"/>
              <w:right w:val="single" w:sz="8" w:space="0" w:color="auto"/>
            </w:tcBorders>
            <w:vAlign w:val="center"/>
          </w:tcPr>
          <w:p w14:paraId="11058021" w14:textId="77777777" w:rsidR="00115458" w:rsidRPr="00D06BCE" w:rsidRDefault="00115458" w:rsidP="00D06BCE">
            <w:pPr>
              <w:spacing w:after="0" w:line="240" w:lineRule="auto"/>
              <w:rPr>
                <w:rFonts w:cs="Arial"/>
              </w:rPr>
            </w:pPr>
            <w:r w:rsidRPr="00D06BCE">
              <w:rPr>
                <w:rFonts w:cs="Arial"/>
              </w:rPr>
              <w:t>Interest (cents)</w:t>
            </w:r>
          </w:p>
        </w:tc>
        <w:tc>
          <w:tcPr>
            <w:tcW w:w="1536" w:type="pct"/>
            <w:tcBorders>
              <w:top w:val="nil"/>
              <w:left w:val="nil"/>
              <w:bottom w:val="single" w:sz="8" w:space="0" w:color="auto"/>
              <w:right w:val="single" w:sz="8" w:space="0" w:color="auto"/>
            </w:tcBorders>
            <w:vAlign w:val="center"/>
          </w:tcPr>
          <w:p w14:paraId="1B11304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96D1497" w14:textId="77777777" w:rsidTr="00427C84">
        <w:trPr>
          <w:trHeight w:val="270"/>
        </w:trPr>
        <w:tc>
          <w:tcPr>
            <w:tcW w:w="662" w:type="pct"/>
            <w:tcBorders>
              <w:top w:val="nil"/>
              <w:left w:val="single" w:sz="8" w:space="0" w:color="auto"/>
              <w:bottom w:val="single" w:sz="8" w:space="0" w:color="auto"/>
              <w:right w:val="single" w:sz="8" w:space="0" w:color="auto"/>
            </w:tcBorders>
          </w:tcPr>
          <w:p w14:paraId="0D586291" w14:textId="77777777" w:rsidR="00115458" w:rsidRPr="007F6219" w:rsidRDefault="00115458" w:rsidP="00D06BCE">
            <w:pPr>
              <w:spacing w:after="0" w:line="240" w:lineRule="auto"/>
            </w:pPr>
            <w:hyperlink w:anchor="d7_072" w:history="1">
              <w:r w:rsidRPr="007F6219">
                <w:t>9.74</w:t>
              </w:r>
            </w:hyperlink>
          </w:p>
        </w:tc>
        <w:tc>
          <w:tcPr>
            <w:tcW w:w="2802" w:type="pct"/>
            <w:tcBorders>
              <w:top w:val="nil"/>
              <w:left w:val="nil"/>
              <w:bottom w:val="single" w:sz="8" w:space="0" w:color="auto"/>
              <w:right w:val="single" w:sz="8" w:space="0" w:color="auto"/>
            </w:tcBorders>
            <w:vAlign w:val="center"/>
          </w:tcPr>
          <w:p w14:paraId="12CA0C33" w14:textId="77777777" w:rsidR="00115458" w:rsidRPr="00D06BCE" w:rsidRDefault="00115458" w:rsidP="00D06BCE">
            <w:pPr>
              <w:spacing w:after="0" w:line="240" w:lineRule="auto"/>
              <w:rPr>
                <w:rFonts w:cs="Arial"/>
              </w:rPr>
            </w:pPr>
            <w:r w:rsidRPr="00D06BCE">
              <w:rPr>
                <w:rFonts w:cs="Arial"/>
              </w:rPr>
              <w:t>TFN withholding tax deducted (cents)</w:t>
            </w:r>
          </w:p>
        </w:tc>
        <w:tc>
          <w:tcPr>
            <w:tcW w:w="1536" w:type="pct"/>
            <w:tcBorders>
              <w:top w:val="nil"/>
              <w:left w:val="nil"/>
              <w:bottom w:val="single" w:sz="8" w:space="0" w:color="auto"/>
              <w:right w:val="single" w:sz="8" w:space="0" w:color="auto"/>
            </w:tcBorders>
            <w:vAlign w:val="center"/>
          </w:tcPr>
          <w:p w14:paraId="6C42CAD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21D5C98" w14:textId="77777777" w:rsidTr="00427C84">
        <w:trPr>
          <w:trHeight w:val="270"/>
        </w:trPr>
        <w:tc>
          <w:tcPr>
            <w:tcW w:w="662" w:type="pct"/>
            <w:tcBorders>
              <w:top w:val="nil"/>
              <w:left w:val="single" w:sz="8" w:space="0" w:color="auto"/>
              <w:bottom w:val="single" w:sz="8" w:space="0" w:color="auto"/>
              <w:right w:val="single" w:sz="8" w:space="0" w:color="auto"/>
            </w:tcBorders>
          </w:tcPr>
          <w:p w14:paraId="48BBC763" w14:textId="77777777" w:rsidR="00115458" w:rsidRPr="007F6219" w:rsidRDefault="00115458" w:rsidP="00D06BCE">
            <w:pPr>
              <w:spacing w:after="0" w:line="240" w:lineRule="auto"/>
            </w:pPr>
            <w:hyperlink w:anchor="d7_073" w:history="1">
              <w:r w:rsidRPr="007F6219">
                <w:t>9.75</w:t>
              </w:r>
            </w:hyperlink>
          </w:p>
        </w:tc>
        <w:tc>
          <w:tcPr>
            <w:tcW w:w="2802" w:type="pct"/>
            <w:tcBorders>
              <w:top w:val="nil"/>
              <w:left w:val="nil"/>
              <w:bottom w:val="single" w:sz="8" w:space="0" w:color="auto"/>
              <w:right w:val="single" w:sz="8" w:space="0" w:color="auto"/>
            </w:tcBorders>
            <w:vAlign w:val="center"/>
          </w:tcPr>
          <w:p w14:paraId="66DCF555" w14:textId="77777777" w:rsidR="00115458" w:rsidRPr="00D06BCE" w:rsidRDefault="00115458" w:rsidP="00D06BCE">
            <w:pPr>
              <w:spacing w:after="0" w:line="240" w:lineRule="auto"/>
              <w:rPr>
                <w:rFonts w:cs="Arial"/>
              </w:rPr>
            </w:pPr>
            <w:r w:rsidRPr="00D06BCE">
              <w:rPr>
                <w:rFonts w:cs="Arial"/>
              </w:rPr>
              <w:t>TFN withholding tax refunded (cents)</w:t>
            </w:r>
          </w:p>
        </w:tc>
        <w:tc>
          <w:tcPr>
            <w:tcW w:w="1536" w:type="pct"/>
            <w:tcBorders>
              <w:top w:val="nil"/>
              <w:left w:val="nil"/>
              <w:bottom w:val="single" w:sz="8" w:space="0" w:color="auto"/>
              <w:right w:val="single" w:sz="8" w:space="0" w:color="auto"/>
            </w:tcBorders>
            <w:vAlign w:val="center"/>
          </w:tcPr>
          <w:p w14:paraId="45BCABF3"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0D9364DA" w14:textId="77777777" w:rsidTr="00427C84">
        <w:trPr>
          <w:trHeight w:val="270"/>
        </w:trPr>
        <w:tc>
          <w:tcPr>
            <w:tcW w:w="662" w:type="pct"/>
            <w:tcBorders>
              <w:top w:val="nil"/>
              <w:left w:val="single" w:sz="8" w:space="0" w:color="auto"/>
              <w:bottom w:val="single" w:sz="8" w:space="0" w:color="auto"/>
              <w:right w:val="single" w:sz="8" w:space="0" w:color="auto"/>
            </w:tcBorders>
          </w:tcPr>
          <w:p w14:paraId="6B7632D2" w14:textId="141B737C" w:rsidR="00115458" w:rsidRPr="007F6219" w:rsidRDefault="00E548B4" w:rsidP="00D06BCE">
            <w:pPr>
              <w:spacing w:after="0" w:line="240" w:lineRule="auto"/>
            </w:pPr>
            <w:r>
              <w:rPr>
                <w:rFonts w:cs="Arial"/>
              </w:rPr>
              <w:t>9.152</w:t>
            </w:r>
          </w:p>
        </w:tc>
        <w:tc>
          <w:tcPr>
            <w:tcW w:w="2802" w:type="pct"/>
            <w:tcBorders>
              <w:top w:val="nil"/>
              <w:left w:val="nil"/>
              <w:bottom w:val="single" w:sz="8" w:space="0" w:color="auto"/>
              <w:right w:val="single" w:sz="8" w:space="0" w:color="auto"/>
            </w:tcBorders>
            <w:vAlign w:val="center"/>
          </w:tcPr>
          <w:p w14:paraId="30888904" w14:textId="77777777" w:rsidR="00115458" w:rsidRPr="00D06BCE" w:rsidRDefault="00115458" w:rsidP="00D06BCE">
            <w:pPr>
              <w:spacing w:after="0" w:line="240" w:lineRule="auto"/>
              <w:rPr>
                <w:rFonts w:cs="Arial"/>
              </w:rPr>
            </w:pPr>
            <w:r w:rsidRPr="00D06BCE">
              <w:rPr>
                <w:rFonts w:cs="Arial"/>
              </w:rPr>
              <w:t>Amount of deductible deposit (cents)</w:t>
            </w:r>
          </w:p>
        </w:tc>
        <w:tc>
          <w:tcPr>
            <w:tcW w:w="1536" w:type="pct"/>
            <w:tcBorders>
              <w:top w:val="nil"/>
              <w:left w:val="nil"/>
              <w:bottom w:val="single" w:sz="8" w:space="0" w:color="auto"/>
              <w:right w:val="single" w:sz="8" w:space="0" w:color="auto"/>
            </w:tcBorders>
            <w:vAlign w:val="center"/>
          </w:tcPr>
          <w:p w14:paraId="00FD397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0B56339" w14:textId="77777777" w:rsidTr="00427C84">
        <w:trPr>
          <w:trHeight w:val="270"/>
        </w:trPr>
        <w:tc>
          <w:tcPr>
            <w:tcW w:w="662" w:type="pct"/>
            <w:tcBorders>
              <w:top w:val="nil"/>
              <w:left w:val="single" w:sz="8" w:space="0" w:color="auto"/>
              <w:bottom w:val="single" w:sz="8" w:space="0" w:color="auto"/>
              <w:right w:val="single" w:sz="8" w:space="0" w:color="auto"/>
            </w:tcBorders>
          </w:tcPr>
          <w:p w14:paraId="6A90BD03" w14:textId="4B20F8F9" w:rsidR="00115458" w:rsidRPr="007F6219" w:rsidRDefault="00704E70" w:rsidP="00D06BCE">
            <w:pPr>
              <w:spacing w:after="0" w:line="240" w:lineRule="auto"/>
            </w:pPr>
            <w:r>
              <w:t>9.153</w:t>
            </w:r>
          </w:p>
        </w:tc>
        <w:tc>
          <w:tcPr>
            <w:tcW w:w="2802" w:type="pct"/>
            <w:tcBorders>
              <w:top w:val="nil"/>
              <w:left w:val="nil"/>
              <w:bottom w:val="single" w:sz="8" w:space="0" w:color="auto"/>
              <w:right w:val="single" w:sz="8" w:space="0" w:color="auto"/>
            </w:tcBorders>
            <w:vAlign w:val="center"/>
          </w:tcPr>
          <w:p w14:paraId="4DAFFBCF" w14:textId="77777777" w:rsidR="00115458" w:rsidRPr="00D06BCE" w:rsidRDefault="00115458" w:rsidP="00D06BCE">
            <w:pPr>
              <w:spacing w:after="0" w:line="240" w:lineRule="auto"/>
              <w:rPr>
                <w:rFonts w:cs="Arial"/>
              </w:rPr>
            </w:pPr>
            <w:r w:rsidRPr="00D06BCE">
              <w:rPr>
                <w:rFonts w:cs="Arial"/>
              </w:rPr>
              <w:t>Date of deductible deposit (DDMMCCYY)</w:t>
            </w:r>
          </w:p>
        </w:tc>
        <w:tc>
          <w:tcPr>
            <w:tcW w:w="1536" w:type="pct"/>
            <w:tcBorders>
              <w:top w:val="nil"/>
              <w:left w:val="nil"/>
              <w:bottom w:val="single" w:sz="8" w:space="0" w:color="auto"/>
              <w:right w:val="single" w:sz="8" w:space="0" w:color="auto"/>
            </w:tcBorders>
            <w:vAlign w:val="center"/>
          </w:tcPr>
          <w:p w14:paraId="735C22F1"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36F875D" w14:textId="77777777" w:rsidTr="00427C84">
        <w:trPr>
          <w:trHeight w:val="270"/>
        </w:trPr>
        <w:tc>
          <w:tcPr>
            <w:tcW w:w="662" w:type="pct"/>
            <w:tcBorders>
              <w:top w:val="nil"/>
              <w:left w:val="single" w:sz="8" w:space="0" w:color="auto"/>
              <w:bottom w:val="single" w:sz="8" w:space="0" w:color="auto"/>
              <w:right w:val="single" w:sz="8" w:space="0" w:color="auto"/>
            </w:tcBorders>
          </w:tcPr>
          <w:p w14:paraId="39AC5C4C" w14:textId="2578DA3B" w:rsidR="00115458" w:rsidRPr="007F6219" w:rsidRDefault="00D428B9" w:rsidP="00D06BCE">
            <w:pPr>
              <w:spacing w:after="0" w:line="240" w:lineRule="auto"/>
            </w:pPr>
            <w:r>
              <w:t>9.154</w:t>
            </w:r>
          </w:p>
        </w:tc>
        <w:tc>
          <w:tcPr>
            <w:tcW w:w="2802" w:type="pct"/>
            <w:tcBorders>
              <w:top w:val="nil"/>
              <w:left w:val="nil"/>
              <w:bottom w:val="single" w:sz="8" w:space="0" w:color="auto"/>
              <w:right w:val="single" w:sz="8" w:space="0" w:color="auto"/>
            </w:tcBorders>
            <w:vAlign w:val="center"/>
          </w:tcPr>
          <w:p w14:paraId="245D9A3D" w14:textId="77777777" w:rsidR="00115458" w:rsidRPr="00D06BCE" w:rsidRDefault="00115458" w:rsidP="00D06BCE">
            <w:pPr>
              <w:spacing w:after="0" w:line="240" w:lineRule="auto"/>
              <w:rPr>
                <w:rFonts w:cs="Arial"/>
              </w:rPr>
            </w:pPr>
            <w:r w:rsidRPr="00D06BCE">
              <w:rPr>
                <w:rFonts w:cs="Arial"/>
              </w:rPr>
              <w:t>Date of original deductible deposit (DDMMCCYY)</w:t>
            </w:r>
          </w:p>
        </w:tc>
        <w:tc>
          <w:tcPr>
            <w:tcW w:w="1536" w:type="pct"/>
            <w:tcBorders>
              <w:top w:val="nil"/>
              <w:left w:val="nil"/>
              <w:bottom w:val="single" w:sz="8" w:space="0" w:color="auto"/>
              <w:right w:val="single" w:sz="8" w:space="0" w:color="auto"/>
            </w:tcBorders>
            <w:vAlign w:val="center"/>
          </w:tcPr>
          <w:p w14:paraId="35F2ECB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5F0A532" w14:textId="77777777" w:rsidTr="00427C84">
        <w:trPr>
          <w:trHeight w:val="270"/>
        </w:trPr>
        <w:tc>
          <w:tcPr>
            <w:tcW w:w="662" w:type="pct"/>
            <w:tcBorders>
              <w:top w:val="nil"/>
              <w:left w:val="single" w:sz="8" w:space="0" w:color="auto"/>
              <w:bottom w:val="single" w:sz="8" w:space="0" w:color="auto"/>
              <w:right w:val="single" w:sz="8" w:space="0" w:color="auto"/>
            </w:tcBorders>
          </w:tcPr>
          <w:p w14:paraId="28A8C9B0" w14:textId="0ABA4B8A" w:rsidR="00115458" w:rsidRPr="007F6219" w:rsidRDefault="00AC6B52" w:rsidP="00D06BCE">
            <w:pPr>
              <w:spacing w:after="0" w:line="240" w:lineRule="auto"/>
            </w:pPr>
            <w:r>
              <w:t>9.155</w:t>
            </w:r>
          </w:p>
        </w:tc>
        <w:tc>
          <w:tcPr>
            <w:tcW w:w="2802" w:type="pct"/>
            <w:tcBorders>
              <w:top w:val="nil"/>
              <w:left w:val="nil"/>
              <w:bottom w:val="single" w:sz="8" w:space="0" w:color="auto"/>
              <w:right w:val="single" w:sz="8" w:space="0" w:color="auto"/>
            </w:tcBorders>
            <w:vAlign w:val="center"/>
          </w:tcPr>
          <w:p w14:paraId="6E4E22AD" w14:textId="77777777" w:rsidR="00115458" w:rsidRPr="00D06BCE" w:rsidRDefault="00115458" w:rsidP="00D06BCE">
            <w:pPr>
              <w:spacing w:after="0" w:line="240" w:lineRule="auto"/>
              <w:rPr>
                <w:rFonts w:cs="Arial"/>
              </w:rPr>
            </w:pPr>
            <w:r w:rsidRPr="00D06BCE">
              <w:rPr>
                <w:rFonts w:cs="Arial"/>
              </w:rPr>
              <w:t>Amount of repayment (first) (cents)</w:t>
            </w:r>
          </w:p>
        </w:tc>
        <w:tc>
          <w:tcPr>
            <w:tcW w:w="1536" w:type="pct"/>
            <w:tcBorders>
              <w:top w:val="nil"/>
              <w:left w:val="nil"/>
              <w:bottom w:val="single" w:sz="8" w:space="0" w:color="auto"/>
              <w:right w:val="single" w:sz="8" w:space="0" w:color="auto"/>
            </w:tcBorders>
            <w:vAlign w:val="center"/>
          </w:tcPr>
          <w:p w14:paraId="46953A76"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1173720" w14:textId="77777777" w:rsidTr="00427C84">
        <w:trPr>
          <w:trHeight w:val="270"/>
        </w:trPr>
        <w:tc>
          <w:tcPr>
            <w:tcW w:w="662" w:type="pct"/>
            <w:tcBorders>
              <w:top w:val="nil"/>
              <w:left w:val="single" w:sz="8" w:space="0" w:color="auto"/>
              <w:bottom w:val="single" w:sz="8" w:space="0" w:color="auto"/>
              <w:right w:val="single" w:sz="8" w:space="0" w:color="auto"/>
            </w:tcBorders>
          </w:tcPr>
          <w:p w14:paraId="5BFE5152" w14:textId="5224D1A9" w:rsidR="00115458" w:rsidRPr="007F6219" w:rsidRDefault="009C084F" w:rsidP="00D06BCE">
            <w:pPr>
              <w:spacing w:after="0" w:line="240" w:lineRule="auto"/>
            </w:pPr>
            <w:r>
              <w:t>9.156</w:t>
            </w:r>
          </w:p>
        </w:tc>
        <w:tc>
          <w:tcPr>
            <w:tcW w:w="2802" w:type="pct"/>
            <w:tcBorders>
              <w:top w:val="nil"/>
              <w:left w:val="nil"/>
              <w:bottom w:val="single" w:sz="8" w:space="0" w:color="auto"/>
              <w:right w:val="single" w:sz="8" w:space="0" w:color="auto"/>
            </w:tcBorders>
            <w:vAlign w:val="center"/>
          </w:tcPr>
          <w:p w14:paraId="46828EAE" w14:textId="77777777" w:rsidR="00115458" w:rsidRPr="00D06BCE" w:rsidRDefault="00115458" w:rsidP="00D06BCE">
            <w:pPr>
              <w:spacing w:after="0" w:line="240" w:lineRule="auto"/>
              <w:rPr>
                <w:rFonts w:cs="Arial"/>
              </w:rPr>
            </w:pPr>
            <w:r w:rsidRPr="00D06BCE">
              <w:rPr>
                <w:rFonts w:cs="Arial"/>
              </w:rPr>
              <w:t>Date of repayment (first) (DDMMCCYY)</w:t>
            </w:r>
          </w:p>
        </w:tc>
        <w:tc>
          <w:tcPr>
            <w:tcW w:w="1536" w:type="pct"/>
            <w:tcBorders>
              <w:top w:val="nil"/>
              <w:left w:val="nil"/>
              <w:bottom w:val="single" w:sz="8" w:space="0" w:color="auto"/>
              <w:right w:val="single" w:sz="8" w:space="0" w:color="auto"/>
            </w:tcBorders>
            <w:vAlign w:val="center"/>
          </w:tcPr>
          <w:p w14:paraId="19A88586"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02C47BB" w14:textId="77777777" w:rsidTr="00427C84">
        <w:trPr>
          <w:trHeight w:val="270"/>
        </w:trPr>
        <w:tc>
          <w:tcPr>
            <w:tcW w:w="662" w:type="pct"/>
            <w:tcBorders>
              <w:top w:val="nil"/>
              <w:left w:val="single" w:sz="8" w:space="0" w:color="auto"/>
              <w:bottom w:val="single" w:sz="8" w:space="0" w:color="auto"/>
              <w:right w:val="single" w:sz="8" w:space="0" w:color="auto"/>
            </w:tcBorders>
          </w:tcPr>
          <w:p w14:paraId="22AAB17A" w14:textId="125A1407" w:rsidR="00115458" w:rsidRPr="007F6219" w:rsidRDefault="00AC6B52" w:rsidP="00D06BCE">
            <w:pPr>
              <w:spacing w:after="0" w:line="240" w:lineRule="auto"/>
            </w:pPr>
            <w:r>
              <w:t>9.155</w:t>
            </w:r>
          </w:p>
        </w:tc>
        <w:tc>
          <w:tcPr>
            <w:tcW w:w="2802" w:type="pct"/>
            <w:tcBorders>
              <w:top w:val="nil"/>
              <w:left w:val="nil"/>
              <w:bottom w:val="single" w:sz="8" w:space="0" w:color="auto"/>
              <w:right w:val="single" w:sz="8" w:space="0" w:color="auto"/>
            </w:tcBorders>
            <w:vAlign w:val="center"/>
          </w:tcPr>
          <w:p w14:paraId="096749B3" w14:textId="77777777" w:rsidR="00115458" w:rsidRPr="00D06BCE" w:rsidRDefault="00115458" w:rsidP="00D06BCE">
            <w:pPr>
              <w:spacing w:after="0" w:line="240" w:lineRule="auto"/>
              <w:rPr>
                <w:rFonts w:cs="Arial"/>
              </w:rPr>
            </w:pPr>
            <w:r w:rsidRPr="00D06BCE">
              <w:rPr>
                <w:rFonts w:cs="Arial"/>
              </w:rPr>
              <w:t>Amount of repayment (second) (cents)</w:t>
            </w:r>
          </w:p>
        </w:tc>
        <w:tc>
          <w:tcPr>
            <w:tcW w:w="1536" w:type="pct"/>
            <w:tcBorders>
              <w:top w:val="nil"/>
              <w:left w:val="nil"/>
              <w:bottom w:val="single" w:sz="8" w:space="0" w:color="auto"/>
              <w:right w:val="single" w:sz="8" w:space="0" w:color="auto"/>
            </w:tcBorders>
            <w:vAlign w:val="center"/>
          </w:tcPr>
          <w:p w14:paraId="5A830A3A"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2906C5E5" w14:textId="77777777" w:rsidTr="00427C84">
        <w:trPr>
          <w:trHeight w:val="270"/>
        </w:trPr>
        <w:tc>
          <w:tcPr>
            <w:tcW w:w="662" w:type="pct"/>
            <w:tcBorders>
              <w:top w:val="nil"/>
              <w:left w:val="single" w:sz="8" w:space="0" w:color="auto"/>
              <w:bottom w:val="single" w:sz="8" w:space="0" w:color="auto"/>
              <w:right w:val="single" w:sz="8" w:space="0" w:color="auto"/>
            </w:tcBorders>
          </w:tcPr>
          <w:p w14:paraId="6DC8CA04" w14:textId="46BD4FFB" w:rsidR="00115458" w:rsidRPr="007F6219" w:rsidRDefault="009C084F" w:rsidP="00D06BCE">
            <w:pPr>
              <w:spacing w:after="0" w:line="240" w:lineRule="auto"/>
            </w:pPr>
            <w:r>
              <w:t>9.156</w:t>
            </w:r>
          </w:p>
        </w:tc>
        <w:tc>
          <w:tcPr>
            <w:tcW w:w="2802" w:type="pct"/>
            <w:tcBorders>
              <w:top w:val="nil"/>
              <w:left w:val="nil"/>
              <w:bottom w:val="single" w:sz="8" w:space="0" w:color="auto"/>
              <w:right w:val="single" w:sz="8" w:space="0" w:color="auto"/>
            </w:tcBorders>
            <w:vAlign w:val="center"/>
          </w:tcPr>
          <w:p w14:paraId="4AFAE9AC" w14:textId="77777777" w:rsidR="00115458" w:rsidRPr="00D06BCE" w:rsidRDefault="00115458" w:rsidP="00D06BCE">
            <w:pPr>
              <w:spacing w:after="0" w:line="240" w:lineRule="auto"/>
              <w:rPr>
                <w:rFonts w:cs="Arial"/>
              </w:rPr>
            </w:pPr>
            <w:r w:rsidRPr="00D06BCE">
              <w:rPr>
                <w:rFonts w:cs="Arial"/>
              </w:rPr>
              <w:t>Date of repayment (second) (DDMMCCYY)</w:t>
            </w:r>
          </w:p>
        </w:tc>
        <w:tc>
          <w:tcPr>
            <w:tcW w:w="1536" w:type="pct"/>
            <w:tcBorders>
              <w:top w:val="nil"/>
              <w:left w:val="nil"/>
              <w:bottom w:val="single" w:sz="8" w:space="0" w:color="auto"/>
              <w:right w:val="single" w:sz="8" w:space="0" w:color="auto"/>
            </w:tcBorders>
            <w:vAlign w:val="center"/>
          </w:tcPr>
          <w:p w14:paraId="16E34CD2"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6E08397C" w14:textId="77777777" w:rsidTr="00427C84">
        <w:trPr>
          <w:trHeight w:val="270"/>
        </w:trPr>
        <w:tc>
          <w:tcPr>
            <w:tcW w:w="662" w:type="pct"/>
            <w:tcBorders>
              <w:top w:val="nil"/>
              <w:left w:val="single" w:sz="8" w:space="0" w:color="auto"/>
              <w:bottom w:val="single" w:sz="8" w:space="0" w:color="auto"/>
              <w:right w:val="single" w:sz="8" w:space="0" w:color="auto"/>
            </w:tcBorders>
          </w:tcPr>
          <w:p w14:paraId="03E29F1D" w14:textId="2DF2AE8D" w:rsidR="00115458" w:rsidRPr="007F6219" w:rsidRDefault="00AC6B52" w:rsidP="00D06BCE">
            <w:pPr>
              <w:spacing w:after="0" w:line="240" w:lineRule="auto"/>
            </w:pPr>
            <w:r>
              <w:t>9.155</w:t>
            </w:r>
          </w:p>
        </w:tc>
        <w:tc>
          <w:tcPr>
            <w:tcW w:w="2802" w:type="pct"/>
            <w:tcBorders>
              <w:top w:val="nil"/>
              <w:left w:val="nil"/>
              <w:bottom w:val="single" w:sz="8" w:space="0" w:color="auto"/>
              <w:right w:val="single" w:sz="8" w:space="0" w:color="auto"/>
            </w:tcBorders>
            <w:vAlign w:val="center"/>
          </w:tcPr>
          <w:p w14:paraId="27FEC280" w14:textId="77777777" w:rsidR="00115458" w:rsidRPr="00D06BCE" w:rsidRDefault="00115458" w:rsidP="00D06BCE">
            <w:pPr>
              <w:spacing w:after="0" w:line="240" w:lineRule="auto"/>
              <w:rPr>
                <w:rFonts w:cs="Arial"/>
              </w:rPr>
            </w:pPr>
            <w:r w:rsidRPr="00D06BCE">
              <w:rPr>
                <w:rFonts w:cs="Arial"/>
              </w:rPr>
              <w:t>Amount of repayment (third) (cents)</w:t>
            </w:r>
          </w:p>
        </w:tc>
        <w:tc>
          <w:tcPr>
            <w:tcW w:w="1536" w:type="pct"/>
            <w:tcBorders>
              <w:top w:val="nil"/>
              <w:left w:val="nil"/>
              <w:bottom w:val="single" w:sz="8" w:space="0" w:color="auto"/>
              <w:right w:val="single" w:sz="8" w:space="0" w:color="auto"/>
            </w:tcBorders>
            <w:vAlign w:val="center"/>
          </w:tcPr>
          <w:p w14:paraId="73786D5B"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6CC600B" w14:textId="77777777" w:rsidTr="00427C84">
        <w:trPr>
          <w:trHeight w:val="270"/>
        </w:trPr>
        <w:tc>
          <w:tcPr>
            <w:tcW w:w="662" w:type="pct"/>
            <w:tcBorders>
              <w:top w:val="nil"/>
              <w:left w:val="single" w:sz="8" w:space="0" w:color="auto"/>
              <w:bottom w:val="single" w:sz="8" w:space="0" w:color="auto"/>
              <w:right w:val="single" w:sz="8" w:space="0" w:color="auto"/>
            </w:tcBorders>
          </w:tcPr>
          <w:p w14:paraId="4C924CF2" w14:textId="1A4DD5A6" w:rsidR="00115458" w:rsidRPr="007F6219" w:rsidRDefault="009C084F" w:rsidP="00D06BCE">
            <w:pPr>
              <w:spacing w:after="0" w:line="240" w:lineRule="auto"/>
            </w:pPr>
            <w:r>
              <w:t>9.156</w:t>
            </w:r>
          </w:p>
        </w:tc>
        <w:tc>
          <w:tcPr>
            <w:tcW w:w="2802" w:type="pct"/>
            <w:tcBorders>
              <w:top w:val="nil"/>
              <w:left w:val="nil"/>
              <w:bottom w:val="single" w:sz="8" w:space="0" w:color="auto"/>
              <w:right w:val="single" w:sz="8" w:space="0" w:color="auto"/>
            </w:tcBorders>
            <w:vAlign w:val="center"/>
          </w:tcPr>
          <w:p w14:paraId="239EC658" w14:textId="77777777" w:rsidR="00115458" w:rsidRPr="00D06BCE" w:rsidRDefault="00115458" w:rsidP="00D06BCE">
            <w:pPr>
              <w:spacing w:after="0" w:line="240" w:lineRule="auto"/>
              <w:rPr>
                <w:rFonts w:cs="Arial"/>
              </w:rPr>
            </w:pPr>
            <w:r w:rsidRPr="00D06BCE">
              <w:rPr>
                <w:rFonts w:cs="Arial"/>
              </w:rPr>
              <w:t>Date of repayment (third) (DDMMCCYY)</w:t>
            </w:r>
          </w:p>
        </w:tc>
        <w:tc>
          <w:tcPr>
            <w:tcW w:w="1536" w:type="pct"/>
            <w:tcBorders>
              <w:top w:val="nil"/>
              <w:left w:val="nil"/>
              <w:bottom w:val="single" w:sz="8" w:space="0" w:color="auto"/>
              <w:right w:val="single" w:sz="8" w:space="0" w:color="auto"/>
            </w:tcBorders>
            <w:vAlign w:val="center"/>
          </w:tcPr>
          <w:p w14:paraId="1D2BDD10"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3023160B" w14:textId="77777777" w:rsidTr="00427C84">
        <w:trPr>
          <w:trHeight w:val="270"/>
        </w:trPr>
        <w:tc>
          <w:tcPr>
            <w:tcW w:w="662" w:type="pct"/>
            <w:tcBorders>
              <w:top w:val="nil"/>
              <w:left w:val="single" w:sz="8" w:space="0" w:color="auto"/>
              <w:bottom w:val="single" w:sz="8" w:space="0" w:color="auto"/>
              <w:right w:val="single" w:sz="8" w:space="0" w:color="auto"/>
            </w:tcBorders>
          </w:tcPr>
          <w:p w14:paraId="598D466F" w14:textId="17B38784" w:rsidR="00115458" w:rsidRPr="007F6219" w:rsidRDefault="00AC6B52" w:rsidP="00D06BCE">
            <w:pPr>
              <w:spacing w:after="0" w:line="240" w:lineRule="auto"/>
            </w:pPr>
            <w:r>
              <w:t>9.155</w:t>
            </w:r>
          </w:p>
        </w:tc>
        <w:tc>
          <w:tcPr>
            <w:tcW w:w="2802" w:type="pct"/>
            <w:tcBorders>
              <w:top w:val="nil"/>
              <w:left w:val="nil"/>
              <w:bottom w:val="single" w:sz="8" w:space="0" w:color="auto"/>
              <w:right w:val="single" w:sz="8" w:space="0" w:color="auto"/>
            </w:tcBorders>
            <w:vAlign w:val="center"/>
          </w:tcPr>
          <w:p w14:paraId="1BD3F242" w14:textId="77777777" w:rsidR="00115458" w:rsidRPr="00D06BCE" w:rsidRDefault="00115458" w:rsidP="00D06BCE">
            <w:pPr>
              <w:spacing w:after="0" w:line="240" w:lineRule="auto"/>
              <w:rPr>
                <w:rFonts w:cs="Arial"/>
              </w:rPr>
            </w:pPr>
            <w:r w:rsidRPr="00D06BCE">
              <w:rPr>
                <w:rFonts w:cs="Arial"/>
              </w:rPr>
              <w:t>Amount of repayment (fourth) (cents)</w:t>
            </w:r>
          </w:p>
        </w:tc>
        <w:tc>
          <w:tcPr>
            <w:tcW w:w="1536" w:type="pct"/>
            <w:tcBorders>
              <w:top w:val="nil"/>
              <w:left w:val="nil"/>
              <w:bottom w:val="single" w:sz="8" w:space="0" w:color="auto"/>
              <w:right w:val="single" w:sz="8" w:space="0" w:color="auto"/>
            </w:tcBorders>
            <w:vAlign w:val="center"/>
          </w:tcPr>
          <w:p w14:paraId="2D0190F7"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E5A1708" w14:textId="77777777" w:rsidTr="00427C84">
        <w:trPr>
          <w:trHeight w:val="270"/>
        </w:trPr>
        <w:tc>
          <w:tcPr>
            <w:tcW w:w="662" w:type="pct"/>
            <w:tcBorders>
              <w:top w:val="nil"/>
              <w:left w:val="single" w:sz="8" w:space="0" w:color="auto"/>
              <w:bottom w:val="single" w:sz="8" w:space="0" w:color="auto"/>
              <w:right w:val="single" w:sz="8" w:space="0" w:color="auto"/>
            </w:tcBorders>
          </w:tcPr>
          <w:p w14:paraId="4D117452" w14:textId="60954869" w:rsidR="00115458" w:rsidRPr="007F6219" w:rsidRDefault="009C084F" w:rsidP="00D06BCE">
            <w:pPr>
              <w:spacing w:after="0" w:line="240" w:lineRule="auto"/>
            </w:pPr>
            <w:r>
              <w:t>9.156</w:t>
            </w:r>
          </w:p>
        </w:tc>
        <w:tc>
          <w:tcPr>
            <w:tcW w:w="2802" w:type="pct"/>
            <w:tcBorders>
              <w:top w:val="nil"/>
              <w:left w:val="nil"/>
              <w:bottom w:val="single" w:sz="8" w:space="0" w:color="auto"/>
              <w:right w:val="single" w:sz="8" w:space="0" w:color="auto"/>
            </w:tcBorders>
            <w:vAlign w:val="center"/>
          </w:tcPr>
          <w:p w14:paraId="31A83CD7" w14:textId="77777777" w:rsidR="00115458" w:rsidRPr="00D06BCE" w:rsidRDefault="00115458" w:rsidP="00D06BCE">
            <w:pPr>
              <w:spacing w:after="0" w:line="240" w:lineRule="auto"/>
              <w:rPr>
                <w:rFonts w:cs="Arial"/>
              </w:rPr>
            </w:pPr>
            <w:r w:rsidRPr="00D06BCE">
              <w:rPr>
                <w:rFonts w:cs="Arial"/>
              </w:rPr>
              <w:t>Date of repayment (fourth) (DDMMCCYY)</w:t>
            </w:r>
          </w:p>
        </w:tc>
        <w:tc>
          <w:tcPr>
            <w:tcW w:w="1536" w:type="pct"/>
            <w:tcBorders>
              <w:top w:val="nil"/>
              <w:left w:val="nil"/>
              <w:bottom w:val="single" w:sz="8" w:space="0" w:color="auto"/>
              <w:right w:val="single" w:sz="8" w:space="0" w:color="auto"/>
            </w:tcBorders>
            <w:vAlign w:val="center"/>
          </w:tcPr>
          <w:p w14:paraId="1E32CFC9"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066DCC3B" w14:textId="77777777" w:rsidTr="00427C84">
        <w:trPr>
          <w:trHeight w:val="270"/>
        </w:trPr>
        <w:tc>
          <w:tcPr>
            <w:tcW w:w="662" w:type="pct"/>
            <w:tcBorders>
              <w:top w:val="nil"/>
              <w:left w:val="single" w:sz="8" w:space="0" w:color="auto"/>
              <w:bottom w:val="single" w:sz="8" w:space="0" w:color="auto"/>
              <w:right w:val="single" w:sz="8" w:space="0" w:color="auto"/>
            </w:tcBorders>
          </w:tcPr>
          <w:p w14:paraId="01324C8D" w14:textId="52E75E44" w:rsidR="00115458" w:rsidRPr="007F6219" w:rsidRDefault="000E7348" w:rsidP="00D06BCE">
            <w:pPr>
              <w:spacing w:after="0" w:line="240" w:lineRule="auto"/>
            </w:pPr>
            <w:r>
              <w:t>9.157</w:t>
            </w:r>
          </w:p>
        </w:tc>
        <w:tc>
          <w:tcPr>
            <w:tcW w:w="2802" w:type="pct"/>
            <w:tcBorders>
              <w:top w:val="nil"/>
              <w:left w:val="nil"/>
              <w:bottom w:val="single" w:sz="8" w:space="0" w:color="auto"/>
              <w:right w:val="single" w:sz="8" w:space="0" w:color="auto"/>
            </w:tcBorders>
            <w:vAlign w:val="center"/>
          </w:tcPr>
          <w:p w14:paraId="01AF6B02" w14:textId="77777777" w:rsidR="00115458" w:rsidRPr="00D06BCE" w:rsidRDefault="00115458" w:rsidP="00D06BCE">
            <w:pPr>
              <w:spacing w:after="0" w:line="240" w:lineRule="auto"/>
              <w:rPr>
                <w:rFonts w:cs="Arial"/>
              </w:rPr>
            </w:pPr>
            <w:r w:rsidRPr="00D06BCE">
              <w:rPr>
                <w:rFonts w:cs="Arial"/>
              </w:rPr>
              <w:t xml:space="preserve">Amount of transfer in (cents) </w:t>
            </w:r>
          </w:p>
        </w:tc>
        <w:tc>
          <w:tcPr>
            <w:tcW w:w="1536" w:type="pct"/>
            <w:tcBorders>
              <w:top w:val="nil"/>
              <w:left w:val="nil"/>
              <w:bottom w:val="single" w:sz="8" w:space="0" w:color="auto"/>
              <w:right w:val="single" w:sz="8" w:space="0" w:color="auto"/>
            </w:tcBorders>
            <w:vAlign w:val="center"/>
          </w:tcPr>
          <w:p w14:paraId="41A8DE8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EEF8B0E" w14:textId="77777777" w:rsidTr="00427C84">
        <w:trPr>
          <w:trHeight w:val="270"/>
        </w:trPr>
        <w:tc>
          <w:tcPr>
            <w:tcW w:w="662" w:type="pct"/>
            <w:tcBorders>
              <w:top w:val="nil"/>
              <w:left w:val="single" w:sz="8" w:space="0" w:color="auto"/>
              <w:bottom w:val="single" w:sz="8" w:space="0" w:color="auto"/>
              <w:right w:val="single" w:sz="8" w:space="0" w:color="auto"/>
            </w:tcBorders>
          </w:tcPr>
          <w:p w14:paraId="3D409CDF" w14:textId="72E1ED8A" w:rsidR="00115458" w:rsidRPr="007F6219" w:rsidRDefault="00423041" w:rsidP="00D06BCE">
            <w:pPr>
              <w:spacing w:after="0" w:line="240" w:lineRule="auto"/>
            </w:pPr>
            <w:r>
              <w:t>9.158</w:t>
            </w:r>
          </w:p>
        </w:tc>
        <w:tc>
          <w:tcPr>
            <w:tcW w:w="2802" w:type="pct"/>
            <w:tcBorders>
              <w:top w:val="nil"/>
              <w:left w:val="nil"/>
              <w:bottom w:val="single" w:sz="8" w:space="0" w:color="auto"/>
              <w:right w:val="single" w:sz="8" w:space="0" w:color="auto"/>
            </w:tcBorders>
            <w:vAlign w:val="center"/>
          </w:tcPr>
          <w:p w14:paraId="72CEDBA5" w14:textId="77777777" w:rsidR="00115458" w:rsidRPr="00D06BCE" w:rsidRDefault="00115458" w:rsidP="00D06BCE">
            <w:pPr>
              <w:spacing w:after="0" w:line="240" w:lineRule="auto"/>
              <w:rPr>
                <w:rFonts w:cs="Arial"/>
              </w:rPr>
            </w:pPr>
            <w:r w:rsidRPr="00D06BCE">
              <w:rPr>
                <w:rFonts w:cs="Arial"/>
              </w:rPr>
              <w:t xml:space="preserve">Date of transfer in (DDMMCCYY) </w:t>
            </w:r>
          </w:p>
        </w:tc>
        <w:tc>
          <w:tcPr>
            <w:tcW w:w="1536" w:type="pct"/>
            <w:tcBorders>
              <w:top w:val="nil"/>
              <w:left w:val="nil"/>
              <w:bottom w:val="single" w:sz="8" w:space="0" w:color="auto"/>
              <w:right w:val="single" w:sz="8" w:space="0" w:color="auto"/>
            </w:tcBorders>
            <w:vAlign w:val="center"/>
          </w:tcPr>
          <w:p w14:paraId="04CD3178"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55AC1931" w14:textId="77777777" w:rsidTr="00427C84">
        <w:trPr>
          <w:trHeight w:val="270"/>
        </w:trPr>
        <w:tc>
          <w:tcPr>
            <w:tcW w:w="662" w:type="pct"/>
            <w:tcBorders>
              <w:top w:val="nil"/>
              <w:left w:val="single" w:sz="8" w:space="0" w:color="auto"/>
              <w:bottom w:val="single" w:sz="8" w:space="0" w:color="auto"/>
              <w:right w:val="single" w:sz="8" w:space="0" w:color="auto"/>
            </w:tcBorders>
          </w:tcPr>
          <w:p w14:paraId="56B67658" w14:textId="4DCB2350" w:rsidR="00115458" w:rsidRPr="007F6219" w:rsidRDefault="00096F4C" w:rsidP="00D06BCE">
            <w:pPr>
              <w:spacing w:after="0" w:line="240" w:lineRule="auto"/>
            </w:pPr>
            <w:r>
              <w:t>9.159</w:t>
            </w:r>
          </w:p>
        </w:tc>
        <w:tc>
          <w:tcPr>
            <w:tcW w:w="2802" w:type="pct"/>
            <w:tcBorders>
              <w:top w:val="nil"/>
              <w:left w:val="nil"/>
              <w:bottom w:val="single" w:sz="8" w:space="0" w:color="auto"/>
              <w:right w:val="single" w:sz="8" w:space="0" w:color="auto"/>
            </w:tcBorders>
            <w:vAlign w:val="center"/>
          </w:tcPr>
          <w:p w14:paraId="30E6FB24" w14:textId="77777777" w:rsidR="00115458" w:rsidRPr="00D06BCE" w:rsidRDefault="00115458" w:rsidP="00D06BCE">
            <w:pPr>
              <w:spacing w:after="0" w:line="240" w:lineRule="auto"/>
              <w:rPr>
                <w:rFonts w:cs="Arial"/>
              </w:rPr>
            </w:pPr>
            <w:r w:rsidRPr="00D06BCE">
              <w:rPr>
                <w:rFonts w:cs="Arial"/>
              </w:rPr>
              <w:t xml:space="preserve">Transferor BSB number </w:t>
            </w:r>
          </w:p>
        </w:tc>
        <w:tc>
          <w:tcPr>
            <w:tcW w:w="1536" w:type="pct"/>
            <w:tcBorders>
              <w:top w:val="nil"/>
              <w:left w:val="nil"/>
              <w:bottom w:val="single" w:sz="8" w:space="0" w:color="auto"/>
              <w:right w:val="single" w:sz="8" w:space="0" w:color="auto"/>
            </w:tcBorders>
            <w:vAlign w:val="center"/>
          </w:tcPr>
          <w:p w14:paraId="283D6082"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7C2C834F" w14:textId="77777777" w:rsidTr="00427C84">
        <w:trPr>
          <w:trHeight w:val="270"/>
        </w:trPr>
        <w:tc>
          <w:tcPr>
            <w:tcW w:w="662" w:type="pct"/>
            <w:tcBorders>
              <w:top w:val="nil"/>
              <w:left w:val="single" w:sz="8" w:space="0" w:color="auto"/>
              <w:bottom w:val="single" w:sz="8" w:space="0" w:color="auto"/>
              <w:right w:val="single" w:sz="8" w:space="0" w:color="auto"/>
            </w:tcBorders>
          </w:tcPr>
          <w:p w14:paraId="464F4EF5" w14:textId="4CA8DA49" w:rsidR="00115458" w:rsidRPr="007F6219" w:rsidRDefault="002E5B30" w:rsidP="00D06BCE">
            <w:pPr>
              <w:spacing w:after="0" w:line="240" w:lineRule="auto"/>
            </w:pPr>
            <w:r>
              <w:t>9.160</w:t>
            </w:r>
          </w:p>
        </w:tc>
        <w:tc>
          <w:tcPr>
            <w:tcW w:w="2802" w:type="pct"/>
            <w:tcBorders>
              <w:top w:val="nil"/>
              <w:left w:val="nil"/>
              <w:bottom w:val="single" w:sz="8" w:space="0" w:color="auto"/>
              <w:right w:val="single" w:sz="8" w:space="0" w:color="auto"/>
            </w:tcBorders>
            <w:vAlign w:val="center"/>
          </w:tcPr>
          <w:p w14:paraId="6B94E4E4" w14:textId="77777777" w:rsidR="00115458" w:rsidRPr="00D06BCE" w:rsidRDefault="00115458" w:rsidP="00D06BCE">
            <w:pPr>
              <w:spacing w:after="0" w:line="240" w:lineRule="auto"/>
              <w:rPr>
                <w:rFonts w:cs="Arial"/>
              </w:rPr>
            </w:pPr>
            <w:r w:rsidRPr="00D06BCE">
              <w:rPr>
                <w:rFonts w:cs="Arial"/>
              </w:rPr>
              <w:t>Amount of transfer out (first) (cents)</w:t>
            </w:r>
          </w:p>
        </w:tc>
        <w:tc>
          <w:tcPr>
            <w:tcW w:w="1536" w:type="pct"/>
            <w:tcBorders>
              <w:top w:val="nil"/>
              <w:left w:val="nil"/>
              <w:bottom w:val="single" w:sz="8" w:space="0" w:color="auto"/>
              <w:right w:val="single" w:sz="8" w:space="0" w:color="auto"/>
            </w:tcBorders>
            <w:vAlign w:val="center"/>
          </w:tcPr>
          <w:p w14:paraId="4A1E0181" w14:textId="77777777" w:rsidR="00115458" w:rsidRPr="00D06BCE" w:rsidRDefault="00115458" w:rsidP="00D06BCE">
            <w:pPr>
              <w:spacing w:after="0" w:line="240" w:lineRule="auto"/>
              <w:rPr>
                <w:rFonts w:cs="Arial"/>
              </w:rPr>
            </w:pPr>
            <w:r w:rsidRPr="00D06BCE">
              <w:rPr>
                <w:rFonts w:cs="Arial"/>
              </w:rPr>
              <w:t>000001500000</w:t>
            </w:r>
          </w:p>
        </w:tc>
      </w:tr>
      <w:tr w:rsidR="00115458" w:rsidRPr="00D06BCE" w14:paraId="1396631C" w14:textId="77777777" w:rsidTr="00427C84">
        <w:trPr>
          <w:trHeight w:val="270"/>
        </w:trPr>
        <w:tc>
          <w:tcPr>
            <w:tcW w:w="662" w:type="pct"/>
            <w:tcBorders>
              <w:top w:val="nil"/>
              <w:left w:val="single" w:sz="8" w:space="0" w:color="auto"/>
              <w:bottom w:val="single" w:sz="8" w:space="0" w:color="auto"/>
              <w:right w:val="single" w:sz="8" w:space="0" w:color="auto"/>
            </w:tcBorders>
          </w:tcPr>
          <w:p w14:paraId="52B6588C" w14:textId="5F4AAF11" w:rsidR="00115458" w:rsidRPr="007F6219" w:rsidRDefault="002E5B30" w:rsidP="00D06BCE">
            <w:pPr>
              <w:spacing w:after="0" w:line="240" w:lineRule="auto"/>
            </w:pPr>
            <w:r>
              <w:t>9.161</w:t>
            </w:r>
          </w:p>
        </w:tc>
        <w:tc>
          <w:tcPr>
            <w:tcW w:w="2802" w:type="pct"/>
            <w:tcBorders>
              <w:top w:val="nil"/>
              <w:left w:val="nil"/>
              <w:bottom w:val="single" w:sz="8" w:space="0" w:color="auto"/>
              <w:right w:val="single" w:sz="8" w:space="0" w:color="auto"/>
            </w:tcBorders>
            <w:vAlign w:val="center"/>
          </w:tcPr>
          <w:p w14:paraId="386FCD99" w14:textId="77777777" w:rsidR="00115458" w:rsidRPr="00D06BCE" w:rsidRDefault="00115458" w:rsidP="00D06BCE">
            <w:pPr>
              <w:spacing w:after="0" w:line="240" w:lineRule="auto"/>
              <w:rPr>
                <w:rFonts w:cs="Arial"/>
              </w:rPr>
            </w:pPr>
            <w:r w:rsidRPr="00D06BCE">
              <w:rPr>
                <w:rFonts w:cs="Arial"/>
              </w:rPr>
              <w:t>Date of transfer out (first) (DDMMCCYY)</w:t>
            </w:r>
          </w:p>
        </w:tc>
        <w:tc>
          <w:tcPr>
            <w:tcW w:w="1536" w:type="pct"/>
            <w:tcBorders>
              <w:top w:val="nil"/>
              <w:left w:val="nil"/>
              <w:bottom w:val="single" w:sz="8" w:space="0" w:color="auto"/>
              <w:right w:val="single" w:sz="8" w:space="0" w:color="auto"/>
            </w:tcBorders>
            <w:vAlign w:val="center"/>
          </w:tcPr>
          <w:p w14:paraId="342F3F26" w14:textId="328FB2C3" w:rsidR="00115458" w:rsidRPr="00D06BCE" w:rsidRDefault="00115458" w:rsidP="00D06BCE">
            <w:pPr>
              <w:spacing w:after="0" w:line="240" w:lineRule="auto"/>
              <w:rPr>
                <w:rFonts w:cs="Arial"/>
              </w:rPr>
            </w:pPr>
            <w:r w:rsidRPr="00D06BCE">
              <w:rPr>
                <w:rFonts w:cs="Arial"/>
              </w:rPr>
              <w:t>010720</w:t>
            </w:r>
            <w:r w:rsidR="00813BB1">
              <w:rPr>
                <w:rFonts w:cs="Arial"/>
              </w:rPr>
              <w:t>25</w:t>
            </w:r>
          </w:p>
        </w:tc>
      </w:tr>
      <w:tr w:rsidR="00115458" w:rsidRPr="00D06BCE" w14:paraId="47077794" w14:textId="77777777" w:rsidTr="00427C84">
        <w:trPr>
          <w:trHeight w:val="270"/>
        </w:trPr>
        <w:tc>
          <w:tcPr>
            <w:tcW w:w="662" w:type="pct"/>
            <w:tcBorders>
              <w:top w:val="nil"/>
              <w:left w:val="single" w:sz="8" w:space="0" w:color="auto"/>
              <w:bottom w:val="single" w:sz="8" w:space="0" w:color="auto"/>
              <w:right w:val="single" w:sz="8" w:space="0" w:color="auto"/>
            </w:tcBorders>
          </w:tcPr>
          <w:p w14:paraId="0B64D588" w14:textId="3944A213" w:rsidR="00115458" w:rsidRPr="007F6219" w:rsidRDefault="002E5B30" w:rsidP="00D06BCE">
            <w:pPr>
              <w:spacing w:after="0" w:line="240" w:lineRule="auto"/>
            </w:pPr>
            <w:r>
              <w:t>9.162</w:t>
            </w:r>
          </w:p>
        </w:tc>
        <w:tc>
          <w:tcPr>
            <w:tcW w:w="2802" w:type="pct"/>
            <w:tcBorders>
              <w:top w:val="nil"/>
              <w:left w:val="nil"/>
              <w:bottom w:val="single" w:sz="8" w:space="0" w:color="auto"/>
              <w:right w:val="single" w:sz="8" w:space="0" w:color="auto"/>
            </w:tcBorders>
            <w:vAlign w:val="center"/>
          </w:tcPr>
          <w:p w14:paraId="36608A43" w14:textId="77777777" w:rsidR="00115458" w:rsidRPr="00D06BCE" w:rsidRDefault="00115458" w:rsidP="00D06BCE">
            <w:pPr>
              <w:spacing w:after="0" w:line="240" w:lineRule="auto"/>
              <w:rPr>
                <w:rFonts w:cs="Arial"/>
              </w:rPr>
            </w:pPr>
            <w:r w:rsidRPr="00D06BCE">
              <w:rPr>
                <w:rFonts w:cs="Arial"/>
              </w:rPr>
              <w:t>Transferee BSB number (first)</w:t>
            </w:r>
          </w:p>
        </w:tc>
        <w:tc>
          <w:tcPr>
            <w:tcW w:w="1536" w:type="pct"/>
            <w:tcBorders>
              <w:top w:val="nil"/>
              <w:left w:val="nil"/>
              <w:bottom w:val="single" w:sz="8" w:space="0" w:color="auto"/>
              <w:right w:val="single" w:sz="8" w:space="0" w:color="auto"/>
            </w:tcBorders>
            <w:vAlign w:val="center"/>
          </w:tcPr>
          <w:p w14:paraId="30A50D99" w14:textId="77777777" w:rsidR="00115458" w:rsidRPr="00D06BCE" w:rsidRDefault="00115458" w:rsidP="00D06BCE">
            <w:pPr>
              <w:spacing w:after="0" w:line="240" w:lineRule="auto"/>
              <w:rPr>
                <w:rFonts w:cs="Arial"/>
              </w:rPr>
            </w:pPr>
            <w:r w:rsidRPr="00D06BCE">
              <w:rPr>
                <w:rFonts w:cs="Arial"/>
              </w:rPr>
              <w:t>272808</w:t>
            </w:r>
          </w:p>
        </w:tc>
      </w:tr>
      <w:tr w:rsidR="00115458" w:rsidRPr="00D06BCE" w14:paraId="777C5553" w14:textId="77777777" w:rsidTr="00427C84">
        <w:trPr>
          <w:trHeight w:val="270"/>
        </w:trPr>
        <w:tc>
          <w:tcPr>
            <w:tcW w:w="662" w:type="pct"/>
            <w:tcBorders>
              <w:top w:val="nil"/>
              <w:left w:val="single" w:sz="8" w:space="0" w:color="auto"/>
              <w:bottom w:val="single" w:sz="8" w:space="0" w:color="auto"/>
              <w:right w:val="single" w:sz="8" w:space="0" w:color="auto"/>
            </w:tcBorders>
          </w:tcPr>
          <w:p w14:paraId="0483502C" w14:textId="2747F225" w:rsidR="00115458" w:rsidRPr="007F6219" w:rsidRDefault="002E5B30" w:rsidP="00D06BCE">
            <w:pPr>
              <w:spacing w:after="0" w:line="240" w:lineRule="auto"/>
            </w:pPr>
            <w:r>
              <w:t>9.160</w:t>
            </w:r>
          </w:p>
        </w:tc>
        <w:tc>
          <w:tcPr>
            <w:tcW w:w="2802" w:type="pct"/>
            <w:tcBorders>
              <w:top w:val="nil"/>
              <w:left w:val="nil"/>
              <w:bottom w:val="single" w:sz="8" w:space="0" w:color="auto"/>
              <w:right w:val="single" w:sz="8" w:space="0" w:color="auto"/>
            </w:tcBorders>
            <w:vAlign w:val="center"/>
          </w:tcPr>
          <w:p w14:paraId="3CA74E93" w14:textId="77777777" w:rsidR="00115458" w:rsidRPr="00D06BCE" w:rsidRDefault="00115458" w:rsidP="00D06BCE">
            <w:pPr>
              <w:spacing w:after="0" w:line="240" w:lineRule="auto"/>
              <w:rPr>
                <w:rFonts w:cs="Arial"/>
              </w:rPr>
            </w:pPr>
            <w:r w:rsidRPr="00D06BCE">
              <w:rPr>
                <w:rFonts w:cs="Arial"/>
              </w:rPr>
              <w:t>Amount of transfer out (second) (cents)</w:t>
            </w:r>
          </w:p>
        </w:tc>
        <w:tc>
          <w:tcPr>
            <w:tcW w:w="1536" w:type="pct"/>
            <w:tcBorders>
              <w:top w:val="nil"/>
              <w:left w:val="nil"/>
              <w:bottom w:val="single" w:sz="8" w:space="0" w:color="auto"/>
              <w:right w:val="single" w:sz="8" w:space="0" w:color="auto"/>
            </w:tcBorders>
            <w:vAlign w:val="center"/>
          </w:tcPr>
          <w:p w14:paraId="797E25C8"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5E6D562A" w14:textId="77777777" w:rsidTr="00427C84">
        <w:trPr>
          <w:trHeight w:val="270"/>
        </w:trPr>
        <w:tc>
          <w:tcPr>
            <w:tcW w:w="662" w:type="pct"/>
            <w:tcBorders>
              <w:top w:val="nil"/>
              <w:left w:val="single" w:sz="8" w:space="0" w:color="auto"/>
              <w:bottom w:val="single" w:sz="8" w:space="0" w:color="auto"/>
              <w:right w:val="single" w:sz="8" w:space="0" w:color="auto"/>
            </w:tcBorders>
          </w:tcPr>
          <w:p w14:paraId="77E2521A" w14:textId="588CC621" w:rsidR="00115458" w:rsidRPr="007F6219" w:rsidRDefault="002E5B30" w:rsidP="00D06BCE">
            <w:pPr>
              <w:spacing w:after="0" w:line="240" w:lineRule="auto"/>
            </w:pPr>
            <w:r>
              <w:t>9.161</w:t>
            </w:r>
          </w:p>
        </w:tc>
        <w:tc>
          <w:tcPr>
            <w:tcW w:w="2802" w:type="pct"/>
            <w:tcBorders>
              <w:top w:val="nil"/>
              <w:left w:val="nil"/>
              <w:bottom w:val="single" w:sz="8" w:space="0" w:color="auto"/>
              <w:right w:val="single" w:sz="8" w:space="0" w:color="auto"/>
            </w:tcBorders>
            <w:vAlign w:val="center"/>
          </w:tcPr>
          <w:p w14:paraId="4074A083" w14:textId="77777777" w:rsidR="00115458" w:rsidRPr="00D06BCE" w:rsidRDefault="00115458" w:rsidP="00D06BCE">
            <w:pPr>
              <w:spacing w:after="0" w:line="240" w:lineRule="auto"/>
              <w:rPr>
                <w:rFonts w:cs="Arial"/>
              </w:rPr>
            </w:pPr>
            <w:r w:rsidRPr="00D06BCE">
              <w:rPr>
                <w:rFonts w:cs="Arial"/>
              </w:rPr>
              <w:t>Date of transfer out (second) (DDMMCCYY)</w:t>
            </w:r>
          </w:p>
        </w:tc>
        <w:tc>
          <w:tcPr>
            <w:tcW w:w="1536" w:type="pct"/>
            <w:tcBorders>
              <w:top w:val="nil"/>
              <w:left w:val="nil"/>
              <w:bottom w:val="single" w:sz="8" w:space="0" w:color="auto"/>
              <w:right w:val="single" w:sz="8" w:space="0" w:color="auto"/>
            </w:tcBorders>
            <w:vAlign w:val="center"/>
          </w:tcPr>
          <w:p w14:paraId="553E9F2D"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7933B329" w14:textId="77777777" w:rsidTr="00427C84">
        <w:trPr>
          <w:trHeight w:val="270"/>
        </w:trPr>
        <w:tc>
          <w:tcPr>
            <w:tcW w:w="662" w:type="pct"/>
            <w:tcBorders>
              <w:top w:val="nil"/>
              <w:left w:val="single" w:sz="8" w:space="0" w:color="auto"/>
              <w:bottom w:val="single" w:sz="8" w:space="0" w:color="auto"/>
              <w:right w:val="single" w:sz="8" w:space="0" w:color="auto"/>
            </w:tcBorders>
          </w:tcPr>
          <w:p w14:paraId="238F7AC7" w14:textId="39631931" w:rsidR="00115458" w:rsidRPr="007F6219" w:rsidRDefault="002E5B30" w:rsidP="00D06BCE">
            <w:pPr>
              <w:spacing w:after="0" w:line="240" w:lineRule="auto"/>
            </w:pPr>
            <w:r>
              <w:t>9.162</w:t>
            </w:r>
          </w:p>
        </w:tc>
        <w:tc>
          <w:tcPr>
            <w:tcW w:w="2802" w:type="pct"/>
            <w:tcBorders>
              <w:top w:val="nil"/>
              <w:left w:val="nil"/>
              <w:bottom w:val="single" w:sz="8" w:space="0" w:color="auto"/>
              <w:right w:val="single" w:sz="8" w:space="0" w:color="auto"/>
            </w:tcBorders>
            <w:vAlign w:val="center"/>
          </w:tcPr>
          <w:p w14:paraId="5265DEE3" w14:textId="77777777" w:rsidR="00115458" w:rsidRPr="00D06BCE" w:rsidRDefault="00115458" w:rsidP="00D06BCE">
            <w:pPr>
              <w:spacing w:after="0" w:line="240" w:lineRule="auto"/>
              <w:rPr>
                <w:rFonts w:cs="Arial"/>
              </w:rPr>
            </w:pPr>
            <w:r w:rsidRPr="00D06BCE">
              <w:rPr>
                <w:rFonts w:cs="Arial"/>
              </w:rPr>
              <w:t>Transferee BSB number (second)</w:t>
            </w:r>
          </w:p>
        </w:tc>
        <w:tc>
          <w:tcPr>
            <w:tcW w:w="1536" w:type="pct"/>
            <w:tcBorders>
              <w:top w:val="nil"/>
              <w:left w:val="nil"/>
              <w:bottom w:val="single" w:sz="8" w:space="0" w:color="auto"/>
              <w:right w:val="single" w:sz="8" w:space="0" w:color="auto"/>
            </w:tcBorders>
            <w:vAlign w:val="center"/>
          </w:tcPr>
          <w:p w14:paraId="292485F4"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2767E30D" w14:textId="77777777" w:rsidTr="00427C84">
        <w:trPr>
          <w:trHeight w:val="270"/>
        </w:trPr>
        <w:tc>
          <w:tcPr>
            <w:tcW w:w="662" w:type="pct"/>
            <w:tcBorders>
              <w:top w:val="nil"/>
              <w:left w:val="single" w:sz="8" w:space="0" w:color="auto"/>
              <w:bottom w:val="single" w:sz="8" w:space="0" w:color="auto"/>
              <w:right w:val="single" w:sz="8" w:space="0" w:color="auto"/>
            </w:tcBorders>
          </w:tcPr>
          <w:p w14:paraId="4F6D1DB6" w14:textId="71C55EA6" w:rsidR="00115458" w:rsidRPr="007F6219" w:rsidRDefault="002E5B30" w:rsidP="00D06BCE">
            <w:pPr>
              <w:spacing w:after="0" w:line="240" w:lineRule="auto"/>
            </w:pPr>
            <w:r>
              <w:t>9.160</w:t>
            </w:r>
          </w:p>
        </w:tc>
        <w:tc>
          <w:tcPr>
            <w:tcW w:w="2802" w:type="pct"/>
            <w:tcBorders>
              <w:top w:val="nil"/>
              <w:left w:val="nil"/>
              <w:bottom w:val="single" w:sz="8" w:space="0" w:color="auto"/>
              <w:right w:val="single" w:sz="8" w:space="0" w:color="auto"/>
            </w:tcBorders>
            <w:vAlign w:val="center"/>
          </w:tcPr>
          <w:p w14:paraId="2819A5A9" w14:textId="77777777" w:rsidR="00115458" w:rsidRPr="00D06BCE" w:rsidRDefault="00115458" w:rsidP="00D06BCE">
            <w:pPr>
              <w:spacing w:after="0" w:line="240" w:lineRule="auto"/>
              <w:rPr>
                <w:rFonts w:cs="Arial"/>
              </w:rPr>
            </w:pPr>
            <w:r w:rsidRPr="00D06BCE">
              <w:rPr>
                <w:rFonts w:cs="Arial"/>
              </w:rPr>
              <w:t>Amount of transfer out (third) (cents)</w:t>
            </w:r>
          </w:p>
        </w:tc>
        <w:tc>
          <w:tcPr>
            <w:tcW w:w="1536" w:type="pct"/>
            <w:tcBorders>
              <w:top w:val="nil"/>
              <w:left w:val="nil"/>
              <w:bottom w:val="single" w:sz="8" w:space="0" w:color="auto"/>
              <w:right w:val="single" w:sz="8" w:space="0" w:color="auto"/>
            </w:tcBorders>
            <w:vAlign w:val="center"/>
          </w:tcPr>
          <w:p w14:paraId="7AF5165D"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4E9FE194" w14:textId="77777777" w:rsidTr="00427C84">
        <w:trPr>
          <w:trHeight w:val="270"/>
        </w:trPr>
        <w:tc>
          <w:tcPr>
            <w:tcW w:w="662" w:type="pct"/>
            <w:tcBorders>
              <w:top w:val="nil"/>
              <w:left w:val="single" w:sz="8" w:space="0" w:color="auto"/>
              <w:bottom w:val="single" w:sz="8" w:space="0" w:color="auto"/>
              <w:right w:val="single" w:sz="8" w:space="0" w:color="auto"/>
            </w:tcBorders>
          </w:tcPr>
          <w:p w14:paraId="577E278A" w14:textId="2182DAEF" w:rsidR="00115458" w:rsidRPr="007F6219" w:rsidRDefault="002E5B30" w:rsidP="00D06BCE">
            <w:pPr>
              <w:spacing w:after="0" w:line="240" w:lineRule="auto"/>
            </w:pPr>
            <w:r>
              <w:t>9.161</w:t>
            </w:r>
          </w:p>
        </w:tc>
        <w:tc>
          <w:tcPr>
            <w:tcW w:w="2802" w:type="pct"/>
            <w:tcBorders>
              <w:top w:val="nil"/>
              <w:left w:val="nil"/>
              <w:bottom w:val="single" w:sz="8" w:space="0" w:color="auto"/>
              <w:right w:val="single" w:sz="8" w:space="0" w:color="auto"/>
            </w:tcBorders>
            <w:vAlign w:val="center"/>
          </w:tcPr>
          <w:p w14:paraId="1DBFAD5B" w14:textId="77777777" w:rsidR="00115458" w:rsidRPr="00D06BCE" w:rsidRDefault="00115458" w:rsidP="00D06BCE">
            <w:pPr>
              <w:spacing w:after="0" w:line="240" w:lineRule="auto"/>
              <w:rPr>
                <w:rFonts w:cs="Arial"/>
              </w:rPr>
            </w:pPr>
            <w:r w:rsidRPr="00D06BCE">
              <w:rPr>
                <w:rFonts w:cs="Arial"/>
              </w:rPr>
              <w:t>Date of transfer out (third) (DDMMCCYY)</w:t>
            </w:r>
          </w:p>
        </w:tc>
        <w:tc>
          <w:tcPr>
            <w:tcW w:w="1536" w:type="pct"/>
            <w:tcBorders>
              <w:top w:val="nil"/>
              <w:left w:val="nil"/>
              <w:bottom w:val="single" w:sz="8" w:space="0" w:color="auto"/>
              <w:right w:val="single" w:sz="8" w:space="0" w:color="auto"/>
            </w:tcBorders>
            <w:vAlign w:val="center"/>
          </w:tcPr>
          <w:p w14:paraId="5D6A35D4"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2D3E86FB" w14:textId="77777777" w:rsidTr="00427C84">
        <w:trPr>
          <w:trHeight w:val="270"/>
        </w:trPr>
        <w:tc>
          <w:tcPr>
            <w:tcW w:w="662" w:type="pct"/>
            <w:tcBorders>
              <w:top w:val="nil"/>
              <w:left w:val="single" w:sz="8" w:space="0" w:color="auto"/>
              <w:bottom w:val="single" w:sz="8" w:space="0" w:color="auto"/>
              <w:right w:val="single" w:sz="8" w:space="0" w:color="auto"/>
            </w:tcBorders>
          </w:tcPr>
          <w:p w14:paraId="669DC341" w14:textId="5C1024C8" w:rsidR="00115458" w:rsidRPr="007F6219" w:rsidRDefault="00A00C74" w:rsidP="00D06BCE">
            <w:pPr>
              <w:spacing w:after="0" w:line="240" w:lineRule="auto"/>
            </w:pPr>
            <w:r>
              <w:t>9.162</w:t>
            </w:r>
          </w:p>
        </w:tc>
        <w:tc>
          <w:tcPr>
            <w:tcW w:w="2802" w:type="pct"/>
            <w:tcBorders>
              <w:top w:val="nil"/>
              <w:left w:val="nil"/>
              <w:bottom w:val="single" w:sz="8" w:space="0" w:color="auto"/>
              <w:right w:val="single" w:sz="8" w:space="0" w:color="auto"/>
            </w:tcBorders>
            <w:vAlign w:val="center"/>
          </w:tcPr>
          <w:p w14:paraId="4D58824F" w14:textId="77777777" w:rsidR="00115458" w:rsidRPr="00D06BCE" w:rsidRDefault="00115458" w:rsidP="00D06BCE">
            <w:pPr>
              <w:spacing w:after="0" w:line="240" w:lineRule="auto"/>
              <w:rPr>
                <w:rFonts w:cs="Arial"/>
              </w:rPr>
            </w:pPr>
            <w:r w:rsidRPr="00D06BCE">
              <w:rPr>
                <w:rFonts w:cs="Arial"/>
              </w:rPr>
              <w:t>Transferee BSB number (third)</w:t>
            </w:r>
          </w:p>
        </w:tc>
        <w:tc>
          <w:tcPr>
            <w:tcW w:w="1536" w:type="pct"/>
            <w:tcBorders>
              <w:top w:val="nil"/>
              <w:left w:val="nil"/>
              <w:bottom w:val="single" w:sz="8" w:space="0" w:color="auto"/>
              <w:right w:val="single" w:sz="8" w:space="0" w:color="auto"/>
            </w:tcBorders>
            <w:vAlign w:val="center"/>
          </w:tcPr>
          <w:p w14:paraId="578BE78A"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4DF2FA81" w14:textId="77777777" w:rsidTr="00427C84">
        <w:trPr>
          <w:trHeight w:val="270"/>
        </w:trPr>
        <w:tc>
          <w:tcPr>
            <w:tcW w:w="662" w:type="pct"/>
            <w:tcBorders>
              <w:top w:val="nil"/>
              <w:left w:val="single" w:sz="8" w:space="0" w:color="auto"/>
              <w:bottom w:val="single" w:sz="8" w:space="0" w:color="auto"/>
              <w:right w:val="single" w:sz="8" w:space="0" w:color="auto"/>
            </w:tcBorders>
          </w:tcPr>
          <w:p w14:paraId="52CD0999" w14:textId="02A08334" w:rsidR="00115458" w:rsidRPr="007F6219" w:rsidRDefault="00A00C74" w:rsidP="00D06BCE">
            <w:pPr>
              <w:spacing w:after="0" w:line="240" w:lineRule="auto"/>
            </w:pPr>
            <w:r>
              <w:t>9.160</w:t>
            </w:r>
          </w:p>
        </w:tc>
        <w:tc>
          <w:tcPr>
            <w:tcW w:w="2802" w:type="pct"/>
            <w:tcBorders>
              <w:top w:val="nil"/>
              <w:left w:val="nil"/>
              <w:bottom w:val="single" w:sz="8" w:space="0" w:color="auto"/>
              <w:right w:val="single" w:sz="8" w:space="0" w:color="auto"/>
            </w:tcBorders>
            <w:vAlign w:val="center"/>
          </w:tcPr>
          <w:p w14:paraId="1EF61830" w14:textId="77777777" w:rsidR="00115458" w:rsidRPr="00D06BCE" w:rsidRDefault="00115458" w:rsidP="00D06BCE">
            <w:pPr>
              <w:spacing w:after="0" w:line="240" w:lineRule="auto"/>
              <w:rPr>
                <w:rFonts w:cs="Arial"/>
              </w:rPr>
            </w:pPr>
            <w:r w:rsidRPr="00D06BCE">
              <w:rPr>
                <w:rFonts w:cs="Arial"/>
              </w:rPr>
              <w:t>Amount of transfer out (fourth) (cents)</w:t>
            </w:r>
          </w:p>
        </w:tc>
        <w:tc>
          <w:tcPr>
            <w:tcW w:w="1536" w:type="pct"/>
            <w:tcBorders>
              <w:top w:val="nil"/>
              <w:left w:val="nil"/>
              <w:bottom w:val="single" w:sz="8" w:space="0" w:color="auto"/>
              <w:right w:val="single" w:sz="8" w:space="0" w:color="auto"/>
            </w:tcBorders>
            <w:vAlign w:val="center"/>
          </w:tcPr>
          <w:p w14:paraId="620AA89A"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1BC7D70B" w14:textId="77777777" w:rsidTr="00427C84">
        <w:trPr>
          <w:trHeight w:val="270"/>
        </w:trPr>
        <w:tc>
          <w:tcPr>
            <w:tcW w:w="662" w:type="pct"/>
            <w:tcBorders>
              <w:top w:val="nil"/>
              <w:left w:val="single" w:sz="8" w:space="0" w:color="auto"/>
              <w:bottom w:val="single" w:sz="8" w:space="0" w:color="auto"/>
              <w:right w:val="single" w:sz="8" w:space="0" w:color="auto"/>
            </w:tcBorders>
          </w:tcPr>
          <w:p w14:paraId="7D81098A" w14:textId="3DEA8F78" w:rsidR="00115458" w:rsidRPr="007F6219" w:rsidRDefault="00A00C74" w:rsidP="00D06BCE">
            <w:pPr>
              <w:spacing w:after="0" w:line="240" w:lineRule="auto"/>
            </w:pPr>
            <w:r>
              <w:t>9.161</w:t>
            </w:r>
          </w:p>
        </w:tc>
        <w:tc>
          <w:tcPr>
            <w:tcW w:w="2802" w:type="pct"/>
            <w:tcBorders>
              <w:top w:val="nil"/>
              <w:left w:val="nil"/>
              <w:bottom w:val="single" w:sz="8" w:space="0" w:color="auto"/>
              <w:right w:val="single" w:sz="8" w:space="0" w:color="auto"/>
            </w:tcBorders>
            <w:vAlign w:val="center"/>
          </w:tcPr>
          <w:p w14:paraId="5A57FBCD" w14:textId="77777777" w:rsidR="00115458" w:rsidRPr="00D06BCE" w:rsidRDefault="00115458" w:rsidP="00D06BCE">
            <w:pPr>
              <w:spacing w:after="0" w:line="240" w:lineRule="auto"/>
              <w:rPr>
                <w:rFonts w:cs="Arial"/>
              </w:rPr>
            </w:pPr>
            <w:r w:rsidRPr="00D06BCE">
              <w:rPr>
                <w:rFonts w:cs="Arial"/>
              </w:rPr>
              <w:t>Date of transfer out (fourth) (DDMMCCYY)</w:t>
            </w:r>
          </w:p>
        </w:tc>
        <w:tc>
          <w:tcPr>
            <w:tcW w:w="1536" w:type="pct"/>
            <w:tcBorders>
              <w:top w:val="nil"/>
              <w:left w:val="nil"/>
              <w:bottom w:val="single" w:sz="8" w:space="0" w:color="auto"/>
              <w:right w:val="single" w:sz="8" w:space="0" w:color="auto"/>
            </w:tcBorders>
            <w:vAlign w:val="center"/>
          </w:tcPr>
          <w:p w14:paraId="7C63CD4C" w14:textId="77777777" w:rsidR="00115458" w:rsidRPr="00D06BCE" w:rsidRDefault="00115458" w:rsidP="00D06BCE">
            <w:pPr>
              <w:spacing w:after="0" w:line="240" w:lineRule="auto"/>
              <w:rPr>
                <w:rFonts w:cs="Arial"/>
              </w:rPr>
            </w:pPr>
            <w:r w:rsidRPr="00D06BCE">
              <w:rPr>
                <w:rFonts w:cs="Arial"/>
              </w:rPr>
              <w:t>00000000</w:t>
            </w:r>
          </w:p>
        </w:tc>
      </w:tr>
      <w:tr w:rsidR="00115458" w:rsidRPr="00D06BCE" w14:paraId="428F1D81" w14:textId="77777777" w:rsidTr="00427C84">
        <w:trPr>
          <w:trHeight w:val="270"/>
        </w:trPr>
        <w:tc>
          <w:tcPr>
            <w:tcW w:w="662" w:type="pct"/>
            <w:tcBorders>
              <w:top w:val="nil"/>
              <w:left w:val="single" w:sz="8" w:space="0" w:color="auto"/>
              <w:bottom w:val="single" w:sz="8" w:space="0" w:color="auto"/>
              <w:right w:val="single" w:sz="8" w:space="0" w:color="auto"/>
            </w:tcBorders>
          </w:tcPr>
          <w:p w14:paraId="5C919357" w14:textId="4659A084" w:rsidR="00115458" w:rsidRPr="007F6219" w:rsidRDefault="00A00C74" w:rsidP="00D06BCE">
            <w:pPr>
              <w:spacing w:after="0" w:line="240" w:lineRule="auto"/>
            </w:pPr>
            <w:r>
              <w:t>9.162</w:t>
            </w:r>
          </w:p>
        </w:tc>
        <w:tc>
          <w:tcPr>
            <w:tcW w:w="2802" w:type="pct"/>
            <w:tcBorders>
              <w:top w:val="nil"/>
              <w:left w:val="nil"/>
              <w:bottom w:val="single" w:sz="8" w:space="0" w:color="auto"/>
              <w:right w:val="single" w:sz="8" w:space="0" w:color="auto"/>
            </w:tcBorders>
            <w:vAlign w:val="center"/>
          </w:tcPr>
          <w:p w14:paraId="57CE6258" w14:textId="77777777" w:rsidR="00115458" w:rsidRPr="00D06BCE" w:rsidRDefault="00115458" w:rsidP="00D06BCE">
            <w:pPr>
              <w:spacing w:after="0" w:line="240" w:lineRule="auto"/>
              <w:rPr>
                <w:rFonts w:cs="Arial"/>
              </w:rPr>
            </w:pPr>
            <w:r w:rsidRPr="00D06BCE">
              <w:rPr>
                <w:rFonts w:cs="Arial"/>
              </w:rPr>
              <w:t>Transferee BSB number (fourth)</w:t>
            </w:r>
          </w:p>
        </w:tc>
        <w:tc>
          <w:tcPr>
            <w:tcW w:w="1536" w:type="pct"/>
            <w:tcBorders>
              <w:top w:val="nil"/>
              <w:left w:val="nil"/>
              <w:bottom w:val="single" w:sz="8" w:space="0" w:color="auto"/>
              <w:right w:val="single" w:sz="8" w:space="0" w:color="auto"/>
            </w:tcBorders>
            <w:vAlign w:val="center"/>
          </w:tcPr>
          <w:p w14:paraId="239FBFD5" w14:textId="77777777" w:rsidR="00115458" w:rsidRPr="00D06BCE" w:rsidRDefault="00115458" w:rsidP="00D06BCE">
            <w:pPr>
              <w:spacing w:after="0" w:line="240" w:lineRule="auto"/>
              <w:rPr>
                <w:rFonts w:cs="Arial"/>
              </w:rPr>
            </w:pPr>
            <w:r w:rsidRPr="00D06BCE">
              <w:rPr>
                <w:rFonts w:cs="Arial"/>
              </w:rPr>
              <w:t>000000</w:t>
            </w:r>
          </w:p>
        </w:tc>
      </w:tr>
      <w:tr w:rsidR="00115458" w:rsidRPr="00D06BCE" w14:paraId="3F8A5EA7" w14:textId="77777777" w:rsidTr="00427C84">
        <w:trPr>
          <w:trHeight w:val="270"/>
        </w:trPr>
        <w:tc>
          <w:tcPr>
            <w:tcW w:w="662" w:type="pct"/>
            <w:tcBorders>
              <w:top w:val="nil"/>
              <w:left w:val="single" w:sz="8" w:space="0" w:color="auto"/>
              <w:bottom w:val="single" w:sz="8" w:space="0" w:color="auto"/>
              <w:right w:val="single" w:sz="8" w:space="0" w:color="auto"/>
            </w:tcBorders>
          </w:tcPr>
          <w:p w14:paraId="076BB083" w14:textId="4EB38B3B" w:rsidR="00115458" w:rsidRPr="007F6219" w:rsidRDefault="00A00C74" w:rsidP="00D06BCE">
            <w:pPr>
              <w:spacing w:after="0" w:line="240" w:lineRule="auto"/>
            </w:pPr>
            <w:r>
              <w:t>9.163</w:t>
            </w:r>
          </w:p>
        </w:tc>
        <w:tc>
          <w:tcPr>
            <w:tcW w:w="2802" w:type="pct"/>
            <w:tcBorders>
              <w:top w:val="nil"/>
              <w:left w:val="nil"/>
              <w:bottom w:val="single" w:sz="8" w:space="0" w:color="auto"/>
              <w:right w:val="single" w:sz="8" w:space="0" w:color="auto"/>
            </w:tcBorders>
            <w:vAlign w:val="center"/>
          </w:tcPr>
          <w:p w14:paraId="495F527A" w14:textId="77777777" w:rsidR="00115458" w:rsidRPr="00D06BCE" w:rsidRDefault="00115458" w:rsidP="00D06BCE">
            <w:pPr>
              <w:spacing w:after="0" w:line="240" w:lineRule="auto"/>
              <w:rPr>
                <w:rFonts w:cs="Arial"/>
              </w:rPr>
            </w:pPr>
            <w:r w:rsidRPr="00D06BCE">
              <w:rPr>
                <w:rFonts w:cs="Arial"/>
              </w:rPr>
              <w:t>TFN withholding tax deducted from repayments in the financial year (cents)</w:t>
            </w:r>
          </w:p>
        </w:tc>
        <w:tc>
          <w:tcPr>
            <w:tcW w:w="1536" w:type="pct"/>
            <w:tcBorders>
              <w:top w:val="nil"/>
              <w:left w:val="nil"/>
              <w:bottom w:val="single" w:sz="8" w:space="0" w:color="auto"/>
              <w:right w:val="single" w:sz="8" w:space="0" w:color="auto"/>
            </w:tcBorders>
            <w:vAlign w:val="center"/>
          </w:tcPr>
          <w:p w14:paraId="68EBF7B2"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3B95F28E" w14:textId="77777777" w:rsidTr="00427C84">
        <w:trPr>
          <w:trHeight w:val="270"/>
        </w:trPr>
        <w:tc>
          <w:tcPr>
            <w:tcW w:w="662" w:type="pct"/>
            <w:tcBorders>
              <w:top w:val="nil"/>
              <w:left w:val="single" w:sz="8" w:space="0" w:color="auto"/>
              <w:bottom w:val="single" w:sz="8" w:space="0" w:color="auto"/>
              <w:right w:val="single" w:sz="8" w:space="0" w:color="auto"/>
            </w:tcBorders>
          </w:tcPr>
          <w:p w14:paraId="3A5DF13A" w14:textId="4FD58AFF" w:rsidR="00115458" w:rsidRPr="007F6219" w:rsidRDefault="00A00C74" w:rsidP="00D06BCE">
            <w:pPr>
              <w:spacing w:after="0" w:line="240" w:lineRule="auto"/>
            </w:pPr>
            <w:r>
              <w:t>9.164</w:t>
            </w:r>
          </w:p>
        </w:tc>
        <w:tc>
          <w:tcPr>
            <w:tcW w:w="2802" w:type="pct"/>
            <w:tcBorders>
              <w:top w:val="nil"/>
              <w:left w:val="nil"/>
              <w:bottom w:val="single" w:sz="8" w:space="0" w:color="auto"/>
              <w:right w:val="single" w:sz="8" w:space="0" w:color="auto"/>
            </w:tcBorders>
            <w:vAlign w:val="center"/>
          </w:tcPr>
          <w:p w14:paraId="40FC1FA1" w14:textId="77777777" w:rsidR="00115458" w:rsidRPr="00D06BCE" w:rsidRDefault="00115458" w:rsidP="00D06BCE">
            <w:pPr>
              <w:spacing w:after="0" w:line="240" w:lineRule="auto"/>
              <w:rPr>
                <w:rFonts w:cs="Arial"/>
              </w:rPr>
            </w:pPr>
            <w:r w:rsidRPr="00D06BCE">
              <w:rPr>
                <w:rFonts w:cs="Arial"/>
              </w:rPr>
              <w:t xml:space="preserve">Amount of closing balance (cents) </w:t>
            </w:r>
          </w:p>
        </w:tc>
        <w:tc>
          <w:tcPr>
            <w:tcW w:w="1536" w:type="pct"/>
            <w:tcBorders>
              <w:top w:val="nil"/>
              <w:left w:val="nil"/>
              <w:bottom w:val="single" w:sz="8" w:space="0" w:color="auto"/>
              <w:right w:val="single" w:sz="8" w:space="0" w:color="auto"/>
            </w:tcBorders>
            <w:vAlign w:val="center"/>
          </w:tcPr>
          <w:p w14:paraId="235629FF" w14:textId="77777777" w:rsidR="00115458" w:rsidRPr="00D06BCE" w:rsidRDefault="00115458" w:rsidP="00D06BCE">
            <w:pPr>
              <w:spacing w:after="0" w:line="240" w:lineRule="auto"/>
              <w:rPr>
                <w:rFonts w:cs="Arial"/>
              </w:rPr>
            </w:pPr>
            <w:r w:rsidRPr="00D06BCE">
              <w:rPr>
                <w:rFonts w:cs="Arial"/>
              </w:rPr>
              <w:t>000000000000</w:t>
            </w:r>
          </w:p>
        </w:tc>
      </w:tr>
      <w:tr w:rsidR="00115458" w:rsidRPr="00D06BCE" w14:paraId="754514E9" w14:textId="77777777" w:rsidTr="00427C84">
        <w:trPr>
          <w:trHeight w:val="270"/>
        </w:trPr>
        <w:tc>
          <w:tcPr>
            <w:tcW w:w="662" w:type="pct"/>
            <w:tcBorders>
              <w:top w:val="nil"/>
              <w:left w:val="single" w:sz="8" w:space="0" w:color="auto"/>
              <w:bottom w:val="single" w:sz="8" w:space="0" w:color="auto"/>
              <w:right w:val="single" w:sz="8" w:space="0" w:color="auto"/>
            </w:tcBorders>
          </w:tcPr>
          <w:p w14:paraId="0287000A" w14:textId="4F204739" w:rsidR="00115458" w:rsidRPr="007F6219" w:rsidRDefault="00A00C74" w:rsidP="00D06BCE">
            <w:pPr>
              <w:spacing w:after="0" w:line="240" w:lineRule="auto"/>
            </w:pPr>
            <w:r>
              <w:t>9.165</w:t>
            </w:r>
          </w:p>
        </w:tc>
        <w:tc>
          <w:tcPr>
            <w:tcW w:w="2802" w:type="pct"/>
            <w:tcBorders>
              <w:top w:val="nil"/>
              <w:left w:val="nil"/>
              <w:bottom w:val="single" w:sz="8" w:space="0" w:color="auto"/>
              <w:right w:val="single" w:sz="8" w:space="0" w:color="auto"/>
            </w:tcBorders>
            <w:vAlign w:val="center"/>
          </w:tcPr>
          <w:p w14:paraId="101939EE" w14:textId="77777777" w:rsidR="00115458" w:rsidRPr="00D06BCE" w:rsidRDefault="00115458" w:rsidP="00D06BCE">
            <w:pPr>
              <w:spacing w:after="0" w:line="240" w:lineRule="auto"/>
              <w:rPr>
                <w:rFonts w:cs="Arial"/>
              </w:rPr>
            </w:pPr>
            <w:r w:rsidRPr="00D06BCE">
              <w:t>Interest offset account (=Y or N)</w:t>
            </w:r>
          </w:p>
        </w:tc>
        <w:tc>
          <w:tcPr>
            <w:tcW w:w="1536" w:type="pct"/>
            <w:tcBorders>
              <w:top w:val="nil"/>
              <w:left w:val="nil"/>
              <w:bottom w:val="single" w:sz="8" w:space="0" w:color="auto"/>
              <w:right w:val="single" w:sz="8" w:space="0" w:color="auto"/>
            </w:tcBorders>
            <w:vAlign w:val="center"/>
          </w:tcPr>
          <w:p w14:paraId="32D01F14" w14:textId="77777777" w:rsidR="00115458" w:rsidRPr="00D06BCE" w:rsidRDefault="00115458" w:rsidP="00D06BCE">
            <w:pPr>
              <w:spacing w:after="0" w:line="240" w:lineRule="auto"/>
              <w:rPr>
                <w:rFonts w:cs="Arial"/>
              </w:rPr>
            </w:pPr>
            <w:r w:rsidRPr="00D06BCE">
              <w:rPr>
                <w:rFonts w:cs="Arial"/>
              </w:rPr>
              <w:t>N</w:t>
            </w:r>
          </w:p>
        </w:tc>
      </w:tr>
      <w:tr w:rsidR="00115458" w:rsidRPr="00D06BCE" w14:paraId="252E0DF9" w14:textId="77777777" w:rsidTr="00427C84">
        <w:trPr>
          <w:trHeight w:val="270"/>
        </w:trPr>
        <w:tc>
          <w:tcPr>
            <w:tcW w:w="662" w:type="pct"/>
            <w:tcBorders>
              <w:top w:val="nil"/>
              <w:left w:val="single" w:sz="8" w:space="0" w:color="auto"/>
              <w:bottom w:val="single" w:sz="8" w:space="0" w:color="auto"/>
              <w:right w:val="single" w:sz="8" w:space="0" w:color="auto"/>
            </w:tcBorders>
          </w:tcPr>
          <w:p w14:paraId="764015E5" w14:textId="77777777" w:rsidR="00115458" w:rsidRPr="007F6219" w:rsidRDefault="00115458" w:rsidP="00D06BCE">
            <w:pPr>
              <w:spacing w:after="0" w:line="240" w:lineRule="auto"/>
            </w:pPr>
            <w:hyperlink w:anchor="d7_006" w:history="1">
              <w:r w:rsidRPr="007F6219">
                <w:t>9.6</w:t>
              </w:r>
            </w:hyperlink>
          </w:p>
        </w:tc>
        <w:tc>
          <w:tcPr>
            <w:tcW w:w="2802" w:type="pct"/>
            <w:tcBorders>
              <w:top w:val="nil"/>
              <w:left w:val="nil"/>
              <w:bottom w:val="single" w:sz="8" w:space="0" w:color="auto"/>
              <w:right w:val="single" w:sz="8" w:space="0" w:color="auto"/>
            </w:tcBorders>
            <w:vAlign w:val="center"/>
          </w:tcPr>
          <w:p w14:paraId="1394D7B9" w14:textId="77777777" w:rsidR="00115458" w:rsidRPr="00D06BCE" w:rsidRDefault="00115458" w:rsidP="00D06BCE">
            <w:pPr>
              <w:spacing w:after="0" w:line="240" w:lineRule="auto"/>
              <w:rPr>
                <w:rFonts w:cs="Arial"/>
              </w:rPr>
            </w:pPr>
            <w:r w:rsidRPr="00D06BCE">
              <w:rPr>
                <w:rFonts w:cs="Arial"/>
              </w:rPr>
              <w:t>Filler</w:t>
            </w:r>
          </w:p>
        </w:tc>
        <w:tc>
          <w:tcPr>
            <w:tcW w:w="1536" w:type="pct"/>
            <w:tcBorders>
              <w:top w:val="nil"/>
              <w:left w:val="nil"/>
              <w:bottom w:val="single" w:sz="8" w:space="0" w:color="auto"/>
              <w:right w:val="single" w:sz="8" w:space="0" w:color="auto"/>
            </w:tcBorders>
            <w:vAlign w:val="center"/>
          </w:tcPr>
          <w:p w14:paraId="50248C7A" w14:textId="77777777" w:rsidR="00115458" w:rsidRPr="00D06BCE" w:rsidRDefault="00115458" w:rsidP="00D06BCE">
            <w:pPr>
              <w:spacing w:after="0" w:line="240" w:lineRule="auto"/>
              <w:rPr>
                <w:rFonts w:cs="Arial"/>
              </w:rPr>
            </w:pPr>
            <w:r w:rsidRPr="00D06BCE">
              <w:rPr>
                <w:rFonts w:cs="Arial"/>
              </w:rPr>
              <w:t>Blank fill</w:t>
            </w:r>
          </w:p>
        </w:tc>
      </w:tr>
    </w:tbl>
    <w:p w14:paraId="72DAC147" w14:textId="77777777" w:rsidR="00115458" w:rsidRPr="00D06BCE" w:rsidRDefault="00115458" w:rsidP="00D06BCE">
      <w:pPr>
        <w:spacing w:after="0" w:line="240" w:lineRule="auto"/>
        <w:rPr>
          <w:rFonts w:eastAsia="Calibri" w:cs="Arial"/>
          <w:smallCaps/>
        </w:rPr>
      </w:pPr>
    </w:p>
    <w:p w14:paraId="4D35A6FF" w14:textId="77777777" w:rsidR="00115458" w:rsidRPr="00D06BCE" w:rsidRDefault="00115458" w:rsidP="00D06BCE">
      <w:pPr>
        <w:spacing w:after="0" w:line="240" w:lineRule="auto"/>
        <w:rPr>
          <w:rFonts w:eastAsia="Calibri" w:cs="Arial"/>
        </w:rPr>
      </w:pPr>
      <w:r w:rsidRPr="00D06BCE">
        <w:rPr>
          <w:rFonts w:eastAsia="Calibri" w:cs="Arial"/>
        </w:rPr>
        <w:t xml:space="preserve">An FMD account data record, similar to Record 2 above, would be provided for accounts 3 and 4.  </w:t>
      </w:r>
    </w:p>
    <w:p w14:paraId="1E545530" w14:textId="77777777" w:rsidR="00115458" w:rsidRPr="00D06BCE" w:rsidRDefault="00115458" w:rsidP="00D06BCE">
      <w:pPr>
        <w:spacing w:after="0" w:line="240" w:lineRule="auto"/>
        <w:rPr>
          <w:rFonts w:cs="Arial"/>
        </w:rPr>
      </w:pPr>
    </w:p>
    <w:p w14:paraId="2454D008" w14:textId="77777777" w:rsidR="00115458" w:rsidRPr="00D06BCE" w:rsidRDefault="00115458" w:rsidP="00D06BCE">
      <w:pPr>
        <w:spacing w:after="0" w:line="240" w:lineRule="auto"/>
        <w:rPr>
          <w:rFonts w:cs="Arial"/>
          <w:i/>
        </w:rPr>
      </w:pPr>
      <w:r w:rsidRPr="00D06BCE">
        <w:rPr>
          <w:rFonts w:cs="Arial"/>
        </w:rPr>
        <w:t xml:space="preserve">An </w:t>
      </w:r>
      <w:r w:rsidRPr="00D06BCE">
        <w:rPr>
          <w:rFonts w:cs="Arial"/>
          <w:i/>
        </w:rPr>
        <w:t>Investor data record</w:t>
      </w:r>
      <w:r w:rsidRPr="00D06BCE">
        <w:rPr>
          <w:rFonts w:cs="Arial"/>
        </w:rPr>
        <w:t xml:space="preserve"> is required after each </w:t>
      </w:r>
      <w:r w:rsidRPr="00D06BCE">
        <w:rPr>
          <w:rFonts w:cs="Arial"/>
          <w:i/>
        </w:rPr>
        <w:t>Farm management deposit account data record.</w:t>
      </w:r>
    </w:p>
    <w:p w14:paraId="64BD8238" w14:textId="79EEC2FE" w:rsidR="00115458" w:rsidRPr="00B35C0A" w:rsidRDefault="00115458" w:rsidP="00352FB2">
      <w:pPr>
        <w:pStyle w:val="Heading1"/>
      </w:pPr>
      <w:bookmarkStart w:id="1952" w:name="_Toc486501105"/>
      <w:bookmarkStart w:id="1953" w:name="_Toc5012864"/>
      <w:bookmarkStart w:id="1954" w:name="_Toc5022793"/>
      <w:bookmarkStart w:id="1955" w:name="_Toc5024216"/>
      <w:bookmarkStart w:id="1956" w:name="_Toc5025640"/>
      <w:bookmarkStart w:id="1957" w:name="_Toc5027063"/>
      <w:bookmarkStart w:id="1958" w:name="AmendmentsProcessing"/>
      <w:bookmarkEnd w:id="1951"/>
      <w:bookmarkEnd w:id="1952"/>
      <w:bookmarkEnd w:id="1953"/>
      <w:bookmarkEnd w:id="1954"/>
      <w:bookmarkEnd w:id="1955"/>
      <w:bookmarkEnd w:id="1956"/>
      <w:bookmarkEnd w:id="1957"/>
      <w:r w:rsidRPr="00D06BCE">
        <w:rPr>
          <w:rFonts w:asciiTheme="minorHAnsi" w:hAnsiTheme="minorHAnsi"/>
          <w:sz w:val="20"/>
          <w:szCs w:val="20"/>
        </w:rPr>
        <w:br w:type="page"/>
      </w:r>
      <w:bookmarkStart w:id="1959" w:name="_Toc5193030"/>
      <w:bookmarkStart w:id="1960" w:name="_Toc232191378"/>
      <w:r w:rsidR="00253C69" w:rsidRPr="00253C69">
        <w:t xml:space="preserve">10 </w:t>
      </w:r>
      <w:r w:rsidRPr="00B35C0A">
        <w:t>Amendment processing</w:t>
      </w:r>
      <w:bookmarkEnd w:id="1958"/>
      <w:bookmarkEnd w:id="1959"/>
      <w:bookmarkEnd w:id="1960"/>
    </w:p>
    <w:p w14:paraId="55398AD7" w14:textId="77777777" w:rsidR="00115458" w:rsidRPr="00352FB2" w:rsidRDefault="00115458" w:rsidP="00352FB2">
      <w:pPr>
        <w:spacing w:after="0" w:line="240" w:lineRule="auto"/>
        <w:rPr>
          <w:rFonts w:cs="Arial"/>
        </w:rPr>
      </w:pPr>
      <w:r w:rsidRPr="00352FB2">
        <w:rPr>
          <w:rFonts w:cs="Arial"/>
        </w:rPr>
        <w:t xml:space="preserve">Prior to lodging an amended AIIR reporters should contact us via </w:t>
      </w:r>
      <w:hyperlink r:id="rId41" w:history="1">
        <w:r w:rsidRPr="00352FB2">
          <w:rPr>
            <w:rStyle w:val="Hyperlink"/>
            <w:rFonts w:cs="Arial"/>
            <w:color w:val="auto"/>
          </w:rPr>
          <w:t>ato-dmi@ato.gov.au</w:t>
        </w:r>
      </w:hyperlink>
      <w:r w:rsidRPr="00352FB2">
        <w:rPr>
          <w:rFonts w:cs="Arial"/>
        </w:rPr>
        <w:t xml:space="preserve"> </w:t>
      </w:r>
    </w:p>
    <w:p w14:paraId="1B90348C" w14:textId="77777777" w:rsidR="00115458" w:rsidRPr="00352FB2" w:rsidRDefault="00115458" w:rsidP="00352FB2">
      <w:pPr>
        <w:spacing w:after="0" w:line="240" w:lineRule="auto"/>
        <w:rPr>
          <w:rFonts w:cs="Arial"/>
        </w:rPr>
      </w:pPr>
      <w:r w:rsidRPr="00352FB2">
        <w:rPr>
          <w:rFonts w:cs="Arial"/>
        </w:rPr>
        <w:t>to provide information on the errors, including the number and type of investors/investments impacted, so we can assist in managing the correction of the data and minimise impact on our mutual clients.</w:t>
      </w:r>
    </w:p>
    <w:p w14:paraId="063C9B8E" w14:textId="77777777" w:rsidR="00115458" w:rsidRPr="00352FB2" w:rsidRDefault="00115458" w:rsidP="00352FB2">
      <w:pPr>
        <w:spacing w:after="0" w:line="240" w:lineRule="auto"/>
        <w:rPr>
          <w:rFonts w:cs="Arial"/>
        </w:rPr>
      </w:pPr>
    </w:p>
    <w:p w14:paraId="5E284F01" w14:textId="77777777" w:rsidR="00115458" w:rsidRPr="00352FB2" w:rsidRDefault="00115458" w:rsidP="00352FB2">
      <w:pPr>
        <w:pStyle w:val="Maintext"/>
        <w:rPr>
          <w:rFonts w:asciiTheme="minorHAnsi" w:hAnsiTheme="minorHAnsi" w:cs="Arial"/>
          <w:sz w:val="20"/>
          <w:szCs w:val="20"/>
        </w:rPr>
      </w:pPr>
      <w:r w:rsidRPr="00352FB2">
        <w:rPr>
          <w:rFonts w:asciiTheme="minorHAnsi" w:hAnsiTheme="minorHAnsi" w:cs="Arial"/>
          <w:sz w:val="20"/>
          <w:szCs w:val="20"/>
        </w:rPr>
        <w:t>There are two amendment options:</w:t>
      </w:r>
    </w:p>
    <w:p w14:paraId="4B6BD0F3" w14:textId="77777777" w:rsidR="00115458" w:rsidRPr="00352FB2" w:rsidRDefault="00115458" w:rsidP="00352FB2">
      <w:pPr>
        <w:pStyle w:val="Maintext"/>
        <w:rPr>
          <w:rFonts w:asciiTheme="minorHAnsi" w:hAnsiTheme="minorHAnsi" w:cs="Arial"/>
          <w:sz w:val="20"/>
          <w:szCs w:val="20"/>
        </w:rPr>
      </w:pPr>
    </w:p>
    <w:p w14:paraId="023BD039" w14:textId="77777777" w:rsidR="00115458" w:rsidRPr="00352FB2" w:rsidRDefault="00115458" w:rsidP="00352FB2">
      <w:pPr>
        <w:pStyle w:val="Maintext"/>
        <w:numPr>
          <w:ilvl w:val="0"/>
          <w:numId w:val="51"/>
        </w:numPr>
        <w:rPr>
          <w:rFonts w:asciiTheme="minorHAnsi" w:hAnsiTheme="minorHAnsi" w:cs="Arial"/>
          <w:sz w:val="20"/>
          <w:szCs w:val="20"/>
        </w:rPr>
      </w:pPr>
      <w:r w:rsidRPr="00352FB2">
        <w:rPr>
          <w:rFonts w:asciiTheme="minorHAnsi" w:hAnsiTheme="minorHAnsi" w:cs="Arial"/>
          <w:sz w:val="20"/>
          <w:szCs w:val="20"/>
        </w:rPr>
        <w:t>Replacement AIIR – sending a replacement AIIR to replace a whole AIIR that has been previously supplied.</w:t>
      </w:r>
    </w:p>
    <w:p w14:paraId="4BAFDB4B" w14:textId="77777777" w:rsidR="00115458" w:rsidRPr="00352FB2" w:rsidRDefault="00115458" w:rsidP="00352FB2">
      <w:pPr>
        <w:pStyle w:val="Maintext"/>
        <w:rPr>
          <w:rFonts w:asciiTheme="minorHAnsi" w:hAnsiTheme="minorHAnsi" w:cs="Arial"/>
          <w:sz w:val="20"/>
          <w:szCs w:val="20"/>
        </w:rPr>
      </w:pPr>
    </w:p>
    <w:p w14:paraId="347CBC1E" w14:textId="77777777" w:rsidR="00115458" w:rsidRPr="00352FB2" w:rsidRDefault="00115458" w:rsidP="0023547A">
      <w:pPr>
        <w:pStyle w:val="ListParagraph"/>
        <w:numPr>
          <w:ilvl w:val="0"/>
          <w:numId w:val="51"/>
        </w:numPr>
        <w:spacing w:after="0" w:line="240" w:lineRule="auto"/>
        <w:ind w:left="714" w:hanging="357"/>
        <w:rPr>
          <w:rFonts w:cs="Arial"/>
        </w:rPr>
      </w:pPr>
      <w:r w:rsidRPr="00352FB2">
        <w:rPr>
          <w:rFonts w:cs="Arial"/>
        </w:rPr>
        <w:t>Corrected AIIR – sending corrected AIIR records means sending some new records to correct some records provided in a previously supplied AIIR.</w:t>
      </w:r>
    </w:p>
    <w:p w14:paraId="30499CA6" w14:textId="77777777" w:rsidR="00115458" w:rsidRDefault="00115458" w:rsidP="00352FB2">
      <w:pPr>
        <w:pStyle w:val="Heading2"/>
      </w:pPr>
      <w:bookmarkStart w:id="1961" w:name="_Toc232191379"/>
      <w:r>
        <w:t>Sending files containing replacement AIIR records</w:t>
      </w:r>
      <w:bookmarkEnd w:id="1961"/>
    </w:p>
    <w:p w14:paraId="130B464D" w14:textId="77777777" w:rsidR="00115458" w:rsidRPr="00352FB2" w:rsidRDefault="00115458" w:rsidP="00352FB2">
      <w:pPr>
        <w:spacing w:after="0" w:line="240" w:lineRule="auto"/>
      </w:pPr>
      <w:r w:rsidRPr="00352FB2">
        <w:t>A file containing one or more replacement AIIR should be sent to the ATO when:</w:t>
      </w:r>
    </w:p>
    <w:p w14:paraId="3294C214" w14:textId="77777777" w:rsidR="00115458" w:rsidRPr="00352FB2" w:rsidRDefault="00115458" w:rsidP="00352FB2">
      <w:pPr>
        <w:spacing w:after="0" w:line="240" w:lineRule="auto"/>
      </w:pPr>
    </w:p>
    <w:p w14:paraId="0FE64565" w14:textId="5A050E52" w:rsidR="00115458" w:rsidRPr="00352FB2" w:rsidRDefault="00115458" w:rsidP="00352FB2">
      <w:pPr>
        <w:pStyle w:val="ListParagraph"/>
        <w:numPr>
          <w:ilvl w:val="0"/>
          <w:numId w:val="52"/>
        </w:numPr>
        <w:spacing w:after="0" w:line="240" w:lineRule="auto"/>
      </w:pPr>
      <w:r w:rsidRPr="00352FB2">
        <w:rPr>
          <w:rFonts w:cs="Arial"/>
        </w:rPr>
        <w:t>the data supplier determines, after having lodged an AIIR, there are material errors and a replacement AIIR is required or we contact you to advise there are material errors in your file that require correction.</w:t>
      </w:r>
    </w:p>
    <w:p w14:paraId="0F0339B5" w14:textId="77777777" w:rsidR="00352FB2" w:rsidRPr="00352FB2" w:rsidRDefault="00352FB2" w:rsidP="00352FB2">
      <w:pPr>
        <w:pStyle w:val="ListParagraph"/>
        <w:spacing w:after="0" w:line="240" w:lineRule="auto"/>
      </w:pPr>
    </w:p>
    <w:p w14:paraId="1000FC26" w14:textId="351577F2" w:rsidR="00115458" w:rsidRDefault="00115458" w:rsidP="00352FB2">
      <w:pPr>
        <w:spacing w:after="0" w:line="240" w:lineRule="auto"/>
      </w:pPr>
      <w:r w:rsidRPr="00352FB2">
        <w:t xml:space="preserve">If a file containing one or more replacement AIIR is submitted, the Type of report field in the </w:t>
      </w:r>
      <w:r w:rsidRPr="00352FB2">
        <w:rPr>
          <w:i/>
          <w:iCs/>
        </w:rPr>
        <w:t>Supplier data record 1</w:t>
      </w:r>
      <w:r w:rsidRPr="00352FB2">
        <w:t xml:space="preserve"> must be set to </w:t>
      </w:r>
      <w:r w:rsidRPr="00352FB2">
        <w:rPr>
          <w:b/>
          <w:bCs/>
        </w:rPr>
        <w:t>R</w:t>
      </w:r>
      <w:r w:rsidRPr="00352FB2">
        <w:t xml:space="preserve">. </w:t>
      </w:r>
    </w:p>
    <w:p w14:paraId="7E4D9E05" w14:textId="77777777" w:rsidR="00115458" w:rsidRPr="00352FB2" w:rsidRDefault="00115458" w:rsidP="00352FB2">
      <w:pPr>
        <w:pStyle w:val="Maintext"/>
        <w:rPr>
          <w:rFonts w:asciiTheme="minorHAnsi" w:hAnsiTheme="minorHAnsi"/>
          <w:sz w:val="20"/>
          <w:szCs w:val="20"/>
        </w:rPr>
      </w:pPr>
      <w:r w:rsidRPr="00352FB2">
        <w:rPr>
          <w:rFonts w:asciiTheme="minorHAnsi" w:hAnsiTheme="minorHAnsi"/>
          <w:sz w:val="20"/>
          <w:szCs w:val="20"/>
        </w:rPr>
        <w:t>To enable a replacement AIIR to be correctly linked to an original or previously supplied AIIR, correct information must be supplied in the following fields:</w:t>
      </w:r>
    </w:p>
    <w:p w14:paraId="02B41038" w14:textId="77777777" w:rsidR="00115458" w:rsidRPr="00352FB2" w:rsidRDefault="00115458" w:rsidP="00352FB2">
      <w:pPr>
        <w:pStyle w:val="Maintext"/>
        <w:rPr>
          <w:rFonts w:asciiTheme="minorHAnsi" w:hAnsiTheme="minorHAnsi"/>
          <w:sz w:val="20"/>
          <w:szCs w:val="20"/>
        </w:rPr>
      </w:pPr>
    </w:p>
    <w:p w14:paraId="50DEE51F" w14:textId="6AF051CC" w:rsidR="00115458" w:rsidRPr="00352FB2" w:rsidRDefault="00115458" w:rsidP="00352FB2">
      <w:pPr>
        <w:pStyle w:val="Bullet1"/>
        <w:numPr>
          <w:ilvl w:val="0"/>
          <w:numId w:val="69"/>
        </w:numPr>
        <w:spacing w:before="0" w:after="0"/>
        <w:rPr>
          <w:rFonts w:asciiTheme="minorHAnsi" w:hAnsiTheme="minorHAnsi"/>
          <w:sz w:val="20"/>
          <w:szCs w:val="20"/>
        </w:rPr>
      </w:pPr>
      <w:r w:rsidRPr="00352FB2">
        <w:rPr>
          <w:rFonts w:asciiTheme="minorHAnsi" w:hAnsiTheme="minorHAnsi"/>
          <w:sz w:val="20"/>
          <w:szCs w:val="20"/>
        </w:rPr>
        <w:t xml:space="preserve">The </w:t>
      </w:r>
      <w:r w:rsidRPr="00352FB2">
        <w:rPr>
          <w:rFonts w:asciiTheme="minorHAnsi" w:hAnsiTheme="minorHAnsi"/>
          <w:i/>
          <w:sz w:val="20"/>
          <w:szCs w:val="20"/>
        </w:rPr>
        <w:t xml:space="preserve">Supplier file reference of file being replaced or containing records being corrected </w:t>
      </w:r>
      <w:r w:rsidRPr="00352FB2">
        <w:rPr>
          <w:rFonts w:asciiTheme="minorHAnsi" w:hAnsiTheme="minorHAnsi"/>
          <w:sz w:val="20"/>
          <w:szCs w:val="20"/>
        </w:rPr>
        <w:t xml:space="preserve">field in </w:t>
      </w:r>
      <w:r w:rsidRPr="00352FB2">
        <w:rPr>
          <w:rFonts w:asciiTheme="minorHAnsi" w:hAnsiTheme="minorHAnsi"/>
          <w:i/>
          <w:sz w:val="20"/>
          <w:szCs w:val="20"/>
        </w:rPr>
        <w:t>Supplier data record 2</w:t>
      </w:r>
      <w:r w:rsidRPr="00352FB2">
        <w:rPr>
          <w:rFonts w:asciiTheme="minorHAnsi" w:hAnsiTheme="minorHAnsi"/>
          <w:sz w:val="20"/>
          <w:szCs w:val="20"/>
        </w:rPr>
        <w:t xml:space="preserve">. </w:t>
      </w:r>
      <w:r w:rsidR="00352FB2" w:rsidRPr="007F3F48">
        <w:rPr>
          <w:rFonts w:asciiTheme="minorHAnsi" w:hAnsiTheme="minorHAnsi"/>
          <w:sz w:val="20"/>
          <w:szCs w:val="20"/>
        </w:rPr>
        <w:t>(This is the supplier file reference of the previously lodged file being replaced)</w:t>
      </w:r>
    </w:p>
    <w:p w14:paraId="1208B99F" w14:textId="77777777" w:rsidR="00115458" w:rsidRPr="00352FB2" w:rsidRDefault="00115458" w:rsidP="00352FB2">
      <w:pPr>
        <w:pStyle w:val="Bullet1"/>
        <w:numPr>
          <w:ilvl w:val="0"/>
          <w:numId w:val="69"/>
        </w:numPr>
        <w:spacing w:before="0" w:after="0"/>
        <w:rPr>
          <w:rFonts w:asciiTheme="minorHAnsi" w:hAnsiTheme="minorHAnsi"/>
          <w:sz w:val="20"/>
          <w:szCs w:val="20"/>
        </w:rPr>
      </w:pPr>
      <w:r w:rsidRPr="00352FB2">
        <w:rPr>
          <w:rFonts w:asciiTheme="minorHAnsi" w:hAnsiTheme="minorHAnsi"/>
          <w:sz w:val="20"/>
          <w:szCs w:val="20"/>
        </w:rPr>
        <w:t xml:space="preserve">The </w:t>
      </w:r>
      <w:r w:rsidRPr="00352FB2">
        <w:rPr>
          <w:rFonts w:asciiTheme="minorHAnsi" w:hAnsiTheme="minorHAnsi"/>
          <w:i/>
          <w:sz w:val="20"/>
          <w:szCs w:val="20"/>
        </w:rPr>
        <w:t xml:space="preserve">Sequence number of </w:t>
      </w:r>
      <w:r w:rsidRPr="00352FB2">
        <w:rPr>
          <w:rFonts w:asciiTheme="minorHAnsi" w:hAnsiTheme="minorHAnsi"/>
          <w:sz w:val="20"/>
          <w:szCs w:val="20"/>
        </w:rPr>
        <w:t>the</w:t>
      </w:r>
      <w:r w:rsidRPr="00352FB2">
        <w:rPr>
          <w:rFonts w:asciiTheme="minorHAnsi" w:hAnsiTheme="minorHAnsi"/>
          <w:i/>
          <w:sz w:val="20"/>
          <w:szCs w:val="20"/>
        </w:rPr>
        <w:t xml:space="preserve"> IDENTITY record </w:t>
      </w:r>
      <w:r w:rsidRPr="00352FB2">
        <w:rPr>
          <w:rFonts w:asciiTheme="minorHAnsi" w:hAnsiTheme="minorHAnsi"/>
          <w:sz w:val="20"/>
          <w:szCs w:val="20"/>
        </w:rPr>
        <w:t xml:space="preserve">field in the </w:t>
      </w:r>
      <w:r w:rsidRPr="00352FB2">
        <w:rPr>
          <w:rFonts w:asciiTheme="minorHAnsi" w:hAnsiTheme="minorHAnsi"/>
          <w:i/>
          <w:sz w:val="20"/>
          <w:szCs w:val="20"/>
        </w:rPr>
        <w:t>Investment body identity data record</w:t>
      </w:r>
      <w:r w:rsidRPr="00352FB2">
        <w:rPr>
          <w:rFonts w:asciiTheme="minorHAnsi" w:hAnsiTheme="minorHAnsi"/>
          <w:sz w:val="20"/>
          <w:szCs w:val="20"/>
        </w:rPr>
        <w:t xml:space="preserve"> (the sequence number of the original file).</w:t>
      </w:r>
    </w:p>
    <w:p w14:paraId="73C5CDB1" w14:textId="77777777" w:rsidR="00115458" w:rsidRPr="005E2B0F" w:rsidRDefault="00115458" w:rsidP="00115458">
      <w:pPr>
        <w:pStyle w:val="Heading3"/>
      </w:pPr>
      <w:bookmarkStart w:id="1962" w:name="_Toc308440841"/>
      <w:bookmarkStart w:id="1963" w:name="_Toc351096833"/>
      <w:bookmarkStart w:id="1964" w:name="_Toc402165673"/>
      <w:bookmarkStart w:id="1965" w:name="_Toc417974918"/>
      <w:bookmarkStart w:id="1966" w:name="_Toc3886588"/>
      <w:bookmarkStart w:id="1967" w:name="_Toc232191380"/>
      <w:r w:rsidRPr="005E2B0F">
        <w:t xml:space="preserve">Example of replacement </w:t>
      </w:r>
      <w:bookmarkEnd w:id="1962"/>
      <w:bookmarkEnd w:id="1963"/>
      <w:bookmarkEnd w:id="1964"/>
      <w:bookmarkEnd w:id="1965"/>
      <w:r w:rsidRPr="005E2B0F">
        <w:t>of a standard AIIR file report version FINVAV1</w:t>
      </w:r>
      <w:r>
        <w:t>3</w:t>
      </w:r>
      <w:r w:rsidRPr="005E2B0F">
        <w:t>.0</w:t>
      </w:r>
      <w:bookmarkEnd w:id="1966"/>
      <w:bookmarkEnd w:id="1967"/>
    </w:p>
    <w:p w14:paraId="067103B4" w14:textId="77777777" w:rsidR="00115458" w:rsidRPr="00352FB2" w:rsidRDefault="00115458" w:rsidP="00352FB2">
      <w:pPr>
        <w:spacing w:after="0" w:line="240" w:lineRule="auto"/>
      </w:pPr>
      <w:r w:rsidRPr="00352FB2">
        <w:t xml:space="preserve">The example below shows two cases of replacement AIIR where it only contains </w:t>
      </w:r>
      <w:r w:rsidRPr="00352FB2">
        <w:rPr>
          <w:i/>
        </w:rPr>
        <w:t>Investment account data records</w:t>
      </w:r>
      <w:r w:rsidRPr="00352FB2">
        <w:t xml:space="preserve"> and </w:t>
      </w:r>
      <w:r w:rsidRPr="00352FB2">
        <w:rPr>
          <w:i/>
        </w:rPr>
        <w:t>Investor data records</w:t>
      </w:r>
      <w:r w:rsidRPr="00352FB2">
        <w:t>:</w:t>
      </w:r>
    </w:p>
    <w:p w14:paraId="38A7C25E" w14:textId="77777777" w:rsidR="00115458" w:rsidRPr="00352FB2" w:rsidRDefault="00115458" w:rsidP="00352FB2">
      <w:pPr>
        <w:numPr>
          <w:ilvl w:val="0"/>
          <w:numId w:val="6"/>
        </w:numPr>
        <w:tabs>
          <w:tab w:val="clear" w:pos="360"/>
          <w:tab w:val="num" w:pos="580"/>
        </w:tabs>
        <w:spacing w:after="0" w:line="240" w:lineRule="auto"/>
        <w:ind w:left="580"/>
      </w:pPr>
      <w:r w:rsidRPr="00352FB2">
        <w:t>where all lodgments in the file are replaced</w:t>
      </w:r>
    </w:p>
    <w:p w14:paraId="16D86FE9" w14:textId="77777777" w:rsidR="00115458" w:rsidRPr="00352FB2" w:rsidRDefault="00115458" w:rsidP="00352FB2">
      <w:pPr>
        <w:numPr>
          <w:ilvl w:val="0"/>
          <w:numId w:val="6"/>
        </w:numPr>
        <w:tabs>
          <w:tab w:val="clear" w:pos="360"/>
          <w:tab w:val="num" w:pos="580"/>
        </w:tabs>
        <w:spacing w:after="0" w:line="240" w:lineRule="auto"/>
        <w:ind w:left="580"/>
      </w:pPr>
      <w:r w:rsidRPr="00352FB2">
        <w:t>where only one lodgment in the file is replaced</w:t>
      </w:r>
    </w:p>
    <w:p w14:paraId="0849F65E" w14:textId="77777777" w:rsidR="00115458" w:rsidRPr="00352FB2" w:rsidRDefault="00115458" w:rsidP="00352FB2">
      <w:pPr>
        <w:spacing w:after="0" w:line="240" w:lineRule="auto"/>
        <w:ind w:left="360" w:hanging="360"/>
      </w:pPr>
    </w:p>
    <w:p w14:paraId="187D3AE2" w14:textId="77777777" w:rsidR="00115458" w:rsidRPr="00352FB2" w:rsidRDefault="00115458" w:rsidP="00352FB2">
      <w:pPr>
        <w:spacing w:after="0" w:line="240" w:lineRule="auto"/>
        <w:rPr>
          <w:rFonts w:cs="Arial"/>
          <w:b/>
        </w:rPr>
      </w:pPr>
      <w:bookmarkStart w:id="1968" w:name="_Toc351096834"/>
    </w:p>
    <w:p w14:paraId="1748B590" w14:textId="48DABA95" w:rsidR="0023547A" w:rsidRDefault="0023547A">
      <w:pPr>
        <w:rPr>
          <w:rFonts w:cs="Arial"/>
          <w:b/>
        </w:rPr>
      </w:pPr>
      <w:r>
        <w:rPr>
          <w:rFonts w:cs="Arial"/>
          <w:b/>
        </w:rPr>
        <w:br w:type="page"/>
      </w:r>
    </w:p>
    <w:p w14:paraId="101085D7" w14:textId="4583E6F5" w:rsidR="00115458" w:rsidRPr="00352FB2" w:rsidRDefault="00115458" w:rsidP="0023547A">
      <w:pPr>
        <w:spacing w:after="0" w:line="240" w:lineRule="auto"/>
        <w:contextualSpacing/>
        <w:rPr>
          <w:rFonts w:cs="Arial"/>
          <w:b/>
        </w:rPr>
      </w:pPr>
      <w:r w:rsidRPr="00352FB2">
        <w:rPr>
          <w:rFonts w:cs="Arial"/>
          <w:b/>
        </w:rPr>
        <w:t>File 1 (Original –</w:t>
      </w:r>
      <w:r w:rsidR="00DC0112" w:rsidRPr="00DC0112">
        <w:rPr>
          <w:rFonts w:cs="Arial"/>
          <w:b/>
        </w:rPr>
        <w:t xml:space="preserve"> </w:t>
      </w:r>
      <w:r w:rsidR="00DC0112" w:rsidRPr="00352FB2">
        <w:rPr>
          <w:rFonts w:cs="Arial"/>
          <w:b/>
        </w:rPr>
        <w:t>contains 3 AIIRs</w:t>
      </w:r>
      <w:r w:rsidRPr="00352FB2">
        <w:rPr>
          <w:rFonts w:cs="Arial"/>
          <w:b/>
        </w:rPr>
        <w:t>)</w:t>
      </w:r>
      <w:bookmarkEnd w:id="1968"/>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115458" w:rsidRPr="00352FB2" w14:paraId="08B7502B"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4EB3E27" w14:textId="77777777" w:rsidR="00115458" w:rsidRPr="00352FB2" w:rsidRDefault="00115458" w:rsidP="00352FB2">
            <w:pPr>
              <w:spacing w:after="0" w:line="240" w:lineRule="auto"/>
              <w:rPr>
                <w:rFonts w:cs="Arial"/>
              </w:rPr>
            </w:pPr>
            <w:r w:rsidRPr="00352FB2">
              <w:rPr>
                <w:rFonts w:cs="Arial"/>
              </w:rPr>
              <w:t>Record</w:t>
            </w:r>
          </w:p>
        </w:tc>
        <w:tc>
          <w:tcPr>
            <w:tcW w:w="880" w:type="dxa"/>
            <w:tcBorders>
              <w:top w:val="single" w:sz="6" w:space="0" w:color="auto"/>
              <w:left w:val="single" w:sz="6" w:space="0" w:color="auto"/>
              <w:bottom w:val="single" w:sz="6" w:space="0" w:color="auto"/>
              <w:right w:val="single" w:sz="6" w:space="0" w:color="auto"/>
            </w:tcBorders>
          </w:tcPr>
          <w:p w14:paraId="2FBC4F16" w14:textId="77777777" w:rsidR="00115458" w:rsidRPr="00352FB2" w:rsidRDefault="00115458" w:rsidP="00352FB2">
            <w:pPr>
              <w:spacing w:after="0" w:line="240" w:lineRule="auto"/>
              <w:rPr>
                <w:rFonts w:cs="Arial"/>
              </w:rPr>
            </w:pPr>
            <w:r w:rsidRPr="00352FB2">
              <w:rPr>
                <w:rFonts w:cs="Arial"/>
              </w:rPr>
              <w:t>Type of Report</w:t>
            </w:r>
          </w:p>
        </w:tc>
        <w:tc>
          <w:tcPr>
            <w:tcW w:w="1326" w:type="dxa"/>
            <w:tcBorders>
              <w:top w:val="single" w:sz="6" w:space="0" w:color="auto"/>
              <w:left w:val="single" w:sz="6" w:space="0" w:color="auto"/>
              <w:bottom w:val="single" w:sz="6" w:space="0" w:color="auto"/>
              <w:right w:val="single" w:sz="6" w:space="0" w:color="auto"/>
            </w:tcBorders>
          </w:tcPr>
          <w:p w14:paraId="6632CE90" w14:textId="77777777" w:rsidR="00115458" w:rsidRPr="00352FB2" w:rsidRDefault="00115458" w:rsidP="00352FB2">
            <w:pPr>
              <w:spacing w:after="0" w:line="240" w:lineRule="auto"/>
              <w:rPr>
                <w:rFonts w:cs="Arial"/>
              </w:rPr>
            </w:pPr>
            <w:r w:rsidRPr="00352FB2">
              <w:rPr>
                <w:rFonts w:cs="Arial"/>
              </w:rPr>
              <w:t>Supplier file reference of the current file already lodged</w:t>
            </w:r>
          </w:p>
        </w:tc>
        <w:tc>
          <w:tcPr>
            <w:tcW w:w="1103" w:type="dxa"/>
            <w:tcBorders>
              <w:top w:val="single" w:sz="6" w:space="0" w:color="auto"/>
              <w:left w:val="single" w:sz="6" w:space="0" w:color="auto"/>
              <w:bottom w:val="single" w:sz="6" w:space="0" w:color="auto"/>
              <w:right w:val="single" w:sz="6" w:space="0" w:color="auto"/>
            </w:tcBorders>
          </w:tcPr>
          <w:p w14:paraId="462B66C5" w14:textId="77777777" w:rsidR="00115458" w:rsidRPr="00352FB2" w:rsidRDefault="00115458" w:rsidP="00352FB2">
            <w:pPr>
              <w:spacing w:after="0" w:line="240" w:lineRule="auto"/>
              <w:rPr>
                <w:rFonts w:cs="Arial"/>
              </w:rPr>
            </w:pPr>
            <w:r w:rsidRPr="00352FB2">
              <w:rPr>
                <w:rFonts w:cs="Arial"/>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0A126218" w14:textId="77777777" w:rsidR="00115458" w:rsidRPr="00352FB2" w:rsidRDefault="00115458" w:rsidP="00352FB2">
            <w:pPr>
              <w:spacing w:after="0" w:line="240" w:lineRule="auto"/>
              <w:rPr>
                <w:rFonts w:cs="Arial"/>
              </w:rPr>
            </w:pPr>
            <w:r w:rsidRPr="00352FB2">
              <w:rPr>
                <w:rFonts w:cs="Arial"/>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7E49F3FA" w14:textId="77777777" w:rsidR="00115458" w:rsidRPr="00352FB2" w:rsidRDefault="00115458" w:rsidP="00352FB2">
            <w:pPr>
              <w:spacing w:after="0" w:line="240" w:lineRule="auto"/>
              <w:rPr>
                <w:rFonts w:cs="Arial"/>
              </w:rPr>
            </w:pPr>
            <w:r w:rsidRPr="00352FB2">
              <w:rPr>
                <w:rFonts w:cs="Arial"/>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7621C609" w14:textId="77777777" w:rsidR="00115458" w:rsidRPr="00352FB2" w:rsidRDefault="00115458" w:rsidP="00352FB2">
            <w:pPr>
              <w:spacing w:after="0" w:line="240" w:lineRule="auto"/>
              <w:rPr>
                <w:rFonts w:cs="Arial"/>
              </w:rPr>
            </w:pPr>
            <w:r w:rsidRPr="00352FB2">
              <w:rPr>
                <w:rFonts w:cs="Arial"/>
              </w:rPr>
              <w:t>Sequence number of DINVESTOR record in the current account</w:t>
            </w:r>
          </w:p>
        </w:tc>
      </w:tr>
      <w:tr w:rsidR="00115458" w:rsidRPr="00352FB2" w14:paraId="73A222CE"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B8B2FB3" w14:textId="77777777" w:rsidR="00115458" w:rsidRPr="00352FB2" w:rsidRDefault="00115458" w:rsidP="00352FB2">
            <w:pPr>
              <w:spacing w:after="0" w:line="240" w:lineRule="auto"/>
              <w:rPr>
                <w:rFonts w:cs="Arial"/>
              </w:rPr>
            </w:pPr>
            <w:r w:rsidRPr="00352FB2">
              <w:rPr>
                <w:rFonts w:cs="Arial"/>
              </w:rPr>
              <w:t>IDENTREGISTER1</w:t>
            </w:r>
          </w:p>
        </w:tc>
        <w:tc>
          <w:tcPr>
            <w:tcW w:w="880" w:type="dxa"/>
            <w:tcBorders>
              <w:top w:val="single" w:sz="6" w:space="0" w:color="auto"/>
              <w:left w:val="single" w:sz="6" w:space="0" w:color="auto"/>
              <w:bottom w:val="single" w:sz="6" w:space="0" w:color="auto"/>
              <w:right w:val="single" w:sz="6" w:space="0" w:color="auto"/>
            </w:tcBorders>
          </w:tcPr>
          <w:p w14:paraId="25B1DB11" w14:textId="77777777" w:rsidR="00115458" w:rsidRPr="00352FB2" w:rsidRDefault="00115458" w:rsidP="00352FB2">
            <w:pPr>
              <w:spacing w:after="0" w:line="240" w:lineRule="auto"/>
              <w:rPr>
                <w:rFonts w:cs="Arial"/>
              </w:rPr>
            </w:pPr>
            <w:r w:rsidRPr="00352FB2">
              <w:rPr>
                <w:rFonts w:cs="Arial"/>
              </w:rPr>
              <w:t xml:space="preserve">A </w:t>
            </w:r>
          </w:p>
        </w:tc>
        <w:tc>
          <w:tcPr>
            <w:tcW w:w="1326" w:type="dxa"/>
            <w:tcBorders>
              <w:top w:val="single" w:sz="6" w:space="0" w:color="auto"/>
              <w:left w:val="single" w:sz="6" w:space="0" w:color="auto"/>
              <w:bottom w:val="single" w:sz="6" w:space="0" w:color="auto"/>
              <w:right w:val="single" w:sz="6" w:space="0" w:color="auto"/>
            </w:tcBorders>
          </w:tcPr>
          <w:p w14:paraId="332DEA87"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38AFE3C"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647F853"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120E484B"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48F82B4E" w14:textId="77777777" w:rsidR="00115458" w:rsidRPr="00352FB2" w:rsidRDefault="00115458" w:rsidP="00352FB2">
            <w:pPr>
              <w:spacing w:after="0" w:line="240" w:lineRule="auto"/>
              <w:rPr>
                <w:rFonts w:cs="Arial"/>
              </w:rPr>
            </w:pPr>
          </w:p>
        </w:tc>
      </w:tr>
      <w:tr w:rsidR="00115458" w:rsidRPr="00352FB2" w14:paraId="7E32E8D8"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2E1E2003" w14:textId="77777777" w:rsidR="00115458" w:rsidRPr="00352FB2" w:rsidRDefault="00115458" w:rsidP="00352FB2">
            <w:pPr>
              <w:spacing w:after="0" w:line="240" w:lineRule="auto"/>
              <w:rPr>
                <w:rFonts w:cs="Arial"/>
              </w:rPr>
            </w:pPr>
            <w:r w:rsidRPr="00352FB2">
              <w:rPr>
                <w:rFonts w:cs="Arial"/>
              </w:rPr>
              <w:t>IDENTREGISTER2</w:t>
            </w:r>
          </w:p>
        </w:tc>
        <w:tc>
          <w:tcPr>
            <w:tcW w:w="880" w:type="dxa"/>
            <w:tcBorders>
              <w:top w:val="single" w:sz="6" w:space="0" w:color="auto"/>
              <w:left w:val="single" w:sz="6" w:space="0" w:color="auto"/>
              <w:bottom w:val="single" w:sz="6" w:space="0" w:color="auto"/>
              <w:right w:val="single" w:sz="6" w:space="0" w:color="auto"/>
            </w:tcBorders>
          </w:tcPr>
          <w:p w14:paraId="54BEF193"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3C46701D" w14:textId="77777777" w:rsidR="00115458" w:rsidRPr="00352FB2" w:rsidRDefault="00115458" w:rsidP="00352FB2">
            <w:pPr>
              <w:spacing w:after="0" w:line="240" w:lineRule="auto"/>
              <w:rPr>
                <w:rFonts w:cs="Arial"/>
                <w:b/>
                <w:bCs/>
              </w:rPr>
            </w:pPr>
            <w:r w:rsidRPr="00352FB2">
              <w:rPr>
                <w:rFonts w:cs="Arial"/>
                <w:b/>
                <w:bCs/>
              </w:rPr>
              <w:t>ABC001</w:t>
            </w:r>
          </w:p>
        </w:tc>
        <w:tc>
          <w:tcPr>
            <w:tcW w:w="1103" w:type="dxa"/>
            <w:tcBorders>
              <w:top w:val="single" w:sz="6" w:space="0" w:color="auto"/>
              <w:left w:val="single" w:sz="6" w:space="0" w:color="auto"/>
              <w:bottom w:val="single" w:sz="6" w:space="0" w:color="auto"/>
              <w:right w:val="single" w:sz="6" w:space="0" w:color="auto"/>
            </w:tcBorders>
          </w:tcPr>
          <w:p w14:paraId="7547EEF6" w14:textId="77777777" w:rsidR="00115458" w:rsidRPr="00352FB2" w:rsidRDefault="00115458" w:rsidP="00352FB2">
            <w:pPr>
              <w:spacing w:after="0" w:line="240" w:lineRule="auto"/>
              <w:rPr>
                <w:rFonts w:cs="Arial"/>
              </w:rPr>
            </w:pPr>
            <w:r w:rsidRPr="00352FB2">
              <w:rPr>
                <w:rFonts w:cs="Arial"/>
              </w:rPr>
              <w:t>Blank</w:t>
            </w:r>
          </w:p>
        </w:tc>
        <w:tc>
          <w:tcPr>
            <w:tcW w:w="1103" w:type="dxa"/>
            <w:tcBorders>
              <w:top w:val="single" w:sz="6" w:space="0" w:color="auto"/>
              <w:left w:val="single" w:sz="6" w:space="0" w:color="auto"/>
              <w:bottom w:val="single" w:sz="6" w:space="0" w:color="auto"/>
              <w:right w:val="single" w:sz="6" w:space="0" w:color="auto"/>
            </w:tcBorders>
          </w:tcPr>
          <w:p w14:paraId="63A738D1"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13BA808"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08AA0949" w14:textId="77777777" w:rsidR="00115458" w:rsidRPr="00352FB2" w:rsidRDefault="00115458" w:rsidP="00352FB2">
            <w:pPr>
              <w:spacing w:after="0" w:line="240" w:lineRule="auto"/>
              <w:rPr>
                <w:rFonts w:cs="Arial"/>
              </w:rPr>
            </w:pPr>
          </w:p>
        </w:tc>
      </w:tr>
      <w:tr w:rsidR="00115458" w:rsidRPr="00352FB2" w14:paraId="6B16C6D9"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021B9092" w14:textId="77777777" w:rsidR="00115458" w:rsidRPr="00352FB2" w:rsidRDefault="00115458" w:rsidP="00352FB2">
            <w:pPr>
              <w:spacing w:after="0" w:line="240" w:lineRule="auto"/>
              <w:rPr>
                <w:rFonts w:cs="Arial"/>
              </w:rPr>
            </w:pPr>
            <w:r w:rsidRPr="00352FB2">
              <w:rPr>
                <w:rFonts w:cs="Arial"/>
              </w:rPr>
              <w:t>IDENTREGISTER3</w:t>
            </w:r>
          </w:p>
        </w:tc>
        <w:tc>
          <w:tcPr>
            <w:tcW w:w="880" w:type="dxa"/>
            <w:tcBorders>
              <w:top w:val="single" w:sz="6" w:space="0" w:color="auto"/>
              <w:left w:val="single" w:sz="6" w:space="0" w:color="auto"/>
              <w:bottom w:val="single" w:sz="6" w:space="0" w:color="auto"/>
              <w:right w:val="single" w:sz="6" w:space="0" w:color="auto"/>
            </w:tcBorders>
          </w:tcPr>
          <w:p w14:paraId="7685EC4E"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0AC7602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1DC1883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493BF70"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5323DF2A"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2351FEF" w14:textId="77777777" w:rsidR="00115458" w:rsidRPr="00352FB2" w:rsidRDefault="00115458" w:rsidP="00352FB2">
            <w:pPr>
              <w:spacing w:after="0" w:line="240" w:lineRule="auto"/>
              <w:rPr>
                <w:rFonts w:cs="Arial"/>
              </w:rPr>
            </w:pPr>
          </w:p>
        </w:tc>
      </w:tr>
      <w:tr w:rsidR="00115458" w:rsidRPr="00352FB2" w14:paraId="0A1EB111" w14:textId="77777777" w:rsidTr="00427C84">
        <w:trPr>
          <w:cantSplit/>
        </w:trPr>
        <w:tc>
          <w:tcPr>
            <w:tcW w:w="2308" w:type="dxa"/>
            <w:tcBorders>
              <w:top w:val="single" w:sz="6" w:space="0" w:color="auto"/>
              <w:left w:val="single" w:sz="6" w:space="0" w:color="auto"/>
              <w:bottom w:val="single" w:sz="6" w:space="0" w:color="auto"/>
              <w:right w:val="single" w:sz="6" w:space="0" w:color="auto"/>
            </w:tcBorders>
          </w:tcPr>
          <w:p w14:paraId="63D7676B" w14:textId="77777777" w:rsidR="00115458" w:rsidRPr="00352FB2" w:rsidRDefault="00115458" w:rsidP="00352FB2">
            <w:pPr>
              <w:spacing w:after="0" w:line="240" w:lineRule="auto"/>
              <w:rPr>
                <w:rFonts w:cs="Arial"/>
              </w:rPr>
            </w:pPr>
            <w:r w:rsidRPr="00352FB2">
              <w:rPr>
                <w:rFonts w:cs="Arial"/>
              </w:rPr>
              <w:t>IDENTITY</w:t>
            </w:r>
          </w:p>
        </w:tc>
        <w:tc>
          <w:tcPr>
            <w:tcW w:w="880" w:type="dxa"/>
            <w:tcBorders>
              <w:top w:val="single" w:sz="6" w:space="0" w:color="auto"/>
              <w:left w:val="single" w:sz="6" w:space="0" w:color="auto"/>
              <w:bottom w:val="single" w:sz="6" w:space="0" w:color="auto"/>
              <w:right w:val="single" w:sz="6" w:space="0" w:color="auto"/>
            </w:tcBorders>
          </w:tcPr>
          <w:p w14:paraId="59A765FC"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060066E4"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877F35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CBF71DB" w14:textId="77777777" w:rsidR="00115458" w:rsidRPr="00352FB2" w:rsidRDefault="00115458" w:rsidP="00352FB2">
            <w:pPr>
              <w:spacing w:after="0" w:line="240" w:lineRule="auto"/>
              <w:rPr>
                <w:rFonts w:cs="Arial"/>
              </w:rPr>
            </w:pPr>
            <w:r w:rsidRPr="00352FB2">
              <w:rPr>
                <w:rFonts w:cs="Arial"/>
              </w:rPr>
              <w:t>00001</w:t>
            </w:r>
          </w:p>
        </w:tc>
        <w:tc>
          <w:tcPr>
            <w:tcW w:w="1440" w:type="dxa"/>
            <w:tcBorders>
              <w:top w:val="single" w:sz="6" w:space="0" w:color="auto"/>
              <w:left w:val="single" w:sz="6" w:space="0" w:color="auto"/>
              <w:bottom w:val="single" w:sz="6" w:space="0" w:color="auto"/>
              <w:right w:val="single" w:sz="6" w:space="0" w:color="auto"/>
            </w:tcBorders>
          </w:tcPr>
          <w:p w14:paraId="277F8DD7"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63713C2F" w14:textId="77777777" w:rsidR="00115458" w:rsidRPr="00352FB2" w:rsidRDefault="00115458" w:rsidP="00352FB2">
            <w:pPr>
              <w:spacing w:after="0" w:line="240" w:lineRule="auto"/>
              <w:rPr>
                <w:rFonts w:cs="Arial"/>
              </w:rPr>
            </w:pPr>
          </w:p>
        </w:tc>
      </w:tr>
      <w:tr w:rsidR="00115458" w:rsidRPr="00352FB2" w14:paraId="38B42321"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567B926C" w14:textId="77777777" w:rsidR="00115458" w:rsidRPr="00352FB2" w:rsidRDefault="00115458" w:rsidP="00352FB2">
            <w:pPr>
              <w:spacing w:after="0" w:line="240" w:lineRule="auto"/>
              <w:rPr>
                <w:rFonts w:cs="Arial"/>
              </w:rPr>
            </w:pPr>
            <w:r w:rsidRPr="00352FB2">
              <w:rPr>
                <w:rFonts w:cs="Arial"/>
              </w:rPr>
              <w:t>SOFTWARE</w:t>
            </w:r>
          </w:p>
        </w:tc>
        <w:tc>
          <w:tcPr>
            <w:tcW w:w="880" w:type="dxa"/>
            <w:tcBorders>
              <w:top w:val="single" w:sz="6" w:space="0" w:color="auto"/>
              <w:left w:val="single" w:sz="6" w:space="0" w:color="auto"/>
              <w:bottom w:val="single" w:sz="6" w:space="0" w:color="auto"/>
              <w:right w:val="single" w:sz="6" w:space="0" w:color="auto"/>
            </w:tcBorders>
          </w:tcPr>
          <w:p w14:paraId="5DAD0A61"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52742093"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C12927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7F8A1B72"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04BEF67"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C2C4086" w14:textId="77777777" w:rsidR="00115458" w:rsidRPr="00352FB2" w:rsidRDefault="00115458" w:rsidP="00352FB2">
            <w:pPr>
              <w:spacing w:after="0" w:line="240" w:lineRule="auto"/>
              <w:rPr>
                <w:rFonts w:cs="Arial"/>
              </w:rPr>
            </w:pPr>
          </w:p>
        </w:tc>
      </w:tr>
      <w:tr w:rsidR="00115458" w:rsidRPr="00352FB2" w14:paraId="371726B6"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1B489A5" w14:textId="77777777" w:rsidR="00115458" w:rsidRPr="00352FB2" w:rsidRDefault="00115458" w:rsidP="00352FB2">
            <w:pPr>
              <w:spacing w:after="0" w:line="240" w:lineRule="auto"/>
              <w:rPr>
                <w:rFonts w:cs="Arial"/>
              </w:rPr>
            </w:pPr>
            <w:r w:rsidRPr="00352FB2">
              <w:rPr>
                <w:rFonts w:cs="Arial"/>
              </w:rPr>
              <w:t>DACCOUNT</w:t>
            </w:r>
          </w:p>
        </w:tc>
        <w:tc>
          <w:tcPr>
            <w:tcW w:w="880" w:type="dxa"/>
            <w:tcBorders>
              <w:top w:val="single" w:sz="6" w:space="0" w:color="auto"/>
              <w:left w:val="single" w:sz="6" w:space="0" w:color="auto"/>
              <w:bottom w:val="single" w:sz="6" w:space="0" w:color="auto"/>
              <w:right w:val="single" w:sz="6" w:space="0" w:color="auto"/>
            </w:tcBorders>
          </w:tcPr>
          <w:p w14:paraId="361164EB"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54596D74"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5C8CC11"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3496240"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314ADBF6" w14:textId="77777777" w:rsidR="00115458" w:rsidRPr="00352FB2" w:rsidRDefault="00115458" w:rsidP="00352FB2">
            <w:pPr>
              <w:spacing w:after="0" w:line="240" w:lineRule="auto"/>
              <w:rPr>
                <w:rFonts w:cs="Arial"/>
              </w:rPr>
            </w:pPr>
            <w:r w:rsidRPr="00352FB2">
              <w:rPr>
                <w:rFonts w:cs="Arial"/>
              </w:rPr>
              <w:t>00000001</w:t>
            </w:r>
          </w:p>
        </w:tc>
        <w:tc>
          <w:tcPr>
            <w:tcW w:w="1440" w:type="dxa"/>
            <w:tcBorders>
              <w:top w:val="single" w:sz="6" w:space="0" w:color="auto"/>
              <w:left w:val="single" w:sz="6" w:space="0" w:color="auto"/>
              <w:bottom w:val="single" w:sz="6" w:space="0" w:color="auto"/>
              <w:right w:val="single" w:sz="6" w:space="0" w:color="auto"/>
            </w:tcBorders>
          </w:tcPr>
          <w:p w14:paraId="1FE53461" w14:textId="77777777" w:rsidR="00115458" w:rsidRPr="00352FB2" w:rsidRDefault="00115458" w:rsidP="00352FB2">
            <w:pPr>
              <w:spacing w:after="0" w:line="240" w:lineRule="auto"/>
              <w:rPr>
                <w:rFonts w:cs="Arial"/>
              </w:rPr>
            </w:pPr>
          </w:p>
        </w:tc>
      </w:tr>
      <w:tr w:rsidR="00115458" w:rsidRPr="00352FB2" w14:paraId="3CD78F57"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0E34D3CF"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1BAE6ED0"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0DDDE766"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1502F29F"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D228AF0"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138F67A"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1545F45" w14:textId="77777777" w:rsidR="00115458" w:rsidRPr="00352FB2" w:rsidRDefault="00115458" w:rsidP="00352FB2">
            <w:pPr>
              <w:spacing w:after="0" w:line="240" w:lineRule="auto"/>
              <w:rPr>
                <w:rFonts w:cs="Arial"/>
              </w:rPr>
            </w:pPr>
            <w:r w:rsidRPr="00352FB2">
              <w:rPr>
                <w:rFonts w:cs="Arial"/>
              </w:rPr>
              <w:t>01</w:t>
            </w:r>
          </w:p>
        </w:tc>
      </w:tr>
      <w:tr w:rsidR="00115458" w:rsidRPr="00352FB2" w14:paraId="64109BFD"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34A2DC11" w14:textId="77777777" w:rsidR="00115458" w:rsidRPr="00352FB2" w:rsidRDefault="00115458" w:rsidP="00352FB2">
            <w:pPr>
              <w:spacing w:after="0" w:line="240" w:lineRule="auto"/>
              <w:rPr>
                <w:rFonts w:cs="Arial"/>
              </w:rPr>
            </w:pPr>
            <w:r w:rsidRPr="00352FB2">
              <w:rPr>
                <w:rFonts w:cs="Arial"/>
              </w:rPr>
              <w:t>DACCOUNT</w:t>
            </w:r>
          </w:p>
        </w:tc>
        <w:tc>
          <w:tcPr>
            <w:tcW w:w="880" w:type="dxa"/>
            <w:tcBorders>
              <w:top w:val="single" w:sz="6" w:space="0" w:color="auto"/>
              <w:left w:val="single" w:sz="6" w:space="0" w:color="auto"/>
              <w:bottom w:val="single" w:sz="6" w:space="0" w:color="auto"/>
              <w:right w:val="single" w:sz="6" w:space="0" w:color="auto"/>
            </w:tcBorders>
          </w:tcPr>
          <w:p w14:paraId="66E13B62"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69B01C2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435FB0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5EC5871"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1709CE88" w14:textId="77777777" w:rsidR="00115458" w:rsidRPr="00352FB2" w:rsidRDefault="00115458" w:rsidP="00352FB2">
            <w:pPr>
              <w:spacing w:after="0" w:line="240" w:lineRule="auto"/>
              <w:rPr>
                <w:rFonts w:cs="Arial"/>
              </w:rPr>
            </w:pPr>
            <w:r w:rsidRPr="00352FB2">
              <w:rPr>
                <w:rFonts w:cs="Arial"/>
              </w:rPr>
              <w:t>00000002</w:t>
            </w:r>
          </w:p>
        </w:tc>
        <w:tc>
          <w:tcPr>
            <w:tcW w:w="1440" w:type="dxa"/>
            <w:tcBorders>
              <w:top w:val="single" w:sz="6" w:space="0" w:color="auto"/>
              <w:left w:val="single" w:sz="6" w:space="0" w:color="auto"/>
              <w:bottom w:val="single" w:sz="6" w:space="0" w:color="auto"/>
              <w:right w:val="single" w:sz="6" w:space="0" w:color="auto"/>
            </w:tcBorders>
          </w:tcPr>
          <w:p w14:paraId="6E44E4F6" w14:textId="77777777" w:rsidR="00115458" w:rsidRPr="00352FB2" w:rsidRDefault="00115458" w:rsidP="00352FB2">
            <w:pPr>
              <w:spacing w:after="0" w:line="240" w:lineRule="auto"/>
              <w:rPr>
                <w:rFonts w:cs="Arial"/>
              </w:rPr>
            </w:pPr>
          </w:p>
        </w:tc>
      </w:tr>
      <w:tr w:rsidR="00115458" w:rsidRPr="00352FB2" w14:paraId="48181D2D"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C3D2508"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00C281DF"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40FCF31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306CA91"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769602BA"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3F3828B"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5FE3FAC4" w14:textId="77777777" w:rsidR="00115458" w:rsidRPr="00352FB2" w:rsidRDefault="00115458" w:rsidP="00352FB2">
            <w:pPr>
              <w:spacing w:after="0" w:line="240" w:lineRule="auto"/>
              <w:rPr>
                <w:rFonts w:cs="Arial"/>
              </w:rPr>
            </w:pPr>
            <w:r w:rsidRPr="00352FB2">
              <w:rPr>
                <w:rFonts w:cs="Arial"/>
              </w:rPr>
              <w:t>01</w:t>
            </w:r>
          </w:p>
        </w:tc>
      </w:tr>
      <w:tr w:rsidR="00115458" w:rsidRPr="00352FB2" w14:paraId="421F44EB"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024175F"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63A1710D"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437ADBE2"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B5256F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0DF818D"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1979B1B3"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6CA2F1B3" w14:textId="77777777" w:rsidR="00115458" w:rsidRPr="00352FB2" w:rsidRDefault="00115458" w:rsidP="00352FB2">
            <w:pPr>
              <w:spacing w:after="0" w:line="240" w:lineRule="auto"/>
              <w:rPr>
                <w:rFonts w:cs="Arial"/>
              </w:rPr>
            </w:pPr>
            <w:r w:rsidRPr="00352FB2">
              <w:rPr>
                <w:rFonts w:cs="Arial"/>
              </w:rPr>
              <w:t>02</w:t>
            </w:r>
          </w:p>
        </w:tc>
      </w:tr>
      <w:tr w:rsidR="00115458" w:rsidRPr="00352FB2" w14:paraId="1D6BC3C1" w14:textId="77777777" w:rsidTr="00427C84">
        <w:trPr>
          <w:cantSplit/>
        </w:trPr>
        <w:tc>
          <w:tcPr>
            <w:tcW w:w="2308" w:type="dxa"/>
            <w:tcBorders>
              <w:top w:val="single" w:sz="6" w:space="0" w:color="auto"/>
              <w:left w:val="single" w:sz="6" w:space="0" w:color="auto"/>
              <w:bottom w:val="single" w:sz="6" w:space="0" w:color="auto"/>
              <w:right w:val="single" w:sz="6" w:space="0" w:color="auto"/>
            </w:tcBorders>
          </w:tcPr>
          <w:p w14:paraId="44A3C85B" w14:textId="77777777" w:rsidR="00115458" w:rsidRPr="00352FB2" w:rsidRDefault="00115458" w:rsidP="00352FB2">
            <w:pPr>
              <w:spacing w:after="0" w:line="240" w:lineRule="auto"/>
              <w:rPr>
                <w:rFonts w:cs="Arial"/>
              </w:rPr>
            </w:pPr>
            <w:r w:rsidRPr="00352FB2">
              <w:rPr>
                <w:rFonts w:cs="Arial"/>
              </w:rPr>
              <w:t>IDENTITY</w:t>
            </w:r>
          </w:p>
        </w:tc>
        <w:tc>
          <w:tcPr>
            <w:tcW w:w="880" w:type="dxa"/>
            <w:tcBorders>
              <w:top w:val="single" w:sz="6" w:space="0" w:color="auto"/>
              <w:left w:val="single" w:sz="6" w:space="0" w:color="auto"/>
              <w:bottom w:val="single" w:sz="6" w:space="0" w:color="auto"/>
              <w:right w:val="single" w:sz="6" w:space="0" w:color="auto"/>
            </w:tcBorders>
          </w:tcPr>
          <w:p w14:paraId="5A4A34DB"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6BDAA1A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D796E2C"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76845F6E" w14:textId="77777777" w:rsidR="00115458" w:rsidRPr="00352FB2" w:rsidRDefault="00115458" w:rsidP="00352FB2">
            <w:pPr>
              <w:spacing w:after="0" w:line="240" w:lineRule="auto"/>
              <w:rPr>
                <w:rFonts w:cs="Arial"/>
              </w:rPr>
            </w:pPr>
            <w:r w:rsidRPr="00352FB2">
              <w:rPr>
                <w:rFonts w:cs="Arial"/>
              </w:rPr>
              <w:t>00002</w:t>
            </w:r>
          </w:p>
        </w:tc>
        <w:tc>
          <w:tcPr>
            <w:tcW w:w="1440" w:type="dxa"/>
            <w:tcBorders>
              <w:top w:val="single" w:sz="6" w:space="0" w:color="auto"/>
              <w:left w:val="single" w:sz="6" w:space="0" w:color="auto"/>
              <w:bottom w:val="single" w:sz="6" w:space="0" w:color="auto"/>
              <w:right w:val="single" w:sz="6" w:space="0" w:color="auto"/>
            </w:tcBorders>
          </w:tcPr>
          <w:p w14:paraId="4F4DE9CF"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B0F84EF" w14:textId="77777777" w:rsidR="00115458" w:rsidRPr="00352FB2" w:rsidRDefault="00115458" w:rsidP="00352FB2">
            <w:pPr>
              <w:spacing w:after="0" w:line="240" w:lineRule="auto"/>
              <w:rPr>
                <w:rFonts w:cs="Arial"/>
              </w:rPr>
            </w:pPr>
          </w:p>
        </w:tc>
      </w:tr>
      <w:tr w:rsidR="00115458" w:rsidRPr="00352FB2" w14:paraId="2D72AD30"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A419190" w14:textId="77777777" w:rsidR="00115458" w:rsidRPr="00352FB2" w:rsidRDefault="00115458" w:rsidP="00352FB2">
            <w:pPr>
              <w:spacing w:after="0" w:line="240" w:lineRule="auto"/>
              <w:rPr>
                <w:rFonts w:cs="Arial"/>
              </w:rPr>
            </w:pPr>
            <w:r w:rsidRPr="00352FB2">
              <w:rPr>
                <w:rFonts w:cs="Arial"/>
              </w:rPr>
              <w:t>SOFTWARE</w:t>
            </w:r>
          </w:p>
        </w:tc>
        <w:tc>
          <w:tcPr>
            <w:tcW w:w="880" w:type="dxa"/>
            <w:tcBorders>
              <w:top w:val="single" w:sz="6" w:space="0" w:color="auto"/>
              <w:left w:val="single" w:sz="6" w:space="0" w:color="auto"/>
              <w:bottom w:val="single" w:sz="6" w:space="0" w:color="auto"/>
              <w:right w:val="single" w:sz="6" w:space="0" w:color="auto"/>
            </w:tcBorders>
          </w:tcPr>
          <w:p w14:paraId="507A21F8"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78760D11"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63E04D8B"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F0BBDD1"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07DB91D"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2338499" w14:textId="77777777" w:rsidR="00115458" w:rsidRPr="00352FB2" w:rsidRDefault="00115458" w:rsidP="00352FB2">
            <w:pPr>
              <w:spacing w:after="0" w:line="240" w:lineRule="auto"/>
              <w:rPr>
                <w:rFonts w:cs="Arial"/>
              </w:rPr>
            </w:pPr>
          </w:p>
        </w:tc>
      </w:tr>
      <w:tr w:rsidR="00115458" w:rsidRPr="00352FB2" w14:paraId="7C3B85F5"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236AC87B" w14:textId="77777777" w:rsidR="00115458" w:rsidRPr="00352FB2" w:rsidRDefault="00115458" w:rsidP="00352FB2">
            <w:pPr>
              <w:spacing w:after="0" w:line="240" w:lineRule="auto"/>
              <w:rPr>
                <w:rFonts w:cs="Arial"/>
              </w:rPr>
            </w:pPr>
            <w:r w:rsidRPr="00352FB2">
              <w:rPr>
                <w:rFonts w:cs="Arial"/>
              </w:rPr>
              <w:t>DACCOUNT</w:t>
            </w:r>
          </w:p>
        </w:tc>
        <w:tc>
          <w:tcPr>
            <w:tcW w:w="880" w:type="dxa"/>
            <w:tcBorders>
              <w:top w:val="single" w:sz="6" w:space="0" w:color="auto"/>
              <w:left w:val="single" w:sz="6" w:space="0" w:color="auto"/>
              <w:bottom w:val="single" w:sz="6" w:space="0" w:color="auto"/>
              <w:right w:val="single" w:sz="6" w:space="0" w:color="auto"/>
            </w:tcBorders>
          </w:tcPr>
          <w:p w14:paraId="5299D972"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7337BE2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C87EDC3"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5B91FD7"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6A075850" w14:textId="77777777" w:rsidR="00115458" w:rsidRPr="00352FB2" w:rsidRDefault="00115458" w:rsidP="00352FB2">
            <w:pPr>
              <w:spacing w:after="0" w:line="240" w:lineRule="auto"/>
              <w:rPr>
                <w:rFonts w:cs="Arial"/>
              </w:rPr>
            </w:pPr>
            <w:r w:rsidRPr="00352FB2">
              <w:rPr>
                <w:rFonts w:cs="Arial"/>
              </w:rPr>
              <w:t>00000001</w:t>
            </w:r>
          </w:p>
        </w:tc>
        <w:tc>
          <w:tcPr>
            <w:tcW w:w="1440" w:type="dxa"/>
            <w:tcBorders>
              <w:top w:val="single" w:sz="6" w:space="0" w:color="auto"/>
              <w:left w:val="single" w:sz="6" w:space="0" w:color="auto"/>
              <w:bottom w:val="single" w:sz="6" w:space="0" w:color="auto"/>
              <w:right w:val="single" w:sz="6" w:space="0" w:color="auto"/>
            </w:tcBorders>
          </w:tcPr>
          <w:p w14:paraId="36D3F3C4" w14:textId="77777777" w:rsidR="00115458" w:rsidRPr="00352FB2" w:rsidRDefault="00115458" w:rsidP="00352FB2">
            <w:pPr>
              <w:spacing w:after="0" w:line="240" w:lineRule="auto"/>
              <w:rPr>
                <w:rFonts w:cs="Arial"/>
              </w:rPr>
            </w:pPr>
          </w:p>
        </w:tc>
      </w:tr>
      <w:tr w:rsidR="00115458" w:rsidRPr="00352FB2" w14:paraId="1C123D87"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28F0D74"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1503E1F3"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50FFF3B4"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063524B9"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FCE8900"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716A9CE3"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211B324" w14:textId="77777777" w:rsidR="00115458" w:rsidRPr="00352FB2" w:rsidRDefault="00115458" w:rsidP="00352FB2">
            <w:pPr>
              <w:spacing w:after="0" w:line="240" w:lineRule="auto"/>
              <w:rPr>
                <w:rFonts w:cs="Arial"/>
              </w:rPr>
            </w:pPr>
            <w:r w:rsidRPr="00352FB2">
              <w:rPr>
                <w:rFonts w:cs="Arial"/>
              </w:rPr>
              <w:t>01</w:t>
            </w:r>
          </w:p>
        </w:tc>
      </w:tr>
      <w:tr w:rsidR="00115458" w:rsidRPr="00352FB2" w14:paraId="0E77C225"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02CF2888" w14:textId="77777777" w:rsidR="00115458" w:rsidRPr="00352FB2" w:rsidRDefault="00115458" w:rsidP="00352FB2">
            <w:pPr>
              <w:spacing w:after="0" w:line="240" w:lineRule="auto"/>
              <w:rPr>
                <w:rFonts w:cs="Arial"/>
              </w:rPr>
            </w:pPr>
            <w:r w:rsidRPr="00352FB2">
              <w:rPr>
                <w:rFonts w:cs="Arial"/>
              </w:rPr>
              <w:t>IDENTITY</w:t>
            </w:r>
          </w:p>
        </w:tc>
        <w:tc>
          <w:tcPr>
            <w:tcW w:w="880" w:type="dxa"/>
            <w:tcBorders>
              <w:top w:val="single" w:sz="6" w:space="0" w:color="auto"/>
              <w:left w:val="single" w:sz="6" w:space="0" w:color="auto"/>
              <w:bottom w:val="single" w:sz="6" w:space="0" w:color="auto"/>
              <w:right w:val="single" w:sz="6" w:space="0" w:color="auto"/>
            </w:tcBorders>
          </w:tcPr>
          <w:p w14:paraId="60529DA1"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5C761A7B"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9E2CE3B"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4D0E7657" w14:textId="77777777" w:rsidR="00115458" w:rsidRPr="00352FB2" w:rsidRDefault="00115458" w:rsidP="00352FB2">
            <w:pPr>
              <w:spacing w:after="0" w:line="240" w:lineRule="auto"/>
              <w:rPr>
                <w:rFonts w:cs="Arial"/>
              </w:rPr>
            </w:pPr>
            <w:r w:rsidRPr="00352FB2">
              <w:rPr>
                <w:rFonts w:cs="Arial"/>
              </w:rPr>
              <w:t>00003</w:t>
            </w:r>
          </w:p>
        </w:tc>
        <w:tc>
          <w:tcPr>
            <w:tcW w:w="1440" w:type="dxa"/>
            <w:tcBorders>
              <w:top w:val="single" w:sz="6" w:space="0" w:color="auto"/>
              <w:left w:val="single" w:sz="6" w:space="0" w:color="auto"/>
              <w:bottom w:val="single" w:sz="6" w:space="0" w:color="auto"/>
              <w:right w:val="single" w:sz="6" w:space="0" w:color="auto"/>
            </w:tcBorders>
          </w:tcPr>
          <w:p w14:paraId="3EDEB754"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012BF58D" w14:textId="77777777" w:rsidR="00115458" w:rsidRPr="00352FB2" w:rsidRDefault="00115458" w:rsidP="00352FB2">
            <w:pPr>
              <w:spacing w:after="0" w:line="240" w:lineRule="auto"/>
              <w:rPr>
                <w:rFonts w:cs="Arial"/>
              </w:rPr>
            </w:pPr>
          </w:p>
        </w:tc>
      </w:tr>
      <w:tr w:rsidR="00115458" w:rsidRPr="00352FB2" w14:paraId="5086F85F"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235FC775" w14:textId="77777777" w:rsidR="00115458" w:rsidRPr="00352FB2" w:rsidRDefault="00115458" w:rsidP="00352FB2">
            <w:pPr>
              <w:spacing w:after="0" w:line="240" w:lineRule="auto"/>
              <w:rPr>
                <w:rFonts w:cs="Arial"/>
              </w:rPr>
            </w:pPr>
            <w:r w:rsidRPr="00352FB2">
              <w:rPr>
                <w:rFonts w:cs="Arial"/>
              </w:rPr>
              <w:t>SOFTWARE</w:t>
            </w:r>
          </w:p>
        </w:tc>
        <w:tc>
          <w:tcPr>
            <w:tcW w:w="880" w:type="dxa"/>
            <w:tcBorders>
              <w:top w:val="single" w:sz="6" w:space="0" w:color="auto"/>
              <w:left w:val="single" w:sz="6" w:space="0" w:color="auto"/>
              <w:bottom w:val="single" w:sz="6" w:space="0" w:color="auto"/>
              <w:right w:val="single" w:sz="6" w:space="0" w:color="auto"/>
            </w:tcBorders>
          </w:tcPr>
          <w:p w14:paraId="2C739375"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68ECB752"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C41B5BE"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FE62039"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1A6F219F"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34698E5B" w14:textId="77777777" w:rsidR="00115458" w:rsidRPr="00352FB2" w:rsidRDefault="00115458" w:rsidP="00352FB2">
            <w:pPr>
              <w:spacing w:after="0" w:line="240" w:lineRule="auto"/>
              <w:rPr>
                <w:rFonts w:cs="Arial"/>
              </w:rPr>
            </w:pPr>
          </w:p>
        </w:tc>
      </w:tr>
      <w:tr w:rsidR="00115458" w:rsidRPr="00352FB2" w14:paraId="466FF2A4"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4F34102" w14:textId="77777777" w:rsidR="00115458" w:rsidRPr="00352FB2" w:rsidRDefault="00115458" w:rsidP="00352FB2">
            <w:pPr>
              <w:spacing w:after="0" w:line="240" w:lineRule="auto"/>
              <w:rPr>
                <w:rFonts w:cs="Arial"/>
              </w:rPr>
            </w:pPr>
            <w:r w:rsidRPr="00352FB2">
              <w:rPr>
                <w:rFonts w:cs="Arial"/>
              </w:rPr>
              <w:t>DACCOUNT</w:t>
            </w:r>
          </w:p>
        </w:tc>
        <w:tc>
          <w:tcPr>
            <w:tcW w:w="880" w:type="dxa"/>
            <w:tcBorders>
              <w:top w:val="single" w:sz="6" w:space="0" w:color="auto"/>
              <w:left w:val="single" w:sz="6" w:space="0" w:color="auto"/>
              <w:bottom w:val="single" w:sz="6" w:space="0" w:color="auto"/>
              <w:right w:val="single" w:sz="6" w:space="0" w:color="auto"/>
            </w:tcBorders>
          </w:tcPr>
          <w:p w14:paraId="6311C42A"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3B9F6250"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6C8B75D8"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3D34D70E"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2F2B0A08" w14:textId="77777777" w:rsidR="00115458" w:rsidRPr="00352FB2" w:rsidRDefault="00115458" w:rsidP="00352FB2">
            <w:pPr>
              <w:spacing w:after="0" w:line="240" w:lineRule="auto"/>
              <w:rPr>
                <w:rFonts w:cs="Arial"/>
              </w:rPr>
            </w:pPr>
            <w:r w:rsidRPr="00352FB2">
              <w:rPr>
                <w:rFonts w:cs="Arial"/>
              </w:rPr>
              <w:t>00000001</w:t>
            </w:r>
          </w:p>
        </w:tc>
        <w:tc>
          <w:tcPr>
            <w:tcW w:w="1440" w:type="dxa"/>
            <w:tcBorders>
              <w:top w:val="single" w:sz="6" w:space="0" w:color="auto"/>
              <w:left w:val="single" w:sz="6" w:space="0" w:color="auto"/>
              <w:bottom w:val="single" w:sz="6" w:space="0" w:color="auto"/>
              <w:right w:val="single" w:sz="6" w:space="0" w:color="auto"/>
            </w:tcBorders>
          </w:tcPr>
          <w:p w14:paraId="212C957F" w14:textId="77777777" w:rsidR="00115458" w:rsidRPr="00352FB2" w:rsidRDefault="00115458" w:rsidP="00352FB2">
            <w:pPr>
              <w:spacing w:after="0" w:line="240" w:lineRule="auto"/>
              <w:rPr>
                <w:rFonts w:cs="Arial"/>
              </w:rPr>
            </w:pPr>
          </w:p>
        </w:tc>
      </w:tr>
      <w:tr w:rsidR="00115458" w:rsidRPr="00352FB2" w14:paraId="4CCDE3B9"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FBC5EAF" w14:textId="77777777" w:rsidR="00115458" w:rsidRPr="00352FB2" w:rsidRDefault="00115458" w:rsidP="00352FB2">
            <w:pPr>
              <w:spacing w:after="0" w:line="240" w:lineRule="auto"/>
              <w:rPr>
                <w:rFonts w:cs="Arial"/>
              </w:rPr>
            </w:pPr>
            <w:r w:rsidRPr="00352FB2">
              <w:rPr>
                <w:rFonts w:cs="Arial"/>
              </w:rPr>
              <w:t>DINVESTOR</w:t>
            </w:r>
          </w:p>
        </w:tc>
        <w:tc>
          <w:tcPr>
            <w:tcW w:w="880" w:type="dxa"/>
            <w:tcBorders>
              <w:top w:val="single" w:sz="6" w:space="0" w:color="auto"/>
              <w:left w:val="single" w:sz="6" w:space="0" w:color="auto"/>
              <w:bottom w:val="single" w:sz="6" w:space="0" w:color="auto"/>
              <w:right w:val="single" w:sz="6" w:space="0" w:color="auto"/>
            </w:tcBorders>
          </w:tcPr>
          <w:p w14:paraId="08894901"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15C24E48"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A41EC5B"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2E1554D9"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0364D0FE"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4DB250AD" w14:textId="77777777" w:rsidR="00115458" w:rsidRPr="00352FB2" w:rsidRDefault="00115458" w:rsidP="00352FB2">
            <w:pPr>
              <w:spacing w:after="0" w:line="240" w:lineRule="auto"/>
              <w:rPr>
                <w:rFonts w:cs="Arial"/>
              </w:rPr>
            </w:pPr>
            <w:r w:rsidRPr="00352FB2">
              <w:rPr>
                <w:rFonts w:cs="Arial"/>
              </w:rPr>
              <w:t>01</w:t>
            </w:r>
          </w:p>
        </w:tc>
      </w:tr>
      <w:tr w:rsidR="00115458" w:rsidRPr="00352FB2" w14:paraId="6AFA59CD"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1A6191C" w14:textId="77777777" w:rsidR="00115458" w:rsidRPr="00352FB2" w:rsidRDefault="00115458" w:rsidP="00352FB2">
            <w:pPr>
              <w:spacing w:after="0" w:line="240" w:lineRule="auto"/>
              <w:rPr>
                <w:rFonts w:cs="Arial"/>
              </w:rPr>
            </w:pPr>
            <w:r w:rsidRPr="00352FB2">
              <w:rPr>
                <w:rFonts w:cs="Arial"/>
              </w:rPr>
              <w:t>FILE-TOTAL</w:t>
            </w:r>
          </w:p>
        </w:tc>
        <w:tc>
          <w:tcPr>
            <w:tcW w:w="880" w:type="dxa"/>
            <w:tcBorders>
              <w:top w:val="single" w:sz="6" w:space="0" w:color="auto"/>
              <w:left w:val="single" w:sz="6" w:space="0" w:color="auto"/>
              <w:bottom w:val="single" w:sz="6" w:space="0" w:color="auto"/>
              <w:right w:val="single" w:sz="6" w:space="0" w:color="auto"/>
            </w:tcBorders>
          </w:tcPr>
          <w:p w14:paraId="2C1E060A" w14:textId="77777777" w:rsidR="00115458" w:rsidRPr="00352FB2" w:rsidRDefault="00115458" w:rsidP="00352FB2">
            <w:pPr>
              <w:spacing w:after="0" w:line="240" w:lineRule="auto"/>
              <w:rPr>
                <w:rFonts w:cs="Arial"/>
              </w:rPr>
            </w:pPr>
          </w:p>
        </w:tc>
        <w:tc>
          <w:tcPr>
            <w:tcW w:w="1326" w:type="dxa"/>
            <w:tcBorders>
              <w:top w:val="single" w:sz="6" w:space="0" w:color="auto"/>
              <w:left w:val="single" w:sz="6" w:space="0" w:color="auto"/>
              <w:bottom w:val="single" w:sz="6" w:space="0" w:color="auto"/>
              <w:right w:val="single" w:sz="6" w:space="0" w:color="auto"/>
            </w:tcBorders>
          </w:tcPr>
          <w:p w14:paraId="16DA7052"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5513C697" w14:textId="77777777" w:rsidR="00115458" w:rsidRPr="00352FB2" w:rsidRDefault="00115458" w:rsidP="00352FB2">
            <w:pPr>
              <w:spacing w:after="0" w:line="240" w:lineRule="auto"/>
              <w:rPr>
                <w:rFonts w:cs="Arial"/>
              </w:rPr>
            </w:pPr>
          </w:p>
        </w:tc>
        <w:tc>
          <w:tcPr>
            <w:tcW w:w="1103" w:type="dxa"/>
            <w:tcBorders>
              <w:top w:val="single" w:sz="6" w:space="0" w:color="auto"/>
              <w:left w:val="single" w:sz="6" w:space="0" w:color="auto"/>
              <w:bottom w:val="single" w:sz="6" w:space="0" w:color="auto"/>
              <w:right w:val="single" w:sz="6" w:space="0" w:color="auto"/>
            </w:tcBorders>
          </w:tcPr>
          <w:p w14:paraId="72B66FA9"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5BE69A4F" w14:textId="77777777" w:rsidR="00115458" w:rsidRPr="00352FB2" w:rsidRDefault="00115458" w:rsidP="00352FB2">
            <w:pPr>
              <w:spacing w:after="0" w:line="240" w:lineRule="auto"/>
              <w:rPr>
                <w:rFonts w:cs="Arial"/>
              </w:rPr>
            </w:pPr>
          </w:p>
        </w:tc>
        <w:tc>
          <w:tcPr>
            <w:tcW w:w="1440" w:type="dxa"/>
            <w:tcBorders>
              <w:top w:val="single" w:sz="6" w:space="0" w:color="auto"/>
              <w:left w:val="single" w:sz="6" w:space="0" w:color="auto"/>
              <w:bottom w:val="single" w:sz="6" w:space="0" w:color="auto"/>
              <w:right w:val="single" w:sz="6" w:space="0" w:color="auto"/>
            </w:tcBorders>
          </w:tcPr>
          <w:p w14:paraId="38BAA28A" w14:textId="77777777" w:rsidR="00115458" w:rsidRPr="00352FB2" w:rsidRDefault="00115458" w:rsidP="00352FB2">
            <w:pPr>
              <w:spacing w:after="0" w:line="240" w:lineRule="auto"/>
              <w:rPr>
                <w:rFonts w:cs="Arial"/>
              </w:rPr>
            </w:pPr>
          </w:p>
        </w:tc>
      </w:tr>
    </w:tbl>
    <w:p w14:paraId="21540D3A" w14:textId="77777777" w:rsidR="00115458" w:rsidRPr="00352FB2" w:rsidRDefault="00115458" w:rsidP="00352FB2">
      <w:pPr>
        <w:spacing w:after="0" w:line="240" w:lineRule="auto"/>
      </w:pPr>
    </w:p>
    <w:p w14:paraId="308C385F" w14:textId="77777777" w:rsidR="00115458" w:rsidRPr="00352FB2" w:rsidRDefault="00115458" w:rsidP="00352FB2">
      <w:pPr>
        <w:spacing w:after="0" w:line="240" w:lineRule="auto"/>
        <w:rPr>
          <w:b/>
        </w:rPr>
      </w:pPr>
      <w:bookmarkStart w:id="1969" w:name="_Toc351096835"/>
      <w:r w:rsidRPr="00352FB2">
        <w:rPr>
          <w:b/>
        </w:rPr>
        <w:t>File 2 (Replacement)</w:t>
      </w:r>
      <w:bookmarkEnd w:id="1969"/>
    </w:p>
    <w:p w14:paraId="0E5B673C" w14:textId="77777777" w:rsidR="00115458" w:rsidRPr="00352FB2" w:rsidRDefault="00115458" w:rsidP="00352FB2">
      <w:pPr>
        <w:spacing w:after="0" w:line="240" w:lineRule="auto"/>
      </w:pPr>
      <w:r w:rsidRPr="00352FB2">
        <w:t>In this case, all of the AIIR in File 1 is being replaced by File 2.</w:t>
      </w: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115458" w:rsidRPr="00352FB2" w14:paraId="5377D43B" w14:textId="77777777" w:rsidTr="000C1365">
        <w:trPr>
          <w:tblHeader/>
        </w:trPr>
        <w:tc>
          <w:tcPr>
            <w:tcW w:w="2308" w:type="dxa"/>
            <w:tcBorders>
              <w:top w:val="single" w:sz="6" w:space="0" w:color="auto"/>
              <w:left w:val="single" w:sz="6" w:space="0" w:color="auto"/>
              <w:bottom w:val="single" w:sz="6" w:space="0" w:color="auto"/>
              <w:right w:val="single" w:sz="6" w:space="0" w:color="auto"/>
            </w:tcBorders>
          </w:tcPr>
          <w:p w14:paraId="639430A7" w14:textId="77777777" w:rsidR="00115458" w:rsidRPr="00352FB2" w:rsidRDefault="00115458" w:rsidP="00352FB2">
            <w:pPr>
              <w:spacing w:after="0" w:line="240" w:lineRule="auto"/>
            </w:pPr>
            <w:r w:rsidRPr="00352FB2">
              <w:t>Record</w:t>
            </w:r>
          </w:p>
        </w:tc>
        <w:tc>
          <w:tcPr>
            <w:tcW w:w="880" w:type="dxa"/>
            <w:tcBorders>
              <w:top w:val="single" w:sz="6" w:space="0" w:color="auto"/>
              <w:left w:val="single" w:sz="6" w:space="0" w:color="auto"/>
              <w:bottom w:val="single" w:sz="6" w:space="0" w:color="auto"/>
              <w:right w:val="single" w:sz="6" w:space="0" w:color="auto"/>
            </w:tcBorders>
          </w:tcPr>
          <w:p w14:paraId="471B57ED" w14:textId="77777777" w:rsidR="00115458" w:rsidRPr="00352FB2" w:rsidRDefault="00115458" w:rsidP="00352FB2">
            <w:pPr>
              <w:spacing w:after="0" w:line="240" w:lineRule="auto"/>
            </w:pPr>
            <w:r w:rsidRPr="00352FB2">
              <w:t>Type of Report</w:t>
            </w:r>
          </w:p>
        </w:tc>
        <w:tc>
          <w:tcPr>
            <w:tcW w:w="1326" w:type="dxa"/>
            <w:tcBorders>
              <w:top w:val="single" w:sz="6" w:space="0" w:color="auto"/>
              <w:left w:val="single" w:sz="6" w:space="0" w:color="auto"/>
              <w:bottom w:val="single" w:sz="6" w:space="0" w:color="auto"/>
              <w:right w:val="single" w:sz="6" w:space="0" w:color="auto"/>
            </w:tcBorders>
          </w:tcPr>
          <w:p w14:paraId="7F08F017" w14:textId="77777777" w:rsidR="00115458" w:rsidRPr="00352FB2" w:rsidRDefault="00115458" w:rsidP="00352FB2">
            <w:pPr>
              <w:spacing w:after="0" w:line="240" w:lineRule="auto"/>
            </w:pPr>
            <w:r w:rsidRPr="00352FB2">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14EFB01F" w14:textId="77777777" w:rsidR="00115458" w:rsidRPr="00352FB2" w:rsidRDefault="00115458" w:rsidP="00352FB2">
            <w:pPr>
              <w:spacing w:after="0" w:line="240" w:lineRule="auto"/>
            </w:pPr>
            <w:r w:rsidRPr="00352FB2">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4A446236" w14:textId="77777777" w:rsidR="00115458" w:rsidRPr="00352FB2" w:rsidRDefault="00115458" w:rsidP="00352FB2">
            <w:pPr>
              <w:spacing w:after="0" w:line="240" w:lineRule="auto"/>
            </w:pPr>
            <w:r w:rsidRPr="00352FB2">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3C78A05D" w14:textId="77777777" w:rsidR="00115458" w:rsidRPr="00352FB2" w:rsidRDefault="00115458" w:rsidP="00352FB2">
            <w:pPr>
              <w:spacing w:after="0" w:line="240" w:lineRule="auto"/>
            </w:pPr>
            <w:r w:rsidRPr="00352FB2">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7AACD517" w14:textId="77777777" w:rsidR="00115458" w:rsidRPr="00352FB2" w:rsidRDefault="00115458" w:rsidP="00352FB2">
            <w:pPr>
              <w:spacing w:after="0" w:line="240" w:lineRule="auto"/>
            </w:pPr>
            <w:r w:rsidRPr="00352FB2">
              <w:t>Sequence number of DINVESTOR record in the current account</w:t>
            </w:r>
          </w:p>
        </w:tc>
      </w:tr>
      <w:tr w:rsidR="00115458" w:rsidRPr="00352FB2" w14:paraId="3FE28D8A"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3715C575" w14:textId="77777777" w:rsidR="00115458" w:rsidRPr="00352FB2" w:rsidRDefault="00115458" w:rsidP="00352FB2">
            <w:pPr>
              <w:spacing w:after="0" w:line="240" w:lineRule="auto"/>
            </w:pPr>
            <w:r w:rsidRPr="00352FB2">
              <w:t>IDENTREGISTER1</w:t>
            </w:r>
          </w:p>
        </w:tc>
        <w:tc>
          <w:tcPr>
            <w:tcW w:w="880" w:type="dxa"/>
            <w:tcBorders>
              <w:top w:val="single" w:sz="6" w:space="0" w:color="auto"/>
              <w:left w:val="single" w:sz="6" w:space="0" w:color="auto"/>
              <w:bottom w:val="single" w:sz="6" w:space="0" w:color="auto"/>
              <w:right w:val="single" w:sz="6" w:space="0" w:color="auto"/>
            </w:tcBorders>
          </w:tcPr>
          <w:p w14:paraId="5944F42A" w14:textId="77777777" w:rsidR="00115458" w:rsidRPr="00352FB2" w:rsidRDefault="00115458" w:rsidP="00352FB2">
            <w:pPr>
              <w:spacing w:after="0" w:line="240" w:lineRule="auto"/>
            </w:pPr>
            <w:r w:rsidRPr="00352FB2">
              <w:t>R</w:t>
            </w:r>
          </w:p>
        </w:tc>
        <w:tc>
          <w:tcPr>
            <w:tcW w:w="1326" w:type="dxa"/>
            <w:tcBorders>
              <w:top w:val="single" w:sz="6" w:space="0" w:color="auto"/>
              <w:left w:val="single" w:sz="6" w:space="0" w:color="auto"/>
              <w:bottom w:val="single" w:sz="6" w:space="0" w:color="auto"/>
              <w:right w:val="single" w:sz="6" w:space="0" w:color="auto"/>
            </w:tcBorders>
          </w:tcPr>
          <w:p w14:paraId="4557E738"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84E21C4"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8722E8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F70A299"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F1ABD71" w14:textId="77777777" w:rsidR="00115458" w:rsidRPr="00352FB2" w:rsidRDefault="00115458" w:rsidP="00352FB2">
            <w:pPr>
              <w:spacing w:after="0" w:line="240" w:lineRule="auto"/>
            </w:pPr>
          </w:p>
        </w:tc>
      </w:tr>
      <w:tr w:rsidR="00115458" w:rsidRPr="00352FB2" w14:paraId="10AC6D33"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15CB9C7" w14:textId="77777777" w:rsidR="00115458" w:rsidRPr="00352FB2" w:rsidRDefault="00115458" w:rsidP="00352FB2">
            <w:pPr>
              <w:spacing w:after="0" w:line="240" w:lineRule="auto"/>
            </w:pPr>
            <w:r w:rsidRPr="00352FB2">
              <w:t>IDENTREGISTER2</w:t>
            </w:r>
          </w:p>
        </w:tc>
        <w:tc>
          <w:tcPr>
            <w:tcW w:w="880" w:type="dxa"/>
            <w:tcBorders>
              <w:top w:val="single" w:sz="6" w:space="0" w:color="auto"/>
              <w:left w:val="single" w:sz="6" w:space="0" w:color="auto"/>
              <w:bottom w:val="single" w:sz="6" w:space="0" w:color="auto"/>
              <w:right w:val="single" w:sz="6" w:space="0" w:color="auto"/>
            </w:tcBorders>
          </w:tcPr>
          <w:p w14:paraId="0D4FEE8C"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E7F3006" w14:textId="77777777" w:rsidR="00115458" w:rsidRPr="00352FB2" w:rsidRDefault="00115458" w:rsidP="00352FB2">
            <w:pPr>
              <w:spacing w:after="0" w:line="240" w:lineRule="auto"/>
            </w:pPr>
            <w:r w:rsidRPr="00352FB2">
              <w:t>ABC002</w:t>
            </w:r>
          </w:p>
        </w:tc>
        <w:tc>
          <w:tcPr>
            <w:tcW w:w="1103" w:type="dxa"/>
            <w:tcBorders>
              <w:top w:val="single" w:sz="6" w:space="0" w:color="auto"/>
              <w:left w:val="single" w:sz="6" w:space="0" w:color="auto"/>
              <w:bottom w:val="single" w:sz="6" w:space="0" w:color="auto"/>
              <w:right w:val="single" w:sz="6" w:space="0" w:color="auto"/>
            </w:tcBorders>
          </w:tcPr>
          <w:p w14:paraId="006234BE" w14:textId="77777777" w:rsidR="00115458" w:rsidRPr="00352FB2" w:rsidRDefault="00115458" w:rsidP="00352FB2">
            <w:pPr>
              <w:spacing w:after="0" w:line="240" w:lineRule="auto"/>
              <w:rPr>
                <w:b/>
                <w:bCs/>
              </w:rPr>
            </w:pPr>
            <w:r w:rsidRPr="00352FB2">
              <w:rPr>
                <w:b/>
                <w:bCs/>
              </w:rPr>
              <w:t>ABC001</w:t>
            </w:r>
          </w:p>
        </w:tc>
        <w:tc>
          <w:tcPr>
            <w:tcW w:w="1103" w:type="dxa"/>
            <w:tcBorders>
              <w:top w:val="single" w:sz="6" w:space="0" w:color="auto"/>
              <w:left w:val="single" w:sz="6" w:space="0" w:color="auto"/>
              <w:bottom w:val="single" w:sz="6" w:space="0" w:color="auto"/>
              <w:right w:val="single" w:sz="6" w:space="0" w:color="auto"/>
            </w:tcBorders>
          </w:tcPr>
          <w:p w14:paraId="528E1957"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06F00EA"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D82DEDC" w14:textId="77777777" w:rsidR="00115458" w:rsidRPr="00352FB2" w:rsidRDefault="00115458" w:rsidP="00352FB2">
            <w:pPr>
              <w:spacing w:after="0" w:line="240" w:lineRule="auto"/>
            </w:pPr>
          </w:p>
        </w:tc>
      </w:tr>
      <w:tr w:rsidR="00115458" w:rsidRPr="00352FB2" w14:paraId="4ACD6CB7"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1E5F7BF" w14:textId="77777777" w:rsidR="00115458" w:rsidRPr="00352FB2" w:rsidRDefault="00115458" w:rsidP="00352FB2">
            <w:pPr>
              <w:spacing w:after="0" w:line="240" w:lineRule="auto"/>
            </w:pPr>
            <w:r w:rsidRPr="00352FB2">
              <w:t>IDENTREGISTER3</w:t>
            </w:r>
          </w:p>
        </w:tc>
        <w:tc>
          <w:tcPr>
            <w:tcW w:w="880" w:type="dxa"/>
            <w:tcBorders>
              <w:top w:val="single" w:sz="6" w:space="0" w:color="auto"/>
              <w:left w:val="single" w:sz="6" w:space="0" w:color="auto"/>
              <w:bottom w:val="single" w:sz="6" w:space="0" w:color="auto"/>
              <w:right w:val="single" w:sz="6" w:space="0" w:color="auto"/>
            </w:tcBorders>
          </w:tcPr>
          <w:p w14:paraId="2E5E396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6FCCBDD1"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C9AEAD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E312EDF"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FE01440"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275C32E" w14:textId="77777777" w:rsidR="00115458" w:rsidRPr="00352FB2" w:rsidRDefault="00115458" w:rsidP="00352FB2">
            <w:pPr>
              <w:spacing w:after="0" w:line="240" w:lineRule="auto"/>
            </w:pPr>
          </w:p>
        </w:tc>
      </w:tr>
      <w:tr w:rsidR="00115458" w:rsidRPr="00352FB2" w14:paraId="110AFC2D"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5D07A61" w14:textId="77777777" w:rsidR="00115458" w:rsidRPr="00352FB2" w:rsidRDefault="00115458" w:rsidP="00352FB2">
            <w:pPr>
              <w:spacing w:after="0" w:line="240" w:lineRule="auto"/>
            </w:pPr>
            <w:r w:rsidRPr="00352FB2">
              <w:t>IDENTITY</w:t>
            </w:r>
          </w:p>
        </w:tc>
        <w:tc>
          <w:tcPr>
            <w:tcW w:w="880" w:type="dxa"/>
            <w:tcBorders>
              <w:top w:val="single" w:sz="6" w:space="0" w:color="auto"/>
              <w:left w:val="single" w:sz="6" w:space="0" w:color="auto"/>
              <w:bottom w:val="single" w:sz="6" w:space="0" w:color="auto"/>
              <w:right w:val="single" w:sz="6" w:space="0" w:color="auto"/>
            </w:tcBorders>
          </w:tcPr>
          <w:p w14:paraId="69F3A32B"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2C790D9"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D0CA1B4"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8A48487" w14:textId="77777777" w:rsidR="00115458" w:rsidRPr="00352FB2" w:rsidRDefault="00115458" w:rsidP="00352FB2">
            <w:pPr>
              <w:spacing w:after="0" w:line="240" w:lineRule="auto"/>
            </w:pPr>
            <w:r w:rsidRPr="00352FB2">
              <w:t>00001</w:t>
            </w:r>
          </w:p>
        </w:tc>
        <w:tc>
          <w:tcPr>
            <w:tcW w:w="1440" w:type="dxa"/>
            <w:tcBorders>
              <w:top w:val="single" w:sz="6" w:space="0" w:color="auto"/>
              <w:left w:val="single" w:sz="6" w:space="0" w:color="auto"/>
              <w:bottom w:val="single" w:sz="6" w:space="0" w:color="auto"/>
              <w:right w:val="single" w:sz="6" w:space="0" w:color="auto"/>
            </w:tcBorders>
          </w:tcPr>
          <w:p w14:paraId="0A7D1EEA"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D17B1C0" w14:textId="77777777" w:rsidR="00115458" w:rsidRPr="00352FB2" w:rsidRDefault="00115458" w:rsidP="00352FB2">
            <w:pPr>
              <w:spacing w:after="0" w:line="240" w:lineRule="auto"/>
            </w:pPr>
          </w:p>
        </w:tc>
      </w:tr>
      <w:tr w:rsidR="00115458" w:rsidRPr="00352FB2" w14:paraId="0E5EE014"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D7913B3" w14:textId="77777777" w:rsidR="00115458" w:rsidRPr="00352FB2" w:rsidRDefault="00115458" w:rsidP="00352FB2">
            <w:pPr>
              <w:spacing w:after="0" w:line="240" w:lineRule="auto"/>
            </w:pPr>
            <w:r w:rsidRPr="00352FB2">
              <w:t>SOFTWARE</w:t>
            </w:r>
          </w:p>
        </w:tc>
        <w:tc>
          <w:tcPr>
            <w:tcW w:w="880" w:type="dxa"/>
            <w:tcBorders>
              <w:top w:val="single" w:sz="6" w:space="0" w:color="auto"/>
              <w:left w:val="single" w:sz="6" w:space="0" w:color="auto"/>
              <w:bottom w:val="single" w:sz="6" w:space="0" w:color="auto"/>
              <w:right w:val="single" w:sz="6" w:space="0" w:color="auto"/>
            </w:tcBorders>
          </w:tcPr>
          <w:p w14:paraId="58F5B38F"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64F666C3"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BD143AB"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61DE87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46CD66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E6B1DB1" w14:textId="77777777" w:rsidR="00115458" w:rsidRPr="00352FB2" w:rsidRDefault="00115458" w:rsidP="00352FB2">
            <w:pPr>
              <w:spacing w:after="0" w:line="240" w:lineRule="auto"/>
            </w:pPr>
          </w:p>
        </w:tc>
      </w:tr>
      <w:tr w:rsidR="00115458" w:rsidRPr="00352FB2" w14:paraId="74184EFD"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8C70B65"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370D215F"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0DC600C6"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018557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0929BA7"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36A3A13" w14:textId="77777777" w:rsidR="00115458" w:rsidRPr="00352FB2" w:rsidRDefault="00115458" w:rsidP="00352FB2">
            <w:pPr>
              <w:spacing w:after="0" w:line="240" w:lineRule="auto"/>
            </w:pPr>
            <w:r w:rsidRPr="00352FB2">
              <w:t>00000001</w:t>
            </w:r>
          </w:p>
        </w:tc>
        <w:tc>
          <w:tcPr>
            <w:tcW w:w="1440" w:type="dxa"/>
            <w:tcBorders>
              <w:top w:val="single" w:sz="6" w:space="0" w:color="auto"/>
              <w:left w:val="single" w:sz="6" w:space="0" w:color="auto"/>
              <w:bottom w:val="single" w:sz="6" w:space="0" w:color="auto"/>
              <w:right w:val="single" w:sz="6" w:space="0" w:color="auto"/>
            </w:tcBorders>
          </w:tcPr>
          <w:p w14:paraId="2D42BB4D" w14:textId="77777777" w:rsidR="00115458" w:rsidRPr="00352FB2" w:rsidRDefault="00115458" w:rsidP="00352FB2">
            <w:pPr>
              <w:spacing w:after="0" w:line="240" w:lineRule="auto"/>
            </w:pPr>
          </w:p>
        </w:tc>
      </w:tr>
      <w:tr w:rsidR="00115458" w:rsidRPr="00352FB2" w14:paraId="1565A1E8"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39B2DD4"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533A09D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74983F30"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FBD1C96"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4FE5B9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D0D8DE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C0A6230" w14:textId="77777777" w:rsidR="00115458" w:rsidRPr="00352FB2" w:rsidRDefault="00115458" w:rsidP="00352FB2">
            <w:pPr>
              <w:spacing w:after="0" w:line="240" w:lineRule="auto"/>
            </w:pPr>
            <w:r w:rsidRPr="00352FB2">
              <w:t>01</w:t>
            </w:r>
          </w:p>
        </w:tc>
      </w:tr>
      <w:tr w:rsidR="00115458" w:rsidRPr="00352FB2" w14:paraId="7369F069"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7010C48"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7E411F89"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2363D4DD"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7E9F32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52138D0"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68D7F1F" w14:textId="77777777" w:rsidR="00115458" w:rsidRPr="00352FB2" w:rsidRDefault="00115458" w:rsidP="00352FB2">
            <w:pPr>
              <w:spacing w:after="0" w:line="240" w:lineRule="auto"/>
            </w:pPr>
            <w:r w:rsidRPr="00352FB2">
              <w:t>00000002</w:t>
            </w:r>
          </w:p>
        </w:tc>
        <w:tc>
          <w:tcPr>
            <w:tcW w:w="1440" w:type="dxa"/>
            <w:tcBorders>
              <w:top w:val="single" w:sz="6" w:space="0" w:color="auto"/>
              <w:left w:val="single" w:sz="6" w:space="0" w:color="auto"/>
              <w:bottom w:val="single" w:sz="6" w:space="0" w:color="auto"/>
              <w:right w:val="single" w:sz="6" w:space="0" w:color="auto"/>
            </w:tcBorders>
          </w:tcPr>
          <w:p w14:paraId="4D528FF8" w14:textId="77777777" w:rsidR="00115458" w:rsidRPr="00352FB2" w:rsidRDefault="00115458" w:rsidP="00352FB2">
            <w:pPr>
              <w:spacing w:after="0" w:line="240" w:lineRule="auto"/>
            </w:pPr>
          </w:p>
        </w:tc>
      </w:tr>
      <w:tr w:rsidR="00115458" w:rsidRPr="00352FB2" w14:paraId="6CEEB0C0"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238EBBF"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1CB8E51E"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7C3A647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72E499B"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5CAA7A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A8FBF6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7AE187F" w14:textId="77777777" w:rsidR="00115458" w:rsidRPr="00352FB2" w:rsidRDefault="00115458" w:rsidP="00352FB2">
            <w:pPr>
              <w:spacing w:after="0" w:line="240" w:lineRule="auto"/>
            </w:pPr>
            <w:r w:rsidRPr="00352FB2">
              <w:t>01</w:t>
            </w:r>
          </w:p>
        </w:tc>
      </w:tr>
      <w:tr w:rsidR="00115458" w:rsidRPr="00352FB2" w14:paraId="4463DA45"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BFFB641"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3BFFA2DF"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91814E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BE6141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49CB495"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AC87AE4"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81F5099" w14:textId="77777777" w:rsidR="00115458" w:rsidRPr="00352FB2" w:rsidRDefault="00115458" w:rsidP="00352FB2">
            <w:pPr>
              <w:spacing w:after="0" w:line="240" w:lineRule="auto"/>
            </w:pPr>
            <w:r w:rsidRPr="00352FB2">
              <w:t>02</w:t>
            </w:r>
          </w:p>
        </w:tc>
      </w:tr>
      <w:tr w:rsidR="00115458" w:rsidRPr="00352FB2" w14:paraId="52302A67"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5B956FE" w14:textId="77777777" w:rsidR="00115458" w:rsidRPr="00352FB2" w:rsidRDefault="00115458" w:rsidP="00352FB2">
            <w:pPr>
              <w:spacing w:after="0" w:line="240" w:lineRule="auto"/>
            </w:pPr>
            <w:r w:rsidRPr="00352FB2">
              <w:t>IDENTITY</w:t>
            </w:r>
          </w:p>
        </w:tc>
        <w:tc>
          <w:tcPr>
            <w:tcW w:w="880" w:type="dxa"/>
            <w:tcBorders>
              <w:top w:val="single" w:sz="6" w:space="0" w:color="auto"/>
              <w:left w:val="single" w:sz="6" w:space="0" w:color="auto"/>
              <w:bottom w:val="single" w:sz="6" w:space="0" w:color="auto"/>
              <w:right w:val="single" w:sz="6" w:space="0" w:color="auto"/>
            </w:tcBorders>
          </w:tcPr>
          <w:p w14:paraId="724B2483"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7C4B86A"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0E39A0A"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699622E" w14:textId="77777777" w:rsidR="00115458" w:rsidRPr="00352FB2" w:rsidRDefault="00115458" w:rsidP="00352FB2">
            <w:pPr>
              <w:spacing w:after="0" w:line="240" w:lineRule="auto"/>
            </w:pPr>
            <w:r w:rsidRPr="00352FB2">
              <w:t>00002</w:t>
            </w:r>
          </w:p>
        </w:tc>
        <w:tc>
          <w:tcPr>
            <w:tcW w:w="1440" w:type="dxa"/>
            <w:tcBorders>
              <w:top w:val="single" w:sz="6" w:space="0" w:color="auto"/>
              <w:left w:val="single" w:sz="6" w:space="0" w:color="auto"/>
              <w:bottom w:val="single" w:sz="6" w:space="0" w:color="auto"/>
              <w:right w:val="single" w:sz="6" w:space="0" w:color="auto"/>
            </w:tcBorders>
          </w:tcPr>
          <w:p w14:paraId="15582B7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28778BF" w14:textId="77777777" w:rsidR="00115458" w:rsidRPr="00352FB2" w:rsidRDefault="00115458" w:rsidP="00352FB2">
            <w:pPr>
              <w:spacing w:after="0" w:line="240" w:lineRule="auto"/>
            </w:pPr>
          </w:p>
        </w:tc>
      </w:tr>
      <w:tr w:rsidR="00115458" w:rsidRPr="00352FB2" w14:paraId="633C3CC9"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CD7845E" w14:textId="77777777" w:rsidR="00115458" w:rsidRPr="00352FB2" w:rsidRDefault="00115458" w:rsidP="00352FB2">
            <w:pPr>
              <w:spacing w:after="0" w:line="240" w:lineRule="auto"/>
            </w:pPr>
            <w:r w:rsidRPr="00352FB2">
              <w:t>SOFTWARE</w:t>
            </w:r>
          </w:p>
        </w:tc>
        <w:tc>
          <w:tcPr>
            <w:tcW w:w="880" w:type="dxa"/>
            <w:tcBorders>
              <w:top w:val="single" w:sz="6" w:space="0" w:color="auto"/>
              <w:left w:val="single" w:sz="6" w:space="0" w:color="auto"/>
              <w:bottom w:val="single" w:sz="6" w:space="0" w:color="auto"/>
              <w:right w:val="single" w:sz="6" w:space="0" w:color="auto"/>
            </w:tcBorders>
          </w:tcPr>
          <w:p w14:paraId="12FDC08D"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2BD08FC1"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B27B13B"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CC727A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F484DCA"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3DD135A" w14:textId="77777777" w:rsidR="00115458" w:rsidRPr="00352FB2" w:rsidRDefault="00115458" w:rsidP="00352FB2">
            <w:pPr>
              <w:spacing w:after="0" w:line="240" w:lineRule="auto"/>
            </w:pPr>
          </w:p>
        </w:tc>
      </w:tr>
      <w:tr w:rsidR="00115458" w:rsidRPr="00352FB2" w14:paraId="19BB6E86"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8F4C3BD"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0105DF8A"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95D553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C9C40DB"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170F73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5C9A55F" w14:textId="77777777" w:rsidR="00115458" w:rsidRPr="00352FB2" w:rsidRDefault="00115458" w:rsidP="00352FB2">
            <w:pPr>
              <w:spacing w:after="0" w:line="240" w:lineRule="auto"/>
            </w:pPr>
            <w:r w:rsidRPr="00352FB2">
              <w:t>00000001</w:t>
            </w:r>
          </w:p>
        </w:tc>
        <w:tc>
          <w:tcPr>
            <w:tcW w:w="1440" w:type="dxa"/>
            <w:tcBorders>
              <w:top w:val="single" w:sz="6" w:space="0" w:color="auto"/>
              <w:left w:val="single" w:sz="6" w:space="0" w:color="auto"/>
              <w:bottom w:val="single" w:sz="6" w:space="0" w:color="auto"/>
              <w:right w:val="single" w:sz="6" w:space="0" w:color="auto"/>
            </w:tcBorders>
          </w:tcPr>
          <w:p w14:paraId="43D9E88E" w14:textId="77777777" w:rsidR="00115458" w:rsidRPr="00352FB2" w:rsidRDefault="00115458" w:rsidP="00352FB2">
            <w:pPr>
              <w:spacing w:after="0" w:line="240" w:lineRule="auto"/>
            </w:pPr>
          </w:p>
        </w:tc>
      </w:tr>
      <w:tr w:rsidR="00115458" w:rsidRPr="00352FB2" w14:paraId="106E143B"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68BC37A"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7AD6ED05"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224FC085"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89970C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188608D"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7ECEE65"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782651E" w14:textId="77777777" w:rsidR="00115458" w:rsidRPr="00352FB2" w:rsidRDefault="00115458" w:rsidP="00352FB2">
            <w:pPr>
              <w:spacing w:after="0" w:line="240" w:lineRule="auto"/>
            </w:pPr>
            <w:r w:rsidRPr="00352FB2">
              <w:t>01</w:t>
            </w:r>
          </w:p>
        </w:tc>
      </w:tr>
      <w:tr w:rsidR="00115458" w:rsidRPr="00352FB2" w14:paraId="33F907FC"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A0AD739" w14:textId="77777777" w:rsidR="00115458" w:rsidRPr="00352FB2" w:rsidRDefault="00115458" w:rsidP="00352FB2">
            <w:pPr>
              <w:spacing w:after="0" w:line="240" w:lineRule="auto"/>
            </w:pPr>
            <w:r w:rsidRPr="00352FB2">
              <w:t>IDENTITY</w:t>
            </w:r>
          </w:p>
        </w:tc>
        <w:tc>
          <w:tcPr>
            <w:tcW w:w="880" w:type="dxa"/>
            <w:tcBorders>
              <w:top w:val="single" w:sz="6" w:space="0" w:color="auto"/>
              <w:left w:val="single" w:sz="6" w:space="0" w:color="auto"/>
              <w:bottom w:val="single" w:sz="6" w:space="0" w:color="auto"/>
              <w:right w:val="single" w:sz="6" w:space="0" w:color="auto"/>
            </w:tcBorders>
          </w:tcPr>
          <w:p w14:paraId="3CEFA3F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071F0AE"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E2B14A9"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5C45BE2" w14:textId="77777777" w:rsidR="00115458" w:rsidRPr="00352FB2" w:rsidRDefault="00115458" w:rsidP="00352FB2">
            <w:pPr>
              <w:spacing w:after="0" w:line="240" w:lineRule="auto"/>
            </w:pPr>
            <w:r w:rsidRPr="00352FB2">
              <w:t>00003</w:t>
            </w:r>
          </w:p>
        </w:tc>
        <w:tc>
          <w:tcPr>
            <w:tcW w:w="1440" w:type="dxa"/>
            <w:tcBorders>
              <w:top w:val="single" w:sz="6" w:space="0" w:color="auto"/>
              <w:left w:val="single" w:sz="6" w:space="0" w:color="auto"/>
              <w:bottom w:val="single" w:sz="6" w:space="0" w:color="auto"/>
              <w:right w:val="single" w:sz="6" w:space="0" w:color="auto"/>
            </w:tcBorders>
          </w:tcPr>
          <w:p w14:paraId="2905A154"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80ADE25" w14:textId="77777777" w:rsidR="00115458" w:rsidRPr="00352FB2" w:rsidRDefault="00115458" w:rsidP="00352FB2">
            <w:pPr>
              <w:spacing w:after="0" w:line="240" w:lineRule="auto"/>
            </w:pPr>
          </w:p>
        </w:tc>
      </w:tr>
      <w:tr w:rsidR="00115458" w:rsidRPr="00352FB2" w14:paraId="69ECCA65"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3B42084" w14:textId="77777777" w:rsidR="00115458" w:rsidRPr="00352FB2" w:rsidRDefault="00115458" w:rsidP="00352FB2">
            <w:pPr>
              <w:spacing w:after="0" w:line="240" w:lineRule="auto"/>
            </w:pPr>
            <w:r w:rsidRPr="00352FB2">
              <w:t>SOFTWARE</w:t>
            </w:r>
          </w:p>
        </w:tc>
        <w:tc>
          <w:tcPr>
            <w:tcW w:w="880" w:type="dxa"/>
            <w:tcBorders>
              <w:top w:val="single" w:sz="6" w:space="0" w:color="auto"/>
              <w:left w:val="single" w:sz="6" w:space="0" w:color="auto"/>
              <w:bottom w:val="single" w:sz="6" w:space="0" w:color="auto"/>
              <w:right w:val="single" w:sz="6" w:space="0" w:color="auto"/>
            </w:tcBorders>
          </w:tcPr>
          <w:p w14:paraId="60505D37"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0614EB2A"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B8E581D"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ED730AB"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072EBC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3CB50EF" w14:textId="77777777" w:rsidR="00115458" w:rsidRPr="00352FB2" w:rsidRDefault="00115458" w:rsidP="00352FB2">
            <w:pPr>
              <w:spacing w:after="0" w:line="240" w:lineRule="auto"/>
            </w:pPr>
          </w:p>
        </w:tc>
      </w:tr>
      <w:tr w:rsidR="00115458" w:rsidRPr="00352FB2" w14:paraId="40BA1AE2"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3C1D8246"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531B7B64"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60597B80"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3E3C4F9"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4087EB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4F30348" w14:textId="77777777" w:rsidR="00115458" w:rsidRPr="00352FB2" w:rsidRDefault="00115458" w:rsidP="00352FB2">
            <w:pPr>
              <w:spacing w:after="0" w:line="240" w:lineRule="auto"/>
            </w:pPr>
            <w:r w:rsidRPr="00352FB2">
              <w:t>00000001</w:t>
            </w:r>
          </w:p>
        </w:tc>
        <w:tc>
          <w:tcPr>
            <w:tcW w:w="1440" w:type="dxa"/>
            <w:tcBorders>
              <w:top w:val="single" w:sz="6" w:space="0" w:color="auto"/>
              <w:left w:val="single" w:sz="6" w:space="0" w:color="auto"/>
              <w:bottom w:val="single" w:sz="6" w:space="0" w:color="auto"/>
              <w:right w:val="single" w:sz="6" w:space="0" w:color="auto"/>
            </w:tcBorders>
          </w:tcPr>
          <w:p w14:paraId="39D1CD34" w14:textId="77777777" w:rsidR="00115458" w:rsidRPr="00352FB2" w:rsidRDefault="00115458" w:rsidP="00352FB2">
            <w:pPr>
              <w:spacing w:after="0" w:line="240" w:lineRule="auto"/>
            </w:pPr>
          </w:p>
        </w:tc>
      </w:tr>
      <w:tr w:rsidR="00115458" w:rsidRPr="00352FB2" w14:paraId="096622B7"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3EA62585"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06FA3BDB"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8D7008C"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B3CD95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86AE0AE"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73A59A3"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48DA7AB" w14:textId="77777777" w:rsidR="00115458" w:rsidRPr="00352FB2" w:rsidRDefault="00115458" w:rsidP="00352FB2">
            <w:pPr>
              <w:spacing w:after="0" w:line="240" w:lineRule="auto"/>
            </w:pPr>
            <w:r w:rsidRPr="00352FB2">
              <w:t>01</w:t>
            </w:r>
          </w:p>
        </w:tc>
      </w:tr>
      <w:tr w:rsidR="00115458" w:rsidRPr="00352FB2" w14:paraId="5266F567"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2E4E86EC" w14:textId="77777777" w:rsidR="00115458" w:rsidRPr="00352FB2" w:rsidRDefault="00115458" w:rsidP="00352FB2">
            <w:pPr>
              <w:spacing w:after="0" w:line="240" w:lineRule="auto"/>
            </w:pPr>
            <w:r w:rsidRPr="00352FB2">
              <w:t>FILE-TOTAL</w:t>
            </w:r>
          </w:p>
        </w:tc>
        <w:tc>
          <w:tcPr>
            <w:tcW w:w="880" w:type="dxa"/>
            <w:tcBorders>
              <w:top w:val="single" w:sz="6" w:space="0" w:color="auto"/>
              <w:left w:val="single" w:sz="6" w:space="0" w:color="auto"/>
              <w:bottom w:val="single" w:sz="6" w:space="0" w:color="auto"/>
              <w:right w:val="single" w:sz="6" w:space="0" w:color="auto"/>
            </w:tcBorders>
          </w:tcPr>
          <w:p w14:paraId="159AC74E"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6DDCBE5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87E387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2D48FDA1"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436DF81"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82945C9" w14:textId="77777777" w:rsidR="00115458" w:rsidRPr="00352FB2" w:rsidRDefault="00115458" w:rsidP="00352FB2">
            <w:pPr>
              <w:spacing w:after="0" w:line="240" w:lineRule="auto"/>
            </w:pPr>
          </w:p>
        </w:tc>
      </w:tr>
    </w:tbl>
    <w:p w14:paraId="52E151E6" w14:textId="77777777" w:rsidR="00115458" w:rsidRPr="00352FB2" w:rsidRDefault="00115458" w:rsidP="00352FB2">
      <w:pPr>
        <w:spacing w:after="0" w:line="240" w:lineRule="auto"/>
      </w:pPr>
      <w:bookmarkStart w:id="1970" w:name="_Toc351096836"/>
    </w:p>
    <w:p w14:paraId="290FCA75" w14:textId="77777777" w:rsidR="00115458" w:rsidRPr="00352FB2" w:rsidRDefault="00115458" w:rsidP="00352FB2">
      <w:pPr>
        <w:spacing w:after="0" w:line="240" w:lineRule="auto"/>
        <w:rPr>
          <w:b/>
        </w:rPr>
      </w:pPr>
      <w:r w:rsidRPr="00352FB2">
        <w:rPr>
          <w:b/>
        </w:rPr>
        <w:t>File 3 (Replacement)</w:t>
      </w:r>
      <w:bookmarkEnd w:id="1970"/>
    </w:p>
    <w:p w14:paraId="5DD6C58A" w14:textId="77777777" w:rsidR="00115458" w:rsidRPr="00352FB2" w:rsidRDefault="00115458" w:rsidP="00352FB2">
      <w:pPr>
        <w:spacing w:after="0" w:line="240" w:lineRule="auto"/>
      </w:pPr>
      <w:r w:rsidRPr="00352FB2">
        <w:t>In this case only the second AIIR in File 2 is being replaced in File 3.</w:t>
      </w: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115458" w:rsidRPr="00352FB2" w14:paraId="182CDC89"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3653393" w14:textId="77777777" w:rsidR="00115458" w:rsidRPr="00352FB2" w:rsidRDefault="00115458" w:rsidP="00352FB2">
            <w:pPr>
              <w:spacing w:after="0" w:line="240" w:lineRule="auto"/>
            </w:pPr>
            <w:r w:rsidRPr="00352FB2">
              <w:t>Record</w:t>
            </w:r>
          </w:p>
        </w:tc>
        <w:tc>
          <w:tcPr>
            <w:tcW w:w="880" w:type="dxa"/>
            <w:tcBorders>
              <w:top w:val="single" w:sz="6" w:space="0" w:color="auto"/>
              <w:left w:val="single" w:sz="6" w:space="0" w:color="auto"/>
              <w:bottom w:val="single" w:sz="6" w:space="0" w:color="auto"/>
              <w:right w:val="single" w:sz="6" w:space="0" w:color="auto"/>
            </w:tcBorders>
          </w:tcPr>
          <w:p w14:paraId="2C784C38" w14:textId="77777777" w:rsidR="00115458" w:rsidRPr="00352FB2" w:rsidRDefault="00115458" w:rsidP="00352FB2">
            <w:pPr>
              <w:spacing w:after="0" w:line="240" w:lineRule="auto"/>
            </w:pPr>
            <w:r w:rsidRPr="00352FB2">
              <w:t>Type of Report</w:t>
            </w:r>
          </w:p>
        </w:tc>
        <w:tc>
          <w:tcPr>
            <w:tcW w:w="1326" w:type="dxa"/>
            <w:tcBorders>
              <w:top w:val="single" w:sz="6" w:space="0" w:color="auto"/>
              <w:left w:val="single" w:sz="6" w:space="0" w:color="auto"/>
              <w:bottom w:val="single" w:sz="6" w:space="0" w:color="auto"/>
              <w:right w:val="single" w:sz="6" w:space="0" w:color="auto"/>
            </w:tcBorders>
          </w:tcPr>
          <w:p w14:paraId="1E10D491" w14:textId="77777777" w:rsidR="00115458" w:rsidRPr="00352FB2" w:rsidRDefault="00115458" w:rsidP="00352FB2">
            <w:pPr>
              <w:spacing w:after="0" w:line="240" w:lineRule="auto"/>
            </w:pPr>
            <w:r w:rsidRPr="00352FB2">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06B77873" w14:textId="77777777" w:rsidR="00115458" w:rsidRPr="00352FB2" w:rsidRDefault="00115458" w:rsidP="00352FB2">
            <w:pPr>
              <w:spacing w:after="0" w:line="240" w:lineRule="auto"/>
            </w:pPr>
            <w:r w:rsidRPr="00352FB2">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479488FA" w14:textId="77777777" w:rsidR="00115458" w:rsidRPr="00352FB2" w:rsidRDefault="00115458" w:rsidP="00352FB2">
            <w:pPr>
              <w:spacing w:after="0" w:line="240" w:lineRule="auto"/>
            </w:pPr>
            <w:r w:rsidRPr="00352FB2">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2857B750" w14:textId="77777777" w:rsidR="00115458" w:rsidRPr="00352FB2" w:rsidRDefault="00115458" w:rsidP="00352FB2">
            <w:pPr>
              <w:spacing w:after="0" w:line="240" w:lineRule="auto"/>
            </w:pPr>
            <w:r w:rsidRPr="00352FB2">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48203F65" w14:textId="77777777" w:rsidR="00115458" w:rsidRPr="00352FB2" w:rsidRDefault="00115458" w:rsidP="00352FB2">
            <w:pPr>
              <w:spacing w:after="0" w:line="240" w:lineRule="auto"/>
            </w:pPr>
            <w:r w:rsidRPr="00352FB2">
              <w:t>Sequence number of DINVESTOR record in the current account</w:t>
            </w:r>
          </w:p>
        </w:tc>
      </w:tr>
      <w:tr w:rsidR="00115458" w:rsidRPr="00352FB2" w14:paraId="61EE813E"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0C153B41" w14:textId="77777777" w:rsidR="00115458" w:rsidRPr="00352FB2" w:rsidRDefault="00115458" w:rsidP="00352FB2">
            <w:pPr>
              <w:spacing w:after="0" w:line="240" w:lineRule="auto"/>
            </w:pPr>
            <w:r w:rsidRPr="00352FB2">
              <w:t>IDENTREGISTER1</w:t>
            </w:r>
          </w:p>
        </w:tc>
        <w:tc>
          <w:tcPr>
            <w:tcW w:w="880" w:type="dxa"/>
            <w:tcBorders>
              <w:top w:val="single" w:sz="6" w:space="0" w:color="auto"/>
              <w:left w:val="single" w:sz="6" w:space="0" w:color="auto"/>
              <w:bottom w:val="single" w:sz="6" w:space="0" w:color="auto"/>
              <w:right w:val="single" w:sz="6" w:space="0" w:color="auto"/>
            </w:tcBorders>
          </w:tcPr>
          <w:p w14:paraId="258EEB08" w14:textId="77777777" w:rsidR="00115458" w:rsidRPr="00352FB2" w:rsidRDefault="00115458" w:rsidP="00352FB2">
            <w:pPr>
              <w:spacing w:after="0" w:line="240" w:lineRule="auto"/>
            </w:pPr>
            <w:r w:rsidRPr="00352FB2">
              <w:t>R</w:t>
            </w:r>
          </w:p>
        </w:tc>
        <w:tc>
          <w:tcPr>
            <w:tcW w:w="1326" w:type="dxa"/>
            <w:tcBorders>
              <w:top w:val="single" w:sz="6" w:space="0" w:color="auto"/>
              <w:left w:val="single" w:sz="6" w:space="0" w:color="auto"/>
              <w:bottom w:val="single" w:sz="6" w:space="0" w:color="auto"/>
              <w:right w:val="single" w:sz="6" w:space="0" w:color="auto"/>
            </w:tcBorders>
          </w:tcPr>
          <w:p w14:paraId="76DB5125"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6C4DDF8"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98451BA"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4403638"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E6CE087" w14:textId="77777777" w:rsidR="00115458" w:rsidRPr="00352FB2" w:rsidRDefault="00115458" w:rsidP="00352FB2">
            <w:pPr>
              <w:spacing w:after="0" w:line="240" w:lineRule="auto"/>
            </w:pPr>
          </w:p>
        </w:tc>
      </w:tr>
      <w:tr w:rsidR="00115458" w:rsidRPr="00352FB2" w14:paraId="72B3EA91"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5E11E70" w14:textId="77777777" w:rsidR="00115458" w:rsidRPr="00352FB2" w:rsidRDefault="00115458" w:rsidP="00352FB2">
            <w:pPr>
              <w:spacing w:after="0" w:line="240" w:lineRule="auto"/>
            </w:pPr>
            <w:r w:rsidRPr="00352FB2">
              <w:t>IDENTREGISTER2</w:t>
            </w:r>
          </w:p>
        </w:tc>
        <w:tc>
          <w:tcPr>
            <w:tcW w:w="880" w:type="dxa"/>
            <w:tcBorders>
              <w:top w:val="single" w:sz="6" w:space="0" w:color="auto"/>
              <w:left w:val="single" w:sz="6" w:space="0" w:color="auto"/>
              <w:bottom w:val="single" w:sz="6" w:space="0" w:color="auto"/>
              <w:right w:val="single" w:sz="6" w:space="0" w:color="auto"/>
            </w:tcBorders>
          </w:tcPr>
          <w:p w14:paraId="78596C47"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199BC579" w14:textId="77777777" w:rsidR="00115458" w:rsidRPr="00352FB2" w:rsidRDefault="00115458" w:rsidP="00352FB2">
            <w:pPr>
              <w:spacing w:after="0" w:line="240" w:lineRule="auto"/>
            </w:pPr>
            <w:r w:rsidRPr="00352FB2">
              <w:t>ABC003</w:t>
            </w:r>
          </w:p>
        </w:tc>
        <w:tc>
          <w:tcPr>
            <w:tcW w:w="1103" w:type="dxa"/>
            <w:tcBorders>
              <w:top w:val="single" w:sz="6" w:space="0" w:color="auto"/>
              <w:left w:val="single" w:sz="6" w:space="0" w:color="auto"/>
              <w:bottom w:val="single" w:sz="6" w:space="0" w:color="auto"/>
              <w:right w:val="single" w:sz="6" w:space="0" w:color="auto"/>
            </w:tcBorders>
          </w:tcPr>
          <w:p w14:paraId="07F3792B" w14:textId="77777777" w:rsidR="00115458" w:rsidRPr="00352FB2" w:rsidRDefault="00115458" w:rsidP="00352FB2">
            <w:pPr>
              <w:spacing w:after="0" w:line="240" w:lineRule="auto"/>
            </w:pPr>
            <w:r w:rsidRPr="00352FB2">
              <w:t>ABC002</w:t>
            </w:r>
          </w:p>
        </w:tc>
        <w:tc>
          <w:tcPr>
            <w:tcW w:w="1103" w:type="dxa"/>
            <w:tcBorders>
              <w:top w:val="single" w:sz="6" w:space="0" w:color="auto"/>
              <w:left w:val="single" w:sz="6" w:space="0" w:color="auto"/>
              <w:bottom w:val="single" w:sz="6" w:space="0" w:color="auto"/>
              <w:right w:val="single" w:sz="6" w:space="0" w:color="auto"/>
            </w:tcBorders>
          </w:tcPr>
          <w:p w14:paraId="227C21AB"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F2455B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FF84675" w14:textId="77777777" w:rsidR="00115458" w:rsidRPr="00352FB2" w:rsidRDefault="00115458" w:rsidP="00352FB2">
            <w:pPr>
              <w:spacing w:after="0" w:line="240" w:lineRule="auto"/>
            </w:pPr>
          </w:p>
        </w:tc>
      </w:tr>
      <w:tr w:rsidR="00115458" w:rsidRPr="00352FB2" w14:paraId="3D0FFFFF"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B3AA473" w14:textId="77777777" w:rsidR="00115458" w:rsidRPr="00352FB2" w:rsidRDefault="00115458" w:rsidP="00352FB2">
            <w:pPr>
              <w:spacing w:after="0" w:line="240" w:lineRule="auto"/>
            </w:pPr>
            <w:r w:rsidRPr="00352FB2">
              <w:t>IDENTREGISTER3</w:t>
            </w:r>
          </w:p>
        </w:tc>
        <w:tc>
          <w:tcPr>
            <w:tcW w:w="880" w:type="dxa"/>
            <w:tcBorders>
              <w:top w:val="single" w:sz="6" w:space="0" w:color="auto"/>
              <w:left w:val="single" w:sz="6" w:space="0" w:color="auto"/>
              <w:bottom w:val="single" w:sz="6" w:space="0" w:color="auto"/>
              <w:right w:val="single" w:sz="6" w:space="0" w:color="auto"/>
            </w:tcBorders>
          </w:tcPr>
          <w:p w14:paraId="13C3BFA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79BFE1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670DBA8"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2A7813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F140160"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D85B224" w14:textId="77777777" w:rsidR="00115458" w:rsidRPr="00352FB2" w:rsidRDefault="00115458" w:rsidP="00352FB2">
            <w:pPr>
              <w:spacing w:after="0" w:line="240" w:lineRule="auto"/>
            </w:pPr>
          </w:p>
        </w:tc>
      </w:tr>
      <w:tr w:rsidR="00115458" w:rsidRPr="00352FB2" w14:paraId="396018C3"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29DCA94A" w14:textId="77777777" w:rsidR="00115458" w:rsidRPr="00352FB2" w:rsidRDefault="00115458" w:rsidP="00352FB2">
            <w:pPr>
              <w:spacing w:after="0" w:line="240" w:lineRule="auto"/>
            </w:pPr>
            <w:r w:rsidRPr="00352FB2">
              <w:t>IDENTITY</w:t>
            </w:r>
          </w:p>
        </w:tc>
        <w:tc>
          <w:tcPr>
            <w:tcW w:w="880" w:type="dxa"/>
            <w:tcBorders>
              <w:top w:val="single" w:sz="6" w:space="0" w:color="auto"/>
              <w:left w:val="single" w:sz="6" w:space="0" w:color="auto"/>
              <w:bottom w:val="single" w:sz="6" w:space="0" w:color="auto"/>
              <w:right w:val="single" w:sz="6" w:space="0" w:color="auto"/>
            </w:tcBorders>
          </w:tcPr>
          <w:p w14:paraId="11573295"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93C4888"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8B7716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086811E" w14:textId="77777777" w:rsidR="00115458" w:rsidRPr="00352FB2" w:rsidRDefault="00115458" w:rsidP="00352FB2">
            <w:pPr>
              <w:spacing w:after="0" w:line="240" w:lineRule="auto"/>
            </w:pPr>
            <w:r w:rsidRPr="00352FB2">
              <w:t>00002</w:t>
            </w:r>
          </w:p>
        </w:tc>
        <w:tc>
          <w:tcPr>
            <w:tcW w:w="1440" w:type="dxa"/>
            <w:tcBorders>
              <w:top w:val="single" w:sz="6" w:space="0" w:color="auto"/>
              <w:left w:val="single" w:sz="6" w:space="0" w:color="auto"/>
              <w:bottom w:val="single" w:sz="6" w:space="0" w:color="auto"/>
              <w:right w:val="single" w:sz="6" w:space="0" w:color="auto"/>
            </w:tcBorders>
          </w:tcPr>
          <w:p w14:paraId="331429C0"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7927A07" w14:textId="77777777" w:rsidR="00115458" w:rsidRPr="00352FB2" w:rsidRDefault="00115458" w:rsidP="00352FB2">
            <w:pPr>
              <w:spacing w:after="0" w:line="240" w:lineRule="auto"/>
            </w:pPr>
          </w:p>
        </w:tc>
      </w:tr>
      <w:tr w:rsidR="00115458" w:rsidRPr="00352FB2" w14:paraId="021026EB"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36A2CFDA" w14:textId="77777777" w:rsidR="00115458" w:rsidRPr="00352FB2" w:rsidRDefault="00115458" w:rsidP="00352FB2">
            <w:pPr>
              <w:spacing w:after="0" w:line="240" w:lineRule="auto"/>
            </w:pPr>
            <w:r w:rsidRPr="00352FB2">
              <w:t>SOFTWARE</w:t>
            </w:r>
          </w:p>
        </w:tc>
        <w:tc>
          <w:tcPr>
            <w:tcW w:w="880" w:type="dxa"/>
            <w:tcBorders>
              <w:top w:val="single" w:sz="6" w:space="0" w:color="auto"/>
              <w:left w:val="single" w:sz="6" w:space="0" w:color="auto"/>
              <w:bottom w:val="single" w:sz="6" w:space="0" w:color="auto"/>
              <w:right w:val="single" w:sz="6" w:space="0" w:color="auto"/>
            </w:tcBorders>
          </w:tcPr>
          <w:p w14:paraId="1F0C9DF6"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4214AFF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2EAEBEFE"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0E1D538"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2BD68A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763FDE5" w14:textId="77777777" w:rsidR="00115458" w:rsidRPr="00352FB2" w:rsidRDefault="00115458" w:rsidP="00352FB2">
            <w:pPr>
              <w:spacing w:after="0" w:line="240" w:lineRule="auto"/>
            </w:pPr>
          </w:p>
        </w:tc>
      </w:tr>
      <w:tr w:rsidR="00115458" w:rsidRPr="00352FB2" w14:paraId="0E8B6628"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0B1A7FD" w14:textId="77777777" w:rsidR="00115458" w:rsidRPr="00352FB2" w:rsidRDefault="00115458" w:rsidP="00352FB2">
            <w:pPr>
              <w:spacing w:after="0" w:line="240" w:lineRule="auto"/>
            </w:pPr>
            <w:r w:rsidRPr="00352FB2">
              <w:t>DACCOUNT</w:t>
            </w:r>
          </w:p>
        </w:tc>
        <w:tc>
          <w:tcPr>
            <w:tcW w:w="880" w:type="dxa"/>
            <w:tcBorders>
              <w:top w:val="single" w:sz="6" w:space="0" w:color="auto"/>
              <w:left w:val="single" w:sz="6" w:space="0" w:color="auto"/>
              <w:bottom w:val="single" w:sz="6" w:space="0" w:color="auto"/>
              <w:right w:val="single" w:sz="6" w:space="0" w:color="auto"/>
            </w:tcBorders>
          </w:tcPr>
          <w:p w14:paraId="7A866B9A"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11DAE9DC"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64A5A9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D821924"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30B3C17" w14:textId="77777777" w:rsidR="00115458" w:rsidRPr="00352FB2" w:rsidRDefault="00115458" w:rsidP="00352FB2">
            <w:pPr>
              <w:spacing w:after="0" w:line="240" w:lineRule="auto"/>
            </w:pPr>
            <w:r w:rsidRPr="00352FB2">
              <w:t>00000001</w:t>
            </w:r>
          </w:p>
        </w:tc>
        <w:tc>
          <w:tcPr>
            <w:tcW w:w="1440" w:type="dxa"/>
            <w:tcBorders>
              <w:top w:val="single" w:sz="6" w:space="0" w:color="auto"/>
              <w:left w:val="single" w:sz="6" w:space="0" w:color="auto"/>
              <w:bottom w:val="single" w:sz="6" w:space="0" w:color="auto"/>
              <w:right w:val="single" w:sz="6" w:space="0" w:color="auto"/>
            </w:tcBorders>
          </w:tcPr>
          <w:p w14:paraId="210D192C" w14:textId="77777777" w:rsidR="00115458" w:rsidRPr="00352FB2" w:rsidRDefault="00115458" w:rsidP="00352FB2">
            <w:pPr>
              <w:spacing w:after="0" w:line="240" w:lineRule="auto"/>
            </w:pPr>
          </w:p>
        </w:tc>
      </w:tr>
      <w:tr w:rsidR="00115458" w:rsidRPr="00352FB2" w14:paraId="3BB03745"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4DAD6B7"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2A6BD737"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062C1D52"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56D7913"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3CAC723"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5465F83"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7CAD73D" w14:textId="77777777" w:rsidR="00115458" w:rsidRPr="00352FB2" w:rsidRDefault="00115458" w:rsidP="00352FB2">
            <w:pPr>
              <w:spacing w:after="0" w:line="240" w:lineRule="auto"/>
            </w:pPr>
            <w:r w:rsidRPr="00352FB2">
              <w:t>01</w:t>
            </w:r>
          </w:p>
        </w:tc>
      </w:tr>
      <w:tr w:rsidR="00115458" w:rsidRPr="00352FB2" w14:paraId="0C59567D"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245327F" w14:textId="77777777" w:rsidR="00115458" w:rsidRPr="00352FB2" w:rsidRDefault="00115458" w:rsidP="00352FB2">
            <w:pPr>
              <w:spacing w:after="0" w:line="240" w:lineRule="auto"/>
            </w:pPr>
            <w:r w:rsidRPr="00352FB2">
              <w:t>DINVESTOR</w:t>
            </w:r>
          </w:p>
        </w:tc>
        <w:tc>
          <w:tcPr>
            <w:tcW w:w="880" w:type="dxa"/>
            <w:tcBorders>
              <w:top w:val="single" w:sz="6" w:space="0" w:color="auto"/>
              <w:left w:val="single" w:sz="6" w:space="0" w:color="auto"/>
              <w:bottom w:val="single" w:sz="6" w:space="0" w:color="auto"/>
              <w:right w:val="single" w:sz="6" w:space="0" w:color="auto"/>
            </w:tcBorders>
          </w:tcPr>
          <w:p w14:paraId="63AF2992"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51DAB48F"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E4DA8B7"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144E5B5C"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D139AF6"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42C8E3C" w14:textId="77777777" w:rsidR="00115458" w:rsidRPr="00352FB2" w:rsidRDefault="00115458" w:rsidP="00352FB2">
            <w:pPr>
              <w:spacing w:after="0" w:line="240" w:lineRule="auto"/>
            </w:pPr>
            <w:r w:rsidRPr="00352FB2">
              <w:t>02</w:t>
            </w:r>
          </w:p>
        </w:tc>
      </w:tr>
      <w:tr w:rsidR="00115458" w:rsidRPr="00352FB2" w14:paraId="118A51BE"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5A579FD9" w14:textId="77777777" w:rsidR="00115458" w:rsidRPr="00352FB2" w:rsidRDefault="00115458" w:rsidP="00352FB2">
            <w:pPr>
              <w:spacing w:after="0" w:line="240" w:lineRule="auto"/>
            </w:pPr>
            <w:r w:rsidRPr="00352FB2">
              <w:t>FILE-TOTAL</w:t>
            </w:r>
          </w:p>
        </w:tc>
        <w:tc>
          <w:tcPr>
            <w:tcW w:w="880" w:type="dxa"/>
            <w:tcBorders>
              <w:top w:val="single" w:sz="6" w:space="0" w:color="auto"/>
              <w:left w:val="single" w:sz="6" w:space="0" w:color="auto"/>
              <w:bottom w:val="single" w:sz="6" w:space="0" w:color="auto"/>
              <w:right w:val="single" w:sz="6" w:space="0" w:color="auto"/>
            </w:tcBorders>
          </w:tcPr>
          <w:p w14:paraId="6E9C28A3" w14:textId="77777777" w:rsidR="00115458" w:rsidRPr="00352FB2" w:rsidRDefault="00115458" w:rsidP="00352FB2">
            <w:pPr>
              <w:spacing w:after="0" w:line="240" w:lineRule="auto"/>
            </w:pPr>
          </w:p>
        </w:tc>
        <w:tc>
          <w:tcPr>
            <w:tcW w:w="1326" w:type="dxa"/>
            <w:tcBorders>
              <w:top w:val="single" w:sz="6" w:space="0" w:color="auto"/>
              <w:left w:val="single" w:sz="6" w:space="0" w:color="auto"/>
              <w:bottom w:val="single" w:sz="6" w:space="0" w:color="auto"/>
              <w:right w:val="single" w:sz="6" w:space="0" w:color="auto"/>
            </w:tcBorders>
          </w:tcPr>
          <w:p w14:paraId="77CFE920"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E2F70D3" w14:textId="77777777" w:rsidR="00115458" w:rsidRPr="00352FB2" w:rsidRDefault="00115458" w:rsidP="00352FB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D0846C2"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18F8746" w14:textId="77777777" w:rsidR="00115458" w:rsidRPr="00352FB2" w:rsidRDefault="00115458" w:rsidP="00352FB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A455994" w14:textId="77777777" w:rsidR="00115458" w:rsidRPr="00352FB2" w:rsidRDefault="00115458" w:rsidP="00352FB2">
            <w:pPr>
              <w:spacing w:after="0" w:line="240" w:lineRule="auto"/>
            </w:pPr>
          </w:p>
        </w:tc>
      </w:tr>
    </w:tbl>
    <w:p w14:paraId="026EAABD" w14:textId="77777777" w:rsidR="00115458" w:rsidRPr="00352FB2" w:rsidRDefault="00115458" w:rsidP="00352FB2">
      <w:pPr>
        <w:spacing w:after="0" w:line="240" w:lineRule="auto"/>
      </w:pPr>
    </w:p>
    <w:p w14:paraId="6A98B76D" w14:textId="77777777" w:rsidR="00115458" w:rsidRPr="00352FB2" w:rsidRDefault="00115458" w:rsidP="00352FB2">
      <w:pPr>
        <w:spacing w:after="0" w:line="240" w:lineRule="auto"/>
      </w:pPr>
      <w:r w:rsidRPr="00352FB2">
        <w:t>A replacement AIIR can contain more or less account or investor records than the AIIR it replaces because when a replacement AIIR is received, the AIIR being replaced will be rejected and the replacement AIIR treated as the current report.</w:t>
      </w:r>
    </w:p>
    <w:p w14:paraId="7FC1B53A" w14:textId="77777777" w:rsidR="00115458" w:rsidRPr="00352FB2" w:rsidRDefault="00115458" w:rsidP="00352FB2">
      <w:pPr>
        <w:spacing w:after="0" w:line="240" w:lineRule="auto"/>
      </w:pPr>
    </w:p>
    <w:p w14:paraId="455260BD" w14:textId="154FE894" w:rsidR="00115458" w:rsidRPr="00352FB2" w:rsidRDefault="00115458" w:rsidP="00352FB2">
      <w:pPr>
        <w:spacing w:after="0" w:line="240" w:lineRule="auto"/>
      </w:pPr>
      <w:r w:rsidRPr="00352FB2">
        <w:t xml:space="preserve">When amending shares and units transaction data the same process must be followed. The file structure of the data file must match the logical structure of </w:t>
      </w:r>
      <w:r w:rsidRPr="00352FB2">
        <w:rPr>
          <w:b/>
        </w:rPr>
        <w:t>Shares and units transactions file version FINVAS</w:t>
      </w:r>
      <w:r w:rsidR="00884BBD">
        <w:rPr>
          <w:b/>
        </w:rPr>
        <w:t>14.0, FINVAS</w:t>
      </w:r>
      <w:r w:rsidRPr="00352FB2">
        <w:rPr>
          <w:b/>
        </w:rPr>
        <w:t>13.0 or FINVAS12.0 based on the version you lodged.</w:t>
      </w:r>
    </w:p>
    <w:p w14:paraId="04561771" w14:textId="77777777" w:rsidR="00115458" w:rsidRPr="005E2B0F" w:rsidRDefault="00115458" w:rsidP="00DC0112">
      <w:pPr>
        <w:pStyle w:val="Heading2"/>
      </w:pPr>
      <w:bookmarkStart w:id="1971" w:name="_Toc308440842"/>
      <w:bookmarkStart w:id="1972" w:name="_Toc351096837"/>
      <w:bookmarkStart w:id="1973" w:name="_Toc402165674"/>
      <w:bookmarkStart w:id="1974" w:name="_Toc417974919"/>
      <w:bookmarkStart w:id="1975" w:name="_Toc3886589"/>
      <w:bookmarkStart w:id="1976" w:name="_Toc355859650"/>
      <w:bookmarkStart w:id="1977" w:name="_Toc5193031"/>
      <w:bookmarkStart w:id="1978" w:name="_Toc232191381"/>
      <w:r w:rsidRPr="005E2B0F">
        <w:t>Sending files containing corrected AIIR records</w:t>
      </w:r>
      <w:bookmarkEnd w:id="1971"/>
      <w:bookmarkEnd w:id="1972"/>
      <w:bookmarkEnd w:id="1973"/>
      <w:bookmarkEnd w:id="1974"/>
      <w:bookmarkEnd w:id="1975"/>
      <w:bookmarkEnd w:id="1978"/>
    </w:p>
    <w:p w14:paraId="75CE094A" w14:textId="77777777" w:rsidR="00115458" w:rsidRPr="00DC0112" w:rsidRDefault="00115458" w:rsidP="00DC0112">
      <w:pPr>
        <w:spacing w:after="0" w:line="240" w:lineRule="auto"/>
      </w:pPr>
      <w:r w:rsidRPr="00DC0112">
        <w:t xml:space="preserve">Corrected AIIR records should be supplied in the AIIR data file format specified in this document. Investment bodies can report corrected AIIR records to the ATO via online methods. Corrected records should only be used to correct monetary amounts. If other details need to be corrected such as investor name, TFN or ABN, a replacement file must be used. </w:t>
      </w:r>
    </w:p>
    <w:p w14:paraId="7C474168" w14:textId="77777777" w:rsidR="00115458" w:rsidRPr="00DC0112" w:rsidRDefault="00115458" w:rsidP="00DC0112">
      <w:pPr>
        <w:spacing w:after="0" w:line="240" w:lineRule="auto"/>
      </w:pPr>
    </w:p>
    <w:p w14:paraId="54A537C7" w14:textId="77777777" w:rsidR="00115458" w:rsidRPr="00DC0112" w:rsidRDefault="00115458" w:rsidP="00DC0112">
      <w:pPr>
        <w:spacing w:after="0" w:line="240" w:lineRule="auto"/>
      </w:pPr>
      <w:r w:rsidRPr="00DC0112">
        <w:t xml:space="preserve">If an investment body makes adjustments to investment income amounts in the </w:t>
      </w:r>
      <w:r w:rsidRPr="00DC0112">
        <w:rPr>
          <w:i/>
        </w:rPr>
        <w:t xml:space="preserve">Investment account data record, the Supplementary income account data record, the Farm management deposit account data record </w:t>
      </w:r>
      <w:r w:rsidRPr="00DC0112">
        <w:t>and the</w:t>
      </w:r>
      <w:r w:rsidRPr="00DC0112">
        <w:rPr>
          <w:i/>
        </w:rPr>
        <w:t xml:space="preserve"> Sale of securities data record </w:t>
      </w:r>
      <w:r w:rsidRPr="00DC0112">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6159B704" w14:textId="77777777" w:rsidR="00115458" w:rsidRPr="00DC0112" w:rsidRDefault="00115458" w:rsidP="00DC0112">
      <w:pPr>
        <w:spacing w:after="0" w:line="240" w:lineRule="auto"/>
      </w:pPr>
    </w:p>
    <w:p w14:paraId="49CEF99B" w14:textId="77777777" w:rsidR="00115458" w:rsidRPr="00DC0112" w:rsidRDefault="00115458" w:rsidP="00DC0112">
      <w:pPr>
        <w:spacing w:after="0" w:line="240" w:lineRule="auto"/>
      </w:pPr>
      <w:r w:rsidRPr="00DC0112">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244A9164" w14:textId="77777777" w:rsidR="00115458" w:rsidRPr="00DC0112" w:rsidRDefault="00115458" w:rsidP="00DC0112">
      <w:pPr>
        <w:spacing w:after="0" w:line="240" w:lineRule="auto"/>
      </w:pPr>
    </w:p>
    <w:p w14:paraId="5BB87A40" w14:textId="77777777" w:rsidR="00115458" w:rsidRPr="00DC0112" w:rsidRDefault="00115458" w:rsidP="00DC0112">
      <w:pPr>
        <w:spacing w:after="0" w:line="240" w:lineRule="auto"/>
      </w:pPr>
      <w:r w:rsidRPr="00DC0112">
        <w:t>The amount reported to the ATO should be the correct amount for the account for the year or for the date of payment and not the difference between the amount originally reported and the correct amount.</w:t>
      </w:r>
    </w:p>
    <w:p w14:paraId="4F36C9AF" w14:textId="77777777" w:rsidR="00115458" w:rsidRPr="00DC0112" w:rsidRDefault="00115458" w:rsidP="00DC0112">
      <w:pPr>
        <w:spacing w:after="0" w:line="240" w:lineRule="auto"/>
      </w:pPr>
    </w:p>
    <w:p w14:paraId="03E40FA7" w14:textId="77777777" w:rsidR="00115458" w:rsidRPr="00DC0112" w:rsidRDefault="00115458" w:rsidP="00DC0112">
      <w:pPr>
        <w:spacing w:after="0" w:line="240" w:lineRule="auto"/>
        <w:rPr>
          <w:b/>
          <w:bCs/>
          <w:i/>
          <w:iCs/>
        </w:rPr>
      </w:pPr>
      <w:r w:rsidRPr="00DC0112">
        <w:rPr>
          <w:b/>
          <w:bCs/>
          <w:i/>
          <w:iCs/>
        </w:rPr>
        <w:t xml:space="preserve">Only records that have been previously supplied can be corrected. The corrected record file cannot be used to add records to or remove records from a report. If records are to be added and a replacement file is not practical due to the number of records to be added, another original AIIR may be lodged. Please contact us via </w:t>
      </w:r>
      <w:hyperlink r:id="rId42" w:history="1">
        <w:r w:rsidRPr="00DC0112">
          <w:rPr>
            <w:rStyle w:val="Hyperlink"/>
            <w:bCs/>
            <w:i/>
            <w:iCs/>
          </w:rPr>
          <w:t>ato-dmi@ato.gov.au</w:t>
        </w:r>
      </w:hyperlink>
      <w:r w:rsidRPr="00DC0112">
        <w:rPr>
          <w:b/>
          <w:bCs/>
          <w:i/>
          <w:iCs/>
        </w:rPr>
        <w:t xml:space="preserve"> to discuss options when records are to be removed from a report.</w:t>
      </w:r>
    </w:p>
    <w:p w14:paraId="5F391B4F" w14:textId="77777777" w:rsidR="00115458" w:rsidRPr="00DC0112" w:rsidRDefault="00115458" w:rsidP="00DC0112">
      <w:pPr>
        <w:spacing w:after="0" w:line="240" w:lineRule="auto"/>
        <w:rPr>
          <w:i/>
          <w:iCs/>
        </w:rPr>
      </w:pPr>
    </w:p>
    <w:p w14:paraId="2CD994E5" w14:textId="77777777" w:rsidR="00115458" w:rsidRPr="00DC0112" w:rsidRDefault="00115458" w:rsidP="00DC0112">
      <w:pPr>
        <w:spacing w:after="0" w:line="240" w:lineRule="auto"/>
      </w:pPr>
      <w:r w:rsidRPr="00DC0112">
        <w:t>The corrected records reported to the ATO must include:</w:t>
      </w:r>
    </w:p>
    <w:p w14:paraId="3231DDF3" w14:textId="77777777" w:rsidR="00115458" w:rsidRPr="00DC0112" w:rsidRDefault="00115458" w:rsidP="00DC0112">
      <w:pPr>
        <w:spacing w:after="0" w:line="240" w:lineRule="auto"/>
      </w:pPr>
    </w:p>
    <w:p w14:paraId="3E1C7511" w14:textId="77777777" w:rsidR="00115458" w:rsidRPr="00DC0112" w:rsidRDefault="00115458" w:rsidP="00DC0112">
      <w:pPr>
        <w:numPr>
          <w:ilvl w:val="0"/>
          <w:numId w:val="87"/>
        </w:numPr>
        <w:spacing w:after="0" w:line="240" w:lineRule="auto"/>
      </w:pPr>
      <w:r w:rsidRPr="00DC0112">
        <w:t xml:space="preserve">the </w:t>
      </w:r>
      <w:r w:rsidRPr="00DC0112">
        <w:rPr>
          <w:i/>
        </w:rPr>
        <w:t xml:space="preserve">Investment account data record </w:t>
      </w:r>
      <w:r w:rsidRPr="00DC0112">
        <w:t>that has been corrected</w:t>
      </w:r>
    </w:p>
    <w:p w14:paraId="64C3D315" w14:textId="77777777" w:rsidR="00115458" w:rsidRPr="00DC0112" w:rsidRDefault="00115458" w:rsidP="00DC0112">
      <w:pPr>
        <w:numPr>
          <w:ilvl w:val="0"/>
          <w:numId w:val="87"/>
        </w:numPr>
        <w:spacing w:after="0" w:line="240" w:lineRule="auto"/>
      </w:pPr>
      <w:r w:rsidRPr="00DC0112">
        <w:t xml:space="preserve">the </w:t>
      </w:r>
      <w:r w:rsidRPr="00DC0112">
        <w:rPr>
          <w:i/>
        </w:rPr>
        <w:t>Supplementary income account data record</w:t>
      </w:r>
      <w:r w:rsidRPr="00DC0112">
        <w:t xml:space="preserve"> that has been corrected (if any)</w:t>
      </w:r>
    </w:p>
    <w:p w14:paraId="4785B887" w14:textId="77777777" w:rsidR="00115458" w:rsidRPr="00DC0112" w:rsidRDefault="00115458" w:rsidP="00DC0112">
      <w:pPr>
        <w:numPr>
          <w:ilvl w:val="0"/>
          <w:numId w:val="87"/>
        </w:numPr>
        <w:spacing w:after="0" w:line="240" w:lineRule="auto"/>
      </w:pPr>
      <w:r w:rsidRPr="00DC0112">
        <w:t xml:space="preserve">the </w:t>
      </w:r>
      <w:r w:rsidRPr="00DC0112">
        <w:rPr>
          <w:i/>
        </w:rPr>
        <w:t xml:space="preserve">Farm management deposit account data record </w:t>
      </w:r>
      <w:r w:rsidRPr="00DC0112">
        <w:t>that has been corrected (if any) (FMD records (excluding FMD interest changes) cannot be corrected using the AIIR PC spreadsheet)</w:t>
      </w:r>
    </w:p>
    <w:p w14:paraId="7004DC18" w14:textId="77777777" w:rsidR="00115458" w:rsidRPr="00DC0112" w:rsidRDefault="00115458" w:rsidP="00DC0112">
      <w:pPr>
        <w:numPr>
          <w:ilvl w:val="0"/>
          <w:numId w:val="87"/>
        </w:numPr>
        <w:spacing w:after="0" w:line="240" w:lineRule="auto"/>
      </w:pPr>
      <w:r w:rsidRPr="00DC0112">
        <w:t xml:space="preserve">all of the </w:t>
      </w:r>
      <w:r w:rsidRPr="00DC0112">
        <w:rPr>
          <w:i/>
        </w:rPr>
        <w:t>Investor data records</w:t>
      </w:r>
      <w:r w:rsidRPr="00DC0112">
        <w:t xml:space="preserve"> associated with the corrected account data record, and</w:t>
      </w:r>
    </w:p>
    <w:p w14:paraId="057C88BF" w14:textId="77777777" w:rsidR="00115458" w:rsidRPr="00DC0112" w:rsidRDefault="00115458" w:rsidP="00DC0112">
      <w:pPr>
        <w:numPr>
          <w:ilvl w:val="0"/>
          <w:numId w:val="87"/>
        </w:numPr>
        <w:spacing w:after="0" w:line="240" w:lineRule="auto"/>
      </w:pPr>
      <w:r w:rsidRPr="00DC0112">
        <w:t>all of the relevant account and investor details and not just the corrected data element(s).</w:t>
      </w:r>
    </w:p>
    <w:p w14:paraId="1596BCF7" w14:textId="77777777" w:rsidR="00115458" w:rsidRPr="00DC0112" w:rsidRDefault="00115458" w:rsidP="00DC0112">
      <w:pPr>
        <w:spacing w:after="0" w:line="240" w:lineRule="auto"/>
      </w:pPr>
    </w:p>
    <w:p w14:paraId="52DBFE56" w14:textId="77777777" w:rsidR="00115458" w:rsidRPr="00DC0112" w:rsidRDefault="00115458" w:rsidP="00DC0112">
      <w:pPr>
        <w:spacing w:after="0" w:line="240" w:lineRule="auto"/>
        <w:rPr>
          <w:rFonts w:cs="Arial"/>
        </w:rPr>
      </w:pPr>
      <w:r w:rsidRPr="00DC0112">
        <w:t xml:space="preserve">The data file should contain only the corrected records and must be identified by setting the </w:t>
      </w:r>
      <w:r w:rsidRPr="00DC0112">
        <w:rPr>
          <w:i/>
        </w:rPr>
        <w:t xml:space="preserve">Type of report </w:t>
      </w:r>
      <w:r w:rsidRPr="00DC0112">
        <w:t xml:space="preserve">field in the </w:t>
      </w:r>
      <w:r w:rsidRPr="00DC0112">
        <w:rPr>
          <w:i/>
        </w:rPr>
        <w:t>Supplier data record 1</w:t>
      </w:r>
      <w:r w:rsidRPr="00DC0112">
        <w:t xml:space="preserve"> to </w:t>
      </w:r>
      <w:r w:rsidRPr="00DC0112">
        <w:rPr>
          <w:b/>
        </w:rPr>
        <w:t>C</w:t>
      </w:r>
      <w:r w:rsidRPr="00DC0112">
        <w:t xml:space="preserve">. </w:t>
      </w:r>
    </w:p>
    <w:p w14:paraId="5CB90255" w14:textId="77777777" w:rsidR="00115458" w:rsidRPr="00DC0112" w:rsidRDefault="00115458" w:rsidP="00DC0112">
      <w:pPr>
        <w:spacing w:after="0" w:line="240" w:lineRule="auto"/>
      </w:pPr>
    </w:p>
    <w:p w14:paraId="409B4F98" w14:textId="77777777" w:rsidR="00115458" w:rsidRPr="00DC0112" w:rsidRDefault="00115458" w:rsidP="00DC0112">
      <w:pPr>
        <w:spacing w:after="0" w:line="240" w:lineRule="auto"/>
      </w:pPr>
      <w:r w:rsidRPr="00DC0112">
        <w:t>When supplying corrected AIIR records, the following information must be reported:</w:t>
      </w:r>
    </w:p>
    <w:p w14:paraId="21495675" w14:textId="77777777" w:rsidR="00115458" w:rsidRPr="00DC0112" w:rsidRDefault="00115458" w:rsidP="00DC0112">
      <w:pPr>
        <w:numPr>
          <w:ilvl w:val="0"/>
          <w:numId w:val="88"/>
        </w:numPr>
        <w:spacing w:after="0" w:line="240" w:lineRule="auto"/>
      </w:pPr>
      <w:r w:rsidRPr="00DC0112">
        <w:rPr>
          <w:i/>
        </w:rPr>
        <w:t>Supplier data record 1</w:t>
      </w:r>
      <w:r w:rsidRPr="00DC0112">
        <w:t xml:space="preserve"> – </w:t>
      </w:r>
      <w:r w:rsidRPr="00DC0112">
        <w:rPr>
          <w:i/>
        </w:rPr>
        <w:t xml:space="preserve">Type of report </w:t>
      </w:r>
      <w:r w:rsidRPr="00DC0112">
        <w:t xml:space="preserve">field must be set to </w:t>
      </w:r>
      <w:r w:rsidRPr="00DC0112">
        <w:rPr>
          <w:b/>
        </w:rPr>
        <w:t>C</w:t>
      </w:r>
    </w:p>
    <w:p w14:paraId="158690FC" w14:textId="77777777" w:rsidR="00115458" w:rsidRPr="00DC0112" w:rsidRDefault="00115458" w:rsidP="00DC0112">
      <w:pPr>
        <w:numPr>
          <w:ilvl w:val="0"/>
          <w:numId w:val="88"/>
        </w:numPr>
        <w:spacing w:after="0" w:line="240" w:lineRule="auto"/>
      </w:pPr>
      <w:r w:rsidRPr="00DC0112">
        <w:rPr>
          <w:i/>
        </w:rPr>
        <w:t>Supplier data record 2</w:t>
      </w:r>
      <w:r w:rsidRPr="00DC0112">
        <w:t xml:space="preserve"> – </w:t>
      </w:r>
      <w:r w:rsidRPr="00DC0112">
        <w:rPr>
          <w:i/>
        </w:rPr>
        <w:t>Supplier file reference</w:t>
      </w:r>
      <w:r w:rsidRPr="00DC0112">
        <w:t xml:space="preserve"> field must be set to the </w:t>
      </w:r>
      <w:r w:rsidRPr="00DC0112">
        <w:rPr>
          <w:i/>
        </w:rPr>
        <w:t>Supplier file reference</w:t>
      </w:r>
      <w:r w:rsidRPr="00DC0112">
        <w:t xml:space="preserve"> for the current file</w:t>
      </w:r>
    </w:p>
    <w:p w14:paraId="6674DC26" w14:textId="77777777" w:rsidR="00115458" w:rsidRPr="00DC0112" w:rsidRDefault="00115458" w:rsidP="00DC0112">
      <w:pPr>
        <w:numPr>
          <w:ilvl w:val="0"/>
          <w:numId w:val="88"/>
        </w:numPr>
        <w:spacing w:after="0" w:line="240" w:lineRule="auto"/>
      </w:pPr>
      <w:r w:rsidRPr="00DC0112">
        <w:rPr>
          <w:i/>
        </w:rPr>
        <w:t>Supplier data record 2</w:t>
      </w:r>
      <w:r w:rsidRPr="00DC0112">
        <w:t xml:space="preserve"> – </w:t>
      </w:r>
      <w:r w:rsidRPr="00DC0112">
        <w:rPr>
          <w:i/>
        </w:rPr>
        <w:t xml:space="preserve">Supplier file reference of file being replaced or containing records to be corrected </w:t>
      </w:r>
      <w:r w:rsidRPr="00DC0112">
        <w:t>field must be set to the supplier file reference of the previously supplied file to be corrected</w:t>
      </w:r>
    </w:p>
    <w:p w14:paraId="2C2E9E62" w14:textId="77777777" w:rsidR="00115458" w:rsidRPr="00DC0112" w:rsidRDefault="00115458" w:rsidP="00DC0112">
      <w:pPr>
        <w:numPr>
          <w:ilvl w:val="0"/>
          <w:numId w:val="88"/>
        </w:numPr>
        <w:spacing w:after="0" w:line="240" w:lineRule="auto"/>
      </w:pPr>
      <w:r w:rsidRPr="00DC0112">
        <w:rPr>
          <w:i/>
        </w:rPr>
        <w:t>Investment body identity data record</w:t>
      </w:r>
      <w:r w:rsidRPr="00DC0112">
        <w:t xml:space="preserve"> – </w:t>
      </w:r>
      <w:r w:rsidRPr="00DC0112">
        <w:rPr>
          <w:i/>
        </w:rPr>
        <w:t>Sequence number of IDENTITY record</w:t>
      </w:r>
      <w:r w:rsidRPr="00DC0112">
        <w:t xml:space="preserve"> field must be set to the sequence number of the </w:t>
      </w:r>
      <w:r w:rsidRPr="00DC0112">
        <w:rPr>
          <w:i/>
        </w:rPr>
        <w:t>Investment body identity data record</w:t>
      </w:r>
      <w:r w:rsidRPr="00DC0112">
        <w:t xml:space="preserve"> in the original file to be corrected</w:t>
      </w:r>
    </w:p>
    <w:p w14:paraId="137EE3C1" w14:textId="77777777" w:rsidR="00115458" w:rsidRPr="00DC0112" w:rsidRDefault="00115458" w:rsidP="00DC0112">
      <w:pPr>
        <w:numPr>
          <w:ilvl w:val="0"/>
          <w:numId w:val="88"/>
        </w:numPr>
        <w:spacing w:after="0" w:line="240" w:lineRule="auto"/>
      </w:pPr>
      <w:r w:rsidRPr="00DC0112">
        <w:rPr>
          <w:i/>
        </w:rPr>
        <w:t>Software data record</w:t>
      </w:r>
      <w:r w:rsidRPr="00DC0112">
        <w:t xml:space="preserve"> - </w:t>
      </w:r>
      <w:r w:rsidRPr="00DC0112">
        <w:rPr>
          <w:i/>
        </w:rPr>
        <w:t>Software product type</w:t>
      </w:r>
      <w:r w:rsidRPr="00DC0112">
        <w:t xml:space="preserve"> field must be set to the </w:t>
      </w:r>
      <w:r w:rsidRPr="00DC0112">
        <w:rPr>
          <w:i/>
        </w:rPr>
        <w:t>Software product type</w:t>
      </w:r>
      <w:r w:rsidRPr="00DC0112">
        <w:t xml:space="preserve"> in the file to be corrected</w:t>
      </w:r>
    </w:p>
    <w:p w14:paraId="05F427E7" w14:textId="77777777" w:rsidR="00115458" w:rsidRPr="00DC0112" w:rsidRDefault="00115458" w:rsidP="00DC0112">
      <w:pPr>
        <w:numPr>
          <w:ilvl w:val="0"/>
          <w:numId w:val="88"/>
        </w:numPr>
        <w:spacing w:after="0" w:line="240" w:lineRule="auto"/>
      </w:pPr>
      <w:r w:rsidRPr="00DC0112">
        <w:rPr>
          <w:i/>
        </w:rPr>
        <w:t>Investment account data record</w:t>
      </w:r>
      <w:r w:rsidRPr="00DC0112">
        <w:t xml:space="preserve"> – </w:t>
      </w:r>
      <w:r w:rsidRPr="00DC0112">
        <w:rPr>
          <w:i/>
        </w:rPr>
        <w:t xml:space="preserve">Sequence number of DACCOUNT record </w:t>
      </w:r>
      <w:r w:rsidRPr="00DC0112">
        <w:t xml:space="preserve">field must be set to the sequence number of the </w:t>
      </w:r>
      <w:r w:rsidRPr="00DC0112">
        <w:rPr>
          <w:i/>
        </w:rPr>
        <w:t>Investment account data record</w:t>
      </w:r>
      <w:r w:rsidRPr="00DC0112">
        <w:t xml:space="preserve"> in the previously supplied file to be corrected</w:t>
      </w:r>
    </w:p>
    <w:p w14:paraId="02AB72A8" w14:textId="77777777" w:rsidR="00115458" w:rsidRPr="00DC0112" w:rsidRDefault="00115458" w:rsidP="00DC0112">
      <w:pPr>
        <w:numPr>
          <w:ilvl w:val="0"/>
          <w:numId w:val="88"/>
        </w:numPr>
        <w:spacing w:after="0" w:line="240" w:lineRule="auto"/>
      </w:pPr>
      <w:r w:rsidRPr="00DC0112">
        <w:rPr>
          <w:i/>
        </w:rPr>
        <w:t xml:space="preserve">Farm management deposit account data record </w:t>
      </w:r>
      <w:r w:rsidRPr="00DC0112">
        <w:t xml:space="preserve">(if any) – </w:t>
      </w:r>
      <w:r w:rsidRPr="00DC0112">
        <w:rPr>
          <w:i/>
        </w:rPr>
        <w:t xml:space="preserve">Sequence number of DFMDACCT record </w:t>
      </w:r>
      <w:r w:rsidRPr="00DC0112">
        <w:t xml:space="preserve">field must be set to the sequence number of the </w:t>
      </w:r>
      <w:r w:rsidRPr="00DC0112">
        <w:rPr>
          <w:i/>
        </w:rPr>
        <w:t xml:space="preserve">Farm management deposit account data record </w:t>
      </w:r>
      <w:r w:rsidRPr="00DC0112">
        <w:t>in the previously supplied file to be corrected</w:t>
      </w:r>
    </w:p>
    <w:p w14:paraId="065A512E" w14:textId="77777777" w:rsidR="00115458" w:rsidRPr="00DC0112" w:rsidRDefault="00115458" w:rsidP="00DC0112">
      <w:pPr>
        <w:numPr>
          <w:ilvl w:val="0"/>
          <w:numId w:val="88"/>
        </w:numPr>
        <w:spacing w:after="0" w:line="240" w:lineRule="auto"/>
      </w:pPr>
      <w:r w:rsidRPr="00DC0112">
        <w:rPr>
          <w:i/>
        </w:rPr>
        <w:t>Investor data record</w:t>
      </w:r>
      <w:r w:rsidRPr="00DC0112">
        <w:t xml:space="preserve"> – </w:t>
      </w:r>
      <w:r w:rsidRPr="00DC0112">
        <w:rPr>
          <w:i/>
        </w:rPr>
        <w:t xml:space="preserve">Sequence number of DINVESTOR record </w:t>
      </w:r>
      <w:r w:rsidRPr="00DC0112">
        <w:t xml:space="preserve">field must be set to the sequence number of the </w:t>
      </w:r>
      <w:r w:rsidRPr="00DC0112">
        <w:rPr>
          <w:i/>
        </w:rPr>
        <w:t>Investor data record</w:t>
      </w:r>
      <w:r w:rsidRPr="00DC0112">
        <w:t xml:space="preserve"> in the account in the previously supplied file to be corrected.</w:t>
      </w:r>
    </w:p>
    <w:p w14:paraId="51E90364" w14:textId="77777777" w:rsidR="00115458" w:rsidRPr="00DC0112" w:rsidRDefault="00115458" w:rsidP="00DC0112">
      <w:pPr>
        <w:spacing w:after="0" w:line="240" w:lineRule="auto"/>
        <w:rPr>
          <w:rFonts w:cs="Arial"/>
        </w:rPr>
      </w:pPr>
    </w:p>
    <w:p w14:paraId="7333EE34" w14:textId="4C81324D" w:rsidR="00115458" w:rsidRDefault="00DC0112" w:rsidP="00DC0112">
      <w:pPr>
        <w:spacing w:after="0" w:line="240" w:lineRule="auto"/>
        <w:rPr>
          <w:b/>
        </w:rPr>
      </w:pPr>
      <w:r>
        <w:rPr>
          <w:b/>
        </w:rPr>
        <w:t>Example</w:t>
      </w:r>
    </w:p>
    <w:p w14:paraId="02966A80" w14:textId="77777777" w:rsidR="00DC0112" w:rsidRPr="00DC0112" w:rsidRDefault="00DC0112" w:rsidP="00DC0112">
      <w:pPr>
        <w:spacing w:after="0" w:line="240" w:lineRule="auto"/>
        <w:rPr>
          <w:b/>
        </w:rPr>
      </w:pPr>
    </w:p>
    <w:p w14:paraId="2A463E79" w14:textId="77777777" w:rsidR="00115458" w:rsidRPr="00DC0112" w:rsidRDefault="00115458" w:rsidP="00DC0112">
      <w:pPr>
        <w:spacing w:after="0" w:line="240" w:lineRule="auto"/>
      </w:pPr>
      <w:r w:rsidRPr="00DC0112">
        <w:t>In the example below, File 1 contains the original data. File 2 contains only corrected records for:</w:t>
      </w:r>
    </w:p>
    <w:p w14:paraId="63D76BEA" w14:textId="77777777" w:rsidR="00115458" w:rsidRPr="00DC0112" w:rsidRDefault="00115458" w:rsidP="00DC0112">
      <w:pPr>
        <w:spacing w:after="0" w:line="240" w:lineRule="auto"/>
      </w:pPr>
    </w:p>
    <w:p w14:paraId="5A53E68B" w14:textId="77777777" w:rsidR="00115458" w:rsidRPr="00DC0112" w:rsidRDefault="00115458" w:rsidP="00DC0112">
      <w:pPr>
        <w:numPr>
          <w:ilvl w:val="0"/>
          <w:numId w:val="89"/>
        </w:numPr>
        <w:spacing w:after="0" w:line="240" w:lineRule="auto"/>
      </w:pPr>
      <w:r w:rsidRPr="00DC0112">
        <w:t>IDENTITY 1, DACCOUNT 2 and its two associated investor records, and</w:t>
      </w:r>
    </w:p>
    <w:p w14:paraId="5FC049F8" w14:textId="77777777" w:rsidR="00115458" w:rsidRPr="00DC0112" w:rsidRDefault="00115458" w:rsidP="00DC0112">
      <w:pPr>
        <w:numPr>
          <w:ilvl w:val="0"/>
          <w:numId w:val="89"/>
        </w:numPr>
        <w:spacing w:after="0" w:line="240" w:lineRule="auto"/>
      </w:pPr>
      <w:r w:rsidRPr="00DC0112">
        <w:t>IDENTITY 3, DACCOUNT 3 and its one associated investor records.</w:t>
      </w:r>
    </w:p>
    <w:p w14:paraId="6EE2A960" w14:textId="77777777" w:rsidR="00115458" w:rsidRPr="00DC0112" w:rsidRDefault="00115458" w:rsidP="00DC0112">
      <w:pPr>
        <w:spacing w:after="0" w:line="240" w:lineRule="auto"/>
      </w:pPr>
    </w:p>
    <w:p w14:paraId="0888B280" w14:textId="77777777" w:rsidR="00115458" w:rsidRPr="00DC0112" w:rsidRDefault="00115458" w:rsidP="00DC0112">
      <w:pPr>
        <w:spacing w:after="0" w:line="240" w:lineRule="auto"/>
        <w:rPr>
          <w:b/>
        </w:rPr>
      </w:pPr>
      <w:r w:rsidRPr="00DC0112">
        <w:rPr>
          <w:b/>
        </w:rPr>
        <w:t>File 1 (original)</w:t>
      </w:r>
    </w:p>
    <w:p w14:paraId="7F349E41" w14:textId="77777777" w:rsidR="00115458" w:rsidRPr="00DC0112" w:rsidRDefault="00115458" w:rsidP="00DC0112">
      <w:pPr>
        <w:spacing w:after="0" w:line="240" w:lineRule="auto"/>
      </w:pPr>
    </w:p>
    <w:tbl>
      <w:tblPr>
        <w:tblW w:w="9600" w:type="dxa"/>
        <w:tblLayout w:type="fixed"/>
        <w:tblLook w:val="0000" w:firstRow="0" w:lastRow="0" w:firstColumn="0" w:lastColumn="0" w:noHBand="0" w:noVBand="0"/>
      </w:tblPr>
      <w:tblGrid>
        <w:gridCol w:w="2119"/>
        <w:gridCol w:w="850"/>
        <w:gridCol w:w="1319"/>
        <w:gridCol w:w="1233"/>
        <w:gridCol w:w="1199"/>
        <w:gridCol w:w="1440"/>
        <w:gridCol w:w="1440"/>
      </w:tblGrid>
      <w:tr w:rsidR="00115458" w:rsidRPr="00DC0112" w14:paraId="7011F25E" w14:textId="77777777" w:rsidTr="00DC0112">
        <w:trPr>
          <w:tblHeader/>
        </w:trPr>
        <w:tc>
          <w:tcPr>
            <w:tcW w:w="2119" w:type="dxa"/>
            <w:tcBorders>
              <w:top w:val="single" w:sz="6" w:space="0" w:color="auto"/>
              <w:left w:val="single" w:sz="6" w:space="0" w:color="auto"/>
              <w:bottom w:val="single" w:sz="6" w:space="0" w:color="auto"/>
              <w:right w:val="single" w:sz="6" w:space="0" w:color="auto"/>
            </w:tcBorders>
          </w:tcPr>
          <w:p w14:paraId="20A827F0" w14:textId="77777777" w:rsidR="00115458" w:rsidRPr="00DC0112" w:rsidRDefault="00115458" w:rsidP="00DC0112">
            <w:pPr>
              <w:spacing w:after="0" w:line="240" w:lineRule="auto"/>
            </w:pPr>
            <w:r w:rsidRPr="00DC0112">
              <w:t>Record</w:t>
            </w:r>
          </w:p>
        </w:tc>
        <w:tc>
          <w:tcPr>
            <w:tcW w:w="850" w:type="dxa"/>
            <w:tcBorders>
              <w:top w:val="single" w:sz="6" w:space="0" w:color="auto"/>
              <w:left w:val="single" w:sz="6" w:space="0" w:color="auto"/>
              <w:bottom w:val="single" w:sz="6" w:space="0" w:color="auto"/>
              <w:right w:val="single" w:sz="6" w:space="0" w:color="auto"/>
            </w:tcBorders>
          </w:tcPr>
          <w:p w14:paraId="6E10F3A2" w14:textId="77777777" w:rsidR="00115458" w:rsidRPr="00DC0112" w:rsidRDefault="00115458" w:rsidP="00DC0112">
            <w:pPr>
              <w:spacing w:after="0" w:line="240" w:lineRule="auto"/>
            </w:pPr>
            <w:r w:rsidRPr="00DC0112">
              <w:t>Type of Report</w:t>
            </w:r>
          </w:p>
        </w:tc>
        <w:tc>
          <w:tcPr>
            <w:tcW w:w="1319" w:type="dxa"/>
            <w:tcBorders>
              <w:top w:val="single" w:sz="6" w:space="0" w:color="auto"/>
              <w:left w:val="single" w:sz="6" w:space="0" w:color="auto"/>
              <w:bottom w:val="single" w:sz="6" w:space="0" w:color="auto"/>
              <w:right w:val="single" w:sz="6" w:space="0" w:color="auto"/>
            </w:tcBorders>
          </w:tcPr>
          <w:p w14:paraId="1B5F78B4" w14:textId="77777777" w:rsidR="00115458" w:rsidRPr="00DC0112" w:rsidRDefault="00115458" w:rsidP="00DC0112">
            <w:pPr>
              <w:spacing w:after="0" w:line="240" w:lineRule="auto"/>
            </w:pPr>
            <w:r w:rsidRPr="00DC0112">
              <w:t>Supplier file reference of the current file</w:t>
            </w:r>
          </w:p>
        </w:tc>
        <w:tc>
          <w:tcPr>
            <w:tcW w:w="1233" w:type="dxa"/>
            <w:tcBorders>
              <w:top w:val="single" w:sz="6" w:space="0" w:color="auto"/>
              <w:left w:val="single" w:sz="6" w:space="0" w:color="auto"/>
              <w:bottom w:val="single" w:sz="6" w:space="0" w:color="auto"/>
              <w:right w:val="single" w:sz="6" w:space="0" w:color="auto"/>
            </w:tcBorders>
          </w:tcPr>
          <w:p w14:paraId="38A645C4" w14:textId="77777777" w:rsidR="00115458" w:rsidRPr="00DC0112" w:rsidRDefault="00115458" w:rsidP="00DC0112">
            <w:pPr>
              <w:spacing w:after="0" w:line="240" w:lineRule="auto"/>
            </w:pPr>
            <w:r w:rsidRPr="00DC0112">
              <w:t>Supplier file reference of file being corrected</w:t>
            </w:r>
          </w:p>
        </w:tc>
        <w:tc>
          <w:tcPr>
            <w:tcW w:w="1199" w:type="dxa"/>
            <w:tcBorders>
              <w:top w:val="single" w:sz="6" w:space="0" w:color="auto"/>
              <w:left w:val="single" w:sz="6" w:space="0" w:color="auto"/>
              <w:bottom w:val="single" w:sz="6" w:space="0" w:color="auto"/>
              <w:right w:val="single" w:sz="6" w:space="0" w:color="auto"/>
            </w:tcBorders>
          </w:tcPr>
          <w:p w14:paraId="5DCF48C4" w14:textId="77777777" w:rsidR="00115458" w:rsidRPr="00DC0112" w:rsidRDefault="00115458" w:rsidP="00DC0112">
            <w:pPr>
              <w:spacing w:after="0" w:line="240" w:lineRule="auto"/>
            </w:pPr>
            <w:r w:rsidRPr="00DC0112">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74277BDD" w14:textId="77777777" w:rsidR="00115458" w:rsidRPr="00DC0112" w:rsidRDefault="00115458" w:rsidP="00DC0112">
            <w:pPr>
              <w:spacing w:after="0" w:line="240" w:lineRule="auto"/>
            </w:pPr>
            <w:r w:rsidRPr="00DC0112">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29C7C65F" w14:textId="77777777" w:rsidR="00115458" w:rsidRPr="00DC0112" w:rsidRDefault="00115458" w:rsidP="00DC0112">
            <w:pPr>
              <w:spacing w:after="0" w:line="240" w:lineRule="auto"/>
            </w:pPr>
            <w:r w:rsidRPr="00DC0112">
              <w:t>Sequence number of DINVESTOR record in the current account</w:t>
            </w:r>
          </w:p>
        </w:tc>
      </w:tr>
      <w:tr w:rsidR="00115458" w:rsidRPr="00DC0112" w14:paraId="6DCDC4C3"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7B8BE167" w14:textId="77777777" w:rsidR="00115458" w:rsidRPr="00DC0112" w:rsidRDefault="00115458" w:rsidP="00DC0112">
            <w:pPr>
              <w:spacing w:after="0" w:line="240" w:lineRule="auto"/>
            </w:pPr>
            <w:r w:rsidRPr="00DC0112">
              <w:t>IDENTREGISTER1</w:t>
            </w:r>
          </w:p>
        </w:tc>
        <w:tc>
          <w:tcPr>
            <w:tcW w:w="850" w:type="dxa"/>
            <w:tcBorders>
              <w:top w:val="single" w:sz="6" w:space="0" w:color="auto"/>
              <w:left w:val="single" w:sz="6" w:space="0" w:color="auto"/>
              <w:bottom w:val="single" w:sz="6" w:space="0" w:color="auto"/>
              <w:right w:val="single" w:sz="6" w:space="0" w:color="auto"/>
            </w:tcBorders>
          </w:tcPr>
          <w:p w14:paraId="405323EE" w14:textId="77777777" w:rsidR="00115458" w:rsidRPr="00DC0112" w:rsidRDefault="00115458" w:rsidP="00DC0112">
            <w:pPr>
              <w:spacing w:after="0" w:line="240" w:lineRule="auto"/>
            </w:pPr>
            <w:r w:rsidRPr="00DC0112">
              <w:t>A</w:t>
            </w:r>
          </w:p>
        </w:tc>
        <w:tc>
          <w:tcPr>
            <w:tcW w:w="1319" w:type="dxa"/>
            <w:tcBorders>
              <w:top w:val="single" w:sz="6" w:space="0" w:color="auto"/>
              <w:left w:val="single" w:sz="6" w:space="0" w:color="auto"/>
              <w:bottom w:val="single" w:sz="6" w:space="0" w:color="auto"/>
              <w:right w:val="single" w:sz="6" w:space="0" w:color="auto"/>
            </w:tcBorders>
          </w:tcPr>
          <w:p w14:paraId="50963082"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2CCFDD45"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3D68651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8FA6EE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A7D8E6C" w14:textId="77777777" w:rsidR="00115458" w:rsidRPr="00DC0112" w:rsidRDefault="00115458" w:rsidP="00DC0112">
            <w:pPr>
              <w:spacing w:after="0" w:line="240" w:lineRule="auto"/>
            </w:pPr>
          </w:p>
        </w:tc>
      </w:tr>
      <w:tr w:rsidR="00115458" w:rsidRPr="00DC0112" w14:paraId="6ECB1BD5"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0A024C87" w14:textId="77777777" w:rsidR="00115458" w:rsidRPr="00DC0112" w:rsidRDefault="00115458" w:rsidP="00DC0112">
            <w:pPr>
              <w:spacing w:after="0" w:line="240" w:lineRule="auto"/>
            </w:pPr>
            <w:r w:rsidRPr="00DC0112">
              <w:t>IDENTREGISTER2</w:t>
            </w:r>
          </w:p>
        </w:tc>
        <w:tc>
          <w:tcPr>
            <w:tcW w:w="850" w:type="dxa"/>
            <w:tcBorders>
              <w:top w:val="single" w:sz="6" w:space="0" w:color="auto"/>
              <w:left w:val="single" w:sz="6" w:space="0" w:color="auto"/>
              <w:bottom w:val="single" w:sz="6" w:space="0" w:color="auto"/>
              <w:right w:val="single" w:sz="6" w:space="0" w:color="auto"/>
            </w:tcBorders>
          </w:tcPr>
          <w:p w14:paraId="153E88E0"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1B15A4D6" w14:textId="77777777" w:rsidR="00115458" w:rsidRPr="00DC0112" w:rsidRDefault="00115458" w:rsidP="00DC0112">
            <w:pPr>
              <w:spacing w:after="0" w:line="240" w:lineRule="auto"/>
            </w:pPr>
            <w:r w:rsidRPr="00DC0112">
              <w:t>ABC001</w:t>
            </w:r>
          </w:p>
        </w:tc>
        <w:tc>
          <w:tcPr>
            <w:tcW w:w="1233" w:type="dxa"/>
            <w:tcBorders>
              <w:top w:val="single" w:sz="6" w:space="0" w:color="auto"/>
              <w:left w:val="single" w:sz="6" w:space="0" w:color="auto"/>
              <w:bottom w:val="single" w:sz="6" w:space="0" w:color="auto"/>
              <w:right w:val="single" w:sz="6" w:space="0" w:color="auto"/>
            </w:tcBorders>
          </w:tcPr>
          <w:p w14:paraId="286166B5" w14:textId="77777777" w:rsidR="00115458" w:rsidRPr="00DC0112" w:rsidRDefault="00115458" w:rsidP="00DC0112">
            <w:pPr>
              <w:spacing w:after="0" w:line="240" w:lineRule="auto"/>
            </w:pPr>
            <w:r w:rsidRPr="00DC0112">
              <w:t>Blank</w:t>
            </w:r>
          </w:p>
        </w:tc>
        <w:tc>
          <w:tcPr>
            <w:tcW w:w="1199" w:type="dxa"/>
            <w:tcBorders>
              <w:top w:val="single" w:sz="6" w:space="0" w:color="auto"/>
              <w:left w:val="single" w:sz="6" w:space="0" w:color="auto"/>
              <w:bottom w:val="single" w:sz="6" w:space="0" w:color="auto"/>
              <w:right w:val="single" w:sz="6" w:space="0" w:color="auto"/>
            </w:tcBorders>
          </w:tcPr>
          <w:p w14:paraId="3BADF3B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B6C662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8981E32" w14:textId="77777777" w:rsidR="00115458" w:rsidRPr="00DC0112" w:rsidRDefault="00115458" w:rsidP="00DC0112">
            <w:pPr>
              <w:spacing w:after="0" w:line="240" w:lineRule="auto"/>
            </w:pPr>
          </w:p>
        </w:tc>
      </w:tr>
      <w:tr w:rsidR="00115458" w:rsidRPr="00DC0112" w14:paraId="4C577F02"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00F7B903" w14:textId="77777777" w:rsidR="00115458" w:rsidRPr="00DC0112" w:rsidRDefault="00115458" w:rsidP="00DC0112">
            <w:pPr>
              <w:spacing w:after="0" w:line="240" w:lineRule="auto"/>
            </w:pPr>
            <w:r w:rsidRPr="00DC0112">
              <w:t>IDENTREGISTER3</w:t>
            </w:r>
          </w:p>
        </w:tc>
        <w:tc>
          <w:tcPr>
            <w:tcW w:w="850" w:type="dxa"/>
            <w:tcBorders>
              <w:top w:val="single" w:sz="6" w:space="0" w:color="auto"/>
              <w:left w:val="single" w:sz="6" w:space="0" w:color="auto"/>
              <w:bottom w:val="single" w:sz="6" w:space="0" w:color="auto"/>
              <w:right w:val="single" w:sz="6" w:space="0" w:color="auto"/>
            </w:tcBorders>
          </w:tcPr>
          <w:p w14:paraId="3A815AAB"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0F801CE7"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40E1937F"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28E4573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AF297EB"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7BB0264" w14:textId="77777777" w:rsidR="00115458" w:rsidRPr="00DC0112" w:rsidRDefault="00115458" w:rsidP="00DC0112">
            <w:pPr>
              <w:spacing w:after="0" w:line="240" w:lineRule="auto"/>
            </w:pPr>
          </w:p>
        </w:tc>
      </w:tr>
      <w:tr w:rsidR="00115458" w:rsidRPr="00DC0112" w14:paraId="5B9A27C3"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53B050E8" w14:textId="77777777" w:rsidR="00115458" w:rsidRPr="00DC0112" w:rsidRDefault="00115458" w:rsidP="00DC0112">
            <w:pPr>
              <w:spacing w:after="0" w:line="240" w:lineRule="auto"/>
            </w:pPr>
            <w:r w:rsidRPr="00DC0112">
              <w:t>IDENTITY</w:t>
            </w:r>
          </w:p>
        </w:tc>
        <w:tc>
          <w:tcPr>
            <w:tcW w:w="850" w:type="dxa"/>
            <w:tcBorders>
              <w:top w:val="single" w:sz="6" w:space="0" w:color="auto"/>
              <w:left w:val="single" w:sz="6" w:space="0" w:color="auto"/>
              <w:bottom w:val="single" w:sz="6" w:space="0" w:color="auto"/>
              <w:right w:val="single" w:sz="6" w:space="0" w:color="auto"/>
            </w:tcBorders>
          </w:tcPr>
          <w:p w14:paraId="2E1CC4AD"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20B1E602"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63D1A74D"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D0C273C" w14:textId="77777777" w:rsidR="00115458" w:rsidRPr="00DC0112" w:rsidRDefault="00115458" w:rsidP="00DC0112">
            <w:pPr>
              <w:spacing w:after="0" w:line="240" w:lineRule="auto"/>
            </w:pPr>
            <w:r w:rsidRPr="00DC0112">
              <w:t>00001</w:t>
            </w:r>
          </w:p>
        </w:tc>
        <w:tc>
          <w:tcPr>
            <w:tcW w:w="1440" w:type="dxa"/>
            <w:tcBorders>
              <w:top w:val="single" w:sz="6" w:space="0" w:color="auto"/>
              <w:left w:val="single" w:sz="6" w:space="0" w:color="auto"/>
              <w:bottom w:val="single" w:sz="6" w:space="0" w:color="auto"/>
              <w:right w:val="single" w:sz="6" w:space="0" w:color="auto"/>
            </w:tcBorders>
          </w:tcPr>
          <w:p w14:paraId="564A291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616968A" w14:textId="77777777" w:rsidR="00115458" w:rsidRPr="00DC0112" w:rsidRDefault="00115458" w:rsidP="00DC0112">
            <w:pPr>
              <w:spacing w:after="0" w:line="240" w:lineRule="auto"/>
            </w:pPr>
          </w:p>
        </w:tc>
      </w:tr>
      <w:tr w:rsidR="00115458" w:rsidRPr="00DC0112" w14:paraId="3B4BCEB1"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43F458F4" w14:textId="77777777" w:rsidR="00115458" w:rsidRPr="00DC0112" w:rsidRDefault="00115458" w:rsidP="00DC0112">
            <w:pPr>
              <w:spacing w:after="0" w:line="240" w:lineRule="auto"/>
            </w:pPr>
            <w:r w:rsidRPr="00DC0112">
              <w:t>SOFTWARE</w:t>
            </w:r>
          </w:p>
        </w:tc>
        <w:tc>
          <w:tcPr>
            <w:tcW w:w="850" w:type="dxa"/>
            <w:tcBorders>
              <w:top w:val="single" w:sz="6" w:space="0" w:color="auto"/>
              <w:left w:val="single" w:sz="6" w:space="0" w:color="auto"/>
              <w:bottom w:val="single" w:sz="6" w:space="0" w:color="auto"/>
              <w:right w:val="single" w:sz="6" w:space="0" w:color="auto"/>
            </w:tcBorders>
          </w:tcPr>
          <w:p w14:paraId="10055ED0"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391300B1"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290E69CF"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28FDE61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F6FF90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5B1A675" w14:textId="77777777" w:rsidR="00115458" w:rsidRPr="00DC0112" w:rsidRDefault="00115458" w:rsidP="00DC0112">
            <w:pPr>
              <w:spacing w:after="0" w:line="240" w:lineRule="auto"/>
            </w:pPr>
          </w:p>
        </w:tc>
      </w:tr>
      <w:tr w:rsidR="00115458" w:rsidRPr="00DC0112" w14:paraId="0544E1EF"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66451D43" w14:textId="77777777" w:rsidR="00115458" w:rsidRPr="00DC0112" w:rsidRDefault="00115458" w:rsidP="00DC0112">
            <w:pPr>
              <w:spacing w:after="0" w:line="240" w:lineRule="auto"/>
            </w:pPr>
            <w:r w:rsidRPr="00DC0112">
              <w:t>DACCOUNT</w:t>
            </w:r>
          </w:p>
        </w:tc>
        <w:tc>
          <w:tcPr>
            <w:tcW w:w="850" w:type="dxa"/>
            <w:tcBorders>
              <w:top w:val="single" w:sz="6" w:space="0" w:color="auto"/>
              <w:left w:val="single" w:sz="6" w:space="0" w:color="auto"/>
              <w:bottom w:val="single" w:sz="6" w:space="0" w:color="auto"/>
              <w:right w:val="single" w:sz="6" w:space="0" w:color="auto"/>
            </w:tcBorders>
          </w:tcPr>
          <w:p w14:paraId="04807FB1"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0AF4F70"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708766FB"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1586AF96"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B0ABF78" w14:textId="77777777" w:rsidR="00115458" w:rsidRPr="00DC0112" w:rsidRDefault="00115458" w:rsidP="00DC0112">
            <w:pPr>
              <w:spacing w:after="0" w:line="240" w:lineRule="auto"/>
            </w:pPr>
            <w:r w:rsidRPr="00DC0112">
              <w:t>00000001</w:t>
            </w:r>
          </w:p>
        </w:tc>
        <w:tc>
          <w:tcPr>
            <w:tcW w:w="1440" w:type="dxa"/>
            <w:tcBorders>
              <w:top w:val="single" w:sz="6" w:space="0" w:color="auto"/>
              <w:left w:val="single" w:sz="6" w:space="0" w:color="auto"/>
              <w:bottom w:val="single" w:sz="6" w:space="0" w:color="auto"/>
              <w:right w:val="single" w:sz="6" w:space="0" w:color="auto"/>
            </w:tcBorders>
          </w:tcPr>
          <w:p w14:paraId="16603E5B" w14:textId="77777777" w:rsidR="00115458" w:rsidRPr="00DC0112" w:rsidRDefault="00115458" w:rsidP="00DC0112">
            <w:pPr>
              <w:spacing w:after="0" w:line="240" w:lineRule="auto"/>
            </w:pPr>
          </w:p>
        </w:tc>
      </w:tr>
      <w:tr w:rsidR="00115458" w:rsidRPr="00DC0112" w14:paraId="752EB006"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3E9C3C21"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0ABBA192"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B3220E0"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2D240C1D"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5AF18D1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FBEECBE"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A8D2E1B" w14:textId="77777777" w:rsidR="00115458" w:rsidRPr="00DC0112" w:rsidRDefault="00115458" w:rsidP="00DC0112">
            <w:pPr>
              <w:spacing w:after="0" w:line="240" w:lineRule="auto"/>
            </w:pPr>
            <w:r w:rsidRPr="00DC0112">
              <w:t>01</w:t>
            </w:r>
          </w:p>
        </w:tc>
      </w:tr>
      <w:tr w:rsidR="00115458" w:rsidRPr="00DC0112" w14:paraId="03454117"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1B23DDCD" w14:textId="77777777" w:rsidR="00115458" w:rsidRPr="00DC0112" w:rsidRDefault="00115458" w:rsidP="00DC0112">
            <w:pPr>
              <w:spacing w:after="0" w:line="240" w:lineRule="auto"/>
            </w:pPr>
            <w:r w:rsidRPr="00DC0112">
              <w:t>DACCOUNT</w:t>
            </w:r>
          </w:p>
        </w:tc>
        <w:tc>
          <w:tcPr>
            <w:tcW w:w="850" w:type="dxa"/>
            <w:tcBorders>
              <w:top w:val="single" w:sz="6" w:space="0" w:color="auto"/>
              <w:left w:val="single" w:sz="6" w:space="0" w:color="auto"/>
              <w:bottom w:val="single" w:sz="6" w:space="0" w:color="auto"/>
              <w:right w:val="single" w:sz="6" w:space="0" w:color="auto"/>
            </w:tcBorders>
          </w:tcPr>
          <w:p w14:paraId="4A00D29F"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1C9CECBD"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4B32D35E"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7E3ACA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462F434" w14:textId="77777777" w:rsidR="00115458" w:rsidRPr="00DC0112" w:rsidRDefault="00115458" w:rsidP="00DC0112">
            <w:pPr>
              <w:spacing w:after="0" w:line="240" w:lineRule="auto"/>
            </w:pPr>
            <w:r w:rsidRPr="00DC0112">
              <w:t>00000002</w:t>
            </w:r>
          </w:p>
        </w:tc>
        <w:tc>
          <w:tcPr>
            <w:tcW w:w="1440" w:type="dxa"/>
            <w:tcBorders>
              <w:top w:val="single" w:sz="6" w:space="0" w:color="auto"/>
              <w:left w:val="single" w:sz="6" w:space="0" w:color="auto"/>
              <w:bottom w:val="single" w:sz="6" w:space="0" w:color="auto"/>
              <w:right w:val="single" w:sz="6" w:space="0" w:color="auto"/>
            </w:tcBorders>
          </w:tcPr>
          <w:p w14:paraId="133F6CFF" w14:textId="77777777" w:rsidR="00115458" w:rsidRPr="00DC0112" w:rsidRDefault="00115458" w:rsidP="00DC0112">
            <w:pPr>
              <w:spacing w:after="0" w:line="240" w:lineRule="auto"/>
            </w:pPr>
          </w:p>
        </w:tc>
      </w:tr>
      <w:tr w:rsidR="00115458" w:rsidRPr="00DC0112" w14:paraId="1B53E1EC"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12DEC9A7"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07EACB4A"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585822A"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7DDF6C81"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F529C9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F4EB70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9CF9355" w14:textId="77777777" w:rsidR="00115458" w:rsidRPr="00DC0112" w:rsidRDefault="00115458" w:rsidP="00DC0112">
            <w:pPr>
              <w:spacing w:after="0" w:line="240" w:lineRule="auto"/>
            </w:pPr>
            <w:r w:rsidRPr="00DC0112">
              <w:t>01</w:t>
            </w:r>
          </w:p>
        </w:tc>
      </w:tr>
      <w:tr w:rsidR="00115458" w:rsidRPr="00DC0112" w14:paraId="2FF5FE21"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7C0EDD7E"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615424E8"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7418B51D"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72E91BC2"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3DAD5F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2D50362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9398D7D" w14:textId="77777777" w:rsidR="00115458" w:rsidRPr="00DC0112" w:rsidRDefault="00115458" w:rsidP="00DC0112">
            <w:pPr>
              <w:spacing w:after="0" w:line="240" w:lineRule="auto"/>
            </w:pPr>
            <w:r w:rsidRPr="00DC0112">
              <w:t>02</w:t>
            </w:r>
          </w:p>
        </w:tc>
      </w:tr>
      <w:tr w:rsidR="00115458" w:rsidRPr="00DC0112" w14:paraId="57EE2D13"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0B230C70" w14:textId="77777777" w:rsidR="00115458" w:rsidRPr="00DC0112" w:rsidRDefault="00115458" w:rsidP="00DC0112">
            <w:pPr>
              <w:spacing w:after="0" w:line="240" w:lineRule="auto"/>
            </w:pPr>
            <w:r w:rsidRPr="00DC0112">
              <w:t>IDENTITY</w:t>
            </w:r>
          </w:p>
        </w:tc>
        <w:tc>
          <w:tcPr>
            <w:tcW w:w="850" w:type="dxa"/>
            <w:tcBorders>
              <w:top w:val="single" w:sz="6" w:space="0" w:color="auto"/>
              <w:left w:val="single" w:sz="6" w:space="0" w:color="auto"/>
              <w:bottom w:val="single" w:sz="6" w:space="0" w:color="auto"/>
              <w:right w:val="single" w:sz="6" w:space="0" w:color="auto"/>
            </w:tcBorders>
          </w:tcPr>
          <w:p w14:paraId="5AA0CCFF"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65E54832"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280FA625"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B659634" w14:textId="77777777" w:rsidR="00115458" w:rsidRPr="00DC0112" w:rsidRDefault="00115458" w:rsidP="00DC0112">
            <w:pPr>
              <w:spacing w:after="0" w:line="240" w:lineRule="auto"/>
            </w:pPr>
            <w:r w:rsidRPr="00DC0112">
              <w:t>00002</w:t>
            </w:r>
          </w:p>
        </w:tc>
        <w:tc>
          <w:tcPr>
            <w:tcW w:w="1440" w:type="dxa"/>
            <w:tcBorders>
              <w:top w:val="single" w:sz="6" w:space="0" w:color="auto"/>
              <w:left w:val="single" w:sz="6" w:space="0" w:color="auto"/>
              <w:bottom w:val="single" w:sz="6" w:space="0" w:color="auto"/>
              <w:right w:val="single" w:sz="6" w:space="0" w:color="auto"/>
            </w:tcBorders>
          </w:tcPr>
          <w:p w14:paraId="0340550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5609FAFA" w14:textId="77777777" w:rsidR="00115458" w:rsidRPr="00DC0112" w:rsidRDefault="00115458" w:rsidP="00DC0112">
            <w:pPr>
              <w:spacing w:after="0" w:line="240" w:lineRule="auto"/>
            </w:pPr>
          </w:p>
        </w:tc>
      </w:tr>
      <w:tr w:rsidR="00115458" w:rsidRPr="00DC0112" w14:paraId="6A0B4E00"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67442417" w14:textId="77777777" w:rsidR="00115458" w:rsidRPr="00DC0112" w:rsidRDefault="00115458" w:rsidP="00DC0112">
            <w:pPr>
              <w:spacing w:after="0" w:line="240" w:lineRule="auto"/>
            </w:pPr>
            <w:r w:rsidRPr="00DC0112">
              <w:t>SOFTWARE</w:t>
            </w:r>
          </w:p>
        </w:tc>
        <w:tc>
          <w:tcPr>
            <w:tcW w:w="850" w:type="dxa"/>
            <w:tcBorders>
              <w:top w:val="single" w:sz="6" w:space="0" w:color="auto"/>
              <w:left w:val="single" w:sz="6" w:space="0" w:color="auto"/>
              <w:bottom w:val="single" w:sz="6" w:space="0" w:color="auto"/>
              <w:right w:val="single" w:sz="6" w:space="0" w:color="auto"/>
            </w:tcBorders>
          </w:tcPr>
          <w:p w14:paraId="3C297FAA"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1F137985"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4929B836"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608CC1B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2F14C80"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E108000" w14:textId="77777777" w:rsidR="00115458" w:rsidRPr="00DC0112" w:rsidRDefault="00115458" w:rsidP="00DC0112">
            <w:pPr>
              <w:spacing w:after="0" w:line="240" w:lineRule="auto"/>
            </w:pPr>
          </w:p>
        </w:tc>
      </w:tr>
      <w:tr w:rsidR="00115458" w:rsidRPr="00DC0112" w14:paraId="6E64D894"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4EBC3336" w14:textId="77777777" w:rsidR="00115458" w:rsidRPr="00DC0112" w:rsidRDefault="00115458" w:rsidP="00DC0112">
            <w:pPr>
              <w:spacing w:after="0" w:line="240" w:lineRule="auto"/>
            </w:pPr>
            <w:r w:rsidRPr="00DC0112">
              <w:t>DACCOUNT</w:t>
            </w:r>
          </w:p>
        </w:tc>
        <w:tc>
          <w:tcPr>
            <w:tcW w:w="850" w:type="dxa"/>
            <w:tcBorders>
              <w:top w:val="single" w:sz="6" w:space="0" w:color="auto"/>
              <w:left w:val="single" w:sz="6" w:space="0" w:color="auto"/>
              <w:bottom w:val="single" w:sz="6" w:space="0" w:color="auto"/>
              <w:right w:val="single" w:sz="6" w:space="0" w:color="auto"/>
            </w:tcBorders>
          </w:tcPr>
          <w:p w14:paraId="250576F6"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DB174C3"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7BD93BEC"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57DCB9D4"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9D1E5D6" w14:textId="77777777" w:rsidR="00115458" w:rsidRPr="00DC0112" w:rsidRDefault="00115458" w:rsidP="00DC0112">
            <w:pPr>
              <w:spacing w:after="0" w:line="240" w:lineRule="auto"/>
            </w:pPr>
            <w:r w:rsidRPr="00DC0112">
              <w:t>00000001</w:t>
            </w:r>
          </w:p>
        </w:tc>
        <w:tc>
          <w:tcPr>
            <w:tcW w:w="1440" w:type="dxa"/>
            <w:tcBorders>
              <w:top w:val="single" w:sz="6" w:space="0" w:color="auto"/>
              <w:left w:val="single" w:sz="6" w:space="0" w:color="auto"/>
              <w:bottom w:val="single" w:sz="6" w:space="0" w:color="auto"/>
              <w:right w:val="single" w:sz="6" w:space="0" w:color="auto"/>
            </w:tcBorders>
          </w:tcPr>
          <w:p w14:paraId="146B2B32" w14:textId="77777777" w:rsidR="00115458" w:rsidRPr="00DC0112" w:rsidRDefault="00115458" w:rsidP="00DC0112">
            <w:pPr>
              <w:spacing w:after="0" w:line="240" w:lineRule="auto"/>
            </w:pPr>
          </w:p>
        </w:tc>
      </w:tr>
      <w:tr w:rsidR="00115458" w:rsidRPr="00DC0112" w14:paraId="743930DF"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2DD5A78B"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78894A0C"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45EAA44C"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55ADCDDA"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07BF00A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5890C6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5AE211D" w14:textId="77777777" w:rsidR="00115458" w:rsidRPr="00DC0112" w:rsidRDefault="00115458" w:rsidP="00DC0112">
            <w:pPr>
              <w:spacing w:after="0" w:line="240" w:lineRule="auto"/>
            </w:pPr>
            <w:r w:rsidRPr="00DC0112">
              <w:t>01</w:t>
            </w:r>
          </w:p>
        </w:tc>
      </w:tr>
      <w:tr w:rsidR="00115458" w:rsidRPr="00DC0112" w14:paraId="3F387C5D"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5114C4F6" w14:textId="77777777" w:rsidR="00115458" w:rsidRPr="00DC0112" w:rsidRDefault="00115458" w:rsidP="00DC0112">
            <w:pPr>
              <w:spacing w:after="0" w:line="240" w:lineRule="auto"/>
            </w:pPr>
            <w:r w:rsidRPr="00DC0112">
              <w:t>IDENTITY</w:t>
            </w:r>
          </w:p>
        </w:tc>
        <w:tc>
          <w:tcPr>
            <w:tcW w:w="850" w:type="dxa"/>
            <w:tcBorders>
              <w:top w:val="single" w:sz="6" w:space="0" w:color="auto"/>
              <w:left w:val="single" w:sz="6" w:space="0" w:color="auto"/>
              <w:bottom w:val="single" w:sz="6" w:space="0" w:color="auto"/>
              <w:right w:val="single" w:sz="6" w:space="0" w:color="auto"/>
            </w:tcBorders>
          </w:tcPr>
          <w:p w14:paraId="24D4E537"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166A2C46"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0231433D"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36ED2B6A" w14:textId="77777777" w:rsidR="00115458" w:rsidRPr="00DC0112" w:rsidRDefault="00115458" w:rsidP="00DC0112">
            <w:pPr>
              <w:spacing w:after="0" w:line="240" w:lineRule="auto"/>
            </w:pPr>
            <w:r w:rsidRPr="00DC0112">
              <w:t>00003</w:t>
            </w:r>
          </w:p>
        </w:tc>
        <w:tc>
          <w:tcPr>
            <w:tcW w:w="1440" w:type="dxa"/>
            <w:tcBorders>
              <w:top w:val="single" w:sz="6" w:space="0" w:color="auto"/>
              <w:left w:val="single" w:sz="6" w:space="0" w:color="auto"/>
              <w:bottom w:val="single" w:sz="6" w:space="0" w:color="auto"/>
              <w:right w:val="single" w:sz="6" w:space="0" w:color="auto"/>
            </w:tcBorders>
          </w:tcPr>
          <w:p w14:paraId="43A75A7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645CF90" w14:textId="77777777" w:rsidR="00115458" w:rsidRPr="00DC0112" w:rsidRDefault="00115458" w:rsidP="00DC0112">
            <w:pPr>
              <w:spacing w:after="0" w:line="240" w:lineRule="auto"/>
            </w:pPr>
          </w:p>
        </w:tc>
      </w:tr>
      <w:tr w:rsidR="00115458" w:rsidRPr="00DC0112" w14:paraId="0ECFCD09"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7507C656" w14:textId="77777777" w:rsidR="00115458" w:rsidRPr="00DC0112" w:rsidRDefault="00115458" w:rsidP="00DC0112">
            <w:pPr>
              <w:spacing w:after="0" w:line="240" w:lineRule="auto"/>
            </w:pPr>
            <w:r w:rsidRPr="00DC0112">
              <w:t>SOFTWARE</w:t>
            </w:r>
          </w:p>
        </w:tc>
        <w:tc>
          <w:tcPr>
            <w:tcW w:w="850" w:type="dxa"/>
            <w:tcBorders>
              <w:top w:val="single" w:sz="6" w:space="0" w:color="auto"/>
              <w:left w:val="single" w:sz="6" w:space="0" w:color="auto"/>
              <w:bottom w:val="single" w:sz="6" w:space="0" w:color="auto"/>
              <w:right w:val="single" w:sz="6" w:space="0" w:color="auto"/>
            </w:tcBorders>
          </w:tcPr>
          <w:p w14:paraId="4650C72E"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23F605F5"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304F3E1A"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6B0E4AD4"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E5989A0"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C017419" w14:textId="77777777" w:rsidR="00115458" w:rsidRPr="00DC0112" w:rsidRDefault="00115458" w:rsidP="00DC0112">
            <w:pPr>
              <w:spacing w:after="0" w:line="240" w:lineRule="auto"/>
            </w:pPr>
          </w:p>
        </w:tc>
      </w:tr>
      <w:tr w:rsidR="00115458" w:rsidRPr="00DC0112" w14:paraId="48CC3B7A"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54F97FC0" w14:textId="77777777" w:rsidR="00115458" w:rsidRPr="00DC0112" w:rsidRDefault="00115458" w:rsidP="00DC0112">
            <w:pPr>
              <w:spacing w:after="0" w:line="240" w:lineRule="auto"/>
            </w:pPr>
            <w:r w:rsidRPr="00DC0112">
              <w:t>DACCOUNT</w:t>
            </w:r>
          </w:p>
        </w:tc>
        <w:tc>
          <w:tcPr>
            <w:tcW w:w="850" w:type="dxa"/>
            <w:tcBorders>
              <w:top w:val="single" w:sz="6" w:space="0" w:color="auto"/>
              <w:left w:val="single" w:sz="6" w:space="0" w:color="auto"/>
              <w:bottom w:val="single" w:sz="6" w:space="0" w:color="auto"/>
              <w:right w:val="single" w:sz="6" w:space="0" w:color="auto"/>
            </w:tcBorders>
          </w:tcPr>
          <w:p w14:paraId="02A6CC69"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3FC7B96"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181E001D"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51F7221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0E49A9D" w14:textId="77777777" w:rsidR="00115458" w:rsidRPr="00DC0112" w:rsidRDefault="00115458" w:rsidP="00DC0112">
            <w:pPr>
              <w:spacing w:after="0" w:line="240" w:lineRule="auto"/>
            </w:pPr>
            <w:r w:rsidRPr="00DC0112">
              <w:t>00000001</w:t>
            </w:r>
          </w:p>
        </w:tc>
        <w:tc>
          <w:tcPr>
            <w:tcW w:w="1440" w:type="dxa"/>
            <w:tcBorders>
              <w:top w:val="single" w:sz="6" w:space="0" w:color="auto"/>
              <w:left w:val="single" w:sz="6" w:space="0" w:color="auto"/>
              <w:bottom w:val="single" w:sz="6" w:space="0" w:color="auto"/>
              <w:right w:val="single" w:sz="6" w:space="0" w:color="auto"/>
            </w:tcBorders>
          </w:tcPr>
          <w:p w14:paraId="2D0C37FA" w14:textId="77777777" w:rsidR="00115458" w:rsidRPr="00DC0112" w:rsidRDefault="00115458" w:rsidP="00DC0112">
            <w:pPr>
              <w:spacing w:after="0" w:line="240" w:lineRule="auto"/>
            </w:pPr>
          </w:p>
        </w:tc>
      </w:tr>
      <w:tr w:rsidR="00115458" w:rsidRPr="00DC0112" w14:paraId="4CBC0D61"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5E128000" w14:textId="77777777" w:rsidR="00115458" w:rsidRPr="00DC0112" w:rsidRDefault="00115458" w:rsidP="00DC0112">
            <w:pPr>
              <w:spacing w:after="0" w:line="240" w:lineRule="auto"/>
            </w:pPr>
            <w:r w:rsidRPr="00DC0112">
              <w:t>DINVESTOR</w:t>
            </w:r>
          </w:p>
        </w:tc>
        <w:tc>
          <w:tcPr>
            <w:tcW w:w="850" w:type="dxa"/>
            <w:tcBorders>
              <w:top w:val="single" w:sz="6" w:space="0" w:color="auto"/>
              <w:left w:val="single" w:sz="6" w:space="0" w:color="auto"/>
              <w:bottom w:val="single" w:sz="6" w:space="0" w:color="auto"/>
              <w:right w:val="single" w:sz="6" w:space="0" w:color="auto"/>
            </w:tcBorders>
          </w:tcPr>
          <w:p w14:paraId="06C56130"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5D2E121A"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4B795AF8"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09A3A8A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68A9A6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E51A1E0" w14:textId="77777777" w:rsidR="00115458" w:rsidRPr="00DC0112" w:rsidRDefault="00115458" w:rsidP="00DC0112">
            <w:pPr>
              <w:spacing w:after="0" w:line="240" w:lineRule="auto"/>
            </w:pPr>
            <w:r w:rsidRPr="00DC0112">
              <w:t>01</w:t>
            </w:r>
          </w:p>
        </w:tc>
      </w:tr>
      <w:tr w:rsidR="00115458" w:rsidRPr="00DC0112" w14:paraId="1F57DF67" w14:textId="77777777" w:rsidTr="00DC0112">
        <w:trPr>
          <w:cantSplit/>
        </w:trPr>
        <w:tc>
          <w:tcPr>
            <w:tcW w:w="2119" w:type="dxa"/>
            <w:tcBorders>
              <w:top w:val="single" w:sz="6" w:space="0" w:color="auto"/>
              <w:left w:val="single" w:sz="6" w:space="0" w:color="auto"/>
              <w:bottom w:val="single" w:sz="6" w:space="0" w:color="auto"/>
              <w:right w:val="single" w:sz="6" w:space="0" w:color="auto"/>
            </w:tcBorders>
          </w:tcPr>
          <w:p w14:paraId="655A1794" w14:textId="77777777" w:rsidR="00115458" w:rsidRPr="00DC0112" w:rsidRDefault="00115458" w:rsidP="00DC0112">
            <w:pPr>
              <w:spacing w:after="0" w:line="240" w:lineRule="auto"/>
            </w:pPr>
            <w:r w:rsidRPr="00DC0112">
              <w:t>FILE-TOTAL</w:t>
            </w:r>
          </w:p>
        </w:tc>
        <w:tc>
          <w:tcPr>
            <w:tcW w:w="850" w:type="dxa"/>
            <w:tcBorders>
              <w:top w:val="single" w:sz="6" w:space="0" w:color="auto"/>
              <w:left w:val="single" w:sz="6" w:space="0" w:color="auto"/>
              <w:bottom w:val="single" w:sz="6" w:space="0" w:color="auto"/>
              <w:right w:val="single" w:sz="6" w:space="0" w:color="auto"/>
            </w:tcBorders>
          </w:tcPr>
          <w:p w14:paraId="4C4784B2" w14:textId="77777777" w:rsidR="00115458" w:rsidRPr="00DC0112" w:rsidRDefault="00115458" w:rsidP="00DC0112">
            <w:pPr>
              <w:spacing w:after="0" w:line="240" w:lineRule="auto"/>
            </w:pPr>
          </w:p>
        </w:tc>
        <w:tc>
          <w:tcPr>
            <w:tcW w:w="1319" w:type="dxa"/>
            <w:tcBorders>
              <w:top w:val="single" w:sz="6" w:space="0" w:color="auto"/>
              <w:left w:val="single" w:sz="6" w:space="0" w:color="auto"/>
              <w:bottom w:val="single" w:sz="6" w:space="0" w:color="auto"/>
              <w:right w:val="single" w:sz="6" w:space="0" w:color="auto"/>
            </w:tcBorders>
          </w:tcPr>
          <w:p w14:paraId="6EBA8B22" w14:textId="77777777" w:rsidR="00115458" w:rsidRPr="00DC0112" w:rsidRDefault="00115458" w:rsidP="00DC0112">
            <w:pPr>
              <w:spacing w:after="0" w:line="240" w:lineRule="auto"/>
            </w:pPr>
          </w:p>
        </w:tc>
        <w:tc>
          <w:tcPr>
            <w:tcW w:w="1233" w:type="dxa"/>
            <w:tcBorders>
              <w:top w:val="single" w:sz="6" w:space="0" w:color="auto"/>
              <w:left w:val="single" w:sz="6" w:space="0" w:color="auto"/>
              <w:bottom w:val="single" w:sz="6" w:space="0" w:color="auto"/>
              <w:right w:val="single" w:sz="6" w:space="0" w:color="auto"/>
            </w:tcBorders>
          </w:tcPr>
          <w:p w14:paraId="05789BD4" w14:textId="77777777" w:rsidR="00115458" w:rsidRPr="00DC0112" w:rsidRDefault="00115458" w:rsidP="00DC0112">
            <w:pPr>
              <w:spacing w:after="0" w:line="240" w:lineRule="auto"/>
            </w:pPr>
          </w:p>
        </w:tc>
        <w:tc>
          <w:tcPr>
            <w:tcW w:w="1199" w:type="dxa"/>
            <w:tcBorders>
              <w:top w:val="single" w:sz="6" w:space="0" w:color="auto"/>
              <w:left w:val="single" w:sz="6" w:space="0" w:color="auto"/>
              <w:bottom w:val="single" w:sz="6" w:space="0" w:color="auto"/>
              <w:right w:val="single" w:sz="6" w:space="0" w:color="auto"/>
            </w:tcBorders>
          </w:tcPr>
          <w:p w14:paraId="7EFECCE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006F52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5F6FD14" w14:textId="77777777" w:rsidR="00115458" w:rsidRPr="00DC0112" w:rsidRDefault="00115458" w:rsidP="00DC0112">
            <w:pPr>
              <w:spacing w:after="0" w:line="240" w:lineRule="auto"/>
            </w:pPr>
          </w:p>
        </w:tc>
      </w:tr>
    </w:tbl>
    <w:p w14:paraId="09224511" w14:textId="77777777" w:rsidR="00115458" w:rsidRPr="00DC0112" w:rsidRDefault="00115458" w:rsidP="00DC0112">
      <w:pPr>
        <w:spacing w:after="0" w:line="240" w:lineRule="auto"/>
      </w:pPr>
    </w:p>
    <w:p w14:paraId="16CF26B0" w14:textId="77777777" w:rsidR="00DC0112" w:rsidRDefault="00DC0112" w:rsidP="00DC0112">
      <w:pPr>
        <w:spacing w:after="0" w:line="240" w:lineRule="auto"/>
      </w:pPr>
    </w:p>
    <w:p w14:paraId="28E57131" w14:textId="7B6CC504" w:rsidR="00115458" w:rsidRPr="00DC0112" w:rsidRDefault="00115458" w:rsidP="00DC0112">
      <w:pPr>
        <w:spacing w:after="0" w:line="240" w:lineRule="auto"/>
        <w:rPr>
          <w:b/>
        </w:rPr>
      </w:pPr>
      <w:r w:rsidRPr="00DC0112">
        <w:rPr>
          <w:b/>
        </w:rPr>
        <w:t>File 2 (corrected AIIR records)</w:t>
      </w:r>
    </w:p>
    <w:p w14:paraId="0534356E" w14:textId="77777777" w:rsidR="00115458" w:rsidRPr="00DC0112" w:rsidRDefault="00115458" w:rsidP="00DC0112">
      <w:pPr>
        <w:spacing w:after="0" w:line="240" w:lineRule="auto"/>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115458" w:rsidRPr="00DC0112" w14:paraId="3AF15FB2"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3EF27229" w14:textId="77777777" w:rsidR="00115458" w:rsidRPr="00DC0112" w:rsidRDefault="00115458" w:rsidP="00DC0112">
            <w:pPr>
              <w:spacing w:after="0" w:line="240" w:lineRule="auto"/>
            </w:pPr>
            <w:r w:rsidRPr="00DC0112">
              <w:t>Record</w:t>
            </w:r>
          </w:p>
        </w:tc>
        <w:tc>
          <w:tcPr>
            <w:tcW w:w="880" w:type="dxa"/>
            <w:tcBorders>
              <w:top w:val="single" w:sz="6" w:space="0" w:color="auto"/>
              <w:left w:val="single" w:sz="6" w:space="0" w:color="auto"/>
              <w:bottom w:val="single" w:sz="6" w:space="0" w:color="auto"/>
              <w:right w:val="single" w:sz="6" w:space="0" w:color="auto"/>
            </w:tcBorders>
          </w:tcPr>
          <w:p w14:paraId="76126762" w14:textId="77777777" w:rsidR="00115458" w:rsidRPr="00DC0112" w:rsidRDefault="00115458" w:rsidP="00DC0112">
            <w:pPr>
              <w:spacing w:after="0" w:line="240" w:lineRule="auto"/>
            </w:pPr>
            <w:r w:rsidRPr="00DC0112">
              <w:t>Type of Report</w:t>
            </w:r>
          </w:p>
        </w:tc>
        <w:tc>
          <w:tcPr>
            <w:tcW w:w="1100" w:type="dxa"/>
            <w:tcBorders>
              <w:top w:val="single" w:sz="6" w:space="0" w:color="auto"/>
              <w:left w:val="single" w:sz="6" w:space="0" w:color="auto"/>
              <w:bottom w:val="single" w:sz="6" w:space="0" w:color="auto"/>
              <w:right w:val="single" w:sz="6" w:space="0" w:color="auto"/>
            </w:tcBorders>
          </w:tcPr>
          <w:p w14:paraId="3B15084C" w14:textId="77777777" w:rsidR="00115458" w:rsidRPr="00DC0112" w:rsidRDefault="00115458" w:rsidP="00DC0112">
            <w:pPr>
              <w:spacing w:after="0" w:line="240" w:lineRule="auto"/>
            </w:pPr>
            <w:r w:rsidRPr="00DC0112">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30EC2274" w14:textId="77777777" w:rsidR="00115458" w:rsidRPr="00DC0112" w:rsidRDefault="00115458" w:rsidP="00DC0112">
            <w:pPr>
              <w:spacing w:after="0" w:line="240" w:lineRule="auto"/>
            </w:pPr>
            <w:r w:rsidRPr="00DC0112">
              <w:t>Supplier file reference of file being corrected</w:t>
            </w:r>
          </w:p>
        </w:tc>
        <w:tc>
          <w:tcPr>
            <w:tcW w:w="1103" w:type="dxa"/>
            <w:tcBorders>
              <w:top w:val="single" w:sz="6" w:space="0" w:color="auto"/>
              <w:left w:val="single" w:sz="6" w:space="0" w:color="auto"/>
              <w:bottom w:val="single" w:sz="6" w:space="0" w:color="auto"/>
              <w:right w:val="single" w:sz="6" w:space="0" w:color="auto"/>
            </w:tcBorders>
          </w:tcPr>
          <w:p w14:paraId="6DF2839F" w14:textId="77777777" w:rsidR="00115458" w:rsidRPr="00DC0112" w:rsidRDefault="00115458" w:rsidP="00DC0112">
            <w:pPr>
              <w:spacing w:after="0" w:line="240" w:lineRule="auto"/>
            </w:pPr>
            <w:r w:rsidRPr="00DC0112">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0BB04F8B" w14:textId="77777777" w:rsidR="00115458" w:rsidRPr="00DC0112" w:rsidRDefault="00115458" w:rsidP="00DC0112">
            <w:pPr>
              <w:spacing w:after="0" w:line="240" w:lineRule="auto"/>
            </w:pPr>
            <w:r w:rsidRPr="00DC0112">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05E846D0" w14:textId="77777777" w:rsidR="00115458" w:rsidRPr="00DC0112" w:rsidRDefault="00115458" w:rsidP="00DC0112">
            <w:pPr>
              <w:spacing w:after="0" w:line="240" w:lineRule="auto"/>
            </w:pPr>
            <w:r w:rsidRPr="00DC0112">
              <w:t>Sequence number of DINVESTOR record in the original account</w:t>
            </w:r>
          </w:p>
        </w:tc>
      </w:tr>
      <w:tr w:rsidR="00115458" w:rsidRPr="00DC0112" w14:paraId="49A7EB1D"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58F10A1A" w14:textId="77777777" w:rsidR="00115458" w:rsidRPr="00DC0112" w:rsidRDefault="00115458" w:rsidP="00DC0112">
            <w:pPr>
              <w:spacing w:after="0" w:line="240" w:lineRule="auto"/>
            </w:pPr>
            <w:r w:rsidRPr="00DC0112">
              <w:t>IDENTREGISTER1</w:t>
            </w:r>
          </w:p>
        </w:tc>
        <w:tc>
          <w:tcPr>
            <w:tcW w:w="880" w:type="dxa"/>
            <w:tcBorders>
              <w:top w:val="single" w:sz="6" w:space="0" w:color="auto"/>
              <w:left w:val="single" w:sz="6" w:space="0" w:color="auto"/>
              <w:bottom w:val="single" w:sz="6" w:space="0" w:color="auto"/>
              <w:right w:val="single" w:sz="6" w:space="0" w:color="auto"/>
            </w:tcBorders>
          </w:tcPr>
          <w:p w14:paraId="321D6A80" w14:textId="77777777" w:rsidR="00115458" w:rsidRPr="00DC0112" w:rsidRDefault="00115458" w:rsidP="00DC0112">
            <w:pPr>
              <w:spacing w:after="0" w:line="240" w:lineRule="auto"/>
            </w:pPr>
            <w:r w:rsidRPr="00DC0112">
              <w:t>C</w:t>
            </w:r>
          </w:p>
        </w:tc>
        <w:tc>
          <w:tcPr>
            <w:tcW w:w="1100" w:type="dxa"/>
            <w:tcBorders>
              <w:top w:val="single" w:sz="6" w:space="0" w:color="auto"/>
              <w:left w:val="single" w:sz="6" w:space="0" w:color="auto"/>
              <w:bottom w:val="single" w:sz="6" w:space="0" w:color="auto"/>
              <w:right w:val="single" w:sz="6" w:space="0" w:color="auto"/>
            </w:tcBorders>
          </w:tcPr>
          <w:p w14:paraId="2D8B8F49"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E04B4BE"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596B2F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15C94AF"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7C0C73B" w14:textId="77777777" w:rsidR="00115458" w:rsidRPr="00DC0112" w:rsidRDefault="00115458" w:rsidP="00DC0112">
            <w:pPr>
              <w:spacing w:after="0" w:line="240" w:lineRule="auto"/>
            </w:pPr>
          </w:p>
        </w:tc>
      </w:tr>
      <w:tr w:rsidR="00115458" w:rsidRPr="00DC0112" w14:paraId="60C7ECBE"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9F398B8" w14:textId="77777777" w:rsidR="00115458" w:rsidRPr="00DC0112" w:rsidRDefault="00115458" w:rsidP="00DC0112">
            <w:pPr>
              <w:spacing w:after="0" w:line="240" w:lineRule="auto"/>
            </w:pPr>
            <w:r w:rsidRPr="00DC0112">
              <w:t>IDENTREGISTER2</w:t>
            </w:r>
          </w:p>
        </w:tc>
        <w:tc>
          <w:tcPr>
            <w:tcW w:w="880" w:type="dxa"/>
            <w:tcBorders>
              <w:top w:val="single" w:sz="6" w:space="0" w:color="auto"/>
              <w:left w:val="single" w:sz="6" w:space="0" w:color="auto"/>
              <w:bottom w:val="single" w:sz="6" w:space="0" w:color="auto"/>
              <w:right w:val="single" w:sz="6" w:space="0" w:color="auto"/>
            </w:tcBorders>
          </w:tcPr>
          <w:p w14:paraId="213694E0"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45FA1A89" w14:textId="77777777" w:rsidR="00115458" w:rsidRPr="00DC0112" w:rsidRDefault="00115458" w:rsidP="00DC0112">
            <w:pPr>
              <w:spacing w:after="0" w:line="240" w:lineRule="auto"/>
            </w:pPr>
            <w:r w:rsidRPr="00DC0112">
              <w:t>ABC002</w:t>
            </w:r>
          </w:p>
        </w:tc>
        <w:tc>
          <w:tcPr>
            <w:tcW w:w="1329" w:type="dxa"/>
            <w:tcBorders>
              <w:top w:val="single" w:sz="6" w:space="0" w:color="auto"/>
              <w:left w:val="single" w:sz="6" w:space="0" w:color="auto"/>
              <w:bottom w:val="single" w:sz="6" w:space="0" w:color="auto"/>
              <w:right w:val="single" w:sz="6" w:space="0" w:color="auto"/>
            </w:tcBorders>
          </w:tcPr>
          <w:p w14:paraId="26D8C659" w14:textId="77777777" w:rsidR="00115458" w:rsidRPr="00DC0112" w:rsidRDefault="00115458" w:rsidP="00DC0112">
            <w:pPr>
              <w:spacing w:after="0" w:line="240" w:lineRule="auto"/>
            </w:pPr>
            <w:r w:rsidRPr="00DC0112">
              <w:t>ABC001</w:t>
            </w:r>
          </w:p>
        </w:tc>
        <w:tc>
          <w:tcPr>
            <w:tcW w:w="1103" w:type="dxa"/>
            <w:tcBorders>
              <w:top w:val="single" w:sz="6" w:space="0" w:color="auto"/>
              <w:left w:val="single" w:sz="6" w:space="0" w:color="auto"/>
              <w:bottom w:val="single" w:sz="6" w:space="0" w:color="auto"/>
              <w:right w:val="single" w:sz="6" w:space="0" w:color="auto"/>
            </w:tcBorders>
          </w:tcPr>
          <w:p w14:paraId="653E103C"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901A7B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F8BC9C1" w14:textId="77777777" w:rsidR="00115458" w:rsidRPr="00DC0112" w:rsidRDefault="00115458" w:rsidP="00DC0112">
            <w:pPr>
              <w:spacing w:after="0" w:line="240" w:lineRule="auto"/>
            </w:pPr>
          </w:p>
        </w:tc>
      </w:tr>
      <w:tr w:rsidR="00115458" w:rsidRPr="00DC0112" w14:paraId="7A9E683F"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0D22A22" w14:textId="77777777" w:rsidR="00115458" w:rsidRPr="00DC0112" w:rsidRDefault="00115458" w:rsidP="00DC0112">
            <w:pPr>
              <w:spacing w:after="0" w:line="240" w:lineRule="auto"/>
            </w:pPr>
            <w:r w:rsidRPr="00DC0112">
              <w:t>IDENTREGISTER3</w:t>
            </w:r>
          </w:p>
        </w:tc>
        <w:tc>
          <w:tcPr>
            <w:tcW w:w="880" w:type="dxa"/>
            <w:tcBorders>
              <w:top w:val="single" w:sz="6" w:space="0" w:color="auto"/>
              <w:left w:val="single" w:sz="6" w:space="0" w:color="auto"/>
              <w:bottom w:val="single" w:sz="6" w:space="0" w:color="auto"/>
              <w:right w:val="single" w:sz="6" w:space="0" w:color="auto"/>
            </w:tcBorders>
          </w:tcPr>
          <w:p w14:paraId="49A756E2"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33BCF1BF"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7292F776"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0B2C6A3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1F3C60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000D2A9" w14:textId="77777777" w:rsidR="00115458" w:rsidRPr="00DC0112" w:rsidRDefault="00115458" w:rsidP="00DC0112">
            <w:pPr>
              <w:spacing w:after="0" w:line="240" w:lineRule="auto"/>
            </w:pPr>
          </w:p>
        </w:tc>
      </w:tr>
      <w:tr w:rsidR="00115458" w:rsidRPr="00DC0112" w14:paraId="65C339C5"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2A122456" w14:textId="77777777" w:rsidR="00115458" w:rsidRPr="00DC0112" w:rsidRDefault="00115458" w:rsidP="00DC0112">
            <w:pPr>
              <w:spacing w:after="0" w:line="240" w:lineRule="auto"/>
            </w:pPr>
            <w:r w:rsidRPr="00DC0112">
              <w:t>IDENTITY</w:t>
            </w:r>
          </w:p>
        </w:tc>
        <w:tc>
          <w:tcPr>
            <w:tcW w:w="880" w:type="dxa"/>
            <w:tcBorders>
              <w:top w:val="single" w:sz="6" w:space="0" w:color="auto"/>
              <w:left w:val="single" w:sz="6" w:space="0" w:color="auto"/>
              <w:bottom w:val="single" w:sz="6" w:space="0" w:color="auto"/>
              <w:right w:val="single" w:sz="6" w:space="0" w:color="auto"/>
            </w:tcBorders>
          </w:tcPr>
          <w:p w14:paraId="1508BD01"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0B4786F7"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2115CAA"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F1CC2AA" w14:textId="77777777" w:rsidR="00115458" w:rsidRPr="00DC0112" w:rsidRDefault="00115458" w:rsidP="00DC0112">
            <w:pPr>
              <w:spacing w:after="0" w:line="240" w:lineRule="auto"/>
            </w:pPr>
            <w:r w:rsidRPr="00DC0112">
              <w:t>00001</w:t>
            </w:r>
          </w:p>
        </w:tc>
        <w:tc>
          <w:tcPr>
            <w:tcW w:w="1440" w:type="dxa"/>
            <w:tcBorders>
              <w:top w:val="single" w:sz="6" w:space="0" w:color="auto"/>
              <w:left w:val="single" w:sz="6" w:space="0" w:color="auto"/>
              <w:bottom w:val="single" w:sz="6" w:space="0" w:color="auto"/>
              <w:right w:val="single" w:sz="6" w:space="0" w:color="auto"/>
            </w:tcBorders>
          </w:tcPr>
          <w:p w14:paraId="0D64FCF4"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648E698" w14:textId="77777777" w:rsidR="00115458" w:rsidRPr="00DC0112" w:rsidRDefault="00115458" w:rsidP="00DC0112">
            <w:pPr>
              <w:spacing w:after="0" w:line="240" w:lineRule="auto"/>
            </w:pPr>
          </w:p>
        </w:tc>
      </w:tr>
      <w:tr w:rsidR="00115458" w:rsidRPr="00DC0112" w14:paraId="64D00510"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0D8C31C8" w14:textId="77777777" w:rsidR="00115458" w:rsidRPr="00DC0112" w:rsidRDefault="00115458" w:rsidP="00DC0112">
            <w:pPr>
              <w:spacing w:after="0" w:line="240" w:lineRule="auto"/>
            </w:pPr>
            <w:r w:rsidRPr="00DC0112">
              <w:t>SOFTWARE</w:t>
            </w:r>
          </w:p>
        </w:tc>
        <w:tc>
          <w:tcPr>
            <w:tcW w:w="880" w:type="dxa"/>
            <w:tcBorders>
              <w:top w:val="single" w:sz="6" w:space="0" w:color="auto"/>
              <w:left w:val="single" w:sz="6" w:space="0" w:color="auto"/>
              <w:bottom w:val="single" w:sz="6" w:space="0" w:color="auto"/>
              <w:right w:val="single" w:sz="6" w:space="0" w:color="auto"/>
            </w:tcBorders>
          </w:tcPr>
          <w:p w14:paraId="565E78C2"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014B7FAD"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486DB11E"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3309841"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A4DB81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29B8F2A" w14:textId="77777777" w:rsidR="00115458" w:rsidRPr="00DC0112" w:rsidRDefault="00115458" w:rsidP="00DC0112">
            <w:pPr>
              <w:spacing w:after="0" w:line="240" w:lineRule="auto"/>
            </w:pPr>
          </w:p>
        </w:tc>
      </w:tr>
      <w:tr w:rsidR="00115458" w:rsidRPr="00DC0112" w14:paraId="24C40380"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1B5F299B" w14:textId="77777777" w:rsidR="00115458" w:rsidRPr="00DC0112" w:rsidRDefault="00115458" w:rsidP="00DC0112">
            <w:pPr>
              <w:spacing w:after="0" w:line="240" w:lineRule="auto"/>
            </w:pPr>
            <w:r w:rsidRPr="00DC0112">
              <w:t>DACCOUNT</w:t>
            </w:r>
          </w:p>
        </w:tc>
        <w:tc>
          <w:tcPr>
            <w:tcW w:w="880" w:type="dxa"/>
            <w:tcBorders>
              <w:top w:val="single" w:sz="6" w:space="0" w:color="auto"/>
              <w:left w:val="single" w:sz="6" w:space="0" w:color="auto"/>
              <w:bottom w:val="single" w:sz="6" w:space="0" w:color="auto"/>
              <w:right w:val="single" w:sz="6" w:space="0" w:color="auto"/>
            </w:tcBorders>
          </w:tcPr>
          <w:p w14:paraId="2CCBDD47"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23F4A896"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7BF45A61"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683C3DE9"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A200B74" w14:textId="77777777" w:rsidR="00115458" w:rsidRPr="00DC0112" w:rsidRDefault="00115458" w:rsidP="00DC0112">
            <w:pPr>
              <w:spacing w:after="0" w:line="240" w:lineRule="auto"/>
            </w:pPr>
            <w:r w:rsidRPr="00DC0112">
              <w:t>00000002</w:t>
            </w:r>
          </w:p>
        </w:tc>
        <w:tc>
          <w:tcPr>
            <w:tcW w:w="1440" w:type="dxa"/>
            <w:tcBorders>
              <w:top w:val="single" w:sz="6" w:space="0" w:color="auto"/>
              <w:left w:val="single" w:sz="6" w:space="0" w:color="auto"/>
              <w:bottom w:val="single" w:sz="6" w:space="0" w:color="auto"/>
              <w:right w:val="single" w:sz="6" w:space="0" w:color="auto"/>
            </w:tcBorders>
          </w:tcPr>
          <w:p w14:paraId="6A644BFC" w14:textId="77777777" w:rsidR="00115458" w:rsidRPr="00DC0112" w:rsidRDefault="00115458" w:rsidP="00DC0112">
            <w:pPr>
              <w:spacing w:after="0" w:line="240" w:lineRule="auto"/>
            </w:pPr>
          </w:p>
        </w:tc>
      </w:tr>
      <w:tr w:rsidR="00115458" w:rsidRPr="00DC0112" w14:paraId="18037928"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0EC71022" w14:textId="77777777" w:rsidR="00115458" w:rsidRPr="00DC0112" w:rsidRDefault="00115458" w:rsidP="00DC0112">
            <w:pPr>
              <w:spacing w:after="0" w:line="240" w:lineRule="auto"/>
            </w:pPr>
            <w:r w:rsidRPr="00DC0112">
              <w:t>DINVESTOR</w:t>
            </w:r>
          </w:p>
        </w:tc>
        <w:tc>
          <w:tcPr>
            <w:tcW w:w="880" w:type="dxa"/>
            <w:tcBorders>
              <w:top w:val="single" w:sz="6" w:space="0" w:color="auto"/>
              <w:left w:val="single" w:sz="6" w:space="0" w:color="auto"/>
              <w:bottom w:val="single" w:sz="6" w:space="0" w:color="auto"/>
              <w:right w:val="single" w:sz="6" w:space="0" w:color="auto"/>
            </w:tcBorders>
          </w:tcPr>
          <w:p w14:paraId="05C29889"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15626B61"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7BBE3722"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B561DD2"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1C2CE8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97A6862" w14:textId="77777777" w:rsidR="00115458" w:rsidRPr="00DC0112" w:rsidRDefault="00115458" w:rsidP="00DC0112">
            <w:pPr>
              <w:spacing w:after="0" w:line="240" w:lineRule="auto"/>
            </w:pPr>
            <w:r w:rsidRPr="00DC0112">
              <w:t>01</w:t>
            </w:r>
          </w:p>
        </w:tc>
      </w:tr>
      <w:tr w:rsidR="00115458" w:rsidRPr="00DC0112" w14:paraId="4477F536"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584BA92E" w14:textId="77777777" w:rsidR="00115458" w:rsidRPr="00DC0112" w:rsidRDefault="00115458" w:rsidP="00DC0112">
            <w:pPr>
              <w:spacing w:after="0" w:line="240" w:lineRule="auto"/>
            </w:pPr>
            <w:r w:rsidRPr="00DC0112">
              <w:t>DINVESTOR</w:t>
            </w:r>
          </w:p>
        </w:tc>
        <w:tc>
          <w:tcPr>
            <w:tcW w:w="880" w:type="dxa"/>
            <w:tcBorders>
              <w:top w:val="single" w:sz="6" w:space="0" w:color="auto"/>
              <w:left w:val="single" w:sz="6" w:space="0" w:color="auto"/>
              <w:bottom w:val="single" w:sz="6" w:space="0" w:color="auto"/>
              <w:right w:val="single" w:sz="6" w:space="0" w:color="auto"/>
            </w:tcBorders>
          </w:tcPr>
          <w:p w14:paraId="69A625A5"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25FF2646"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486C2485"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77C1DB07"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62FC9E24"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04BBC00" w14:textId="77777777" w:rsidR="00115458" w:rsidRPr="00DC0112" w:rsidRDefault="00115458" w:rsidP="00DC0112">
            <w:pPr>
              <w:spacing w:after="0" w:line="240" w:lineRule="auto"/>
            </w:pPr>
            <w:r w:rsidRPr="00DC0112">
              <w:t>02</w:t>
            </w:r>
          </w:p>
        </w:tc>
      </w:tr>
      <w:tr w:rsidR="00115458" w:rsidRPr="00DC0112" w14:paraId="515D0654"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4906EEB6" w14:textId="77777777" w:rsidR="00115458" w:rsidRPr="00DC0112" w:rsidRDefault="00115458" w:rsidP="00DC0112">
            <w:pPr>
              <w:spacing w:after="0" w:line="240" w:lineRule="auto"/>
            </w:pPr>
            <w:r w:rsidRPr="00DC0112">
              <w:t>IDENTITY</w:t>
            </w:r>
          </w:p>
        </w:tc>
        <w:tc>
          <w:tcPr>
            <w:tcW w:w="880" w:type="dxa"/>
            <w:tcBorders>
              <w:top w:val="single" w:sz="6" w:space="0" w:color="auto"/>
              <w:left w:val="single" w:sz="6" w:space="0" w:color="auto"/>
              <w:bottom w:val="single" w:sz="6" w:space="0" w:color="auto"/>
              <w:right w:val="single" w:sz="6" w:space="0" w:color="auto"/>
            </w:tcBorders>
          </w:tcPr>
          <w:p w14:paraId="2A008AA5"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71D39D34"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E42B5BF"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404342EB" w14:textId="77777777" w:rsidR="00115458" w:rsidRPr="00DC0112" w:rsidRDefault="00115458" w:rsidP="00DC0112">
            <w:pPr>
              <w:spacing w:after="0" w:line="240" w:lineRule="auto"/>
            </w:pPr>
            <w:r w:rsidRPr="00DC0112">
              <w:t>00003</w:t>
            </w:r>
          </w:p>
        </w:tc>
        <w:tc>
          <w:tcPr>
            <w:tcW w:w="1440" w:type="dxa"/>
            <w:tcBorders>
              <w:top w:val="single" w:sz="6" w:space="0" w:color="auto"/>
              <w:left w:val="single" w:sz="6" w:space="0" w:color="auto"/>
              <w:bottom w:val="single" w:sz="6" w:space="0" w:color="auto"/>
              <w:right w:val="single" w:sz="6" w:space="0" w:color="auto"/>
            </w:tcBorders>
          </w:tcPr>
          <w:p w14:paraId="6F6B05BD"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77C811BA" w14:textId="77777777" w:rsidR="00115458" w:rsidRPr="00DC0112" w:rsidRDefault="00115458" w:rsidP="00DC0112">
            <w:pPr>
              <w:spacing w:after="0" w:line="240" w:lineRule="auto"/>
            </w:pPr>
          </w:p>
        </w:tc>
      </w:tr>
      <w:tr w:rsidR="00115458" w:rsidRPr="00DC0112" w14:paraId="23075742"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78C8A4CC" w14:textId="77777777" w:rsidR="00115458" w:rsidRPr="00DC0112" w:rsidRDefault="00115458" w:rsidP="00DC0112">
            <w:pPr>
              <w:spacing w:after="0" w:line="240" w:lineRule="auto"/>
            </w:pPr>
            <w:r w:rsidRPr="00DC0112">
              <w:t>SOFTWARE</w:t>
            </w:r>
          </w:p>
        </w:tc>
        <w:tc>
          <w:tcPr>
            <w:tcW w:w="880" w:type="dxa"/>
            <w:tcBorders>
              <w:top w:val="single" w:sz="6" w:space="0" w:color="auto"/>
              <w:left w:val="single" w:sz="6" w:space="0" w:color="auto"/>
              <w:bottom w:val="single" w:sz="6" w:space="0" w:color="auto"/>
              <w:right w:val="single" w:sz="6" w:space="0" w:color="auto"/>
            </w:tcBorders>
          </w:tcPr>
          <w:p w14:paraId="44670F9C"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40CEA3EC"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2735CD1"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2EBC8DB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295DD35"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A53FC6B" w14:textId="77777777" w:rsidR="00115458" w:rsidRPr="00DC0112" w:rsidRDefault="00115458" w:rsidP="00DC0112">
            <w:pPr>
              <w:spacing w:after="0" w:line="240" w:lineRule="auto"/>
            </w:pPr>
          </w:p>
        </w:tc>
      </w:tr>
      <w:tr w:rsidR="00115458" w:rsidRPr="00DC0112" w14:paraId="78D1FE29"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6BAB5644" w14:textId="77777777" w:rsidR="00115458" w:rsidRPr="00DC0112" w:rsidRDefault="00115458" w:rsidP="00DC0112">
            <w:pPr>
              <w:spacing w:after="0" w:line="240" w:lineRule="auto"/>
            </w:pPr>
            <w:r w:rsidRPr="00DC0112">
              <w:t>DACCOUNT</w:t>
            </w:r>
          </w:p>
        </w:tc>
        <w:tc>
          <w:tcPr>
            <w:tcW w:w="880" w:type="dxa"/>
            <w:tcBorders>
              <w:top w:val="single" w:sz="6" w:space="0" w:color="auto"/>
              <w:left w:val="single" w:sz="6" w:space="0" w:color="auto"/>
              <w:bottom w:val="single" w:sz="6" w:space="0" w:color="auto"/>
              <w:right w:val="single" w:sz="6" w:space="0" w:color="auto"/>
            </w:tcBorders>
          </w:tcPr>
          <w:p w14:paraId="27195FFF"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138485B1"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5E0998C9"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31374DC8"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31AFC7AD" w14:textId="77777777" w:rsidR="00115458" w:rsidRPr="00DC0112" w:rsidRDefault="00115458" w:rsidP="00DC0112">
            <w:pPr>
              <w:spacing w:after="0" w:line="240" w:lineRule="auto"/>
            </w:pPr>
            <w:r w:rsidRPr="00DC0112">
              <w:t>00000001</w:t>
            </w:r>
          </w:p>
        </w:tc>
        <w:tc>
          <w:tcPr>
            <w:tcW w:w="1440" w:type="dxa"/>
            <w:tcBorders>
              <w:top w:val="single" w:sz="6" w:space="0" w:color="auto"/>
              <w:left w:val="single" w:sz="6" w:space="0" w:color="auto"/>
              <w:bottom w:val="single" w:sz="6" w:space="0" w:color="auto"/>
              <w:right w:val="single" w:sz="6" w:space="0" w:color="auto"/>
            </w:tcBorders>
          </w:tcPr>
          <w:p w14:paraId="3F8BFF68" w14:textId="77777777" w:rsidR="00115458" w:rsidRPr="00DC0112" w:rsidRDefault="00115458" w:rsidP="00DC0112">
            <w:pPr>
              <w:spacing w:after="0" w:line="240" w:lineRule="auto"/>
            </w:pPr>
          </w:p>
        </w:tc>
      </w:tr>
      <w:tr w:rsidR="00115458" w:rsidRPr="00DC0112" w14:paraId="642953C4"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2B1072BE" w14:textId="77777777" w:rsidR="00115458" w:rsidRPr="00DC0112" w:rsidRDefault="00115458" w:rsidP="00DC0112">
            <w:pPr>
              <w:spacing w:after="0" w:line="240" w:lineRule="auto"/>
            </w:pPr>
            <w:r w:rsidRPr="00DC0112">
              <w:t>DINVESTOR</w:t>
            </w:r>
          </w:p>
        </w:tc>
        <w:tc>
          <w:tcPr>
            <w:tcW w:w="880" w:type="dxa"/>
            <w:tcBorders>
              <w:top w:val="single" w:sz="6" w:space="0" w:color="auto"/>
              <w:left w:val="single" w:sz="6" w:space="0" w:color="auto"/>
              <w:bottom w:val="single" w:sz="6" w:space="0" w:color="auto"/>
              <w:right w:val="single" w:sz="6" w:space="0" w:color="auto"/>
            </w:tcBorders>
          </w:tcPr>
          <w:p w14:paraId="310EA2A4"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19822939"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317439AA"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52D4ECF3"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D92F6FA"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1A19A05A" w14:textId="77777777" w:rsidR="00115458" w:rsidRPr="00DC0112" w:rsidRDefault="00115458" w:rsidP="00DC0112">
            <w:pPr>
              <w:spacing w:after="0" w:line="240" w:lineRule="auto"/>
            </w:pPr>
            <w:r w:rsidRPr="00DC0112">
              <w:t>01</w:t>
            </w:r>
          </w:p>
        </w:tc>
      </w:tr>
      <w:tr w:rsidR="00115458" w:rsidRPr="00DC0112" w14:paraId="68EF3A2C" w14:textId="77777777" w:rsidTr="000C1365">
        <w:trPr>
          <w:cantSplit/>
        </w:trPr>
        <w:tc>
          <w:tcPr>
            <w:tcW w:w="2308" w:type="dxa"/>
            <w:tcBorders>
              <w:top w:val="single" w:sz="6" w:space="0" w:color="auto"/>
              <w:left w:val="single" w:sz="6" w:space="0" w:color="auto"/>
              <w:bottom w:val="single" w:sz="6" w:space="0" w:color="auto"/>
              <w:right w:val="single" w:sz="6" w:space="0" w:color="auto"/>
            </w:tcBorders>
          </w:tcPr>
          <w:p w14:paraId="207F7373" w14:textId="77777777" w:rsidR="00115458" w:rsidRPr="00DC0112" w:rsidRDefault="00115458" w:rsidP="00DC0112">
            <w:pPr>
              <w:spacing w:after="0" w:line="240" w:lineRule="auto"/>
            </w:pPr>
            <w:r w:rsidRPr="00DC0112">
              <w:t>FILE-TOTAL</w:t>
            </w:r>
          </w:p>
        </w:tc>
        <w:tc>
          <w:tcPr>
            <w:tcW w:w="880" w:type="dxa"/>
            <w:tcBorders>
              <w:top w:val="single" w:sz="6" w:space="0" w:color="auto"/>
              <w:left w:val="single" w:sz="6" w:space="0" w:color="auto"/>
              <w:bottom w:val="single" w:sz="6" w:space="0" w:color="auto"/>
              <w:right w:val="single" w:sz="6" w:space="0" w:color="auto"/>
            </w:tcBorders>
          </w:tcPr>
          <w:p w14:paraId="547CD62C" w14:textId="77777777" w:rsidR="00115458" w:rsidRPr="00DC0112" w:rsidRDefault="00115458" w:rsidP="00DC0112">
            <w:pPr>
              <w:spacing w:after="0" w:line="240" w:lineRule="auto"/>
            </w:pPr>
          </w:p>
        </w:tc>
        <w:tc>
          <w:tcPr>
            <w:tcW w:w="1100" w:type="dxa"/>
            <w:tcBorders>
              <w:top w:val="single" w:sz="6" w:space="0" w:color="auto"/>
              <w:left w:val="single" w:sz="6" w:space="0" w:color="auto"/>
              <w:bottom w:val="single" w:sz="6" w:space="0" w:color="auto"/>
              <w:right w:val="single" w:sz="6" w:space="0" w:color="auto"/>
            </w:tcBorders>
          </w:tcPr>
          <w:p w14:paraId="54313631" w14:textId="77777777" w:rsidR="00115458" w:rsidRPr="00DC0112" w:rsidRDefault="00115458" w:rsidP="00DC0112">
            <w:pPr>
              <w:spacing w:after="0" w:line="240" w:lineRule="auto"/>
            </w:pPr>
          </w:p>
        </w:tc>
        <w:tc>
          <w:tcPr>
            <w:tcW w:w="1329" w:type="dxa"/>
            <w:tcBorders>
              <w:top w:val="single" w:sz="6" w:space="0" w:color="auto"/>
              <w:left w:val="single" w:sz="6" w:space="0" w:color="auto"/>
              <w:bottom w:val="single" w:sz="6" w:space="0" w:color="auto"/>
              <w:right w:val="single" w:sz="6" w:space="0" w:color="auto"/>
            </w:tcBorders>
          </w:tcPr>
          <w:p w14:paraId="7EF8D854" w14:textId="77777777" w:rsidR="00115458" w:rsidRPr="00DC0112" w:rsidRDefault="00115458" w:rsidP="00DC0112">
            <w:pPr>
              <w:spacing w:after="0" w:line="240" w:lineRule="auto"/>
            </w:pPr>
          </w:p>
        </w:tc>
        <w:tc>
          <w:tcPr>
            <w:tcW w:w="1103" w:type="dxa"/>
            <w:tcBorders>
              <w:top w:val="single" w:sz="6" w:space="0" w:color="auto"/>
              <w:left w:val="single" w:sz="6" w:space="0" w:color="auto"/>
              <w:bottom w:val="single" w:sz="6" w:space="0" w:color="auto"/>
              <w:right w:val="single" w:sz="6" w:space="0" w:color="auto"/>
            </w:tcBorders>
          </w:tcPr>
          <w:p w14:paraId="2B900940"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4FBFA41B" w14:textId="77777777" w:rsidR="00115458" w:rsidRPr="00DC0112" w:rsidRDefault="00115458" w:rsidP="00DC0112">
            <w:pPr>
              <w:spacing w:after="0" w:line="240" w:lineRule="auto"/>
            </w:pPr>
          </w:p>
        </w:tc>
        <w:tc>
          <w:tcPr>
            <w:tcW w:w="1440" w:type="dxa"/>
            <w:tcBorders>
              <w:top w:val="single" w:sz="6" w:space="0" w:color="auto"/>
              <w:left w:val="single" w:sz="6" w:space="0" w:color="auto"/>
              <w:bottom w:val="single" w:sz="6" w:space="0" w:color="auto"/>
              <w:right w:val="single" w:sz="6" w:space="0" w:color="auto"/>
            </w:tcBorders>
          </w:tcPr>
          <w:p w14:paraId="06078112" w14:textId="77777777" w:rsidR="00115458" w:rsidRPr="00DC0112" w:rsidRDefault="00115458" w:rsidP="00DC0112">
            <w:pPr>
              <w:spacing w:after="0" w:line="240" w:lineRule="auto"/>
            </w:pPr>
          </w:p>
        </w:tc>
      </w:tr>
    </w:tbl>
    <w:p w14:paraId="3C979163" w14:textId="77777777" w:rsidR="00115458" w:rsidRPr="00DC0112" w:rsidRDefault="00115458" w:rsidP="00DC0112">
      <w:pPr>
        <w:spacing w:after="0" w:line="240" w:lineRule="auto"/>
      </w:pPr>
    </w:p>
    <w:p w14:paraId="1DB14FEB" w14:textId="77777777" w:rsidR="00115458" w:rsidRPr="00DC0112" w:rsidRDefault="00115458" w:rsidP="00DC0112">
      <w:pPr>
        <w:spacing w:after="0" w:line="240" w:lineRule="auto"/>
        <w:rPr>
          <w:rFonts w:cs="Arial"/>
        </w:rPr>
      </w:pPr>
      <w:r w:rsidRPr="00DC0112">
        <w:t xml:space="preserve">If an investment body has a large number of corrected records to report to the ATO and cannot report them online, then they should contact the ATO at </w:t>
      </w:r>
      <w:hyperlink r:id="rId43" w:history="1">
        <w:r w:rsidRPr="00DC0112">
          <w:rPr>
            <w:b/>
            <w:noProof/>
            <w:color w:val="0000FF"/>
            <w:u w:val="single"/>
          </w:rPr>
          <w:t>ato-dmi@ato.gov.au</w:t>
        </w:r>
      </w:hyperlink>
      <w:r w:rsidRPr="00DC0112">
        <w:t xml:space="preserve"> </w:t>
      </w:r>
    </w:p>
    <w:bookmarkEnd w:id="1976"/>
    <w:bookmarkEnd w:id="1977"/>
    <w:p w14:paraId="3653B2C1" w14:textId="77777777" w:rsidR="00115458" w:rsidRPr="00B35C0A" w:rsidRDefault="00115458" w:rsidP="00115458">
      <w:pPr>
        <w:pStyle w:val="Maintext"/>
        <w:rPr>
          <w:rFonts w:cs="Arial"/>
        </w:rPr>
      </w:pPr>
    </w:p>
    <w:p w14:paraId="43FD5B6C" w14:textId="37731FAB" w:rsidR="00115458" w:rsidRDefault="00115458" w:rsidP="00115458">
      <w:pPr>
        <w:rPr>
          <w:rFonts w:cs="Arial"/>
          <w:caps/>
          <w:kern w:val="36"/>
          <w:sz w:val="36"/>
          <w:szCs w:val="36"/>
        </w:rPr>
      </w:pPr>
      <w:bookmarkStart w:id="1979" w:name="_Toc467153413"/>
      <w:bookmarkStart w:id="1980" w:name="_Toc5193039"/>
      <w:bookmarkEnd w:id="1979"/>
      <w:r>
        <w:br w:type="page"/>
      </w:r>
    </w:p>
    <w:p w14:paraId="69A918BF" w14:textId="781570C4" w:rsidR="00115458" w:rsidRPr="00B35C0A" w:rsidRDefault="00C531FB" w:rsidP="00C531FB">
      <w:pPr>
        <w:pStyle w:val="Heading1"/>
      </w:pPr>
      <w:bookmarkStart w:id="1981" w:name="_Toc232191382"/>
      <w:r>
        <w:t xml:space="preserve">11 </w:t>
      </w:r>
      <w:r w:rsidR="00115458" w:rsidRPr="00B35C0A">
        <w:t>Corrected TFN and ABN return files</w:t>
      </w:r>
      <w:bookmarkEnd w:id="1980"/>
      <w:bookmarkEnd w:id="1981"/>
    </w:p>
    <w:p w14:paraId="1727416A" w14:textId="77777777" w:rsidR="00115458" w:rsidRPr="00B35C0A" w:rsidRDefault="00115458" w:rsidP="00DC0112">
      <w:pPr>
        <w:spacing w:after="0" w:line="240" w:lineRule="auto"/>
        <w:rPr>
          <w:rFonts w:cs="Arial"/>
        </w:rPr>
      </w:pPr>
      <w:r w:rsidRPr="00B35C0A">
        <w:rPr>
          <w:rFonts w:cs="Arial"/>
        </w:rPr>
        <w:t xml:space="preserve">If an investment body supplies an invalid investor TFN or ABN in an AIIR, we will attempt to match the investor to a client on the ATO client register. If the reported TFN contains seven, eight or nine digits and is a slightly corrupted rendition of the investor’s TFN and the correct TFN can be determined, we will return the original TFN and the corrected TFN to the investment body. If the correct investor TFN </w:t>
      </w:r>
      <w:r>
        <w:rPr>
          <w:rFonts w:cs="Arial"/>
        </w:rPr>
        <w:t xml:space="preserve">or ABN </w:t>
      </w:r>
      <w:r w:rsidRPr="00B35C0A">
        <w:rPr>
          <w:rFonts w:cs="Arial"/>
        </w:rPr>
        <w:t xml:space="preserve">cannot be found, the corrected TFN </w:t>
      </w:r>
      <w:r>
        <w:rPr>
          <w:rFonts w:cs="Arial"/>
        </w:rPr>
        <w:t xml:space="preserve">or ABN </w:t>
      </w:r>
      <w:r w:rsidRPr="00B35C0A">
        <w:rPr>
          <w:rFonts w:cs="Arial"/>
        </w:rPr>
        <w:t xml:space="preserve">returned will contain zeros. </w:t>
      </w:r>
    </w:p>
    <w:p w14:paraId="5AA15DCB" w14:textId="77777777" w:rsidR="00115458" w:rsidRPr="00B35C0A" w:rsidRDefault="00115458" w:rsidP="00DC0112">
      <w:pPr>
        <w:spacing w:after="0" w:line="240" w:lineRule="auto"/>
        <w:rPr>
          <w:rFonts w:cs="Arial"/>
        </w:rPr>
      </w:pPr>
    </w:p>
    <w:p w14:paraId="7B982D87" w14:textId="625066E6" w:rsidR="00115458" w:rsidRPr="00EB0A86" w:rsidRDefault="00115458" w:rsidP="005E2905">
      <w:pPr>
        <w:spacing w:after="0" w:line="240" w:lineRule="auto"/>
      </w:pPr>
      <w:r w:rsidRPr="00B35C0A">
        <w:rPr>
          <w:rFonts w:cs="Arial"/>
        </w:rPr>
        <w:t>When this situation occurs, the investor is deemed not to have quoted.</w:t>
      </w:r>
    </w:p>
    <w:p w14:paraId="18178CC1" w14:textId="47C39E63" w:rsidR="00115458" w:rsidRPr="005309FC" w:rsidRDefault="00115458" w:rsidP="00A05028">
      <w:pPr>
        <w:pStyle w:val="Heading2"/>
        <w:spacing w:before="240" w:line="240" w:lineRule="auto"/>
      </w:pPr>
      <w:bookmarkStart w:id="1982" w:name="_Toc232191383"/>
      <w:r w:rsidRPr="005309FC">
        <w:t>Updating of TFN or ABN fields by investment bodies</w:t>
      </w:r>
      <w:bookmarkEnd w:id="1982"/>
    </w:p>
    <w:p w14:paraId="5A7F9391" w14:textId="75090CCC" w:rsidR="00115458" w:rsidRDefault="00115458" w:rsidP="00DC0112">
      <w:pPr>
        <w:spacing w:after="0" w:line="240" w:lineRule="auto"/>
        <w:rPr>
          <w:rFonts w:cs="Arial"/>
        </w:rPr>
      </w:pPr>
      <w:r w:rsidRPr="00DC0112">
        <w:rPr>
          <w:rFonts w:cs="Arial"/>
        </w:rPr>
        <w:t>When investment bodies receive the corrected TFN and/or ABN information from us, they are required to update the TFN and/or ABN fields in the corresponding investor records in their database:</w:t>
      </w:r>
    </w:p>
    <w:p w14:paraId="773CD5EB" w14:textId="77777777" w:rsidR="005E2905" w:rsidRPr="00DC0112" w:rsidRDefault="005E2905" w:rsidP="005E2905">
      <w:pPr>
        <w:spacing w:after="0" w:line="240" w:lineRule="auto"/>
        <w:rPr>
          <w:rFonts w:cs="Arial"/>
        </w:rPr>
      </w:pPr>
    </w:p>
    <w:p w14:paraId="6B4CF824"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Original investor tax file number</w:t>
      </w:r>
      <w:r w:rsidRPr="005E2905" w:rsidDel="00B84E3B">
        <w:rPr>
          <w:rFonts w:asciiTheme="minorHAnsi" w:hAnsiTheme="minorHAnsi" w:cs="Arial"/>
          <w:sz w:val="20"/>
          <w:szCs w:val="20"/>
        </w:rPr>
        <w:t xml:space="preserve"> </w:t>
      </w:r>
      <w:r w:rsidRPr="005E2905">
        <w:rPr>
          <w:rFonts w:asciiTheme="minorHAnsi" w:hAnsiTheme="minorHAnsi" w:cs="Arial"/>
          <w:sz w:val="20"/>
          <w:szCs w:val="20"/>
        </w:rPr>
        <w:t xml:space="preserve">(15.27) and/or </w:t>
      </w:r>
      <w:r w:rsidRPr="005E2905">
        <w:rPr>
          <w:rFonts w:asciiTheme="minorHAnsi" w:hAnsiTheme="minorHAnsi" w:cs="Arial"/>
          <w:i/>
          <w:sz w:val="20"/>
          <w:szCs w:val="20"/>
        </w:rPr>
        <w:t>Original investor Australian business number</w:t>
      </w:r>
      <w:r w:rsidRPr="005E2905">
        <w:rPr>
          <w:rFonts w:asciiTheme="minorHAnsi" w:hAnsiTheme="minorHAnsi" w:cs="Arial"/>
          <w:sz w:val="20"/>
          <w:szCs w:val="20"/>
        </w:rPr>
        <w:t xml:space="preserve"> (15.29) </w:t>
      </w:r>
    </w:p>
    <w:p w14:paraId="02D86E73"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Investment reference number</w:t>
      </w:r>
      <w:r w:rsidRPr="005E2905">
        <w:rPr>
          <w:rFonts w:asciiTheme="minorHAnsi" w:hAnsiTheme="minorHAnsi" w:cs="Arial"/>
          <w:sz w:val="20"/>
          <w:szCs w:val="20"/>
        </w:rPr>
        <w:t xml:space="preserve"> (15.22)</w:t>
      </w:r>
    </w:p>
    <w:p w14:paraId="4411DE82"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Customer reference number</w:t>
      </w:r>
      <w:r w:rsidRPr="005E2905">
        <w:rPr>
          <w:rFonts w:asciiTheme="minorHAnsi" w:hAnsiTheme="minorHAnsi" w:cs="Arial"/>
          <w:sz w:val="20"/>
          <w:szCs w:val="20"/>
        </w:rPr>
        <w:t xml:space="preserve"> (15.23)</w:t>
      </w:r>
    </w:p>
    <w:p w14:paraId="7C920BEC" w14:textId="77777777"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Individual investor name</w:t>
      </w:r>
      <w:r w:rsidRPr="005E2905">
        <w:rPr>
          <w:rFonts w:asciiTheme="minorHAnsi" w:hAnsiTheme="minorHAnsi" w:cs="Arial"/>
          <w:sz w:val="20"/>
          <w:szCs w:val="20"/>
        </w:rPr>
        <w:t xml:space="preserve"> (15.31, 15.32, 15.33)</w:t>
      </w:r>
      <w:r w:rsidRPr="005E2905" w:rsidDel="00B85908">
        <w:rPr>
          <w:rFonts w:asciiTheme="minorHAnsi" w:hAnsiTheme="minorHAnsi" w:cs="Arial"/>
          <w:sz w:val="20"/>
          <w:szCs w:val="20"/>
        </w:rPr>
        <w:t xml:space="preserve"> </w:t>
      </w:r>
    </w:p>
    <w:p w14:paraId="09E066C2" w14:textId="11AFDD28" w:rsidR="00115458" w:rsidRPr="005E2905" w:rsidRDefault="00115458" w:rsidP="005E2905">
      <w:pPr>
        <w:pStyle w:val="Bullet1"/>
        <w:numPr>
          <w:ilvl w:val="0"/>
          <w:numId w:val="70"/>
        </w:numPr>
        <w:spacing w:before="0" w:after="0"/>
        <w:rPr>
          <w:rFonts w:asciiTheme="minorHAnsi" w:hAnsiTheme="minorHAnsi" w:cs="Arial"/>
          <w:sz w:val="20"/>
          <w:szCs w:val="20"/>
        </w:rPr>
      </w:pPr>
      <w:r w:rsidRPr="005E2905">
        <w:rPr>
          <w:rFonts w:asciiTheme="minorHAnsi" w:hAnsiTheme="minorHAnsi" w:cs="Arial"/>
          <w:i/>
          <w:sz w:val="20"/>
          <w:szCs w:val="20"/>
        </w:rPr>
        <w:t>Non-individual investor name</w:t>
      </w:r>
      <w:r w:rsidRPr="005E2905">
        <w:rPr>
          <w:rFonts w:asciiTheme="minorHAnsi" w:hAnsiTheme="minorHAnsi" w:cs="Arial"/>
          <w:sz w:val="20"/>
          <w:szCs w:val="20"/>
        </w:rPr>
        <w:t xml:space="preserve"> (15.34) </w:t>
      </w:r>
    </w:p>
    <w:p w14:paraId="00D2C412" w14:textId="77777777" w:rsidR="00115458" w:rsidRPr="005E2905" w:rsidRDefault="00115458" w:rsidP="005E2905">
      <w:pPr>
        <w:pStyle w:val="Bullet1"/>
        <w:spacing w:before="0" w:after="0"/>
        <w:rPr>
          <w:rFonts w:asciiTheme="minorHAnsi" w:hAnsiTheme="minorHAnsi" w:cs="Arial"/>
          <w:sz w:val="20"/>
          <w:szCs w:val="20"/>
        </w:rPr>
      </w:pPr>
    </w:p>
    <w:p w14:paraId="30B8A4BB" w14:textId="77777777" w:rsidR="00115458" w:rsidRPr="00DC0112" w:rsidRDefault="00115458" w:rsidP="005E2905">
      <w:pPr>
        <w:spacing w:after="0" w:line="240" w:lineRule="auto"/>
        <w:rPr>
          <w:rFonts w:cs="Arial"/>
        </w:rPr>
      </w:pPr>
      <w:r w:rsidRPr="00DC0112">
        <w:rPr>
          <w:rFonts w:cs="Arial"/>
        </w:rPr>
        <w:t xml:space="preserve">However, if an investor has requoted their TFN and/or ABN to their investment body after the submission of a relevant AIIR, but before receiving corrected TFN and/or ABN information from us, the (requoted) investor TFN and/or ABN as contained in a corrected TFN/ABN return file will not match the TFN and/or ABN as (currently) recorded by the investment body. In such circumstances, updating TFN and/or ABN information per our corrected TFN and/or ABN information cannot be processed. The details of the investor and the requoted TFN and/or ABN should be included in the next </w:t>
      </w:r>
      <w:r w:rsidRPr="00DC0112">
        <w:rPr>
          <w:rFonts w:cs="Arial"/>
          <w:i/>
        </w:rPr>
        <w:t>Quarterly tax file number and Australian business number report</w:t>
      </w:r>
      <w:r w:rsidRPr="00DC0112">
        <w:rPr>
          <w:rFonts w:cs="Arial"/>
        </w:rPr>
        <w:t xml:space="preserve"> the investment body sends to us.</w:t>
      </w:r>
    </w:p>
    <w:p w14:paraId="36946AA2" w14:textId="77777777" w:rsidR="00115458" w:rsidRPr="005309FC" w:rsidRDefault="00115458" w:rsidP="00A05028">
      <w:pPr>
        <w:pStyle w:val="Heading2"/>
        <w:spacing w:before="240" w:line="240" w:lineRule="auto"/>
      </w:pPr>
      <w:bookmarkStart w:id="1983" w:name="_Toc232191384"/>
      <w:r w:rsidRPr="005309FC">
        <w:t>Investors deemed not to have quoted a TFN or ABN</w:t>
      </w:r>
      <w:bookmarkEnd w:id="1983"/>
    </w:p>
    <w:p w14:paraId="76CB9FE1" w14:textId="77777777" w:rsidR="00115458" w:rsidRPr="00DC0112" w:rsidRDefault="00115458" w:rsidP="005E2905">
      <w:pPr>
        <w:spacing w:after="0" w:line="240" w:lineRule="auto"/>
        <w:rPr>
          <w:rFonts w:cs="Arial"/>
        </w:rPr>
      </w:pPr>
      <w:r w:rsidRPr="00DC0112">
        <w:rPr>
          <w:rFonts w:cs="Arial"/>
        </w:rPr>
        <w:t>If the investor is ‘deemed not to have quoted’, the investment body is required to withhold, from future payments of investment income subject to withholding arrangements, tax at the highest marginal rate plus the Medicare levy, until the investor either quotes a new TFN and/or ABN in connection with the investment or claims an exemption from quoting.</w:t>
      </w:r>
    </w:p>
    <w:p w14:paraId="7CC166C8" w14:textId="77777777" w:rsidR="00115458" w:rsidRPr="00DC0112" w:rsidRDefault="00115458" w:rsidP="005E2905">
      <w:pPr>
        <w:spacing w:after="0" w:line="240" w:lineRule="auto"/>
        <w:rPr>
          <w:rFonts w:cs="Arial"/>
        </w:rPr>
      </w:pPr>
    </w:p>
    <w:p w14:paraId="2291042A" w14:textId="77777777" w:rsidR="00115458" w:rsidRPr="005E2905" w:rsidRDefault="00115458" w:rsidP="005E2905">
      <w:pPr>
        <w:spacing w:after="0" w:line="240" w:lineRule="auto"/>
        <w:rPr>
          <w:rFonts w:cs="Arial"/>
          <w:b/>
          <w:bCs/>
          <w:iCs/>
          <w:caps/>
          <w:kern w:val="36"/>
        </w:rPr>
      </w:pPr>
      <w:r w:rsidRPr="00DC0112">
        <w:rPr>
          <w:rFonts w:cs="Arial"/>
        </w:rPr>
        <w:t>Investors deemed not to have quoted are contacted by the ATO and advised to quote their correct TFN or ABN to the investment body to avoid the imposition of withholding tax</w:t>
      </w:r>
    </w:p>
    <w:p w14:paraId="30597C53" w14:textId="77777777" w:rsidR="00115458" w:rsidRPr="005309FC" w:rsidRDefault="00115458" w:rsidP="00A05028">
      <w:pPr>
        <w:pStyle w:val="Heading2"/>
        <w:spacing w:before="240" w:line="240" w:lineRule="auto"/>
      </w:pPr>
      <w:bookmarkStart w:id="1984" w:name="_Toc232191385"/>
      <w:r w:rsidRPr="005309FC">
        <w:t>Non-resident tax identification numbers (TINS)</w:t>
      </w:r>
      <w:bookmarkEnd w:id="1984"/>
    </w:p>
    <w:p w14:paraId="7403576A" w14:textId="77777777" w:rsidR="00115458" w:rsidRPr="00B35C0A" w:rsidRDefault="00115458" w:rsidP="00115458">
      <w:pPr>
        <w:rPr>
          <w:rFonts w:cs="Arial"/>
        </w:rPr>
      </w:pPr>
      <w:r w:rsidRPr="00B35C0A">
        <w:rPr>
          <w:rFonts w:cs="Arial"/>
        </w:rPr>
        <w:t>We do not send corrected TINS.</w:t>
      </w:r>
    </w:p>
    <w:p w14:paraId="30AB734D" w14:textId="7C3A0360" w:rsidR="00115458" w:rsidRPr="00B35C0A" w:rsidRDefault="001D3173" w:rsidP="001D3173">
      <w:pPr>
        <w:pStyle w:val="Heading1"/>
      </w:pPr>
      <w:bookmarkStart w:id="1985" w:name="_Toc361132741"/>
      <w:bookmarkStart w:id="1986" w:name="_Toc5193040"/>
      <w:bookmarkStart w:id="1987" w:name="_Toc232191386"/>
      <w:r>
        <w:t xml:space="preserve">12 </w:t>
      </w:r>
      <w:r w:rsidR="00115458" w:rsidRPr="00B35C0A">
        <w:t>Frequently asked questions</w:t>
      </w:r>
      <w:bookmarkEnd w:id="1986"/>
      <w:bookmarkEnd w:id="1987"/>
    </w:p>
    <w:p w14:paraId="3C732D49" w14:textId="77777777" w:rsidR="00115458" w:rsidRPr="00852F47" w:rsidRDefault="00115458" w:rsidP="00F4606C">
      <w:pPr>
        <w:spacing w:after="0" w:line="240" w:lineRule="auto"/>
        <w:rPr>
          <w:rFonts w:cs="Arial"/>
          <w:b/>
        </w:rPr>
      </w:pPr>
      <w:r w:rsidRPr="00B35C0A">
        <w:rPr>
          <w:rFonts w:cs="Arial"/>
        </w:rPr>
        <w:t xml:space="preserve">If your question is not answered in this section refer to </w:t>
      </w:r>
      <w:hyperlink r:id="rId44" w:history="1">
        <w:r w:rsidRPr="002F2135">
          <w:rPr>
            <w:rStyle w:val="Hyperlink"/>
            <w:rFonts w:cs="Arial"/>
          </w:rPr>
          <w:t>ato.gov.au</w:t>
        </w:r>
      </w:hyperlink>
      <w:r w:rsidRPr="00B35C0A">
        <w:rPr>
          <w:rFonts w:cs="Arial"/>
        </w:rPr>
        <w:t xml:space="preserve"> or </w:t>
      </w:r>
      <w:r>
        <w:rPr>
          <w:rFonts w:cs="Arial"/>
        </w:rPr>
        <w:t xml:space="preserve">email </w:t>
      </w:r>
      <w:hyperlink r:id="rId45" w:history="1">
        <w:r w:rsidRPr="00852F47">
          <w:rPr>
            <w:rStyle w:val="Hyperlink"/>
            <w:rFonts w:cs="Arial"/>
          </w:rPr>
          <w:t>ato-dmi@ato.gov.au</w:t>
        </w:r>
      </w:hyperlink>
    </w:p>
    <w:p w14:paraId="299D1AF8" w14:textId="77777777" w:rsidR="00115458" w:rsidRPr="00B35C0A" w:rsidRDefault="00115458" w:rsidP="00A05028">
      <w:pPr>
        <w:pStyle w:val="Heading2"/>
        <w:spacing w:before="240" w:line="240" w:lineRule="auto"/>
      </w:pPr>
      <w:bookmarkStart w:id="1988" w:name="_Toc5193041"/>
      <w:bookmarkStart w:id="1989" w:name="_Toc232191387"/>
      <w:r w:rsidRPr="00B35C0A">
        <w:t>General</w:t>
      </w:r>
      <w:bookmarkEnd w:id="1988"/>
      <w:bookmarkEnd w:id="1989"/>
    </w:p>
    <w:p w14:paraId="0B206095"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Does a cooperative company need to report an AIIR?</w:t>
      </w:r>
    </w:p>
    <w:p w14:paraId="7425E85A" w14:textId="77777777" w:rsidR="00115458" w:rsidRPr="00F4606C" w:rsidRDefault="00115458" w:rsidP="00D42995">
      <w:pPr>
        <w:pStyle w:val="Maintext"/>
        <w:rPr>
          <w:rFonts w:asciiTheme="minorHAnsi" w:hAnsiTheme="minorHAnsi" w:cs="Arial"/>
          <w:sz w:val="20"/>
          <w:szCs w:val="20"/>
        </w:rPr>
      </w:pPr>
      <w:r w:rsidRPr="00F4606C">
        <w:rPr>
          <w:rFonts w:asciiTheme="minorHAnsi" w:hAnsiTheme="minorHAnsi" w:cs="Arial"/>
          <w:sz w:val="20"/>
          <w:szCs w:val="20"/>
        </w:rPr>
        <w:t>Yes. A cooperative company is a public company and, therefore, the same rules as any other type of public company apply.</w:t>
      </w:r>
    </w:p>
    <w:p w14:paraId="6D4FB5AF" w14:textId="77777777" w:rsidR="00115458" w:rsidRPr="00F4606C" w:rsidRDefault="00115458" w:rsidP="00D42995">
      <w:pPr>
        <w:pStyle w:val="Maintext"/>
        <w:rPr>
          <w:rFonts w:asciiTheme="minorHAnsi" w:hAnsiTheme="minorHAnsi" w:cs="Arial"/>
          <w:sz w:val="20"/>
          <w:szCs w:val="20"/>
        </w:rPr>
      </w:pPr>
    </w:p>
    <w:p w14:paraId="25F9F77B" w14:textId="77777777" w:rsidR="00115458" w:rsidRPr="00D42995" w:rsidRDefault="00115458" w:rsidP="00F4606C">
      <w:pPr>
        <w:keepNext/>
        <w:spacing w:after="0" w:line="240" w:lineRule="auto"/>
        <w:rPr>
          <w:rFonts w:cs="Arial"/>
        </w:rPr>
      </w:pPr>
      <w:r w:rsidRPr="00D42995">
        <w:rPr>
          <w:rFonts w:cs="Arial"/>
          <w:b/>
        </w:rPr>
        <w:t>Does an Australian Securities Exchange listed foreign company with Australian investments need to lodge an AIIR? The company is deducting foreign tax from the Australian shareholders</w:t>
      </w:r>
      <w:r w:rsidRPr="00D42995">
        <w:rPr>
          <w:rFonts w:cs="Arial"/>
        </w:rPr>
        <w:t>.</w:t>
      </w:r>
    </w:p>
    <w:p w14:paraId="0197FBBC" w14:textId="77777777" w:rsidR="00115458" w:rsidRPr="00D42995" w:rsidRDefault="00115458" w:rsidP="00F4606C">
      <w:pPr>
        <w:spacing w:after="0" w:line="240" w:lineRule="auto"/>
        <w:rPr>
          <w:rFonts w:cs="Arial"/>
        </w:rPr>
      </w:pPr>
      <w:r w:rsidRPr="00D42995">
        <w:rPr>
          <w:rFonts w:cs="Arial"/>
        </w:rPr>
        <w:t>Yes. The ASX-listed foreign company is required to lodge an AIIR as it is dealing with Australian investments. Australian resident investors are assessed on their FSI even when tax has been withheld from that income. If tax has been withheld and paid to a foreign tax jurisdiction, Australian resident investors may be entitled to a foreign income tax offset.</w:t>
      </w:r>
    </w:p>
    <w:p w14:paraId="3EA10ACD" w14:textId="77777777" w:rsidR="00115458" w:rsidRPr="00D42995" w:rsidRDefault="00115458" w:rsidP="00F4606C">
      <w:pPr>
        <w:spacing w:after="0" w:line="240" w:lineRule="auto"/>
        <w:rPr>
          <w:rFonts w:cs="Arial"/>
        </w:rPr>
      </w:pPr>
    </w:p>
    <w:p w14:paraId="43283A75" w14:textId="77777777" w:rsidR="00115458" w:rsidRPr="00D42995" w:rsidRDefault="00115458" w:rsidP="00F4606C">
      <w:pPr>
        <w:spacing w:after="0" w:line="240" w:lineRule="auto"/>
        <w:rPr>
          <w:rFonts w:cs="Arial"/>
          <w:b/>
        </w:rPr>
      </w:pPr>
      <w:r w:rsidRPr="00D42995">
        <w:rPr>
          <w:rFonts w:cs="Arial"/>
          <w:b/>
        </w:rPr>
        <w:t>What is not reported in the AIIR?</w:t>
      </w:r>
    </w:p>
    <w:p w14:paraId="79577397" w14:textId="77777777" w:rsidR="00115458" w:rsidRPr="00D42995" w:rsidRDefault="00115458" w:rsidP="00F4606C">
      <w:pPr>
        <w:spacing w:after="0" w:line="240" w:lineRule="auto"/>
        <w:rPr>
          <w:rFonts w:cs="Arial"/>
        </w:rPr>
      </w:pPr>
      <w:r w:rsidRPr="00D42995">
        <w:rPr>
          <w:rFonts w:cs="Arial"/>
        </w:rPr>
        <w:t>Do not report:</w:t>
      </w:r>
    </w:p>
    <w:p w14:paraId="2AFA66EF" w14:textId="77777777" w:rsidR="00115458" w:rsidRPr="00D42995" w:rsidRDefault="00115458" w:rsidP="00F4606C">
      <w:pPr>
        <w:spacing w:after="0" w:line="240" w:lineRule="auto"/>
        <w:rPr>
          <w:rFonts w:cs="Arial"/>
        </w:rPr>
      </w:pPr>
    </w:p>
    <w:p w14:paraId="634BBB0F" w14:textId="77777777" w:rsidR="00115458" w:rsidRPr="00F4606C" w:rsidRDefault="00115458" w:rsidP="001601AF">
      <w:pPr>
        <w:pStyle w:val="Bullet1"/>
        <w:numPr>
          <w:ilvl w:val="0"/>
          <w:numId w:val="71"/>
        </w:numPr>
        <w:spacing w:before="0" w:after="0"/>
        <w:rPr>
          <w:rFonts w:asciiTheme="minorHAnsi" w:hAnsiTheme="minorHAnsi" w:cs="Arial"/>
          <w:sz w:val="20"/>
          <w:szCs w:val="20"/>
        </w:rPr>
      </w:pPr>
      <w:r w:rsidRPr="00F4606C">
        <w:rPr>
          <w:rFonts w:asciiTheme="minorHAnsi" w:hAnsiTheme="minorHAnsi" w:cs="Arial"/>
          <w:sz w:val="20"/>
          <w:szCs w:val="20"/>
        </w:rPr>
        <w:t xml:space="preserve">interest related to consumer finance such as interest paid by a company to a bank on a business loan from the bank </w:t>
      </w:r>
    </w:p>
    <w:p w14:paraId="6B541F4A" w14:textId="77777777" w:rsidR="00115458" w:rsidRPr="00D42995" w:rsidRDefault="00115458" w:rsidP="00F4606C">
      <w:pPr>
        <w:spacing w:after="0" w:line="240" w:lineRule="auto"/>
        <w:rPr>
          <w:rFonts w:cs="Arial"/>
          <w:b/>
        </w:rPr>
      </w:pPr>
    </w:p>
    <w:p w14:paraId="154148DB" w14:textId="77777777" w:rsidR="00115458" w:rsidRPr="00D42995" w:rsidRDefault="00115458" w:rsidP="00F4606C">
      <w:pPr>
        <w:spacing w:after="0" w:line="240" w:lineRule="auto"/>
        <w:rPr>
          <w:rFonts w:cs="Arial"/>
        </w:rPr>
      </w:pPr>
      <w:r w:rsidRPr="00D42995">
        <w:rPr>
          <w:rFonts w:cs="Arial"/>
          <w:b/>
        </w:rPr>
        <w:t>Which item number for the 'Type of investment' field do I use for a private company?</w:t>
      </w:r>
    </w:p>
    <w:p w14:paraId="0494AD7D" w14:textId="77777777" w:rsidR="00115458" w:rsidRPr="00D42995" w:rsidRDefault="00115458" w:rsidP="00F4606C">
      <w:pPr>
        <w:spacing w:after="0" w:line="240" w:lineRule="auto"/>
        <w:rPr>
          <w:rFonts w:cs="Arial"/>
        </w:rPr>
      </w:pPr>
      <w:r w:rsidRPr="00D42995">
        <w:rPr>
          <w:rFonts w:cs="Arial"/>
        </w:rPr>
        <w:t xml:space="preserve">A private company should report item 3 in the </w:t>
      </w:r>
      <w:r w:rsidRPr="00D42995">
        <w:rPr>
          <w:rFonts w:cs="Arial"/>
          <w:i/>
        </w:rPr>
        <w:t xml:space="preserve">Type of investment </w:t>
      </w:r>
      <w:r w:rsidRPr="00D42995">
        <w:rPr>
          <w:rFonts w:cs="Arial"/>
        </w:rPr>
        <w:t>(9.71) field. A loan of money to a body corporate is an investment covered by the TFN rules. This kind of investment is covered in Item 3 in the table at subsection 202D (1) of the ITAA 1936.</w:t>
      </w:r>
    </w:p>
    <w:p w14:paraId="56D0432A" w14:textId="77777777" w:rsidR="00115458" w:rsidRPr="00D42995" w:rsidRDefault="00115458" w:rsidP="00F4606C">
      <w:pPr>
        <w:spacing w:after="0" w:line="240" w:lineRule="auto"/>
        <w:rPr>
          <w:rFonts w:cs="Arial"/>
        </w:rPr>
      </w:pPr>
    </w:p>
    <w:p w14:paraId="0EAD894A" w14:textId="77777777" w:rsidR="00115458" w:rsidRPr="00D42995" w:rsidRDefault="00115458" w:rsidP="00F4606C">
      <w:pPr>
        <w:spacing w:after="0" w:line="240" w:lineRule="auto"/>
        <w:rPr>
          <w:rFonts w:cs="Arial"/>
        </w:rPr>
      </w:pPr>
      <w:r w:rsidRPr="00D42995">
        <w:rPr>
          <w:rFonts w:cs="Arial"/>
        </w:rPr>
        <w:t xml:space="preserve">The most usual way for an entity to be incorporated is by registering as a company with the Australian Securities &amp; Investment Commission (ASIC) under the </w:t>
      </w:r>
      <w:r w:rsidRPr="00D42995">
        <w:rPr>
          <w:rFonts w:cs="Arial"/>
          <w:i/>
        </w:rPr>
        <w:t>Corporations Act 2001</w:t>
      </w:r>
      <w:r w:rsidRPr="00D42995">
        <w:rPr>
          <w:rFonts w:cs="Arial"/>
        </w:rPr>
        <w:t>. Registration of the company with ASIC can be as a:</w:t>
      </w:r>
    </w:p>
    <w:p w14:paraId="327885FE" w14:textId="77777777" w:rsidR="00115458" w:rsidRPr="00D42995" w:rsidRDefault="00115458" w:rsidP="00F4606C">
      <w:pPr>
        <w:spacing w:after="0" w:line="240" w:lineRule="auto"/>
        <w:rPr>
          <w:rFonts w:cs="Arial"/>
        </w:rPr>
      </w:pPr>
    </w:p>
    <w:p w14:paraId="54B93E42" w14:textId="77777777" w:rsidR="00115458" w:rsidRPr="00F4606C" w:rsidRDefault="00115458" w:rsidP="001601AF">
      <w:pPr>
        <w:pStyle w:val="Bullet1"/>
        <w:numPr>
          <w:ilvl w:val="0"/>
          <w:numId w:val="71"/>
        </w:numPr>
        <w:spacing w:before="0" w:after="0"/>
        <w:rPr>
          <w:rFonts w:asciiTheme="minorHAnsi" w:hAnsiTheme="minorHAnsi" w:cs="Arial"/>
          <w:sz w:val="20"/>
          <w:szCs w:val="20"/>
        </w:rPr>
      </w:pPr>
      <w:r w:rsidRPr="00F4606C">
        <w:rPr>
          <w:rFonts w:asciiTheme="minorHAnsi" w:hAnsiTheme="minorHAnsi" w:cs="Arial"/>
          <w:sz w:val="20"/>
          <w:szCs w:val="20"/>
        </w:rPr>
        <w:t>proprietary company (also commonly called a private company)</w:t>
      </w:r>
    </w:p>
    <w:p w14:paraId="619653C6" w14:textId="77777777" w:rsidR="00115458" w:rsidRPr="00F4606C" w:rsidRDefault="00115458" w:rsidP="001601AF">
      <w:pPr>
        <w:pStyle w:val="Bullet1"/>
        <w:numPr>
          <w:ilvl w:val="0"/>
          <w:numId w:val="71"/>
        </w:numPr>
        <w:spacing w:before="0" w:after="0"/>
        <w:rPr>
          <w:rFonts w:asciiTheme="minorHAnsi" w:hAnsiTheme="minorHAnsi" w:cs="Arial"/>
          <w:sz w:val="20"/>
          <w:szCs w:val="20"/>
        </w:rPr>
      </w:pPr>
      <w:r w:rsidRPr="00F4606C">
        <w:rPr>
          <w:rFonts w:asciiTheme="minorHAnsi" w:hAnsiTheme="minorHAnsi" w:cs="Arial"/>
          <w:sz w:val="20"/>
          <w:szCs w:val="20"/>
        </w:rPr>
        <w:t>a public company, that may or may not be listed on the ASX (it is an unlisted company if not listed).</w:t>
      </w:r>
    </w:p>
    <w:p w14:paraId="5F18BF0D" w14:textId="77777777" w:rsidR="00115458" w:rsidRPr="00D42995" w:rsidRDefault="00115458" w:rsidP="00F4606C">
      <w:pPr>
        <w:spacing w:after="0" w:line="240" w:lineRule="auto"/>
        <w:rPr>
          <w:rFonts w:cs="Arial"/>
        </w:rPr>
      </w:pPr>
    </w:p>
    <w:p w14:paraId="536633AF" w14:textId="77777777" w:rsidR="00115458" w:rsidRPr="00D42995" w:rsidRDefault="00115458" w:rsidP="00F4606C">
      <w:pPr>
        <w:spacing w:after="0" w:line="240" w:lineRule="auto"/>
        <w:rPr>
          <w:rFonts w:cs="Arial"/>
        </w:rPr>
      </w:pPr>
      <w:r w:rsidRPr="00D42995">
        <w:rPr>
          <w:rFonts w:cs="Arial"/>
        </w:rPr>
        <w:t>It is often the case that small private companies have a relatively small number of investors. Loans made to these companies (other than those related to consumer finance) are still an investment covered by the TFN rules.</w:t>
      </w:r>
    </w:p>
    <w:p w14:paraId="12D991E0" w14:textId="77777777" w:rsidR="00115458" w:rsidRPr="00D42995" w:rsidRDefault="00115458" w:rsidP="00F4606C">
      <w:pPr>
        <w:spacing w:after="0" w:line="240" w:lineRule="auto"/>
        <w:rPr>
          <w:rFonts w:cs="Arial"/>
        </w:rPr>
      </w:pPr>
    </w:p>
    <w:p w14:paraId="3FBDF4EC" w14:textId="77777777" w:rsidR="00115458" w:rsidRPr="00D42995" w:rsidRDefault="00115458" w:rsidP="00F4606C">
      <w:pPr>
        <w:spacing w:after="0" w:line="240" w:lineRule="auto"/>
        <w:rPr>
          <w:rFonts w:cs="Arial"/>
        </w:rPr>
      </w:pPr>
      <w:r w:rsidRPr="00D42995">
        <w:rPr>
          <w:rFonts w:cs="Arial"/>
        </w:rPr>
        <w:t xml:space="preserve">If there were less than 10 investments in the company during the year, and no withholding from any investments, the company does not need to lodge an AIIR but may need to lodge a </w:t>
      </w:r>
      <w:r w:rsidRPr="00D42995">
        <w:rPr>
          <w:rFonts w:cs="Arial"/>
          <w:i/>
        </w:rPr>
        <w:t>Dividend and interest schedule</w:t>
      </w:r>
      <w:r w:rsidRPr="00D42995">
        <w:rPr>
          <w:rFonts w:cs="Arial"/>
        </w:rPr>
        <w:t xml:space="preserve"> (NAT 8030) that forms part of the company tax return.</w:t>
      </w:r>
    </w:p>
    <w:p w14:paraId="7569E490" w14:textId="77777777" w:rsidR="00115458" w:rsidRPr="00D42995" w:rsidRDefault="00115458" w:rsidP="00F4606C">
      <w:pPr>
        <w:spacing w:after="0" w:line="240" w:lineRule="auto"/>
        <w:rPr>
          <w:rFonts w:cs="Arial"/>
          <w:b/>
        </w:rPr>
      </w:pPr>
    </w:p>
    <w:p w14:paraId="7A72588D" w14:textId="77777777" w:rsidR="00115458" w:rsidRPr="00D42995" w:rsidRDefault="00115458" w:rsidP="00F4606C">
      <w:pPr>
        <w:spacing w:after="0" w:line="240" w:lineRule="auto"/>
        <w:rPr>
          <w:rFonts w:cs="Arial"/>
          <w:b/>
        </w:rPr>
      </w:pPr>
      <w:r w:rsidRPr="00D42995">
        <w:rPr>
          <w:rFonts w:cs="Arial"/>
          <w:b/>
        </w:rPr>
        <w:t xml:space="preserve">What </w:t>
      </w:r>
      <w:r w:rsidRPr="00D42995">
        <w:rPr>
          <w:rFonts w:cs="Arial"/>
          <w:b/>
          <w:i/>
        </w:rPr>
        <w:t xml:space="preserve">Date of payment </w:t>
      </w:r>
      <w:r w:rsidRPr="00D42995">
        <w:rPr>
          <w:rFonts w:cs="Arial"/>
          <w:b/>
        </w:rPr>
        <w:t xml:space="preserve">(9.70) should be recorded when reporting reinvested dividends? </w:t>
      </w:r>
    </w:p>
    <w:p w14:paraId="0FBC1D53" w14:textId="07EEAE98" w:rsidR="00115458" w:rsidRPr="00D42995" w:rsidRDefault="00115458" w:rsidP="00F4606C">
      <w:pPr>
        <w:spacing w:after="0" w:line="240" w:lineRule="auto"/>
        <w:rPr>
          <w:rFonts w:cs="Arial"/>
        </w:rPr>
      </w:pPr>
      <w:r w:rsidRPr="00D42995">
        <w:rPr>
          <w:rFonts w:cs="Arial"/>
        </w:rPr>
        <w:t xml:space="preserve">If a dividend is reinvested </w:t>
      </w:r>
      <w:r w:rsidR="008A6BA0">
        <w:rPr>
          <w:rFonts w:cs="Arial"/>
        </w:rPr>
        <w:t xml:space="preserve">it is still reported and </w:t>
      </w:r>
      <w:r w:rsidRPr="00D42995">
        <w:rPr>
          <w:rFonts w:cs="Arial"/>
        </w:rPr>
        <w:t xml:space="preserve">the income is taken to have been paid on the date of reinvestment. </w:t>
      </w:r>
    </w:p>
    <w:p w14:paraId="3EBDB59F" w14:textId="77777777" w:rsidR="00115458" w:rsidRPr="00D42995" w:rsidRDefault="00115458" w:rsidP="00F4606C">
      <w:pPr>
        <w:spacing w:after="0" w:line="240" w:lineRule="auto"/>
        <w:rPr>
          <w:rFonts w:cs="Arial"/>
        </w:rPr>
      </w:pPr>
    </w:p>
    <w:p w14:paraId="0EED5EA5" w14:textId="77777777" w:rsidR="00115458" w:rsidRPr="00D42995" w:rsidRDefault="00115458" w:rsidP="00F4606C">
      <w:pPr>
        <w:spacing w:after="0" w:line="240" w:lineRule="auto"/>
        <w:rPr>
          <w:rFonts w:cs="Arial"/>
          <w:b/>
        </w:rPr>
      </w:pPr>
      <w:r w:rsidRPr="00D42995">
        <w:rPr>
          <w:rFonts w:cs="Arial"/>
          <w:b/>
        </w:rPr>
        <w:t xml:space="preserve">Should the </w:t>
      </w:r>
      <w:r w:rsidRPr="00D42995">
        <w:rPr>
          <w:rFonts w:cs="Arial"/>
          <w:b/>
          <w:i/>
        </w:rPr>
        <w:t>Franking Credit</w:t>
      </w:r>
      <w:r w:rsidRPr="00D42995">
        <w:rPr>
          <w:rFonts w:cs="Arial"/>
          <w:b/>
        </w:rPr>
        <w:t xml:space="preserve"> (9.83) field be completed for those investors who received dividends as shares instead of cash?</w:t>
      </w:r>
    </w:p>
    <w:p w14:paraId="4354972A" w14:textId="7BC24BCE" w:rsidR="00115458" w:rsidRPr="00D42995" w:rsidRDefault="00115458" w:rsidP="00F4606C">
      <w:pPr>
        <w:spacing w:after="0" w:line="240" w:lineRule="auto"/>
      </w:pPr>
      <w:r w:rsidRPr="00D42995">
        <w:rPr>
          <w:rFonts w:cs="Arial"/>
        </w:rPr>
        <w:t xml:space="preserve">Yes, if </w:t>
      </w:r>
      <w:r w:rsidRPr="00D42995">
        <w:t xml:space="preserve">a franked dividend was paid, regardless of whether that dividend was taken in cash or shares </w:t>
      </w:r>
      <w:r w:rsidR="008A6BA0">
        <w:t>(i.e. reinvested)</w:t>
      </w:r>
      <w:r w:rsidRPr="00D42995">
        <w:t xml:space="preserve"> the amount of franking credit should be reported.</w:t>
      </w:r>
    </w:p>
    <w:p w14:paraId="1F37FB14" w14:textId="77777777" w:rsidR="00115458" w:rsidRPr="00D42995" w:rsidRDefault="00115458" w:rsidP="00F4606C">
      <w:pPr>
        <w:spacing w:after="0" w:line="240" w:lineRule="auto"/>
      </w:pPr>
    </w:p>
    <w:p w14:paraId="41A7F96B" w14:textId="77777777" w:rsidR="00115458" w:rsidRPr="00D42995" w:rsidRDefault="00115458" w:rsidP="00F4606C">
      <w:pPr>
        <w:spacing w:after="0" w:line="240" w:lineRule="auto"/>
      </w:pPr>
      <w:r w:rsidRPr="00D42995">
        <w:t>If the dividend was not franked then the franking credit amount would be zero.</w:t>
      </w:r>
    </w:p>
    <w:p w14:paraId="64185ED4" w14:textId="77777777" w:rsidR="00115458" w:rsidRPr="00E57001" w:rsidRDefault="00115458" w:rsidP="00A05028">
      <w:pPr>
        <w:pStyle w:val="Heading2"/>
        <w:spacing w:before="240" w:line="240" w:lineRule="auto"/>
      </w:pPr>
      <w:bookmarkStart w:id="1990" w:name="_Toc5193042"/>
      <w:bookmarkStart w:id="1991" w:name="_Toc232191388"/>
      <w:r w:rsidRPr="00E57001">
        <w:t>Withholding Tax</w:t>
      </w:r>
      <w:bookmarkEnd w:id="1990"/>
      <w:bookmarkEnd w:id="1991"/>
    </w:p>
    <w:p w14:paraId="15FAC682"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When is withholding required to be withheld from investment income payments?</w:t>
      </w:r>
    </w:p>
    <w:p w14:paraId="509E1462" w14:textId="77777777" w:rsidR="00115458" w:rsidRPr="00D42995" w:rsidRDefault="00115458" w:rsidP="00F4606C">
      <w:pPr>
        <w:spacing w:after="0" w:line="240" w:lineRule="auto"/>
        <w:rPr>
          <w:rFonts w:cs="Arial"/>
        </w:rPr>
      </w:pPr>
      <w:r w:rsidRPr="00D42995">
        <w:rPr>
          <w:rFonts w:cs="Arial"/>
        </w:rPr>
        <w:t>Withholding is required to be held from investment income for which the investor:</w:t>
      </w:r>
    </w:p>
    <w:p w14:paraId="5B80E56B" w14:textId="77777777" w:rsidR="00115458" w:rsidRPr="00D42995" w:rsidRDefault="00115458" w:rsidP="00F4606C">
      <w:pPr>
        <w:spacing w:after="0" w:line="240" w:lineRule="auto"/>
        <w:rPr>
          <w:rFonts w:cs="Arial"/>
        </w:rPr>
      </w:pPr>
    </w:p>
    <w:p w14:paraId="7AEE1056"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has not quoted a TFN or an ABN before the payment became payable and</w:t>
      </w:r>
    </w:p>
    <w:p w14:paraId="19F5A49D" w14:textId="77777777" w:rsidR="00115458" w:rsidRPr="00D42995" w:rsidRDefault="00115458" w:rsidP="001601AF">
      <w:pPr>
        <w:pStyle w:val="ListParagraph"/>
        <w:numPr>
          <w:ilvl w:val="0"/>
          <w:numId w:val="35"/>
        </w:numPr>
        <w:spacing w:after="0" w:line="240" w:lineRule="auto"/>
        <w:rPr>
          <w:rFonts w:cs="Arial"/>
        </w:rPr>
      </w:pPr>
      <w:r w:rsidRPr="00F4606C">
        <w:rPr>
          <w:rFonts w:cs="Arial"/>
        </w:rPr>
        <w:t>has not informed the investment body that he or she is exempt from quoting, or</w:t>
      </w:r>
    </w:p>
    <w:p w14:paraId="7FB8C7C4" w14:textId="77777777" w:rsidR="00115458" w:rsidRPr="00D42995" w:rsidRDefault="00115458" w:rsidP="001601AF">
      <w:pPr>
        <w:pStyle w:val="ListParagraph"/>
        <w:numPr>
          <w:ilvl w:val="0"/>
          <w:numId w:val="35"/>
        </w:numPr>
        <w:spacing w:after="0" w:line="240" w:lineRule="auto"/>
        <w:rPr>
          <w:rFonts w:cs="Arial"/>
        </w:rPr>
      </w:pPr>
      <w:r w:rsidRPr="00F4606C">
        <w:rPr>
          <w:rFonts w:cs="Arial"/>
        </w:rPr>
        <w:t>is a non-resident for tax purposes and</w:t>
      </w:r>
    </w:p>
    <w:p w14:paraId="6ED494E6" w14:textId="640A89D0" w:rsidR="00115458" w:rsidRDefault="00115458" w:rsidP="001601AF">
      <w:pPr>
        <w:pStyle w:val="ListParagraph"/>
        <w:numPr>
          <w:ilvl w:val="0"/>
          <w:numId w:val="35"/>
        </w:numPr>
        <w:spacing w:after="0" w:line="240" w:lineRule="auto"/>
        <w:rPr>
          <w:rFonts w:cs="Arial"/>
        </w:rPr>
      </w:pPr>
      <w:r w:rsidRPr="00F4606C">
        <w:rPr>
          <w:rFonts w:cs="Arial"/>
        </w:rPr>
        <w:t>exceeds the threshold for the investment type.</w:t>
      </w:r>
    </w:p>
    <w:p w14:paraId="0355E395" w14:textId="77777777" w:rsidR="00D42995" w:rsidRPr="00D42995" w:rsidRDefault="00D42995" w:rsidP="008A6BA0">
      <w:pPr>
        <w:pStyle w:val="ListParagraph"/>
        <w:spacing w:after="0" w:line="240" w:lineRule="auto"/>
        <w:rPr>
          <w:rFonts w:cs="Arial"/>
        </w:rPr>
      </w:pPr>
    </w:p>
    <w:p w14:paraId="2AA343DA" w14:textId="77777777" w:rsidR="008A6BA0" w:rsidRPr="008A6BA0" w:rsidRDefault="008A6BA0" w:rsidP="008A6BA0">
      <w:pPr>
        <w:spacing w:after="0" w:line="240" w:lineRule="auto"/>
        <w:rPr>
          <w:rFonts w:cs="Arial"/>
        </w:rPr>
      </w:pPr>
      <w:r w:rsidRPr="008A6BA0">
        <w:rPr>
          <w:rFonts w:cs="Arial"/>
        </w:rPr>
        <w:t xml:space="preserve">Withholding provisions don’t apply if the payment is a fully franked dividend from a public company. </w:t>
      </w:r>
    </w:p>
    <w:p w14:paraId="674469FC" w14:textId="77777777" w:rsidR="00115458" w:rsidRPr="00D42995" w:rsidRDefault="00115458" w:rsidP="00F4606C">
      <w:pPr>
        <w:spacing w:after="0" w:line="240" w:lineRule="auto"/>
        <w:rPr>
          <w:rFonts w:cs="Arial"/>
        </w:rPr>
      </w:pPr>
    </w:p>
    <w:p w14:paraId="46A2C562" w14:textId="0D9B04CC" w:rsidR="00115458" w:rsidRPr="00D42995" w:rsidRDefault="00115458" w:rsidP="00F4606C">
      <w:pPr>
        <w:spacing w:after="0" w:line="240" w:lineRule="auto"/>
        <w:rPr>
          <w:rFonts w:cs="Arial"/>
        </w:rPr>
      </w:pPr>
      <w:r w:rsidRPr="00D42995">
        <w:rPr>
          <w:rFonts w:cs="Arial"/>
        </w:rPr>
        <w:t xml:space="preserve">The threshold that applies to interest received from banks, building societies and credit unions is $120 </w:t>
      </w:r>
      <w:r w:rsidR="0007010D">
        <w:rPr>
          <w:rFonts w:cs="Arial"/>
        </w:rPr>
        <w:t xml:space="preserve">for the financial year </w:t>
      </w:r>
      <w:r w:rsidR="0007010D" w:rsidRPr="00D42995">
        <w:rPr>
          <w:rFonts w:cs="Arial"/>
        </w:rPr>
        <w:t>or if the payment is not for the whole financial year, the $120 is pro-rated i.e.</w:t>
      </w:r>
      <w:r w:rsidRPr="00D42995">
        <w:rPr>
          <w:rFonts w:cs="Arial"/>
        </w:rPr>
        <w:t>$10 a month for each account.</w:t>
      </w:r>
    </w:p>
    <w:p w14:paraId="6D7B1C76" w14:textId="77777777" w:rsidR="00115458" w:rsidRPr="00D42995" w:rsidRDefault="00115458" w:rsidP="00F4606C">
      <w:pPr>
        <w:spacing w:after="0" w:line="240" w:lineRule="auto"/>
        <w:rPr>
          <w:rFonts w:cs="Arial"/>
        </w:rPr>
      </w:pPr>
    </w:p>
    <w:p w14:paraId="26FFCF3C" w14:textId="77777777" w:rsidR="00115458" w:rsidRPr="00D42995" w:rsidRDefault="00115458" w:rsidP="00F4606C">
      <w:pPr>
        <w:spacing w:after="0" w:line="240" w:lineRule="auto"/>
        <w:rPr>
          <w:rFonts w:cs="Arial"/>
        </w:rPr>
      </w:pPr>
      <w:r w:rsidRPr="00D42995">
        <w:rPr>
          <w:rFonts w:cs="Arial"/>
        </w:rPr>
        <w:t>There is no threshold for other investments, such as those with:</w:t>
      </w:r>
    </w:p>
    <w:p w14:paraId="3EBDE7B8" w14:textId="77777777" w:rsidR="00115458" w:rsidRPr="00D42995" w:rsidRDefault="00115458" w:rsidP="00F4606C">
      <w:pPr>
        <w:spacing w:after="0" w:line="240" w:lineRule="auto"/>
        <w:rPr>
          <w:rFonts w:cs="Arial"/>
        </w:rPr>
      </w:pPr>
    </w:p>
    <w:p w14:paraId="166F5D28"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public companies</w:t>
      </w:r>
    </w:p>
    <w:p w14:paraId="49557CCE"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unit trusts</w:t>
      </w:r>
    </w:p>
    <w:p w14:paraId="6FA1CA4B"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finance companies</w:t>
      </w:r>
    </w:p>
    <w:p w14:paraId="2CDA88D2" w14:textId="77777777" w:rsidR="00115458" w:rsidRPr="00F4606C" w:rsidRDefault="00115458" w:rsidP="001601AF">
      <w:pPr>
        <w:pStyle w:val="ListParagraph"/>
        <w:numPr>
          <w:ilvl w:val="0"/>
          <w:numId w:val="35"/>
        </w:numPr>
        <w:spacing w:after="0" w:line="240" w:lineRule="auto"/>
        <w:rPr>
          <w:rFonts w:cs="Arial"/>
        </w:rPr>
      </w:pPr>
      <w:r w:rsidRPr="00F4606C">
        <w:rPr>
          <w:rFonts w:cs="Arial"/>
        </w:rPr>
        <w:t>government bodies</w:t>
      </w:r>
    </w:p>
    <w:p w14:paraId="56BFB794" w14:textId="4994DD55" w:rsidR="00115458" w:rsidRDefault="00115458" w:rsidP="001601AF">
      <w:pPr>
        <w:pStyle w:val="ListParagraph"/>
        <w:numPr>
          <w:ilvl w:val="0"/>
          <w:numId w:val="35"/>
        </w:numPr>
        <w:spacing w:after="0" w:line="240" w:lineRule="auto"/>
        <w:rPr>
          <w:rFonts w:cs="Arial"/>
        </w:rPr>
      </w:pPr>
      <w:r w:rsidRPr="00F4606C">
        <w:rPr>
          <w:rFonts w:cs="Arial"/>
        </w:rPr>
        <w:t>solicitors.</w:t>
      </w:r>
    </w:p>
    <w:p w14:paraId="1F4A8CBC" w14:textId="59D11085" w:rsidR="0007010D" w:rsidRDefault="0007010D" w:rsidP="0007010D">
      <w:pPr>
        <w:spacing w:after="0" w:line="240" w:lineRule="auto"/>
        <w:rPr>
          <w:rFonts w:cs="Arial"/>
        </w:rPr>
      </w:pPr>
    </w:p>
    <w:p w14:paraId="56CCFB56" w14:textId="77777777" w:rsidR="0007010D" w:rsidRPr="0007010D" w:rsidRDefault="0007010D" w:rsidP="0007010D">
      <w:pPr>
        <w:spacing w:after="0" w:line="240" w:lineRule="auto"/>
        <w:rPr>
          <w:rFonts w:cs="Arial"/>
        </w:rPr>
      </w:pPr>
    </w:p>
    <w:p w14:paraId="13F29A0F" w14:textId="77777777" w:rsidR="00115458" w:rsidRPr="00D42995" w:rsidRDefault="00115458" w:rsidP="00F4606C">
      <w:pPr>
        <w:spacing w:after="0" w:line="240" w:lineRule="auto"/>
        <w:rPr>
          <w:rFonts w:cs="Arial"/>
          <w:b/>
        </w:rPr>
      </w:pPr>
      <w:r w:rsidRPr="00D42995">
        <w:rPr>
          <w:rFonts w:cs="Arial"/>
          <w:b/>
        </w:rPr>
        <w:t>If a managed fund does not quote their TFN or ABN when investing on behalf of their investors, how is the withholding amount reported?</w:t>
      </w:r>
    </w:p>
    <w:p w14:paraId="5D0CFD80" w14:textId="77777777" w:rsidR="00115458" w:rsidRPr="00D42995" w:rsidRDefault="00115458" w:rsidP="00F4606C">
      <w:pPr>
        <w:spacing w:after="0" w:line="240" w:lineRule="auto"/>
        <w:rPr>
          <w:rFonts w:cs="Arial"/>
        </w:rPr>
      </w:pPr>
      <w:r w:rsidRPr="00D42995">
        <w:rPr>
          <w:rFonts w:cs="Arial"/>
        </w:rPr>
        <w:t>The receiving investment body will withhold tax at the top marginal rate plus Medicare levy from the investment earnings. The managed fund is able to pass on the credit amount withheld to their investors.</w:t>
      </w:r>
    </w:p>
    <w:p w14:paraId="5665FF59" w14:textId="77777777" w:rsidR="00115458" w:rsidRPr="00D42995" w:rsidRDefault="00115458" w:rsidP="00F4606C">
      <w:pPr>
        <w:spacing w:after="0" w:line="240" w:lineRule="auto"/>
        <w:rPr>
          <w:rFonts w:cs="Arial"/>
        </w:rPr>
      </w:pPr>
    </w:p>
    <w:p w14:paraId="2201F018" w14:textId="5D3A4D0C" w:rsidR="00115458" w:rsidRPr="00D42995" w:rsidRDefault="00115458" w:rsidP="00F4606C">
      <w:pPr>
        <w:spacing w:after="0" w:line="240" w:lineRule="auto"/>
        <w:rPr>
          <w:rFonts w:cs="Arial"/>
        </w:rPr>
      </w:pPr>
      <w:r w:rsidRPr="00D42995">
        <w:rPr>
          <w:rFonts w:cs="Arial"/>
        </w:rPr>
        <w:t>For example, Managed Fund A does not quote their ABN on a term deposit investment opened with Outback Bank. Income earned from the term deposit equals $10,000.00 and amount withheld equals $4,</w:t>
      </w:r>
      <w:r w:rsidR="00EC533D">
        <w:rPr>
          <w:rFonts w:cs="Arial"/>
        </w:rPr>
        <w:t>7</w:t>
      </w:r>
      <w:r w:rsidRPr="00D42995">
        <w:rPr>
          <w:rFonts w:cs="Arial"/>
        </w:rPr>
        <w:t>00.00. This income is part of unit trust distributions to 10 investors, each investor owning one unit.</w:t>
      </w:r>
    </w:p>
    <w:p w14:paraId="3F649EBD" w14:textId="77777777" w:rsidR="00115458" w:rsidRPr="00D42995" w:rsidRDefault="00115458" w:rsidP="00F4606C">
      <w:pPr>
        <w:spacing w:after="0" w:line="240" w:lineRule="auto"/>
        <w:rPr>
          <w:rFonts w:cs="Arial"/>
        </w:rPr>
      </w:pPr>
    </w:p>
    <w:p w14:paraId="122A8038" w14:textId="77777777" w:rsidR="00115458" w:rsidRPr="00D42995" w:rsidRDefault="00115458" w:rsidP="00F4606C">
      <w:pPr>
        <w:spacing w:after="0" w:line="240" w:lineRule="auto"/>
        <w:rPr>
          <w:rFonts w:cs="Arial"/>
        </w:rPr>
      </w:pPr>
      <w:r w:rsidRPr="00D42995">
        <w:rPr>
          <w:rFonts w:cs="Arial"/>
        </w:rPr>
        <w:t>Outback Bank’s AIIR will include the following income for Managed Fund A:</w:t>
      </w:r>
    </w:p>
    <w:p w14:paraId="0385A9BB" w14:textId="77777777" w:rsidR="00115458" w:rsidRPr="00D42995" w:rsidRDefault="00115458" w:rsidP="00F4606C">
      <w:pPr>
        <w:spacing w:after="0" w:line="240" w:lineRule="auto"/>
        <w:rPr>
          <w:rFonts w:cs="Arial"/>
        </w:rPr>
      </w:pPr>
    </w:p>
    <w:tbl>
      <w:tblPr>
        <w:tblW w:w="5000" w:type="pct"/>
        <w:tblLook w:val="0000" w:firstRow="0" w:lastRow="0" w:firstColumn="0" w:lastColumn="0" w:noHBand="0" w:noVBand="0"/>
      </w:tblPr>
      <w:tblGrid>
        <w:gridCol w:w="1227"/>
        <w:gridCol w:w="3769"/>
        <w:gridCol w:w="1709"/>
        <w:gridCol w:w="2573"/>
      </w:tblGrid>
      <w:tr w:rsidR="00115458" w:rsidRPr="00D42995" w14:paraId="55BC310F" w14:textId="77777777" w:rsidTr="000C1365">
        <w:trPr>
          <w:cantSplit/>
          <w:trHeight w:val="272"/>
          <w:tblHeader/>
        </w:trPr>
        <w:tc>
          <w:tcPr>
            <w:tcW w:w="634" w:type="pct"/>
            <w:tcBorders>
              <w:top w:val="single" w:sz="8" w:space="0" w:color="auto"/>
              <w:left w:val="single" w:sz="8" w:space="0" w:color="auto"/>
              <w:bottom w:val="single" w:sz="8" w:space="0" w:color="auto"/>
              <w:right w:val="single" w:sz="8" w:space="0" w:color="auto"/>
            </w:tcBorders>
            <w:shd w:val="clear" w:color="auto" w:fill="B3B3B3"/>
            <w:vAlign w:val="center"/>
          </w:tcPr>
          <w:p w14:paraId="39CD260D" w14:textId="77777777" w:rsidR="00115458" w:rsidRPr="00F4606C" w:rsidRDefault="00115458" w:rsidP="00D42995">
            <w:pPr>
              <w:pStyle w:val="Maintext"/>
              <w:rPr>
                <w:rFonts w:asciiTheme="minorHAnsi" w:hAnsiTheme="minorHAnsi" w:cs="Arial"/>
                <w:sz w:val="20"/>
                <w:szCs w:val="20"/>
              </w:rPr>
            </w:pPr>
            <w:r w:rsidRPr="00F4606C">
              <w:rPr>
                <w:rFonts w:asciiTheme="minorHAnsi" w:hAnsiTheme="minorHAnsi" w:cs="Arial"/>
                <w:b/>
                <w:sz w:val="20"/>
                <w:szCs w:val="20"/>
              </w:rPr>
              <w:t>Reference number</w:t>
            </w:r>
          </w:p>
        </w:tc>
        <w:tc>
          <w:tcPr>
            <w:tcW w:w="2082" w:type="pct"/>
            <w:tcBorders>
              <w:top w:val="single" w:sz="8" w:space="0" w:color="auto"/>
              <w:left w:val="single" w:sz="8" w:space="0" w:color="auto"/>
              <w:bottom w:val="single" w:sz="8" w:space="0" w:color="auto"/>
              <w:right w:val="single" w:sz="8" w:space="0" w:color="auto"/>
            </w:tcBorders>
            <w:shd w:val="clear" w:color="auto" w:fill="B3B3B3"/>
            <w:vAlign w:val="center"/>
          </w:tcPr>
          <w:p w14:paraId="0E39A6A1"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847" w:type="pct"/>
            <w:tcBorders>
              <w:top w:val="single" w:sz="8" w:space="0" w:color="auto"/>
              <w:left w:val="single" w:sz="8" w:space="0" w:color="auto"/>
              <w:bottom w:val="single" w:sz="8" w:space="0" w:color="auto"/>
              <w:right w:val="single" w:sz="8" w:space="0" w:color="auto"/>
            </w:tcBorders>
            <w:shd w:val="clear" w:color="auto" w:fill="B3B3B3"/>
            <w:vAlign w:val="center"/>
          </w:tcPr>
          <w:p w14:paraId="54BA2329"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437" w:type="pct"/>
            <w:tcBorders>
              <w:top w:val="single" w:sz="8" w:space="0" w:color="auto"/>
              <w:left w:val="single" w:sz="8" w:space="0" w:color="auto"/>
              <w:bottom w:val="single" w:sz="8" w:space="0" w:color="auto"/>
              <w:right w:val="single" w:sz="8" w:space="0" w:color="auto"/>
            </w:tcBorders>
            <w:shd w:val="clear" w:color="auto" w:fill="B3B3B3"/>
            <w:vAlign w:val="center"/>
          </w:tcPr>
          <w:p w14:paraId="03E3D056" w14:textId="77777777" w:rsidR="00115458" w:rsidRPr="00F4606C" w:rsidRDefault="00115458" w:rsidP="00D42995">
            <w:pPr>
              <w:pStyle w:val="Maintext"/>
              <w:jc w:val="righ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D42995" w14:paraId="7930BE2D" w14:textId="77777777" w:rsidTr="000C1365">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2FB2E0AC" w14:textId="77777777" w:rsidR="00115458" w:rsidRPr="00F4606C" w:rsidRDefault="00115458" w:rsidP="00F4606C">
            <w:pPr>
              <w:spacing w:after="0" w:line="240" w:lineRule="auto"/>
              <w:rPr>
                <w:rFonts w:cs="Arial"/>
              </w:rPr>
            </w:pPr>
            <w:r w:rsidRPr="00F4606C">
              <w:rPr>
                <w:rFonts w:cs="Arial"/>
                <w:noProof/>
              </w:rPr>
              <w:t>9.74</w:t>
            </w:r>
          </w:p>
        </w:tc>
        <w:tc>
          <w:tcPr>
            <w:tcW w:w="2082" w:type="pct"/>
            <w:tcBorders>
              <w:top w:val="single" w:sz="6" w:space="0" w:color="auto"/>
              <w:left w:val="single" w:sz="6" w:space="0" w:color="auto"/>
              <w:bottom w:val="single" w:sz="6" w:space="0" w:color="auto"/>
              <w:right w:val="single" w:sz="6" w:space="0" w:color="auto"/>
            </w:tcBorders>
            <w:vAlign w:val="center"/>
          </w:tcPr>
          <w:p w14:paraId="7C61E040" w14:textId="77777777" w:rsidR="00115458" w:rsidRPr="00F4606C" w:rsidRDefault="00115458" w:rsidP="00F4606C">
            <w:pPr>
              <w:spacing w:after="0" w:line="240" w:lineRule="auto"/>
              <w:rPr>
                <w:rFonts w:cs="Arial"/>
              </w:rPr>
            </w:pPr>
            <w:r w:rsidRPr="00F4606C">
              <w:rPr>
                <w:rFonts w:cs="Arial"/>
              </w:rPr>
              <w:t>TFN withholding tax deducted (cents)</w:t>
            </w:r>
          </w:p>
        </w:tc>
        <w:tc>
          <w:tcPr>
            <w:tcW w:w="847" w:type="pct"/>
            <w:tcBorders>
              <w:top w:val="single" w:sz="6" w:space="0" w:color="auto"/>
              <w:left w:val="single" w:sz="6" w:space="0" w:color="auto"/>
              <w:bottom w:val="single" w:sz="6" w:space="0" w:color="auto"/>
              <w:right w:val="single" w:sz="6" w:space="0" w:color="auto"/>
            </w:tcBorders>
            <w:vAlign w:val="center"/>
          </w:tcPr>
          <w:p w14:paraId="51E4F92D" w14:textId="6AB40E3C" w:rsidR="00115458" w:rsidRPr="00F4606C" w:rsidRDefault="00115458" w:rsidP="00F4606C">
            <w:pPr>
              <w:spacing w:after="0" w:line="240" w:lineRule="auto"/>
              <w:rPr>
                <w:rFonts w:cs="Arial"/>
              </w:rPr>
            </w:pPr>
            <w:r w:rsidRPr="00F4606C">
              <w:rPr>
                <w:rFonts w:cs="Arial"/>
              </w:rPr>
              <w:t>0000004</w:t>
            </w:r>
            <w:r w:rsidR="00CF51E5">
              <w:rPr>
                <w:rFonts w:cs="Arial"/>
              </w:rPr>
              <w:t>7</w:t>
            </w:r>
            <w:r w:rsidRPr="00F4606C">
              <w:rPr>
                <w:rFonts w:cs="Arial"/>
              </w:rPr>
              <w:t>0000</w:t>
            </w:r>
          </w:p>
        </w:tc>
        <w:tc>
          <w:tcPr>
            <w:tcW w:w="1437" w:type="pct"/>
            <w:tcBorders>
              <w:top w:val="single" w:sz="6" w:space="0" w:color="auto"/>
              <w:left w:val="single" w:sz="6" w:space="0" w:color="auto"/>
              <w:bottom w:val="single" w:sz="6" w:space="0" w:color="auto"/>
              <w:right w:val="single" w:sz="6" w:space="0" w:color="auto"/>
            </w:tcBorders>
            <w:vAlign w:val="center"/>
          </w:tcPr>
          <w:p w14:paraId="58380BFD" w14:textId="734C90C8"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$4,</w:t>
            </w:r>
            <w:r w:rsidR="00CF51E5">
              <w:rPr>
                <w:rFonts w:asciiTheme="minorHAnsi" w:hAnsiTheme="minorHAnsi" w:cs="Arial"/>
                <w:sz w:val="20"/>
                <w:szCs w:val="20"/>
              </w:rPr>
              <w:t>7</w:t>
            </w:r>
            <w:r w:rsidRPr="00F4606C">
              <w:rPr>
                <w:rFonts w:asciiTheme="minorHAnsi" w:hAnsiTheme="minorHAnsi" w:cs="Arial"/>
                <w:sz w:val="20"/>
                <w:szCs w:val="20"/>
              </w:rPr>
              <w:t>00</w:t>
            </w:r>
          </w:p>
        </w:tc>
      </w:tr>
      <w:tr w:rsidR="00115458" w:rsidRPr="00D42995" w14:paraId="3FF39FAA" w14:textId="77777777" w:rsidTr="000C1365">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5DFCB94F" w14:textId="77777777" w:rsidR="00115458" w:rsidRPr="00F4606C" w:rsidRDefault="00115458" w:rsidP="00F4606C">
            <w:pPr>
              <w:spacing w:after="0" w:line="240" w:lineRule="auto"/>
              <w:rPr>
                <w:rFonts w:cs="Arial"/>
              </w:rPr>
            </w:pPr>
            <w:r w:rsidRPr="00F4606C">
              <w:rPr>
                <w:rFonts w:cs="Arial"/>
              </w:rPr>
              <w:t>9.79</w:t>
            </w:r>
          </w:p>
        </w:tc>
        <w:tc>
          <w:tcPr>
            <w:tcW w:w="2082" w:type="pct"/>
            <w:tcBorders>
              <w:top w:val="single" w:sz="6" w:space="0" w:color="auto"/>
              <w:left w:val="single" w:sz="6" w:space="0" w:color="auto"/>
              <w:bottom w:val="single" w:sz="6" w:space="0" w:color="auto"/>
              <w:right w:val="single" w:sz="6" w:space="0" w:color="auto"/>
            </w:tcBorders>
            <w:vAlign w:val="center"/>
          </w:tcPr>
          <w:p w14:paraId="435DFA5E" w14:textId="77777777" w:rsidR="00115458" w:rsidRPr="00F4606C" w:rsidRDefault="00115458" w:rsidP="00F4606C">
            <w:pPr>
              <w:spacing w:after="0" w:line="240" w:lineRule="auto"/>
              <w:rPr>
                <w:rFonts w:cs="Arial"/>
              </w:rPr>
            </w:pPr>
            <w:r w:rsidRPr="00F4606C">
              <w:rPr>
                <w:rFonts w:cs="Arial"/>
              </w:rPr>
              <w:t>Interest</w:t>
            </w:r>
          </w:p>
        </w:tc>
        <w:tc>
          <w:tcPr>
            <w:tcW w:w="847" w:type="pct"/>
            <w:tcBorders>
              <w:top w:val="single" w:sz="6" w:space="0" w:color="auto"/>
              <w:left w:val="single" w:sz="6" w:space="0" w:color="auto"/>
              <w:bottom w:val="single" w:sz="6" w:space="0" w:color="auto"/>
              <w:right w:val="single" w:sz="6" w:space="0" w:color="auto"/>
            </w:tcBorders>
            <w:vAlign w:val="center"/>
          </w:tcPr>
          <w:p w14:paraId="075ACCDB" w14:textId="77777777" w:rsidR="00115458" w:rsidRPr="00F4606C" w:rsidRDefault="00115458" w:rsidP="00F4606C">
            <w:pPr>
              <w:spacing w:after="0" w:line="240" w:lineRule="auto"/>
              <w:rPr>
                <w:rFonts w:cs="Arial"/>
              </w:rPr>
            </w:pPr>
            <w:r w:rsidRPr="00F4606C">
              <w:rPr>
                <w:rFonts w:cs="Arial"/>
              </w:rPr>
              <w:t>000001000000</w:t>
            </w:r>
          </w:p>
        </w:tc>
        <w:tc>
          <w:tcPr>
            <w:tcW w:w="1437" w:type="pct"/>
            <w:tcBorders>
              <w:top w:val="single" w:sz="6" w:space="0" w:color="auto"/>
              <w:left w:val="single" w:sz="6" w:space="0" w:color="auto"/>
              <w:bottom w:val="single" w:sz="6" w:space="0" w:color="auto"/>
              <w:right w:val="single" w:sz="6" w:space="0" w:color="auto"/>
            </w:tcBorders>
            <w:vAlign w:val="center"/>
          </w:tcPr>
          <w:p w14:paraId="4171A5D4"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$10,000</w:t>
            </w:r>
          </w:p>
        </w:tc>
      </w:tr>
    </w:tbl>
    <w:p w14:paraId="00411AF2" w14:textId="77777777" w:rsidR="00115458" w:rsidRPr="00D42995" w:rsidRDefault="00115458" w:rsidP="00F4606C">
      <w:pPr>
        <w:spacing w:after="0" w:line="240" w:lineRule="auto"/>
        <w:rPr>
          <w:rFonts w:cs="Arial"/>
        </w:rPr>
      </w:pPr>
    </w:p>
    <w:p w14:paraId="5CB375C0" w14:textId="77777777" w:rsidR="00115458" w:rsidRPr="00D42995" w:rsidRDefault="00115458" w:rsidP="00F4606C">
      <w:pPr>
        <w:spacing w:after="0" w:line="240" w:lineRule="auto"/>
        <w:rPr>
          <w:rFonts w:cs="Arial"/>
        </w:rPr>
      </w:pPr>
      <w:r w:rsidRPr="00D42995">
        <w:rPr>
          <w:rFonts w:cs="Arial"/>
        </w:rPr>
        <w:t>In Managed Fund A’s AIIR they will report the interest and withholding for each investor in their AIIR as follows:</w:t>
      </w:r>
    </w:p>
    <w:p w14:paraId="6BB93DA9" w14:textId="77777777" w:rsidR="00115458" w:rsidRPr="00D42995" w:rsidRDefault="00115458" w:rsidP="00F4606C">
      <w:pPr>
        <w:spacing w:after="0" w:line="240" w:lineRule="auto"/>
        <w:rPr>
          <w:rFonts w:cs="Arial"/>
        </w:rPr>
      </w:pPr>
    </w:p>
    <w:tbl>
      <w:tblPr>
        <w:tblW w:w="5000" w:type="pct"/>
        <w:tblLook w:val="0000" w:firstRow="0" w:lastRow="0" w:firstColumn="0" w:lastColumn="0" w:noHBand="0" w:noVBand="0"/>
      </w:tblPr>
      <w:tblGrid>
        <w:gridCol w:w="1227"/>
        <w:gridCol w:w="3769"/>
        <w:gridCol w:w="1709"/>
        <w:gridCol w:w="2573"/>
      </w:tblGrid>
      <w:tr w:rsidR="00115458" w:rsidRPr="00D42995" w14:paraId="438D537E" w14:textId="77777777" w:rsidTr="000C1365">
        <w:trPr>
          <w:cantSplit/>
          <w:trHeight w:val="272"/>
          <w:tblHeader/>
        </w:trPr>
        <w:tc>
          <w:tcPr>
            <w:tcW w:w="634" w:type="pct"/>
            <w:tcBorders>
              <w:top w:val="single" w:sz="8" w:space="0" w:color="auto"/>
              <w:left w:val="single" w:sz="8" w:space="0" w:color="auto"/>
              <w:bottom w:val="single" w:sz="8" w:space="0" w:color="auto"/>
              <w:right w:val="single" w:sz="8" w:space="0" w:color="auto"/>
            </w:tcBorders>
            <w:shd w:val="clear" w:color="auto" w:fill="B3B3B3"/>
            <w:vAlign w:val="center"/>
          </w:tcPr>
          <w:p w14:paraId="3C7F6EBC" w14:textId="77777777" w:rsidR="00115458" w:rsidRPr="00F4606C" w:rsidRDefault="00115458" w:rsidP="00D42995">
            <w:pPr>
              <w:pStyle w:val="Maintext"/>
              <w:rPr>
                <w:rFonts w:asciiTheme="minorHAnsi" w:hAnsiTheme="minorHAnsi" w:cs="Arial"/>
                <w:sz w:val="20"/>
                <w:szCs w:val="20"/>
              </w:rPr>
            </w:pPr>
            <w:r w:rsidRPr="00F4606C">
              <w:rPr>
                <w:rFonts w:asciiTheme="minorHAnsi" w:hAnsiTheme="minorHAnsi" w:cs="Arial"/>
                <w:b/>
                <w:sz w:val="20"/>
                <w:szCs w:val="20"/>
              </w:rPr>
              <w:t>Reference number</w:t>
            </w:r>
          </w:p>
        </w:tc>
        <w:tc>
          <w:tcPr>
            <w:tcW w:w="2082" w:type="pct"/>
            <w:tcBorders>
              <w:top w:val="single" w:sz="8" w:space="0" w:color="auto"/>
              <w:left w:val="single" w:sz="8" w:space="0" w:color="auto"/>
              <w:bottom w:val="single" w:sz="8" w:space="0" w:color="auto"/>
              <w:right w:val="single" w:sz="8" w:space="0" w:color="auto"/>
            </w:tcBorders>
            <w:shd w:val="clear" w:color="auto" w:fill="B3B3B3"/>
            <w:vAlign w:val="center"/>
          </w:tcPr>
          <w:p w14:paraId="7FC80353"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Field name</w:t>
            </w:r>
          </w:p>
        </w:tc>
        <w:tc>
          <w:tcPr>
            <w:tcW w:w="847" w:type="pct"/>
            <w:tcBorders>
              <w:top w:val="single" w:sz="8" w:space="0" w:color="auto"/>
              <w:left w:val="single" w:sz="8" w:space="0" w:color="auto"/>
              <w:bottom w:val="single" w:sz="8" w:space="0" w:color="auto"/>
              <w:right w:val="single" w:sz="8" w:space="0" w:color="auto"/>
            </w:tcBorders>
            <w:shd w:val="clear" w:color="auto" w:fill="B3B3B3"/>
            <w:vAlign w:val="center"/>
          </w:tcPr>
          <w:p w14:paraId="37348FF9" w14:textId="77777777" w:rsidR="00115458" w:rsidRPr="00F4606C" w:rsidRDefault="00115458" w:rsidP="00D42995">
            <w:pPr>
              <w:pStyle w:val="Maintext"/>
              <w:rPr>
                <w:rFonts w:asciiTheme="minorHAnsi" w:hAnsiTheme="minorHAnsi" w:cs="Arial"/>
                <w:b/>
                <w:sz w:val="20"/>
                <w:szCs w:val="20"/>
              </w:rPr>
            </w:pPr>
            <w:r w:rsidRPr="00F4606C">
              <w:rPr>
                <w:rFonts w:asciiTheme="minorHAnsi" w:hAnsiTheme="minorHAnsi" w:cs="Arial"/>
                <w:b/>
                <w:sz w:val="20"/>
                <w:szCs w:val="20"/>
              </w:rPr>
              <w:t>Content</w:t>
            </w:r>
          </w:p>
        </w:tc>
        <w:tc>
          <w:tcPr>
            <w:tcW w:w="1437" w:type="pct"/>
            <w:tcBorders>
              <w:top w:val="single" w:sz="8" w:space="0" w:color="auto"/>
              <w:left w:val="single" w:sz="8" w:space="0" w:color="auto"/>
              <w:bottom w:val="single" w:sz="8" w:space="0" w:color="auto"/>
              <w:right w:val="single" w:sz="8" w:space="0" w:color="auto"/>
            </w:tcBorders>
            <w:shd w:val="clear" w:color="auto" w:fill="B3B3B3"/>
            <w:vAlign w:val="center"/>
          </w:tcPr>
          <w:p w14:paraId="76841101" w14:textId="77777777" w:rsidR="00115458" w:rsidRPr="00F4606C" w:rsidRDefault="00115458" w:rsidP="00D42995">
            <w:pPr>
              <w:pStyle w:val="Maintext"/>
              <w:jc w:val="right"/>
              <w:rPr>
                <w:rFonts w:asciiTheme="minorHAnsi" w:hAnsiTheme="minorHAnsi" w:cs="Arial"/>
                <w:b/>
                <w:sz w:val="20"/>
                <w:szCs w:val="20"/>
              </w:rPr>
            </w:pPr>
            <w:r w:rsidRPr="00F4606C">
              <w:rPr>
                <w:rFonts w:asciiTheme="minorHAnsi" w:hAnsiTheme="minorHAnsi" w:cs="Arial"/>
                <w:b/>
                <w:sz w:val="20"/>
                <w:szCs w:val="20"/>
              </w:rPr>
              <w:t>Explanation</w:t>
            </w:r>
          </w:p>
        </w:tc>
      </w:tr>
      <w:tr w:rsidR="00115458" w:rsidRPr="00D42995" w14:paraId="12FD19F3" w14:textId="77777777" w:rsidTr="000C1365">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1FC8D3A1" w14:textId="77777777" w:rsidR="00115458" w:rsidRPr="00F4606C" w:rsidRDefault="00115458" w:rsidP="00F4606C">
            <w:pPr>
              <w:spacing w:after="0" w:line="240" w:lineRule="auto"/>
              <w:rPr>
                <w:rFonts w:cs="Arial"/>
              </w:rPr>
            </w:pPr>
            <w:r w:rsidRPr="00F4606C">
              <w:rPr>
                <w:rFonts w:cs="Arial"/>
                <w:noProof/>
              </w:rPr>
              <w:t>9.74</w:t>
            </w:r>
          </w:p>
        </w:tc>
        <w:tc>
          <w:tcPr>
            <w:tcW w:w="2082" w:type="pct"/>
            <w:tcBorders>
              <w:top w:val="single" w:sz="6" w:space="0" w:color="auto"/>
              <w:left w:val="single" w:sz="6" w:space="0" w:color="auto"/>
              <w:bottom w:val="single" w:sz="6" w:space="0" w:color="auto"/>
              <w:right w:val="single" w:sz="6" w:space="0" w:color="auto"/>
            </w:tcBorders>
            <w:vAlign w:val="center"/>
          </w:tcPr>
          <w:p w14:paraId="766B8C92" w14:textId="77777777" w:rsidR="00115458" w:rsidRPr="00F4606C" w:rsidRDefault="00115458" w:rsidP="00F4606C">
            <w:pPr>
              <w:spacing w:after="0" w:line="240" w:lineRule="auto"/>
              <w:rPr>
                <w:rFonts w:cs="Arial"/>
              </w:rPr>
            </w:pPr>
            <w:r w:rsidRPr="00F4606C">
              <w:rPr>
                <w:rFonts w:cs="Arial"/>
              </w:rPr>
              <w:t>TFN withholding tax deducted (cents)</w:t>
            </w:r>
          </w:p>
        </w:tc>
        <w:tc>
          <w:tcPr>
            <w:tcW w:w="847" w:type="pct"/>
            <w:tcBorders>
              <w:top w:val="single" w:sz="6" w:space="0" w:color="auto"/>
              <w:left w:val="single" w:sz="6" w:space="0" w:color="auto"/>
              <w:bottom w:val="single" w:sz="6" w:space="0" w:color="auto"/>
              <w:right w:val="single" w:sz="6" w:space="0" w:color="auto"/>
            </w:tcBorders>
            <w:vAlign w:val="center"/>
          </w:tcPr>
          <w:p w14:paraId="16FCA903" w14:textId="47499C68" w:rsidR="00115458" w:rsidRPr="00F4606C" w:rsidRDefault="00115458" w:rsidP="00F4606C">
            <w:pPr>
              <w:spacing w:after="0" w:line="240" w:lineRule="auto"/>
              <w:rPr>
                <w:rFonts w:cs="Arial"/>
              </w:rPr>
            </w:pPr>
            <w:r w:rsidRPr="00F4606C">
              <w:rPr>
                <w:rFonts w:cs="Arial"/>
              </w:rPr>
              <w:t>00000004</w:t>
            </w:r>
            <w:r w:rsidR="00CF51E5">
              <w:rPr>
                <w:rFonts w:cs="Arial"/>
              </w:rPr>
              <w:t>7</w:t>
            </w:r>
            <w:r w:rsidRPr="00F4606C">
              <w:rPr>
                <w:rFonts w:cs="Arial"/>
              </w:rPr>
              <w:t>000</w:t>
            </w:r>
          </w:p>
        </w:tc>
        <w:tc>
          <w:tcPr>
            <w:tcW w:w="1437" w:type="pct"/>
            <w:tcBorders>
              <w:top w:val="single" w:sz="6" w:space="0" w:color="auto"/>
              <w:left w:val="single" w:sz="6" w:space="0" w:color="auto"/>
              <w:bottom w:val="single" w:sz="6" w:space="0" w:color="auto"/>
              <w:right w:val="single" w:sz="6" w:space="0" w:color="auto"/>
            </w:tcBorders>
            <w:vAlign w:val="center"/>
          </w:tcPr>
          <w:p w14:paraId="75ECA82F" w14:textId="4F18DF03"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$4</w:t>
            </w:r>
            <w:r w:rsidR="00CF51E5">
              <w:rPr>
                <w:rFonts w:asciiTheme="minorHAnsi" w:hAnsiTheme="minorHAnsi" w:cs="Arial"/>
                <w:sz w:val="20"/>
                <w:szCs w:val="20"/>
              </w:rPr>
              <w:t>7</w:t>
            </w:r>
            <w:r w:rsidRPr="00F4606C">
              <w:rPr>
                <w:rFonts w:asciiTheme="minorHAnsi" w:hAnsiTheme="minorHAnsi" w:cs="Arial"/>
                <w:sz w:val="20"/>
                <w:szCs w:val="20"/>
              </w:rPr>
              <w:t>0</w:t>
            </w:r>
          </w:p>
        </w:tc>
      </w:tr>
      <w:tr w:rsidR="00115458" w:rsidRPr="00D42995" w14:paraId="189E3469" w14:textId="77777777" w:rsidTr="000C1365">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12D930F5" w14:textId="77777777" w:rsidR="00115458" w:rsidRPr="00F4606C" w:rsidRDefault="00115458" w:rsidP="00F4606C">
            <w:pPr>
              <w:spacing w:after="0" w:line="240" w:lineRule="auto"/>
              <w:rPr>
                <w:rFonts w:cs="Arial"/>
              </w:rPr>
            </w:pPr>
            <w:r w:rsidRPr="00F4606C">
              <w:rPr>
                <w:rFonts w:cs="Arial"/>
              </w:rPr>
              <w:t>9.79</w:t>
            </w:r>
          </w:p>
        </w:tc>
        <w:tc>
          <w:tcPr>
            <w:tcW w:w="2082" w:type="pct"/>
            <w:tcBorders>
              <w:top w:val="single" w:sz="6" w:space="0" w:color="auto"/>
              <w:left w:val="single" w:sz="6" w:space="0" w:color="auto"/>
              <w:bottom w:val="single" w:sz="6" w:space="0" w:color="auto"/>
              <w:right w:val="single" w:sz="6" w:space="0" w:color="auto"/>
            </w:tcBorders>
            <w:vAlign w:val="center"/>
          </w:tcPr>
          <w:p w14:paraId="3137EAE4" w14:textId="77777777" w:rsidR="00115458" w:rsidRPr="00F4606C" w:rsidRDefault="00115458" w:rsidP="00F4606C">
            <w:pPr>
              <w:spacing w:after="0" w:line="240" w:lineRule="auto"/>
              <w:rPr>
                <w:rFonts w:cs="Arial"/>
              </w:rPr>
            </w:pPr>
            <w:r w:rsidRPr="00F4606C">
              <w:rPr>
                <w:rFonts w:cs="Arial"/>
              </w:rPr>
              <w:t>Interest</w:t>
            </w:r>
          </w:p>
        </w:tc>
        <w:tc>
          <w:tcPr>
            <w:tcW w:w="847" w:type="pct"/>
            <w:tcBorders>
              <w:top w:val="single" w:sz="6" w:space="0" w:color="auto"/>
              <w:left w:val="single" w:sz="6" w:space="0" w:color="auto"/>
              <w:bottom w:val="single" w:sz="6" w:space="0" w:color="auto"/>
              <w:right w:val="single" w:sz="6" w:space="0" w:color="auto"/>
            </w:tcBorders>
            <w:vAlign w:val="center"/>
          </w:tcPr>
          <w:p w14:paraId="493AF608" w14:textId="77777777" w:rsidR="00115458" w:rsidRPr="00F4606C" w:rsidRDefault="00115458" w:rsidP="00F4606C">
            <w:pPr>
              <w:spacing w:after="0" w:line="240" w:lineRule="auto"/>
              <w:rPr>
                <w:rFonts w:cs="Arial"/>
              </w:rPr>
            </w:pPr>
            <w:r w:rsidRPr="00F4606C">
              <w:rPr>
                <w:rFonts w:cs="Arial"/>
              </w:rPr>
              <w:t>000000100000</w:t>
            </w:r>
          </w:p>
        </w:tc>
        <w:tc>
          <w:tcPr>
            <w:tcW w:w="1437" w:type="pct"/>
            <w:tcBorders>
              <w:top w:val="single" w:sz="6" w:space="0" w:color="auto"/>
              <w:left w:val="single" w:sz="6" w:space="0" w:color="auto"/>
              <w:bottom w:val="single" w:sz="6" w:space="0" w:color="auto"/>
              <w:right w:val="single" w:sz="6" w:space="0" w:color="auto"/>
            </w:tcBorders>
            <w:vAlign w:val="center"/>
          </w:tcPr>
          <w:p w14:paraId="75FD7C80"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$1,000</w:t>
            </w:r>
          </w:p>
        </w:tc>
      </w:tr>
      <w:tr w:rsidR="00115458" w:rsidRPr="00D42995" w14:paraId="781439C1" w14:textId="77777777" w:rsidTr="000C1365">
        <w:trPr>
          <w:cantSplit/>
          <w:trHeight w:val="272"/>
        </w:trPr>
        <w:tc>
          <w:tcPr>
            <w:tcW w:w="634" w:type="pct"/>
            <w:tcBorders>
              <w:top w:val="single" w:sz="6" w:space="0" w:color="auto"/>
              <w:left w:val="single" w:sz="6" w:space="0" w:color="auto"/>
              <w:bottom w:val="single" w:sz="6" w:space="0" w:color="auto"/>
              <w:right w:val="single" w:sz="6" w:space="0" w:color="auto"/>
            </w:tcBorders>
            <w:vAlign w:val="center"/>
          </w:tcPr>
          <w:p w14:paraId="084D6801" w14:textId="77777777" w:rsidR="00115458" w:rsidRPr="00F4606C" w:rsidRDefault="00115458" w:rsidP="00F4606C">
            <w:pPr>
              <w:spacing w:after="0" w:line="240" w:lineRule="auto"/>
              <w:rPr>
                <w:rFonts w:cs="Arial"/>
              </w:rPr>
            </w:pPr>
            <w:r w:rsidRPr="00F4606C">
              <w:rPr>
                <w:rFonts w:cs="Arial"/>
              </w:rPr>
              <w:t>9.85</w:t>
            </w:r>
          </w:p>
        </w:tc>
        <w:tc>
          <w:tcPr>
            <w:tcW w:w="2082" w:type="pct"/>
            <w:tcBorders>
              <w:top w:val="single" w:sz="6" w:space="0" w:color="auto"/>
              <w:left w:val="single" w:sz="6" w:space="0" w:color="auto"/>
              <w:bottom w:val="single" w:sz="6" w:space="0" w:color="auto"/>
              <w:right w:val="single" w:sz="6" w:space="0" w:color="auto"/>
            </w:tcBorders>
            <w:vAlign w:val="center"/>
          </w:tcPr>
          <w:p w14:paraId="1C9BA942" w14:textId="77777777" w:rsidR="00115458" w:rsidRPr="00F4606C" w:rsidRDefault="00115458" w:rsidP="00F4606C">
            <w:pPr>
              <w:spacing w:after="0" w:line="240" w:lineRule="auto"/>
              <w:rPr>
                <w:rFonts w:cs="Arial"/>
              </w:rPr>
            </w:pPr>
            <w:r w:rsidRPr="00F4606C">
              <w:rPr>
                <w:rFonts w:cs="Arial"/>
              </w:rPr>
              <w:t>Non-primary production income</w:t>
            </w:r>
          </w:p>
        </w:tc>
        <w:tc>
          <w:tcPr>
            <w:tcW w:w="847" w:type="pct"/>
            <w:tcBorders>
              <w:top w:val="single" w:sz="6" w:space="0" w:color="auto"/>
              <w:left w:val="single" w:sz="6" w:space="0" w:color="auto"/>
              <w:bottom w:val="single" w:sz="6" w:space="0" w:color="auto"/>
              <w:right w:val="single" w:sz="6" w:space="0" w:color="auto"/>
            </w:tcBorders>
            <w:vAlign w:val="center"/>
          </w:tcPr>
          <w:p w14:paraId="1AB919FA" w14:textId="77777777" w:rsidR="00115458" w:rsidRPr="00F4606C" w:rsidRDefault="00115458" w:rsidP="00F4606C">
            <w:pPr>
              <w:spacing w:after="0" w:line="240" w:lineRule="auto"/>
              <w:rPr>
                <w:rFonts w:cs="Arial"/>
              </w:rPr>
            </w:pPr>
            <w:r w:rsidRPr="00F4606C">
              <w:rPr>
                <w:rFonts w:cs="Arial"/>
              </w:rPr>
              <w:t>000000100000</w:t>
            </w:r>
          </w:p>
        </w:tc>
        <w:tc>
          <w:tcPr>
            <w:tcW w:w="1437" w:type="pct"/>
            <w:tcBorders>
              <w:top w:val="single" w:sz="6" w:space="0" w:color="auto"/>
              <w:left w:val="single" w:sz="6" w:space="0" w:color="auto"/>
              <w:bottom w:val="single" w:sz="6" w:space="0" w:color="auto"/>
              <w:right w:val="single" w:sz="6" w:space="0" w:color="auto"/>
            </w:tcBorders>
            <w:vAlign w:val="center"/>
          </w:tcPr>
          <w:p w14:paraId="4A264CDC"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 xml:space="preserve">$1,000 </w:t>
            </w:r>
          </w:p>
          <w:p w14:paraId="3A5F60E0" w14:textId="77777777" w:rsidR="00115458" w:rsidRPr="00F4606C" w:rsidRDefault="00115458" w:rsidP="00D42995">
            <w:pPr>
              <w:pStyle w:val="Maintext"/>
              <w:jc w:val="right"/>
              <w:rPr>
                <w:rFonts w:asciiTheme="minorHAnsi" w:hAnsiTheme="minorHAnsi" w:cs="Arial"/>
                <w:sz w:val="20"/>
                <w:szCs w:val="20"/>
              </w:rPr>
            </w:pPr>
            <w:r w:rsidRPr="00F4606C">
              <w:rPr>
                <w:rFonts w:asciiTheme="minorHAnsi" w:hAnsiTheme="minorHAnsi" w:cs="Arial"/>
                <w:sz w:val="20"/>
                <w:szCs w:val="20"/>
              </w:rPr>
              <w:t>plus the other components of the Non-primary production income calculation</w:t>
            </w:r>
          </w:p>
        </w:tc>
      </w:tr>
    </w:tbl>
    <w:p w14:paraId="3AF88CC9" w14:textId="77777777" w:rsidR="00115458" w:rsidRPr="00D42995" w:rsidRDefault="00115458" w:rsidP="00F4606C">
      <w:pPr>
        <w:spacing w:after="0" w:line="240" w:lineRule="auto"/>
        <w:rPr>
          <w:rFonts w:cs="Arial"/>
        </w:rPr>
      </w:pPr>
    </w:p>
    <w:p w14:paraId="6C3DD59B" w14:textId="77777777" w:rsidR="00115458" w:rsidRPr="00D42995" w:rsidRDefault="00115458" w:rsidP="00F4606C">
      <w:pPr>
        <w:spacing w:after="0" w:line="240" w:lineRule="auto"/>
        <w:rPr>
          <w:rFonts w:cs="Arial"/>
        </w:rPr>
      </w:pPr>
      <w:r w:rsidRPr="00D42995">
        <w:rPr>
          <w:rFonts w:cs="Arial"/>
        </w:rPr>
        <w:t xml:space="preserve">The investors are not disadvantaged as they are able to claim the credit at label </w:t>
      </w:r>
      <w:r w:rsidRPr="00D42995">
        <w:rPr>
          <w:rFonts w:cs="Arial"/>
          <w:b/>
        </w:rPr>
        <w:t>13R</w:t>
      </w:r>
      <w:r w:rsidRPr="00D42995">
        <w:rPr>
          <w:rFonts w:cs="Arial"/>
        </w:rPr>
        <w:t xml:space="preserve"> </w:t>
      </w:r>
      <w:r w:rsidRPr="00D42995">
        <w:rPr>
          <w:rFonts w:cs="Arial"/>
          <w:i/>
        </w:rPr>
        <w:t xml:space="preserve">Share of credit for tax file number amounts withheld from interest, dividends and unit trust distributions </w:t>
      </w:r>
      <w:r w:rsidRPr="00D42995">
        <w:rPr>
          <w:rFonts w:cs="Arial"/>
        </w:rPr>
        <w:t>in their income tax return.</w:t>
      </w:r>
    </w:p>
    <w:p w14:paraId="1B388C4E" w14:textId="77777777" w:rsidR="00115458" w:rsidRPr="00D42995" w:rsidRDefault="00115458" w:rsidP="00F4606C">
      <w:pPr>
        <w:spacing w:after="0" w:line="240" w:lineRule="auto"/>
        <w:rPr>
          <w:rFonts w:cs="Arial"/>
        </w:rPr>
      </w:pPr>
    </w:p>
    <w:p w14:paraId="636B3C83" w14:textId="77777777" w:rsidR="00115458" w:rsidRPr="00D42995" w:rsidRDefault="00115458" w:rsidP="00F4606C">
      <w:pPr>
        <w:spacing w:after="0" w:line="240" w:lineRule="auto"/>
        <w:rPr>
          <w:rFonts w:cs="Arial"/>
          <w:b/>
        </w:rPr>
      </w:pPr>
      <w:r w:rsidRPr="00D42995">
        <w:rPr>
          <w:rFonts w:cs="Arial"/>
          <w:b/>
        </w:rPr>
        <w:t xml:space="preserve">When is an amount reported at the </w:t>
      </w:r>
      <w:r w:rsidRPr="00D42995">
        <w:rPr>
          <w:rFonts w:cs="Arial"/>
          <w:b/>
          <w:i/>
        </w:rPr>
        <w:t xml:space="preserve">Share of credit for amounts withheld from foreign resident withholding </w:t>
      </w:r>
      <w:r w:rsidRPr="00D42995">
        <w:rPr>
          <w:rFonts w:cs="Arial"/>
          <w:b/>
        </w:rPr>
        <w:t>(9.99) field?</w:t>
      </w:r>
    </w:p>
    <w:p w14:paraId="23FD65ED" w14:textId="77777777" w:rsidR="00115458" w:rsidRPr="00D42995" w:rsidRDefault="00115458" w:rsidP="00F4606C">
      <w:pPr>
        <w:spacing w:after="0" w:line="240" w:lineRule="auto"/>
        <w:rPr>
          <w:rFonts w:cs="Arial"/>
        </w:rPr>
      </w:pPr>
      <w:r w:rsidRPr="00D42995">
        <w:rPr>
          <w:rFonts w:cs="Arial"/>
        </w:rPr>
        <w:t xml:space="preserve">An amount is reported at the </w:t>
      </w:r>
      <w:r w:rsidRPr="00D42995">
        <w:rPr>
          <w:rFonts w:cs="Arial"/>
          <w:i/>
        </w:rPr>
        <w:t xml:space="preserve">Share of credit for amounts withheld from foreign resident withholding </w:t>
      </w:r>
      <w:r w:rsidRPr="00D42995">
        <w:rPr>
          <w:rFonts w:cs="Arial"/>
        </w:rPr>
        <w:t>(9.99) field when an amount of tax is withheld and paid to us from trust distributions because of the operation of foreign resident withholding for particular types of activities listed in regulations to the TAA 1953. These activities are:</w:t>
      </w:r>
    </w:p>
    <w:p w14:paraId="4B3C03FF" w14:textId="77777777" w:rsidR="00115458" w:rsidRPr="00F4606C" w:rsidRDefault="00115458" w:rsidP="00D42995">
      <w:pPr>
        <w:pStyle w:val="Maintext"/>
        <w:rPr>
          <w:rFonts w:asciiTheme="minorHAnsi" w:hAnsiTheme="minorHAnsi" w:cs="Arial"/>
          <w:sz w:val="20"/>
          <w:szCs w:val="20"/>
        </w:rPr>
      </w:pPr>
    </w:p>
    <w:p w14:paraId="587231BD" w14:textId="77777777" w:rsidR="00115458" w:rsidRPr="00F4606C" w:rsidRDefault="00115458" w:rsidP="001601AF">
      <w:pPr>
        <w:pStyle w:val="Bullet1"/>
        <w:numPr>
          <w:ilvl w:val="0"/>
          <w:numId w:val="72"/>
        </w:numPr>
        <w:spacing w:before="0" w:after="0"/>
        <w:rPr>
          <w:rFonts w:asciiTheme="minorHAnsi" w:hAnsiTheme="minorHAnsi" w:cs="Arial"/>
          <w:sz w:val="20"/>
          <w:szCs w:val="20"/>
        </w:rPr>
      </w:pPr>
      <w:r w:rsidRPr="00F4606C">
        <w:rPr>
          <w:rFonts w:asciiTheme="minorHAnsi" w:hAnsiTheme="minorHAnsi" w:cs="Arial"/>
          <w:sz w:val="20"/>
          <w:szCs w:val="20"/>
        </w:rPr>
        <w:t xml:space="preserve">promoting or organising casino gaming junket arrangements </w:t>
      </w:r>
    </w:p>
    <w:p w14:paraId="2FEB1347" w14:textId="77777777" w:rsidR="00115458" w:rsidRPr="00F4606C" w:rsidRDefault="00115458" w:rsidP="001601AF">
      <w:pPr>
        <w:pStyle w:val="Bullet1"/>
        <w:numPr>
          <w:ilvl w:val="0"/>
          <w:numId w:val="72"/>
        </w:numPr>
        <w:spacing w:before="0" w:after="0"/>
        <w:rPr>
          <w:rFonts w:asciiTheme="minorHAnsi" w:hAnsiTheme="minorHAnsi" w:cs="Arial"/>
          <w:sz w:val="20"/>
          <w:szCs w:val="20"/>
        </w:rPr>
      </w:pPr>
      <w:r w:rsidRPr="00F4606C">
        <w:rPr>
          <w:rFonts w:asciiTheme="minorHAnsi" w:hAnsiTheme="minorHAnsi" w:cs="Arial"/>
          <w:sz w:val="20"/>
          <w:szCs w:val="20"/>
        </w:rPr>
        <w:t xml:space="preserve">entertainment and sports activities </w:t>
      </w:r>
    </w:p>
    <w:p w14:paraId="684F48AE" w14:textId="77777777" w:rsidR="00115458" w:rsidRPr="00F4606C" w:rsidRDefault="00115458" w:rsidP="001601AF">
      <w:pPr>
        <w:pStyle w:val="Bullet1"/>
        <w:numPr>
          <w:ilvl w:val="0"/>
          <w:numId w:val="72"/>
        </w:numPr>
        <w:spacing w:before="0" w:after="0"/>
        <w:rPr>
          <w:rFonts w:asciiTheme="minorHAnsi" w:hAnsiTheme="minorHAnsi" w:cs="Arial"/>
          <w:sz w:val="20"/>
          <w:szCs w:val="20"/>
        </w:rPr>
      </w:pPr>
      <w:r w:rsidRPr="00F4606C">
        <w:rPr>
          <w:rFonts w:asciiTheme="minorHAnsi" w:hAnsiTheme="minorHAnsi" w:cs="Arial"/>
          <w:sz w:val="20"/>
          <w:szCs w:val="20"/>
        </w:rPr>
        <w:t>under contracts for the construction, installation and upgrading of buildings, plant and fixtures and for associated activities.</w:t>
      </w:r>
    </w:p>
    <w:p w14:paraId="44A43CC3" w14:textId="77777777" w:rsidR="00115458" w:rsidRPr="00D42995" w:rsidRDefault="00115458" w:rsidP="00F4606C">
      <w:pPr>
        <w:spacing w:after="0" w:line="240" w:lineRule="auto"/>
        <w:rPr>
          <w:rFonts w:cs="Arial"/>
        </w:rPr>
      </w:pPr>
    </w:p>
    <w:p w14:paraId="6BBBE0D9" w14:textId="77777777" w:rsidR="00115458" w:rsidRPr="00D42995" w:rsidRDefault="00115458" w:rsidP="00F4606C">
      <w:pPr>
        <w:spacing w:after="0" w:line="240" w:lineRule="auto"/>
        <w:rPr>
          <w:rStyle w:val="Hyperlink"/>
          <w:rFonts w:cs="Arial"/>
        </w:rPr>
      </w:pPr>
      <w:r w:rsidRPr="00D42995">
        <w:rPr>
          <w:rFonts w:cs="Arial"/>
        </w:rPr>
        <w:t xml:space="preserve">For further information about foreign resident withholding refer to </w:t>
      </w:r>
      <w:r w:rsidRPr="00D42995">
        <w:rPr>
          <w:rFonts w:cs="Arial"/>
          <w:i/>
          <w:noProof/>
        </w:rPr>
        <w:t>Foreign Resident Withholding (FRW) - who it affects</w:t>
      </w:r>
      <w:r w:rsidRPr="00D42995">
        <w:rPr>
          <w:rFonts w:cs="Arial"/>
          <w:noProof/>
        </w:rPr>
        <w:t xml:space="preserve"> on </w:t>
      </w:r>
      <w:hyperlink r:id="rId46" w:history="1">
        <w:r w:rsidRPr="00D42995">
          <w:rPr>
            <w:rStyle w:val="Hyperlink"/>
          </w:rPr>
          <w:t>Withholding from a foreign resident | Australian Taxation Office (ato.gov.au)</w:t>
        </w:r>
      </w:hyperlink>
      <w:r w:rsidRPr="00D42995" w:rsidDel="00C2290C">
        <w:t xml:space="preserve"> </w:t>
      </w:r>
    </w:p>
    <w:p w14:paraId="21ADE722" w14:textId="77777777" w:rsidR="00115458" w:rsidRPr="00D42995" w:rsidRDefault="00115458" w:rsidP="00F4606C">
      <w:pPr>
        <w:spacing w:after="0" w:line="240" w:lineRule="auto"/>
        <w:rPr>
          <w:rFonts w:cs="Arial"/>
          <w:noProof/>
        </w:rPr>
      </w:pPr>
    </w:p>
    <w:p w14:paraId="2788D866" w14:textId="77777777" w:rsidR="00115458" w:rsidRDefault="00115458" w:rsidP="00F4606C">
      <w:pPr>
        <w:spacing w:after="0" w:line="240" w:lineRule="auto"/>
        <w:rPr>
          <w:rFonts w:cs="Arial"/>
          <w:b/>
        </w:rPr>
      </w:pPr>
      <w:r w:rsidRPr="00B35C0A">
        <w:rPr>
          <w:rFonts w:cs="Arial"/>
          <w:b/>
        </w:rPr>
        <w:t>Is the accrued interest on qualifying securities subject to non-resident withholding tax or any other withholding tax?</w:t>
      </w:r>
    </w:p>
    <w:p w14:paraId="568BEC58" w14:textId="1E56163A" w:rsidR="00115458" w:rsidRDefault="00115458" w:rsidP="00856E9F">
      <w:pPr>
        <w:spacing w:after="0" w:line="240" w:lineRule="auto"/>
        <w:rPr>
          <w:rFonts w:cs="Arial"/>
        </w:rPr>
      </w:pPr>
      <w:r w:rsidRPr="00B35C0A">
        <w:rPr>
          <w:rFonts w:cs="Arial"/>
        </w:rPr>
        <w:t>The interest accrued on a qualifying security is both not subject to non-resident interest withholding tax and not included in the non-resident’s assessable income.  It is the interest paid or payable on a qualifying security that is subject to non-resident interest withholding tax. No other withholding tax is applicable. Refer to</w:t>
      </w:r>
      <w:r w:rsidRPr="00B35C0A">
        <w:rPr>
          <w:rFonts w:cs="Arial"/>
          <w:color w:val="0000FF"/>
        </w:rPr>
        <w:t xml:space="preserve"> </w:t>
      </w:r>
      <w:hyperlink r:id="rId47" w:history="1">
        <w:r w:rsidRPr="002F2135">
          <w:rPr>
            <w:rStyle w:val="Hyperlink"/>
            <w:rFonts w:cs="Arial"/>
          </w:rPr>
          <w:t>ato.gov.au</w:t>
        </w:r>
      </w:hyperlink>
      <w:r w:rsidRPr="00B35C0A">
        <w:rPr>
          <w:rFonts w:cs="Arial"/>
        </w:rPr>
        <w:t xml:space="preserve"> for further information on Non-resident withholding of interest. </w:t>
      </w:r>
    </w:p>
    <w:p w14:paraId="07F74723" w14:textId="77777777" w:rsidR="00856E9F" w:rsidRPr="00B35C0A" w:rsidRDefault="00856E9F" w:rsidP="00F4606C">
      <w:pPr>
        <w:spacing w:after="0" w:line="240" w:lineRule="auto"/>
        <w:rPr>
          <w:rFonts w:cs="Arial"/>
        </w:rPr>
      </w:pPr>
    </w:p>
    <w:p w14:paraId="50F6C894" w14:textId="77777777" w:rsidR="00115458" w:rsidRPr="00F4606C" w:rsidRDefault="00115458" w:rsidP="006A1037">
      <w:pPr>
        <w:pStyle w:val="Maintext"/>
        <w:rPr>
          <w:rFonts w:asciiTheme="minorHAnsi" w:hAnsiTheme="minorHAnsi" w:cs="Arial"/>
          <w:b/>
          <w:sz w:val="20"/>
          <w:szCs w:val="20"/>
        </w:rPr>
      </w:pPr>
      <w:r w:rsidRPr="00F4606C">
        <w:rPr>
          <w:rFonts w:asciiTheme="minorHAnsi" w:hAnsiTheme="minorHAnsi" w:cs="Arial"/>
          <w:b/>
          <w:sz w:val="20"/>
          <w:szCs w:val="20"/>
        </w:rPr>
        <w:t>If a joint account has multiple account holders, one account holder is a resident for tax purposes but has not quoted their TFN, another account holder is a non-resident and another account holder is a resident - which withholding applies and to whom?</w:t>
      </w:r>
    </w:p>
    <w:p w14:paraId="2679C316" w14:textId="77777777" w:rsidR="00115458" w:rsidRPr="00F4606C" w:rsidRDefault="00115458" w:rsidP="00D04DE0">
      <w:pPr>
        <w:pStyle w:val="Maintext"/>
        <w:rPr>
          <w:rFonts w:asciiTheme="minorHAnsi" w:hAnsiTheme="minorHAnsi" w:cs="Arial"/>
          <w:sz w:val="20"/>
          <w:szCs w:val="20"/>
        </w:rPr>
      </w:pPr>
      <w:r w:rsidRPr="00F4606C">
        <w:rPr>
          <w:rFonts w:asciiTheme="minorHAnsi" w:hAnsiTheme="minorHAnsi" w:cs="Arial"/>
          <w:sz w:val="20"/>
          <w:szCs w:val="20"/>
        </w:rPr>
        <w:t xml:space="preserve">TFN/ABN withholding applies to the whole of the account until their TFN/ABN obligation is satisfied then the non-resident withholding applies to the whole of the account. </w:t>
      </w:r>
    </w:p>
    <w:p w14:paraId="283DFD5C" w14:textId="77777777" w:rsidR="00115458" w:rsidRPr="00F4606C" w:rsidRDefault="00115458" w:rsidP="00D04DE0">
      <w:pPr>
        <w:pStyle w:val="Maintext"/>
        <w:rPr>
          <w:rFonts w:asciiTheme="minorHAnsi" w:hAnsiTheme="minorHAnsi" w:cs="Arial"/>
          <w:sz w:val="20"/>
          <w:szCs w:val="20"/>
        </w:rPr>
      </w:pPr>
    </w:p>
    <w:p w14:paraId="6D2D6825" w14:textId="77777777" w:rsidR="00115458" w:rsidRPr="00F4606C" w:rsidRDefault="00115458" w:rsidP="00D04DE0">
      <w:pPr>
        <w:pStyle w:val="Maintext"/>
        <w:rPr>
          <w:rFonts w:asciiTheme="minorHAnsi" w:hAnsiTheme="minorHAnsi" w:cs="Arial"/>
          <w:b/>
          <w:sz w:val="20"/>
          <w:szCs w:val="20"/>
        </w:rPr>
      </w:pPr>
      <w:r w:rsidRPr="00F4606C">
        <w:rPr>
          <w:rFonts w:asciiTheme="minorHAnsi" w:hAnsiTheme="minorHAnsi" w:cs="Arial"/>
          <w:b/>
          <w:sz w:val="20"/>
          <w:szCs w:val="20"/>
        </w:rPr>
        <w:t>Exploration Credits - Is TFN/ABN withholding required where an investor does not quote their TFN or ABN?</w:t>
      </w:r>
    </w:p>
    <w:p w14:paraId="0201365A" w14:textId="77777777" w:rsidR="00115458" w:rsidRPr="00D04DE0" w:rsidRDefault="00115458" w:rsidP="00F4606C">
      <w:pPr>
        <w:spacing w:after="0" w:line="240" w:lineRule="auto"/>
      </w:pPr>
      <w:r w:rsidRPr="006A1037">
        <w:t>No because no payment has been made. Section 12-140 of Schedule 1 to the TAA 1953 does not apply here.</w:t>
      </w:r>
    </w:p>
    <w:p w14:paraId="038EC52F" w14:textId="77777777" w:rsidR="00115458" w:rsidRDefault="00115458" w:rsidP="00115458"/>
    <w:p w14:paraId="172F4F2E" w14:textId="77777777" w:rsidR="00115458" w:rsidRPr="00F4606C" w:rsidRDefault="00115458" w:rsidP="00115458">
      <w:pPr>
        <w:pStyle w:val="Maintext"/>
        <w:rPr>
          <w:rFonts w:asciiTheme="minorHAnsi" w:hAnsiTheme="minorHAnsi" w:cs="Arial"/>
          <w:b/>
          <w:sz w:val="20"/>
          <w:szCs w:val="20"/>
        </w:rPr>
      </w:pPr>
      <w:r w:rsidRPr="00F4606C">
        <w:rPr>
          <w:rFonts w:asciiTheme="minorHAnsi" w:hAnsiTheme="minorHAnsi" w:cs="Arial"/>
          <w:b/>
          <w:sz w:val="20"/>
          <w:szCs w:val="20"/>
        </w:rPr>
        <w:t>Where a domestic managed fund purchases a property from a foreign resident and withholds under the capital gain rules, does that amount need to be reported in the AIIR or is there a separate reporting process to the ATO?</w:t>
      </w:r>
    </w:p>
    <w:p w14:paraId="0CFD5D8A" w14:textId="77777777" w:rsidR="00115458" w:rsidRPr="00F4606C" w:rsidRDefault="00115458" w:rsidP="00115458">
      <w:pPr>
        <w:pStyle w:val="Maintext"/>
        <w:rPr>
          <w:rStyle w:val="Hyperlink"/>
          <w:rFonts w:asciiTheme="minorHAnsi" w:hAnsiTheme="minorHAnsi"/>
          <w:szCs w:val="20"/>
        </w:rPr>
      </w:pPr>
      <w:r w:rsidRPr="00F4606C">
        <w:rPr>
          <w:rFonts w:asciiTheme="minorHAnsi" w:hAnsiTheme="minorHAnsi" w:cs="Arial"/>
          <w:sz w:val="20"/>
          <w:szCs w:val="20"/>
        </w:rPr>
        <w:t xml:space="preserve">Foreign resident capital gains withholding amounts are reported to the ATO using this form – </w:t>
      </w:r>
      <w:hyperlink r:id="rId48" w:history="1">
        <w:r w:rsidRPr="00F4606C">
          <w:rPr>
            <w:rStyle w:val="Hyperlink"/>
            <w:rFonts w:asciiTheme="minorHAnsi" w:hAnsiTheme="minorHAnsi" w:cs="Arial"/>
            <w:szCs w:val="20"/>
          </w:rPr>
          <w:t>Foreign resident capital gains withholding purchaser payment notification online form and instructions | Australian Taxation Office (ato.gov.au)</w:t>
        </w:r>
      </w:hyperlink>
    </w:p>
    <w:p w14:paraId="6EFA2673" w14:textId="77777777" w:rsidR="00115458" w:rsidRPr="00F4606C" w:rsidRDefault="00115458" w:rsidP="00115458">
      <w:pPr>
        <w:pStyle w:val="Maintext"/>
        <w:rPr>
          <w:rFonts w:asciiTheme="minorHAnsi" w:hAnsiTheme="minorHAnsi" w:cs="Arial"/>
          <w:sz w:val="20"/>
          <w:szCs w:val="20"/>
        </w:rPr>
      </w:pPr>
    </w:p>
    <w:p w14:paraId="0DA1EB86" w14:textId="77777777" w:rsidR="00115458" w:rsidRPr="00F4606C" w:rsidRDefault="00115458" w:rsidP="00115458">
      <w:pPr>
        <w:pStyle w:val="Maintext"/>
        <w:rPr>
          <w:rFonts w:asciiTheme="minorHAnsi" w:hAnsiTheme="minorHAnsi" w:cs="Arial"/>
          <w:sz w:val="20"/>
          <w:szCs w:val="20"/>
        </w:rPr>
      </w:pPr>
      <w:r w:rsidRPr="00F4606C">
        <w:rPr>
          <w:rFonts w:asciiTheme="minorHAnsi" w:hAnsiTheme="minorHAnsi" w:cs="Arial"/>
          <w:sz w:val="20"/>
          <w:szCs w:val="20"/>
        </w:rPr>
        <w:t>The field,</w:t>
      </w:r>
      <w:r w:rsidRPr="00F4606C">
        <w:rPr>
          <w:rFonts w:asciiTheme="minorHAnsi" w:hAnsiTheme="minorHAnsi"/>
          <w:i/>
          <w:iCs/>
          <w:sz w:val="20"/>
          <w:szCs w:val="20"/>
        </w:rPr>
        <w:t xml:space="preserve"> Share of Foreign Resident Capital Gains Withholding credits</w:t>
      </w:r>
      <w:r w:rsidRPr="00F4606C">
        <w:rPr>
          <w:rFonts w:asciiTheme="minorHAnsi" w:hAnsiTheme="minorHAnsi"/>
          <w:iCs/>
          <w:sz w:val="20"/>
          <w:szCs w:val="20"/>
        </w:rPr>
        <w:t xml:space="preserve"> (9.132), </w:t>
      </w:r>
      <w:r w:rsidRPr="00F4606C">
        <w:rPr>
          <w:rFonts w:asciiTheme="minorHAnsi" w:hAnsiTheme="minorHAnsi" w:cs="Arial"/>
          <w:sz w:val="20"/>
          <w:szCs w:val="20"/>
        </w:rPr>
        <w:t>is intended to capture any flow through of withholding credits to beneficiaries should a domestic managed fund have invested in a foreign investment entity that disposes of Australian taxable real property that meets the conditions of this measure and therefore may be entitled to a share of the withholding credits.</w:t>
      </w:r>
    </w:p>
    <w:p w14:paraId="17D5388B" w14:textId="77777777" w:rsidR="00115458" w:rsidRPr="00B35C0A" w:rsidRDefault="00115458" w:rsidP="00CF51E5">
      <w:pPr>
        <w:pStyle w:val="Heading2"/>
        <w:spacing w:before="240" w:line="240" w:lineRule="auto"/>
      </w:pPr>
      <w:bookmarkStart w:id="1992" w:name="_Toc5193043"/>
      <w:bookmarkStart w:id="1993" w:name="_Toc232191389"/>
      <w:r w:rsidRPr="00B35C0A">
        <w:t>Income</w:t>
      </w:r>
      <w:bookmarkEnd w:id="1992"/>
      <w:bookmarkEnd w:id="1993"/>
    </w:p>
    <w:p w14:paraId="69E6DD32" w14:textId="77777777" w:rsidR="00115458" w:rsidRPr="006A1037" w:rsidRDefault="00115458" w:rsidP="00F4606C">
      <w:pPr>
        <w:spacing w:after="0" w:line="240" w:lineRule="auto"/>
        <w:rPr>
          <w:rFonts w:cs="Arial"/>
          <w:b/>
        </w:rPr>
      </w:pPr>
      <w:r w:rsidRPr="006A1037">
        <w:rPr>
          <w:rFonts w:cs="Arial"/>
          <w:b/>
        </w:rPr>
        <w:t>What is a primary production business?</w:t>
      </w:r>
    </w:p>
    <w:p w14:paraId="58C0C9EA" w14:textId="77777777" w:rsidR="00115458" w:rsidRPr="00D04DE0" w:rsidRDefault="00115458" w:rsidP="00F4606C">
      <w:pPr>
        <w:spacing w:after="0" w:line="240" w:lineRule="auto"/>
        <w:rPr>
          <w:rFonts w:cs="Arial"/>
        </w:rPr>
      </w:pPr>
      <w:r w:rsidRPr="00D04DE0">
        <w:rPr>
          <w:rFonts w:cs="Arial"/>
        </w:rPr>
        <w:t xml:space="preserve">Primary production business is defined in subsection 995-1(1) of the ITAA 1997. </w:t>
      </w:r>
    </w:p>
    <w:p w14:paraId="770EEE6C" w14:textId="77777777" w:rsidR="00115458" w:rsidRPr="00D04DE0" w:rsidRDefault="00115458" w:rsidP="00F4606C">
      <w:pPr>
        <w:spacing w:after="0" w:line="240" w:lineRule="auto"/>
        <w:rPr>
          <w:rFonts w:cs="Arial"/>
        </w:rPr>
      </w:pPr>
    </w:p>
    <w:p w14:paraId="12DD8BF7" w14:textId="77777777" w:rsidR="00115458" w:rsidRPr="00D04DE0" w:rsidRDefault="00115458" w:rsidP="00F4606C">
      <w:pPr>
        <w:spacing w:after="0" w:line="240" w:lineRule="auto"/>
        <w:rPr>
          <w:rFonts w:cs="Arial"/>
        </w:rPr>
      </w:pPr>
      <w:r w:rsidRPr="00D04DE0">
        <w:rPr>
          <w:rFonts w:cs="Arial"/>
        </w:rPr>
        <w:t>You carry on a primary production business if you carry on a business of:</w:t>
      </w:r>
    </w:p>
    <w:p w14:paraId="584F3767" w14:textId="77777777" w:rsidR="00115458" w:rsidRPr="00D04DE0" w:rsidRDefault="00115458" w:rsidP="00F4606C">
      <w:pPr>
        <w:spacing w:after="0" w:line="240" w:lineRule="auto"/>
        <w:rPr>
          <w:rFonts w:cs="Arial"/>
          <w:b/>
        </w:rPr>
      </w:pPr>
    </w:p>
    <w:p w14:paraId="720D5EDB"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cultivating or propagating plants, fungi or their products or parts (including seeds, spores, bulbs and similar things), in any physical environment; or</w:t>
      </w:r>
    </w:p>
    <w:p w14:paraId="05FCDBBE"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maintaining animals for the purpose of selling them or their bodily produce (including natural increase); or</w:t>
      </w:r>
    </w:p>
    <w:p w14:paraId="5086B5F4"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manufacturing dairy produce from raw material that you produced; or</w:t>
      </w:r>
    </w:p>
    <w:p w14:paraId="5AFF38BE"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 xml:space="preserve">conducting operations relating directly to taking or catching fish, turtles, dugong, </w:t>
      </w:r>
    </w:p>
    <w:p w14:paraId="0C30A878" w14:textId="77777777" w:rsidR="00115458" w:rsidRPr="00F4606C" w:rsidRDefault="00115458" w:rsidP="00F4606C">
      <w:pPr>
        <w:pStyle w:val="Bullet1"/>
        <w:spacing w:before="0" w:after="0"/>
        <w:ind w:left="1080"/>
        <w:rPr>
          <w:rFonts w:asciiTheme="minorHAnsi" w:hAnsiTheme="minorHAnsi" w:cs="Arial"/>
          <w:sz w:val="20"/>
          <w:szCs w:val="20"/>
          <w:lang w:val="fr-FR"/>
        </w:rPr>
      </w:pPr>
      <w:r w:rsidRPr="00F4606C">
        <w:rPr>
          <w:rFonts w:asciiTheme="minorHAnsi" w:hAnsiTheme="minorHAnsi" w:cs="Arial"/>
          <w:sz w:val="20"/>
          <w:szCs w:val="20"/>
          <w:lang w:val="fr-FR"/>
        </w:rPr>
        <w:t>bêche-de-mer, crustacés or aquatic molluscs ; or</w:t>
      </w:r>
    </w:p>
    <w:p w14:paraId="41BBB618"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conducting operations relating directly to taking or culturing pearls or pearl shell; or</w:t>
      </w:r>
    </w:p>
    <w:p w14:paraId="5945A0E4"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planting or tending trees in a plantation or forest that are intended to be felled; or</w:t>
      </w:r>
    </w:p>
    <w:p w14:paraId="5F3A336D"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felling trees in a plantation or forest; or</w:t>
      </w:r>
    </w:p>
    <w:p w14:paraId="56D3CC51" w14:textId="77777777" w:rsidR="00115458" w:rsidRPr="00F4606C" w:rsidRDefault="00115458" w:rsidP="001601AF">
      <w:pPr>
        <w:pStyle w:val="Bullet1"/>
        <w:numPr>
          <w:ilvl w:val="0"/>
          <w:numId w:val="74"/>
        </w:numPr>
        <w:spacing w:before="0" w:after="0"/>
        <w:rPr>
          <w:rFonts w:asciiTheme="minorHAnsi" w:hAnsiTheme="minorHAnsi" w:cs="Arial"/>
          <w:sz w:val="20"/>
          <w:szCs w:val="20"/>
        </w:rPr>
      </w:pPr>
      <w:r w:rsidRPr="00F4606C">
        <w:rPr>
          <w:rFonts w:asciiTheme="minorHAnsi" w:hAnsiTheme="minorHAnsi" w:cs="Arial"/>
          <w:sz w:val="20"/>
          <w:szCs w:val="20"/>
        </w:rPr>
        <w:t>transporting trees, or parts of trees, that you felled in a plantation or forest to the place</w:t>
      </w:r>
    </w:p>
    <w:p w14:paraId="16521299" w14:textId="6017041E" w:rsidR="00115458" w:rsidRDefault="00115458" w:rsidP="001601AF">
      <w:pPr>
        <w:pStyle w:val="Bullet1"/>
        <w:numPr>
          <w:ilvl w:val="1"/>
          <w:numId w:val="74"/>
        </w:numPr>
        <w:spacing w:before="0" w:after="0"/>
        <w:rPr>
          <w:rFonts w:asciiTheme="minorHAnsi" w:hAnsiTheme="minorHAnsi" w:cs="Arial"/>
          <w:sz w:val="20"/>
          <w:szCs w:val="20"/>
        </w:rPr>
      </w:pPr>
      <w:r w:rsidRPr="00F4606C">
        <w:rPr>
          <w:rFonts w:asciiTheme="minorHAnsi" w:hAnsiTheme="minorHAnsi" w:cs="Arial"/>
          <w:sz w:val="20"/>
          <w:szCs w:val="20"/>
        </w:rPr>
        <w:t>where they are first to beilled or processed; or</w:t>
      </w:r>
    </w:p>
    <w:p w14:paraId="48061B43" w14:textId="77777777" w:rsidR="0007010D" w:rsidRPr="00F4606C" w:rsidRDefault="0007010D" w:rsidP="0007010D">
      <w:pPr>
        <w:pStyle w:val="Bullet1"/>
        <w:numPr>
          <w:ilvl w:val="1"/>
          <w:numId w:val="74"/>
        </w:numPr>
        <w:spacing w:before="0" w:after="0"/>
        <w:rPr>
          <w:rFonts w:asciiTheme="minorHAnsi" w:hAnsiTheme="minorHAnsi" w:cs="Arial"/>
          <w:sz w:val="20"/>
          <w:szCs w:val="20"/>
        </w:rPr>
      </w:pPr>
      <w:r w:rsidRPr="00F4606C">
        <w:rPr>
          <w:rFonts w:asciiTheme="minorHAnsi" w:hAnsiTheme="minorHAnsi" w:cs="Arial"/>
          <w:sz w:val="20"/>
          <w:szCs w:val="20"/>
        </w:rPr>
        <w:t>from which they are to be transported to the place where they are first to be milled or processed.</w:t>
      </w:r>
    </w:p>
    <w:p w14:paraId="5032C6FF" w14:textId="77777777" w:rsidR="00115458" w:rsidRPr="00F4606C" w:rsidRDefault="00115458" w:rsidP="00F4606C">
      <w:pPr>
        <w:pStyle w:val="Bullet1"/>
        <w:spacing w:before="0" w:after="0"/>
        <w:rPr>
          <w:rFonts w:asciiTheme="minorHAnsi" w:hAnsiTheme="minorHAnsi" w:cs="Arial"/>
          <w:sz w:val="20"/>
          <w:szCs w:val="20"/>
        </w:rPr>
      </w:pPr>
    </w:p>
    <w:p w14:paraId="4708F7E2" w14:textId="77777777" w:rsidR="00115458" w:rsidRPr="00D04DE0" w:rsidRDefault="00115458" w:rsidP="00F4606C">
      <w:pPr>
        <w:spacing w:after="0" w:line="240" w:lineRule="auto"/>
      </w:pPr>
      <w:r w:rsidRPr="006A1037">
        <w:rPr>
          <w:rFonts w:cs="Arial"/>
        </w:rPr>
        <w:t xml:space="preserve">Income derived from primary producing activities is reported at the </w:t>
      </w:r>
      <w:r w:rsidRPr="006A1037">
        <w:rPr>
          <w:rFonts w:cs="Arial"/>
          <w:i/>
        </w:rPr>
        <w:t xml:space="preserve">Primary production income </w:t>
      </w:r>
      <w:r w:rsidRPr="00D04DE0">
        <w:rPr>
          <w:rFonts w:cs="Arial"/>
        </w:rPr>
        <w:t xml:space="preserve">(9.113) field. If an NCMI amount is to be included for Primary production income this must be reported at </w:t>
      </w:r>
      <w:r w:rsidRPr="00D04DE0">
        <w:rPr>
          <w:bCs/>
          <w:i/>
          <w:iCs/>
        </w:rPr>
        <w:t>NCMI – Primary production</w:t>
      </w:r>
      <w:r w:rsidRPr="00D04DE0">
        <w:rPr>
          <w:bCs/>
        </w:rPr>
        <w:t xml:space="preserve"> (9.137) field.</w:t>
      </w:r>
      <w:r w:rsidRPr="00D04DE0">
        <w:rPr>
          <w:rFonts w:cs="Arial"/>
        </w:rPr>
        <w:t xml:space="preserve"> If applicable report Excluded from NCMI – Primary production (9.139) field.</w:t>
      </w:r>
    </w:p>
    <w:p w14:paraId="3E1A6B60" w14:textId="77777777" w:rsidR="00115458" w:rsidRPr="00F4606C" w:rsidRDefault="00115458" w:rsidP="006A1037">
      <w:pPr>
        <w:pStyle w:val="Maintext"/>
        <w:rPr>
          <w:rFonts w:asciiTheme="minorHAnsi" w:hAnsiTheme="minorHAnsi"/>
          <w:sz w:val="20"/>
          <w:szCs w:val="20"/>
        </w:rPr>
      </w:pPr>
      <w:r w:rsidRPr="00F4606C" w:rsidDel="00262125">
        <w:rPr>
          <w:rFonts w:asciiTheme="minorHAnsi" w:hAnsiTheme="minorHAnsi"/>
          <w:sz w:val="20"/>
          <w:szCs w:val="20"/>
        </w:rPr>
        <w:t xml:space="preserve"> </w:t>
      </w:r>
    </w:p>
    <w:p w14:paraId="1696064A" w14:textId="77777777" w:rsidR="00115458" w:rsidRPr="00ED3587" w:rsidRDefault="00115458" w:rsidP="00F4606C">
      <w:pPr>
        <w:spacing w:after="0" w:line="240" w:lineRule="auto"/>
        <w:rPr>
          <w:rFonts w:cs="Arial"/>
          <w:b/>
          <w:bCs/>
        </w:rPr>
      </w:pPr>
      <w:r w:rsidRPr="00ED3587">
        <w:rPr>
          <w:b/>
          <w:bCs/>
        </w:rPr>
        <w:t xml:space="preserve">Do I report </w:t>
      </w:r>
      <w:r w:rsidRPr="00ED3587">
        <w:rPr>
          <w:rFonts w:cs="Arial"/>
          <w:b/>
          <w:bCs/>
        </w:rPr>
        <w:t>dividends based on their ex-date or their payment date?</w:t>
      </w:r>
    </w:p>
    <w:p w14:paraId="147BF224" w14:textId="77777777" w:rsidR="00115458" w:rsidRPr="00262125" w:rsidRDefault="00115458" w:rsidP="00F4606C">
      <w:pPr>
        <w:spacing w:after="0" w:line="240" w:lineRule="auto"/>
      </w:pPr>
      <w:r w:rsidRPr="00262125">
        <w:rPr>
          <w:rFonts w:cs="Arial"/>
        </w:rPr>
        <w:t>The date of</w:t>
      </w:r>
      <w:r w:rsidRPr="00262125">
        <w:t xml:space="preserve"> payment is the date that the income was derived by the </w:t>
      </w:r>
      <w:r>
        <w:t>investor</w:t>
      </w:r>
      <w:r w:rsidRPr="00262125">
        <w:t>.</w:t>
      </w:r>
    </w:p>
    <w:p w14:paraId="72051DD3" w14:textId="1186C3AE" w:rsidR="00115458" w:rsidRPr="00B35C0A" w:rsidRDefault="00115458" w:rsidP="00F4606C">
      <w:pPr>
        <w:spacing w:after="0" w:line="240" w:lineRule="auto"/>
        <w:rPr>
          <w:rFonts w:cs="Arial"/>
        </w:rPr>
      </w:pPr>
      <w:r w:rsidRPr="00262125">
        <w:t>For example, if a dividend goes ex in June 20</w:t>
      </w:r>
      <w:r w:rsidR="00B9121D">
        <w:t>25</w:t>
      </w:r>
      <w:r w:rsidRPr="00B35C0A">
        <w:rPr>
          <w:rFonts w:cs="Arial"/>
        </w:rPr>
        <w:t xml:space="preserve"> and payment occurs in July </w:t>
      </w:r>
      <w:r>
        <w:rPr>
          <w:rFonts w:cs="Arial"/>
        </w:rPr>
        <w:t>20</w:t>
      </w:r>
      <w:r w:rsidR="00B9121D">
        <w:rPr>
          <w:rFonts w:cs="Arial"/>
        </w:rPr>
        <w:t>25</w:t>
      </w:r>
      <w:r w:rsidRPr="00B35C0A">
        <w:rPr>
          <w:rFonts w:cs="Arial"/>
        </w:rPr>
        <w:t xml:space="preserve">, the dividend is included in the </w:t>
      </w:r>
      <w:r>
        <w:rPr>
          <w:rFonts w:cs="Arial"/>
        </w:rPr>
        <w:t>20</w:t>
      </w:r>
      <w:r w:rsidR="00B9121D">
        <w:rPr>
          <w:rFonts w:cs="Arial"/>
        </w:rPr>
        <w:t>25</w:t>
      </w:r>
      <w:r w:rsidRPr="00B35C0A">
        <w:rPr>
          <w:rFonts w:cs="Arial"/>
        </w:rPr>
        <w:t>-</w:t>
      </w:r>
      <w:r>
        <w:rPr>
          <w:rFonts w:cs="Arial"/>
        </w:rPr>
        <w:t>2</w:t>
      </w:r>
      <w:r w:rsidR="00B9121D">
        <w:rPr>
          <w:rFonts w:cs="Arial"/>
        </w:rPr>
        <w:t>6</w:t>
      </w:r>
      <w:r w:rsidRPr="00B35C0A">
        <w:rPr>
          <w:rFonts w:cs="Arial"/>
        </w:rPr>
        <w:t xml:space="preserve"> financial year.</w:t>
      </w:r>
    </w:p>
    <w:p w14:paraId="4956242F" w14:textId="77777777" w:rsidR="00115458" w:rsidRPr="005309FC" w:rsidRDefault="00115458" w:rsidP="00115458">
      <w:pPr>
        <w:pStyle w:val="Heading2"/>
      </w:pPr>
      <w:bookmarkStart w:id="1994" w:name="_Hlk170229172"/>
      <w:bookmarkStart w:id="1995" w:name="_Toc232191390"/>
      <w:r w:rsidRPr="005309FC">
        <w:t>Foreign source income</w:t>
      </w:r>
      <w:bookmarkEnd w:id="1995"/>
    </w:p>
    <w:p w14:paraId="08B6F4B9" w14:textId="77777777" w:rsidR="00115458" w:rsidRPr="006A1037" w:rsidRDefault="00115458" w:rsidP="00F4606C">
      <w:pPr>
        <w:spacing w:after="0" w:line="240" w:lineRule="auto"/>
        <w:rPr>
          <w:rFonts w:cs="Arial"/>
          <w:b/>
        </w:rPr>
      </w:pPr>
      <w:r w:rsidRPr="006A1037">
        <w:rPr>
          <w:rFonts w:cs="Arial"/>
          <w:b/>
        </w:rPr>
        <w:t xml:space="preserve">What is </w:t>
      </w:r>
      <w:r w:rsidRPr="006A1037">
        <w:rPr>
          <w:rFonts w:cs="Arial"/>
          <w:b/>
          <w:i/>
        </w:rPr>
        <w:t xml:space="preserve">Assessable foreign source income </w:t>
      </w:r>
      <w:r w:rsidRPr="006A1037">
        <w:rPr>
          <w:rFonts w:cs="Arial"/>
          <w:b/>
        </w:rPr>
        <w:t>(9.91)?</w:t>
      </w:r>
    </w:p>
    <w:p w14:paraId="6DD701EB" w14:textId="77777777" w:rsidR="00115458" w:rsidRPr="00D04DE0" w:rsidRDefault="00115458" w:rsidP="00F4606C">
      <w:pPr>
        <w:spacing w:after="0" w:line="240" w:lineRule="auto"/>
        <w:rPr>
          <w:rFonts w:cs="Arial"/>
        </w:rPr>
      </w:pPr>
      <w:r w:rsidRPr="00D04DE0">
        <w:rPr>
          <w:rFonts w:cs="Arial"/>
        </w:rPr>
        <w:t>This is the gross amount of assessable income derived from foreign sources including dividend, interest, royalties, any other foreign source investment income and foreign tax withheld.</w:t>
      </w:r>
    </w:p>
    <w:p w14:paraId="6C7194B9" w14:textId="77777777" w:rsidR="00115458" w:rsidRPr="00D04DE0" w:rsidRDefault="00115458" w:rsidP="00F4606C">
      <w:pPr>
        <w:spacing w:after="0" w:line="240" w:lineRule="auto"/>
        <w:rPr>
          <w:rFonts w:cs="Arial"/>
        </w:rPr>
      </w:pPr>
    </w:p>
    <w:p w14:paraId="5C635CE4" w14:textId="77777777" w:rsidR="00115458" w:rsidRPr="00D04DE0" w:rsidRDefault="00115458" w:rsidP="00F4606C">
      <w:pPr>
        <w:spacing w:after="0" w:line="240" w:lineRule="auto"/>
        <w:rPr>
          <w:rFonts w:cs="Arial"/>
        </w:rPr>
      </w:pPr>
      <w:r w:rsidRPr="00D04DE0">
        <w:rPr>
          <w:rFonts w:cs="Arial"/>
        </w:rPr>
        <w:t xml:space="preserve">If the </w:t>
      </w:r>
      <w:r w:rsidRPr="00D04DE0">
        <w:rPr>
          <w:rFonts w:cs="Arial"/>
          <w:i/>
        </w:rPr>
        <w:t xml:space="preserve">Type of payment </w:t>
      </w:r>
      <w:r w:rsidRPr="00D04DE0">
        <w:rPr>
          <w:rFonts w:cs="Arial"/>
        </w:rPr>
        <w:t xml:space="preserve">(9.72) field is </w:t>
      </w:r>
      <w:r w:rsidRPr="00D04DE0">
        <w:rPr>
          <w:rFonts w:cs="Arial"/>
          <w:b/>
        </w:rPr>
        <w:t>AMT</w:t>
      </w:r>
      <w:r w:rsidRPr="00D04DE0">
        <w:rPr>
          <w:rFonts w:cs="Arial"/>
        </w:rPr>
        <w:t xml:space="preserve"> or</w:t>
      </w:r>
      <w:r w:rsidRPr="00D04DE0">
        <w:rPr>
          <w:rFonts w:cs="Arial"/>
          <w:b/>
        </w:rPr>
        <w:t xml:space="preserve"> UTD</w:t>
      </w:r>
      <w:r w:rsidRPr="00D04DE0">
        <w:rPr>
          <w:rFonts w:cs="Arial"/>
        </w:rPr>
        <w:t xml:space="preserve"> this would also include the amount reported at the </w:t>
      </w:r>
      <w:r w:rsidRPr="00D04DE0">
        <w:rPr>
          <w:rFonts w:cs="Arial"/>
          <w:i/>
        </w:rPr>
        <w:t>Net foreign rent</w:t>
      </w:r>
      <w:r w:rsidRPr="00D04DE0">
        <w:rPr>
          <w:rFonts w:cs="Arial"/>
        </w:rPr>
        <w:t xml:space="preserve"> (9.118) field.</w:t>
      </w:r>
    </w:p>
    <w:p w14:paraId="6AEF6F04" w14:textId="77777777" w:rsidR="00115458" w:rsidRPr="00D04DE0" w:rsidRDefault="00115458" w:rsidP="00F4606C">
      <w:pPr>
        <w:spacing w:after="0" w:line="240" w:lineRule="auto"/>
        <w:rPr>
          <w:rFonts w:cs="Arial"/>
        </w:rPr>
      </w:pPr>
    </w:p>
    <w:p w14:paraId="7E82E4A2" w14:textId="77777777" w:rsidR="00115458" w:rsidRPr="00D04DE0" w:rsidRDefault="00115458" w:rsidP="00F4606C">
      <w:pPr>
        <w:spacing w:after="0" w:line="240" w:lineRule="auto"/>
        <w:rPr>
          <w:rFonts w:cs="Arial"/>
        </w:rPr>
      </w:pPr>
      <w:r w:rsidRPr="00D04DE0">
        <w:rPr>
          <w:rFonts w:cs="Arial"/>
        </w:rPr>
        <w:t xml:space="preserve">Amounts reported at this field will also be reported at the </w:t>
      </w:r>
      <w:r w:rsidRPr="00D04DE0">
        <w:rPr>
          <w:rFonts w:cs="Arial"/>
          <w:i/>
        </w:rPr>
        <w:t>Other net foreign source income</w:t>
      </w:r>
      <w:r w:rsidRPr="00D04DE0">
        <w:rPr>
          <w:rFonts w:cs="Arial"/>
        </w:rPr>
        <w:t xml:space="preserve"> (9.92) field less any deductions and net foreign rent. </w:t>
      </w:r>
    </w:p>
    <w:p w14:paraId="7E8A288A" w14:textId="77777777" w:rsidR="00115458" w:rsidRPr="00D04DE0" w:rsidRDefault="00115458" w:rsidP="00F4606C">
      <w:pPr>
        <w:spacing w:after="0" w:line="240" w:lineRule="auto"/>
        <w:rPr>
          <w:rFonts w:cs="Arial"/>
        </w:rPr>
      </w:pPr>
    </w:p>
    <w:p w14:paraId="1542228F" w14:textId="77777777" w:rsidR="00115458" w:rsidRPr="00D04DE0" w:rsidRDefault="00115458" w:rsidP="00F4606C">
      <w:pPr>
        <w:spacing w:after="0" w:line="240" w:lineRule="auto"/>
        <w:rPr>
          <w:rFonts w:cs="Arial"/>
        </w:rPr>
      </w:pPr>
      <w:r w:rsidRPr="00D04DE0">
        <w:rPr>
          <w:rFonts w:cs="Arial"/>
        </w:rPr>
        <w:t>It does not include capital gains made from a foreign source. Refer to the capital gains section for information on any foreign capital gains.</w:t>
      </w:r>
    </w:p>
    <w:p w14:paraId="25347522" w14:textId="77777777" w:rsidR="00115458" w:rsidRPr="00D04DE0" w:rsidRDefault="00115458" w:rsidP="00F4606C">
      <w:pPr>
        <w:spacing w:after="0" w:line="240" w:lineRule="auto"/>
        <w:rPr>
          <w:rFonts w:cs="Arial"/>
        </w:rPr>
      </w:pPr>
    </w:p>
    <w:p w14:paraId="687E6121" w14:textId="77777777" w:rsidR="00115458" w:rsidRPr="00D04DE0" w:rsidRDefault="00115458" w:rsidP="00F4606C">
      <w:pPr>
        <w:spacing w:after="0" w:line="240" w:lineRule="auto"/>
        <w:rPr>
          <w:rFonts w:cs="Arial"/>
          <w:b/>
        </w:rPr>
      </w:pPr>
      <w:r w:rsidRPr="00D04DE0">
        <w:rPr>
          <w:rFonts w:cs="Arial"/>
          <w:b/>
        </w:rPr>
        <w:t xml:space="preserve">What is </w:t>
      </w:r>
      <w:r w:rsidRPr="00D04DE0">
        <w:rPr>
          <w:rFonts w:cs="Arial"/>
          <w:b/>
          <w:i/>
        </w:rPr>
        <w:t xml:space="preserve">Other net foreign source income </w:t>
      </w:r>
      <w:r w:rsidRPr="00D04DE0">
        <w:rPr>
          <w:rFonts w:cs="Arial"/>
          <w:b/>
        </w:rPr>
        <w:t>(9.92)?</w:t>
      </w:r>
    </w:p>
    <w:p w14:paraId="53612FA4" w14:textId="77777777" w:rsidR="00115458" w:rsidRPr="00D04DE0" w:rsidRDefault="00115458" w:rsidP="00F4606C">
      <w:pPr>
        <w:spacing w:after="0" w:line="240" w:lineRule="auto"/>
        <w:rPr>
          <w:rFonts w:cs="Arial"/>
        </w:rPr>
      </w:pPr>
      <w:r w:rsidRPr="00D04DE0">
        <w:rPr>
          <w:rFonts w:cs="Arial"/>
        </w:rPr>
        <w:t xml:space="preserve">The amount shown at this item includes dividend, interest, royalties, any other foreign source investment income and foreign tax withheld </w:t>
      </w:r>
      <w:r w:rsidRPr="00D04DE0">
        <w:rPr>
          <w:rFonts w:cs="Arial"/>
          <w:b/>
        </w:rPr>
        <w:t>less</w:t>
      </w:r>
      <w:r w:rsidRPr="00D04DE0">
        <w:rPr>
          <w:rFonts w:cs="Arial"/>
        </w:rPr>
        <w:t xml:space="preserve"> any deductible expenses (such as interest and borrowing costs) and any other allowable expenses to be applied. </w:t>
      </w:r>
    </w:p>
    <w:p w14:paraId="526D7BB2" w14:textId="77777777" w:rsidR="00115458" w:rsidRPr="00D04DE0" w:rsidRDefault="00115458" w:rsidP="00F4606C">
      <w:pPr>
        <w:spacing w:after="0" w:line="240" w:lineRule="auto"/>
        <w:rPr>
          <w:rFonts w:cs="Arial"/>
        </w:rPr>
      </w:pPr>
    </w:p>
    <w:p w14:paraId="4D2F42B1" w14:textId="77777777" w:rsidR="00115458" w:rsidRPr="00D04DE0" w:rsidRDefault="00115458" w:rsidP="00F4606C">
      <w:pPr>
        <w:spacing w:after="0" w:line="240" w:lineRule="auto"/>
        <w:rPr>
          <w:rFonts w:cs="Arial"/>
        </w:rPr>
      </w:pPr>
      <w:r w:rsidRPr="00D04DE0">
        <w:rPr>
          <w:rFonts w:cs="Arial"/>
        </w:rPr>
        <w:t xml:space="preserve">Amounts reported at this field will be the same as </w:t>
      </w:r>
      <w:r w:rsidRPr="00D04DE0">
        <w:rPr>
          <w:rFonts w:cs="Arial"/>
          <w:i/>
        </w:rPr>
        <w:t>Assessable foreign source income</w:t>
      </w:r>
      <w:r w:rsidRPr="00D04DE0">
        <w:rPr>
          <w:rFonts w:cs="Arial"/>
        </w:rPr>
        <w:t xml:space="preserve"> (9.91) where there are no deductions to be applied and no net foreign rent. </w:t>
      </w:r>
    </w:p>
    <w:p w14:paraId="291E50C7" w14:textId="77777777" w:rsidR="00115458" w:rsidRPr="00D04DE0" w:rsidRDefault="00115458" w:rsidP="00F4606C">
      <w:pPr>
        <w:spacing w:after="0" w:line="240" w:lineRule="auto"/>
        <w:rPr>
          <w:rFonts w:cs="Arial"/>
        </w:rPr>
      </w:pPr>
    </w:p>
    <w:p w14:paraId="0B0D98EB" w14:textId="77777777" w:rsidR="00115458" w:rsidRPr="002E368C" w:rsidRDefault="00115458" w:rsidP="006A1037">
      <w:pPr>
        <w:pStyle w:val="Maintext"/>
        <w:rPr>
          <w:rFonts w:asciiTheme="minorHAnsi" w:hAnsiTheme="minorHAnsi" w:cs="Arial"/>
          <w:b/>
          <w:sz w:val="20"/>
          <w:szCs w:val="20"/>
        </w:rPr>
      </w:pPr>
      <w:r w:rsidRPr="002E368C">
        <w:rPr>
          <w:rFonts w:asciiTheme="minorHAnsi" w:hAnsiTheme="minorHAnsi" w:cs="Arial"/>
          <w:b/>
          <w:sz w:val="20"/>
          <w:szCs w:val="20"/>
        </w:rPr>
        <w:t xml:space="preserve">Where do I report foreign tax credits that are associated with </w:t>
      </w:r>
      <w:r w:rsidRPr="002E368C">
        <w:rPr>
          <w:rFonts w:asciiTheme="minorHAnsi" w:hAnsiTheme="minorHAnsi" w:cs="Arial"/>
          <w:b/>
          <w:i/>
          <w:sz w:val="20"/>
          <w:szCs w:val="20"/>
        </w:rPr>
        <w:t xml:space="preserve">Assessable foreign source income </w:t>
      </w:r>
      <w:r w:rsidRPr="002E368C">
        <w:rPr>
          <w:rFonts w:asciiTheme="minorHAnsi" w:hAnsiTheme="minorHAnsi" w:cs="Arial"/>
          <w:b/>
          <w:sz w:val="20"/>
          <w:szCs w:val="20"/>
        </w:rPr>
        <w:t xml:space="preserve">(9.91)? </w:t>
      </w:r>
    </w:p>
    <w:p w14:paraId="23B032CF" w14:textId="77777777" w:rsidR="00115458" w:rsidRPr="00D04DE0" w:rsidRDefault="00115458" w:rsidP="002E368C">
      <w:pPr>
        <w:spacing w:after="0" w:line="240" w:lineRule="auto"/>
        <w:rPr>
          <w:rFonts w:cs="Arial"/>
        </w:rPr>
      </w:pPr>
      <w:r w:rsidRPr="006A1037">
        <w:rPr>
          <w:rFonts w:cs="Arial"/>
        </w:rPr>
        <w:t xml:space="preserve">A foreign tax credit is the amount of tax paid on foreign source income to overseas tax authorities and is reported at the </w:t>
      </w:r>
      <w:r w:rsidRPr="007B0EE0">
        <w:rPr>
          <w:rFonts w:cs="Arial"/>
          <w:i/>
        </w:rPr>
        <w:t xml:space="preserve">Foreign income tax offset </w:t>
      </w:r>
      <w:r w:rsidRPr="007B0EE0">
        <w:rPr>
          <w:rFonts w:cs="Arial"/>
        </w:rPr>
        <w:t>(9.93</w:t>
      </w:r>
      <w:r w:rsidRPr="00D04DE0">
        <w:rPr>
          <w:rFonts w:cs="Arial"/>
        </w:rPr>
        <w:t xml:space="preserve">) field. </w:t>
      </w:r>
    </w:p>
    <w:p w14:paraId="3999F4F5" w14:textId="77777777" w:rsidR="00115458" w:rsidRPr="00D04DE0" w:rsidRDefault="00115458" w:rsidP="002E368C">
      <w:pPr>
        <w:spacing w:after="0" w:line="240" w:lineRule="auto"/>
        <w:rPr>
          <w:rFonts w:cs="Arial"/>
        </w:rPr>
      </w:pPr>
    </w:p>
    <w:p w14:paraId="625738F6" w14:textId="7C2EDA41" w:rsidR="00115458" w:rsidRDefault="00115458" w:rsidP="00856E9F">
      <w:pPr>
        <w:spacing w:after="0" w:line="240" w:lineRule="auto"/>
        <w:rPr>
          <w:rFonts w:cs="Arial"/>
          <w:b/>
        </w:rPr>
      </w:pPr>
      <w:r w:rsidRPr="00D04DE0">
        <w:rPr>
          <w:rFonts w:cs="Arial"/>
        </w:rPr>
        <w:t>These credits can be paid as a result of a trust distribution or directly that is not part of a trust distribution. When reported through a trust distribution</w:t>
      </w:r>
      <w:r w:rsidR="006A1037">
        <w:rPr>
          <w:rFonts w:cs="Arial"/>
        </w:rPr>
        <w:t xml:space="preserve"> or MIT attribution</w:t>
      </w:r>
      <w:r w:rsidRPr="006A1037">
        <w:rPr>
          <w:rFonts w:cs="Arial"/>
        </w:rPr>
        <w:t xml:space="preserve">, the </w:t>
      </w:r>
      <w:r w:rsidRPr="006A1037">
        <w:rPr>
          <w:rFonts w:cs="Arial"/>
          <w:i/>
        </w:rPr>
        <w:t xml:space="preserve">Type of payment </w:t>
      </w:r>
      <w:r w:rsidRPr="006A1037">
        <w:rPr>
          <w:rFonts w:cs="Arial"/>
        </w:rPr>
        <w:t>(9.72)</w:t>
      </w:r>
      <w:r w:rsidRPr="006A1037">
        <w:rPr>
          <w:rFonts w:cs="Arial"/>
          <w:i/>
        </w:rPr>
        <w:t xml:space="preserve"> </w:t>
      </w:r>
      <w:r w:rsidRPr="006A1037">
        <w:rPr>
          <w:rFonts w:cs="Arial"/>
        </w:rPr>
        <w:t xml:space="preserve">field = </w:t>
      </w:r>
      <w:r w:rsidRPr="006A1037">
        <w:rPr>
          <w:rFonts w:cs="Arial"/>
          <w:b/>
        </w:rPr>
        <w:t>UTD</w:t>
      </w:r>
      <w:r w:rsidR="006A1037">
        <w:rPr>
          <w:rFonts w:cs="Arial"/>
          <w:b/>
        </w:rPr>
        <w:t xml:space="preserve"> </w:t>
      </w:r>
      <w:r w:rsidR="006A1037" w:rsidRPr="002E368C">
        <w:rPr>
          <w:rFonts w:cs="Arial"/>
          <w:bCs/>
        </w:rPr>
        <w:t>or</w:t>
      </w:r>
      <w:r w:rsidR="006A1037">
        <w:rPr>
          <w:rFonts w:cs="Arial"/>
          <w:b/>
        </w:rPr>
        <w:t xml:space="preserve"> AMT</w:t>
      </w:r>
      <w:r w:rsidRPr="006A1037">
        <w:rPr>
          <w:rFonts w:cs="Arial"/>
        </w:rPr>
        <w:t xml:space="preserve">.  When paid directly, the </w:t>
      </w:r>
      <w:r w:rsidRPr="006A1037">
        <w:rPr>
          <w:rFonts w:cs="Arial"/>
          <w:i/>
        </w:rPr>
        <w:t xml:space="preserve">Type of payment </w:t>
      </w:r>
      <w:r w:rsidRPr="006A1037">
        <w:rPr>
          <w:rFonts w:cs="Arial"/>
        </w:rPr>
        <w:t xml:space="preserve">field = </w:t>
      </w:r>
      <w:r w:rsidRPr="006A1037">
        <w:rPr>
          <w:rFonts w:cs="Arial"/>
          <w:b/>
        </w:rPr>
        <w:t>FSI.</w:t>
      </w:r>
    </w:p>
    <w:p w14:paraId="04A8F8B1" w14:textId="1011049C" w:rsidR="006A1037" w:rsidRDefault="006A1037" w:rsidP="00856E9F">
      <w:pPr>
        <w:spacing w:after="0" w:line="240" w:lineRule="auto"/>
        <w:rPr>
          <w:rFonts w:cs="Arial"/>
          <w:b/>
        </w:rPr>
      </w:pPr>
    </w:p>
    <w:p w14:paraId="4E647D21" w14:textId="297D4AE2" w:rsidR="003114F1" w:rsidRPr="002E368C" w:rsidRDefault="00D04DE0" w:rsidP="00856E9F">
      <w:pPr>
        <w:spacing w:after="0" w:line="240" w:lineRule="auto"/>
        <w:rPr>
          <w:rFonts w:cs="Arial"/>
          <w:b/>
          <w:bCs/>
        </w:rPr>
      </w:pPr>
      <w:r>
        <w:rPr>
          <w:rFonts w:cs="Arial"/>
          <w:b/>
          <w:bCs/>
        </w:rPr>
        <w:t>Where</w:t>
      </w:r>
      <w:r w:rsidR="003114F1" w:rsidRPr="002E368C">
        <w:rPr>
          <w:rFonts w:cs="Arial"/>
          <w:b/>
          <w:bCs/>
        </w:rPr>
        <w:t xml:space="preserve"> do I report foreign tax credits that are associated with foreign capital gain</w:t>
      </w:r>
      <w:r w:rsidR="006A1037" w:rsidRPr="002E368C">
        <w:rPr>
          <w:rFonts w:cs="Arial"/>
          <w:b/>
          <w:bCs/>
        </w:rPr>
        <w:t xml:space="preserve">s? </w:t>
      </w:r>
    </w:p>
    <w:p w14:paraId="14B3DDB3" w14:textId="59BB59F8" w:rsidR="007B0EE0" w:rsidRPr="007B0EE0" w:rsidRDefault="006A1037" w:rsidP="007B0EE0">
      <w:pPr>
        <w:spacing w:after="0" w:line="240" w:lineRule="auto"/>
        <w:rPr>
          <w:rFonts w:cs="Arial"/>
        </w:rPr>
      </w:pPr>
      <w:r w:rsidRPr="002E368C">
        <w:rPr>
          <w:rFonts w:cs="Arial"/>
        </w:rPr>
        <w:t xml:space="preserve">Foreign tax paid on a foreign capital gain is reported at the </w:t>
      </w:r>
      <w:r w:rsidRPr="002E368C">
        <w:rPr>
          <w:rFonts w:cs="Arial"/>
          <w:i/>
          <w:iCs/>
        </w:rPr>
        <w:t xml:space="preserve">Foreign income tax offset </w:t>
      </w:r>
      <w:r w:rsidRPr="002E368C">
        <w:rPr>
          <w:rFonts w:cs="Arial"/>
        </w:rPr>
        <w:t>(9.93) field</w:t>
      </w:r>
      <w:r w:rsidR="007B0EE0" w:rsidRPr="002E368C">
        <w:rPr>
          <w:rFonts w:cs="Arial"/>
        </w:rPr>
        <w:t xml:space="preserve"> and the foreign capital gain is reported at </w:t>
      </w:r>
      <w:r w:rsidRPr="002E368C">
        <w:rPr>
          <w:rFonts w:cs="Arial"/>
        </w:rPr>
        <w:t>the</w:t>
      </w:r>
      <w:r w:rsidR="009F741A">
        <w:rPr>
          <w:rFonts w:cs="Arial"/>
        </w:rPr>
        <w:t xml:space="preserve"> </w:t>
      </w:r>
      <w:r w:rsidRPr="002E368C">
        <w:rPr>
          <w:rFonts w:cs="Arial"/>
          <w:i/>
          <w:iCs/>
        </w:rPr>
        <w:t xml:space="preserve">Taxable foreign capital gains </w:t>
      </w:r>
      <w:r w:rsidRPr="002E368C">
        <w:rPr>
          <w:rFonts w:cs="Arial"/>
        </w:rPr>
        <w:t xml:space="preserve">(9.90) field. </w:t>
      </w:r>
      <w:r w:rsidR="007B0EE0" w:rsidRPr="002E368C">
        <w:rPr>
          <w:rFonts w:cs="Arial"/>
        </w:rPr>
        <w:t>If the only foreign income to be reported for the investor is foreign capital gains, there is no requirement to</w:t>
      </w:r>
      <w:r w:rsidR="007B0EE0">
        <w:rPr>
          <w:rFonts w:cs="Arial"/>
          <w:u w:val="single"/>
        </w:rPr>
        <w:t xml:space="preserve"> </w:t>
      </w:r>
      <w:r w:rsidR="000E7FBE">
        <w:rPr>
          <w:rFonts w:cs="Arial"/>
        </w:rPr>
        <w:t xml:space="preserve">complete </w:t>
      </w:r>
      <w:r w:rsidR="007B0EE0">
        <w:rPr>
          <w:rFonts w:cs="Arial"/>
        </w:rPr>
        <w:t>the</w:t>
      </w:r>
      <w:r w:rsidR="00115458" w:rsidRPr="007B0EE0">
        <w:rPr>
          <w:rFonts w:cs="Arial"/>
        </w:rPr>
        <w:t xml:space="preserve"> </w:t>
      </w:r>
      <w:r w:rsidR="00115458" w:rsidRPr="007B0EE0">
        <w:rPr>
          <w:rFonts w:cs="Arial"/>
          <w:i/>
        </w:rPr>
        <w:t>Assessable foreign source income</w:t>
      </w:r>
      <w:r w:rsidR="00115458" w:rsidRPr="007B0EE0">
        <w:rPr>
          <w:rFonts w:cs="Arial"/>
        </w:rPr>
        <w:t xml:space="preserve"> (9.91) and associated fields.</w:t>
      </w:r>
      <w:r w:rsidR="007B0EE0">
        <w:rPr>
          <w:rFonts w:cs="Arial"/>
        </w:rPr>
        <w:t xml:space="preserve"> </w:t>
      </w:r>
    </w:p>
    <w:p w14:paraId="13F4F750" w14:textId="77777777" w:rsidR="007B0EE0" w:rsidRDefault="007B0EE0" w:rsidP="00856E9F">
      <w:pPr>
        <w:spacing w:after="0" w:line="240" w:lineRule="auto"/>
        <w:rPr>
          <w:rFonts w:cs="Arial"/>
        </w:rPr>
      </w:pPr>
    </w:p>
    <w:p w14:paraId="43AEE0D4" w14:textId="393664AA" w:rsidR="00115458" w:rsidRDefault="00115458" w:rsidP="00856E9F">
      <w:pPr>
        <w:spacing w:after="0" w:line="240" w:lineRule="auto"/>
        <w:rPr>
          <w:rFonts w:cs="Arial"/>
        </w:rPr>
      </w:pPr>
      <w:r w:rsidRPr="00D04DE0">
        <w:rPr>
          <w:rFonts w:cs="Arial"/>
        </w:rPr>
        <w:t>This is a decision that has been determined through our Tax technical team</w:t>
      </w:r>
      <w:r w:rsidR="00D04DE0">
        <w:rPr>
          <w:rFonts w:cs="Arial"/>
        </w:rPr>
        <w:t>. A</w:t>
      </w:r>
      <w:r w:rsidRPr="00D04DE0">
        <w:rPr>
          <w:rFonts w:cs="Arial"/>
        </w:rPr>
        <w:t xml:space="preserve">n amendment to the </w:t>
      </w:r>
      <w:r w:rsidR="00D04DE0">
        <w:rPr>
          <w:rFonts w:cs="Arial"/>
        </w:rPr>
        <w:t xml:space="preserve">reporting </w:t>
      </w:r>
      <w:r w:rsidRPr="00D04DE0">
        <w:rPr>
          <w:rFonts w:cs="Arial"/>
        </w:rPr>
        <w:t xml:space="preserve">specifications will occur </w:t>
      </w:r>
      <w:r w:rsidR="007B0EE0">
        <w:rPr>
          <w:rFonts w:cs="Arial"/>
        </w:rPr>
        <w:t xml:space="preserve">at the next </w:t>
      </w:r>
      <w:r w:rsidR="000751F4">
        <w:rPr>
          <w:rFonts w:cs="Arial"/>
        </w:rPr>
        <w:t xml:space="preserve">version </w:t>
      </w:r>
      <w:r w:rsidR="007B0EE0">
        <w:rPr>
          <w:rFonts w:cs="Arial"/>
        </w:rPr>
        <w:t>update</w:t>
      </w:r>
      <w:r w:rsidRPr="007B0EE0">
        <w:rPr>
          <w:rFonts w:cs="Arial"/>
        </w:rPr>
        <w:t>. The</w:t>
      </w:r>
      <w:r w:rsidRPr="007B0EE0">
        <w:rPr>
          <w:rFonts w:cs="Arial"/>
          <w:i/>
        </w:rPr>
        <w:t xml:space="preserve"> Foreign income tax offset </w:t>
      </w:r>
      <w:r w:rsidRPr="007B0EE0">
        <w:rPr>
          <w:rFonts w:cs="Arial"/>
        </w:rPr>
        <w:t>field will be updated to enable the reporter to populate this field with the foreign tax paid as reported to the investor</w:t>
      </w:r>
      <w:r w:rsidR="00D04DE0">
        <w:rPr>
          <w:rFonts w:cs="Arial"/>
        </w:rPr>
        <w:t xml:space="preserve"> modifying the wording to </w:t>
      </w:r>
      <w:r w:rsidR="000E7FBE">
        <w:rPr>
          <w:rFonts w:cs="Arial"/>
        </w:rPr>
        <w:t xml:space="preserve">not </w:t>
      </w:r>
      <w:r w:rsidR="00D04DE0">
        <w:rPr>
          <w:rFonts w:cs="Arial"/>
        </w:rPr>
        <w:t>include this amount in the calculation of assessable foreign source income</w:t>
      </w:r>
      <w:r w:rsidR="000E7FBE">
        <w:rPr>
          <w:rFonts w:cs="Arial"/>
        </w:rPr>
        <w:t xml:space="preserve"> if the source is foreign capital gains</w:t>
      </w:r>
      <w:r w:rsidRPr="007B0EE0">
        <w:rPr>
          <w:rFonts w:cs="Arial"/>
        </w:rPr>
        <w:t xml:space="preserve">. The investor will have to determine if they can claim this amount or a lesser amount. </w:t>
      </w:r>
    </w:p>
    <w:p w14:paraId="703D8BDE" w14:textId="77777777" w:rsidR="006A1037" w:rsidRDefault="006A1037" w:rsidP="006A1037">
      <w:pPr>
        <w:spacing w:after="0" w:line="240" w:lineRule="auto"/>
        <w:rPr>
          <w:rFonts w:cs="Arial"/>
        </w:rPr>
      </w:pPr>
    </w:p>
    <w:p w14:paraId="35DE127F" w14:textId="1225DDDC" w:rsidR="006A1037" w:rsidRDefault="002E368C" w:rsidP="006A1037">
      <w:pPr>
        <w:spacing w:after="0" w:line="240" w:lineRule="auto"/>
        <w:rPr>
          <w:rFonts w:cs="Arial"/>
        </w:rPr>
      </w:pPr>
      <w:r>
        <w:rPr>
          <w:rFonts w:cs="Arial"/>
        </w:rPr>
        <w:t>Additionally, w</w:t>
      </w:r>
      <w:r w:rsidR="006A1037" w:rsidRPr="006C2839">
        <w:rPr>
          <w:rFonts w:cs="Arial"/>
        </w:rPr>
        <w:t xml:space="preserve">here the amount reported at </w:t>
      </w:r>
      <w:r w:rsidR="006A1037" w:rsidRPr="006C2839">
        <w:rPr>
          <w:rFonts w:cs="Arial"/>
          <w:i/>
          <w:iCs/>
        </w:rPr>
        <w:t xml:space="preserve">Foreign income tax offset </w:t>
      </w:r>
      <w:r w:rsidR="006A1037" w:rsidRPr="006C2839">
        <w:rPr>
          <w:rFonts w:cs="Arial"/>
        </w:rPr>
        <w:t xml:space="preserve">(9.93) includes foreign tax paid on a discountable foreign capital gain, the </w:t>
      </w:r>
      <w:r w:rsidR="006A1037" w:rsidRPr="006C2839">
        <w:rPr>
          <w:rFonts w:cs="Arial"/>
          <w:i/>
          <w:iCs/>
        </w:rPr>
        <w:t xml:space="preserve">Foreign income tax offset </w:t>
      </w:r>
      <w:r w:rsidR="006A1037" w:rsidRPr="006C2839">
        <w:rPr>
          <w:rFonts w:cs="Arial"/>
        </w:rPr>
        <w:t xml:space="preserve">(9.93) is apportioned for capital losses applied at the trust level, but not for discount capital gains.  </w:t>
      </w:r>
    </w:p>
    <w:p w14:paraId="1E869F27" w14:textId="77777777" w:rsidR="00115458" w:rsidRPr="00B35C0A" w:rsidRDefault="00115458" w:rsidP="00115458">
      <w:pPr>
        <w:pStyle w:val="Heading2"/>
      </w:pPr>
      <w:bookmarkStart w:id="1996" w:name="_Toc5193044"/>
      <w:bookmarkStart w:id="1997" w:name="_Toc232191391"/>
      <w:bookmarkEnd w:id="1994"/>
      <w:r w:rsidRPr="00B35C0A">
        <w:t>Changes to investor details</w:t>
      </w:r>
      <w:bookmarkEnd w:id="1996"/>
      <w:bookmarkEnd w:id="1997"/>
    </w:p>
    <w:p w14:paraId="2D945072" w14:textId="77777777" w:rsidR="00115458" w:rsidRPr="007B0EE0" w:rsidRDefault="00115458" w:rsidP="002E368C">
      <w:pPr>
        <w:spacing w:after="0" w:line="240" w:lineRule="auto"/>
        <w:rPr>
          <w:rFonts w:cs="Arial"/>
          <w:b/>
        </w:rPr>
      </w:pPr>
      <w:r w:rsidRPr="006A1037">
        <w:rPr>
          <w:rFonts w:cs="Arial"/>
          <w:b/>
        </w:rPr>
        <w:t xml:space="preserve">Can the TFN exemption code 333333333 be used on the AIIR if the child has turned 16 in the financial year being reported? </w:t>
      </w:r>
    </w:p>
    <w:p w14:paraId="2DDEDE83" w14:textId="08C0B117" w:rsidR="00115458" w:rsidRDefault="00115458">
      <w:pPr>
        <w:spacing w:after="0" w:line="240" w:lineRule="auto"/>
        <w:rPr>
          <w:rFonts w:cs="Arial"/>
        </w:rPr>
      </w:pPr>
      <w:r w:rsidRPr="007B0EE0">
        <w:rPr>
          <w:rFonts w:cs="Arial"/>
        </w:rPr>
        <w:t>Yes, providing the following applies:</w:t>
      </w:r>
    </w:p>
    <w:p w14:paraId="63566498" w14:textId="77777777" w:rsidR="002E368C" w:rsidRPr="007B0EE0" w:rsidRDefault="002E368C" w:rsidP="002E368C">
      <w:pPr>
        <w:spacing w:after="0" w:line="240" w:lineRule="auto"/>
        <w:rPr>
          <w:rFonts w:cs="Arial"/>
        </w:rPr>
      </w:pPr>
    </w:p>
    <w:p w14:paraId="5A0B0ACD" w14:textId="77777777" w:rsidR="00115458" w:rsidRPr="002E368C" w:rsidRDefault="00115458" w:rsidP="001601AF">
      <w:pPr>
        <w:pStyle w:val="Bullet1"/>
        <w:numPr>
          <w:ilvl w:val="0"/>
          <w:numId w:val="73"/>
        </w:numPr>
        <w:spacing w:before="0" w:after="0"/>
        <w:rPr>
          <w:rFonts w:asciiTheme="minorHAnsi" w:hAnsiTheme="minorHAnsi" w:cs="Arial"/>
          <w:sz w:val="20"/>
          <w:szCs w:val="20"/>
        </w:rPr>
      </w:pPr>
      <w:r w:rsidRPr="002E368C">
        <w:rPr>
          <w:rFonts w:asciiTheme="minorHAnsi" w:hAnsiTheme="minorHAnsi" w:cs="Arial"/>
          <w:sz w:val="20"/>
          <w:szCs w:val="20"/>
        </w:rPr>
        <w:t xml:space="preserve">If the investor was under 16 years of age on 1 January preceding the payment and the investment income for the financial year was under the tax free threshold for minors and </w:t>
      </w:r>
    </w:p>
    <w:p w14:paraId="74AA31B0" w14:textId="77777777" w:rsidR="00115458" w:rsidRPr="002E368C" w:rsidRDefault="00115458" w:rsidP="001601AF">
      <w:pPr>
        <w:pStyle w:val="Bullet1"/>
        <w:numPr>
          <w:ilvl w:val="0"/>
          <w:numId w:val="73"/>
        </w:numPr>
        <w:spacing w:before="0" w:after="0"/>
        <w:rPr>
          <w:rFonts w:asciiTheme="minorHAnsi" w:hAnsiTheme="minorHAnsi" w:cs="Arial"/>
          <w:sz w:val="20"/>
          <w:szCs w:val="20"/>
        </w:rPr>
      </w:pPr>
      <w:r w:rsidRPr="002E368C">
        <w:rPr>
          <w:rFonts w:asciiTheme="minorHAnsi" w:hAnsiTheme="minorHAnsi" w:cs="Arial"/>
          <w:sz w:val="20"/>
          <w:szCs w:val="20"/>
        </w:rPr>
        <w:t>the investor did not provide a TFN.</w:t>
      </w:r>
    </w:p>
    <w:p w14:paraId="40411743" w14:textId="77777777" w:rsidR="00115458" w:rsidRPr="006A1037" w:rsidRDefault="00115458" w:rsidP="002E368C">
      <w:pPr>
        <w:spacing w:after="0" w:line="240" w:lineRule="auto"/>
        <w:rPr>
          <w:rFonts w:cs="Arial"/>
        </w:rPr>
      </w:pPr>
    </w:p>
    <w:p w14:paraId="1C263597" w14:textId="77777777" w:rsidR="00115458" w:rsidRPr="007B0EE0" w:rsidRDefault="00115458" w:rsidP="002E368C">
      <w:pPr>
        <w:spacing w:after="0" w:line="240" w:lineRule="auto"/>
        <w:rPr>
          <w:rFonts w:cs="Arial"/>
          <w:b/>
        </w:rPr>
      </w:pPr>
      <w:r w:rsidRPr="006A1037">
        <w:rPr>
          <w:rFonts w:cs="Arial"/>
          <w:b/>
        </w:rPr>
        <w:t xml:space="preserve">If the investor changed address before the AIIR is </w:t>
      </w:r>
      <w:r w:rsidRPr="007B0EE0">
        <w:rPr>
          <w:rFonts w:cs="Arial"/>
          <w:b/>
        </w:rPr>
        <w:t>lodged do we report the address as at the 30 June or the most recent address?</w:t>
      </w:r>
    </w:p>
    <w:p w14:paraId="00E2A9F1" w14:textId="77777777" w:rsidR="00115458" w:rsidRPr="007B0EE0" w:rsidRDefault="00115458" w:rsidP="002E368C">
      <w:pPr>
        <w:spacing w:after="0" w:line="240" w:lineRule="auto"/>
        <w:rPr>
          <w:rFonts w:cs="Arial"/>
        </w:rPr>
      </w:pPr>
      <w:r w:rsidRPr="007B0EE0">
        <w:rPr>
          <w:rFonts w:cs="Arial"/>
        </w:rPr>
        <w:t>Report the most recent address as this is what is required for correspondence to the investor.</w:t>
      </w:r>
    </w:p>
    <w:bookmarkEnd w:id="1985"/>
    <w:p w14:paraId="129E2BFD" w14:textId="0A25E97E" w:rsidR="00115458" w:rsidRPr="00A3781A" w:rsidRDefault="00115458" w:rsidP="002E368C">
      <w:pPr>
        <w:pStyle w:val="Heading1"/>
        <w:spacing w:before="0" w:after="0" w:line="240" w:lineRule="auto"/>
      </w:pPr>
      <w:r w:rsidRPr="002E368C">
        <w:rPr>
          <w:rFonts w:asciiTheme="minorHAnsi" w:hAnsiTheme="minorHAnsi"/>
          <w:sz w:val="20"/>
          <w:szCs w:val="20"/>
        </w:rPr>
        <w:br w:type="page"/>
      </w:r>
      <w:bookmarkStart w:id="1998" w:name="_Toc5193046"/>
      <w:bookmarkStart w:id="1999" w:name="_Toc232191392"/>
      <w:r w:rsidR="00836C2C">
        <w:t xml:space="preserve">13 </w:t>
      </w:r>
      <w:r w:rsidRPr="00A3781A">
        <w:t>Appendices</w:t>
      </w:r>
      <w:bookmarkEnd w:id="1998"/>
      <w:bookmarkEnd w:id="1999"/>
    </w:p>
    <w:p w14:paraId="590A4D8B" w14:textId="77777777" w:rsidR="00115458" w:rsidRPr="00B35C0A" w:rsidRDefault="00115458" w:rsidP="00F4606C">
      <w:pPr>
        <w:pStyle w:val="Heading2"/>
        <w:spacing w:line="240" w:lineRule="auto"/>
      </w:pPr>
      <w:bookmarkStart w:id="2000" w:name="_Appendix_A_-"/>
      <w:bookmarkStart w:id="2001" w:name="_Toc5193047"/>
      <w:bookmarkStart w:id="2002" w:name="_Toc232191393"/>
      <w:bookmarkEnd w:id="2000"/>
      <w:r w:rsidRPr="008F3AC7">
        <w:t>Appendix A</w:t>
      </w:r>
      <w:r w:rsidRPr="00B35C0A">
        <w:t xml:space="preserve"> - ERS/PC spreadsheet field name reference comparison</w:t>
      </w:r>
      <w:bookmarkEnd w:id="2001"/>
      <w:bookmarkEnd w:id="2002"/>
    </w:p>
    <w:p w14:paraId="7B4DC185" w14:textId="6D0C8A56" w:rsidR="00115458" w:rsidRPr="002E368C" w:rsidRDefault="00115458" w:rsidP="00D42995">
      <w:pPr>
        <w:pStyle w:val="Maintext"/>
        <w:rPr>
          <w:rFonts w:asciiTheme="minorHAnsi" w:hAnsiTheme="minorHAnsi" w:cs="Arial"/>
          <w:sz w:val="20"/>
          <w:szCs w:val="20"/>
        </w:rPr>
      </w:pPr>
      <w:r w:rsidRPr="002E368C">
        <w:rPr>
          <w:rFonts w:asciiTheme="minorHAnsi" w:hAnsiTheme="minorHAnsi" w:cs="Arial"/>
          <w:sz w:val="20"/>
          <w:szCs w:val="20"/>
        </w:rPr>
        <w:t xml:space="preserve">The following table lists the AIIR field name and corresponding reference number for ERS </w:t>
      </w:r>
      <w:r w:rsidR="00CA719E">
        <w:rPr>
          <w:rFonts w:asciiTheme="minorHAnsi" w:hAnsiTheme="minorHAnsi" w:cs="Arial"/>
          <w:sz w:val="20"/>
          <w:szCs w:val="20"/>
        </w:rPr>
        <w:t>v14</w:t>
      </w:r>
      <w:r w:rsidRPr="002E368C">
        <w:rPr>
          <w:rFonts w:asciiTheme="minorHAnsi" w:hAnsiTheme="minorHAnsi" w:cs="Arial"/>
          <w:sz w:val="20"/>
          <w:szCs w:val="20"/>
        </w:rPr>
        <w:t xml:space="preserve">and PC Spreadsheet </w:t>
      </w:r>
      <w:r w:rsidR="00CA719E">
        <w:rPr>
          <w:rFonts w:asciiTheme="minorHAnsi" w:hAnsiTheme="minorHAnsi" w:cs="Arial"/>
          <w:sz w:val="20"/>
          <w:szCs w:val="20"/>
        </w:rPr>
        <w:t>v8.0.0</w:t>
      </w:r>
    </w:p>
    <w:p w14:paraId="710602C0" w14:textId="77777777" w:rsidR="00115458" w:rsidRPr="00D42995" w:rsidRDefault="00115458" w:rsidP="002E368C">
      <w:pPr>
        <w:spacing w:after="0" w:line="240" w:lineRule="auto"/>
        <w:rPr>
          <w:rFonts w:cs="Arial"/>
        </w:rPr>
      </w:pPr>
    </w:p>
    <w:tbl>
      <w:tblPr>
        <w:tblW w:w="5000" w:type="pct"/>
        <w:tblLook w:val="0000" w:firstRow="0" w:lastRow="0" w:firstColumn="0" w:lastColumn="0" w:noHBand="0" w:noVBand="0"/>
      </w:tblPr>
      <w:tblGrid>
        <w:gridCol w:w="6136"/>
        <w:gridCol w:w="1272"/>
        <w:gridCol w:w="1880"/>
      </w:tblGrid>
      <w:tr w:rsidR="00115458" w:rsidRPr="00D42995" w14:paraId="6D62D567" w14:textId="77777777" w:rsidTr="00E91920">
        <w:trPr>
          <w:trHeight w:val="315"/>
          <w:tblHeader/>
        </w:trPr>
        <w:tc>
          <w:tcPr>
            <w:tcW w:w="3303" w:type="pct"/>
            <w:vMerge w:val="restart"/>
            <w:tcBorders>
              <w:top w:val="single" w:sz="4" w:space="0" w:color="auto"/>
              <w:left w:val="single" w:sz="4" w:space="0" w:color="auto"/>
              <w:bottom w:val="single" w:sz="4" w:space="0" w:color="auto"/>
              <w:right w:val="single" w:sz="4" w:space="0" w:color="auto"/>
            </w:tcBorders>
            <w:shd w:val="clear" w:color="auto" w:fill="878EDF" w:themeFill="accent1" w:themeFillTint="99"/>
            <w:vAlign w:val="center"/>
          </w:tcPr>
          <w:p w14:paraId="0EA46E46" w14:textId="77777777" w:rsidR="00115458" w:rsidRPr="002E368C" w:rsidRDefault="00115458" w:rsidP="002E368C">
            <w:pPr>
              <w:spacing w:after="0" w:line="240" w:lineRule="auto"/>
              <w:rPr>
                <w:rFonts w:cs="Arial"/>
                <w:b/>
                <w:bCs/>
              </w:rPr>
            </w:pPr>
            <w:r w:rsidRPr="002E368C">
              <w:rPr>
                <w:rFonts w:cs="Arial"/>
                <w:b/>
                <w:bCs/>
              </w:rPr>
              <w:t xml:space="preserve">AIIR field name </w:t>
            </w:r>
          </w:p>
          <w:p w14:paraId="552723E8" w14:textId="77777777" w:rsidR="00115458" w:rsidRPr="002E368C" w:rsidRDefault="00115458" w:rsidP="002E368C">
            <w:pPr>
              <w:spacing w:after="0" w:line="240" w:lineRule="auto"/>
              <w:rPr>
                <w:rFonts w:cs="Arial"/>
                <w:b/>
                <w:bCs/>
              </w:rPr>
            </w:pPr>
          </w:p>
        </w:tc>
        <w:tc>
          <w:tcPr>
            <w:tcW w:w="1697" w:type="pct"/>
            <w:gridSpan w:val="2"/>
            <w:tcBorders>
              <w:top w:val="single" w:sz="4" w:space="0" w:color="auto"/>
              <w:left w:val="single" w:sz="4" w:space="0" w:color="auto"/>
              <w:bottom w:val="single" w:sz="4" w:space="0" w:color="auto"/>
              <w:right w:val="single" w:sz="4" w:space="0" w:color="auto"/>
            </w:tcBorders>
            <w:shd w:val="clear" w:color="auto" w:fill="878EDF" w:themeFill="accent1" w:themeFillTint="99"/>
            <w:noWrap/>
            <w:vAlign w:val="center"/>
          </w:tcPr>
          <w:p w14:paraId="59996920" w14:textId="77777777" w:rsidR="00115458" w:rsidRPr="002E368C" w:rsidRDefault="00115458" w:rsidP="002E368C">
            <w:pPr>
              <w:spacing w:after="0" w:line="240" w:lineRule="auto"/>
              <w:jc w:val="center"/>
              <w:rPr>
                <w:rFonts w:cs="Arial"/>
                <w:b/>
                <w:bCs/>
              </w:rPr>
            </w:pPr>
            <w:r w:rsidRPr="002E368C">
              <w:rPr>
                <w:rFonts w:cs="Arial"/>
                <w:b/>
                <w:bCs/>
              </w:rPr>
              <w:t>AIIR  version</w:t>
            </w:r>
          </w:p>
        </w:tc>
      </w:tr>
      <w:tr w:rsidR="00115458" w:rsidRPr="00D42995" w14:paraId="278C4EE0" w14:textId="77777777" w:rsidTr="00330BF8">
        <w:trPr>
          <w:trHeight w:val="780"/>
          <w:tblHeader/>
        </w:trPr>
        <w:tc>
          <w:tcPr>
            <w:tcW w:w="3303" w:type="pct"/>
            <w:vMerge/>
            <w:tcBorders>
              <w:top w:val="single" w:sz="4" w:space="0" w:color="auto"/>
              <w:left w:val="single" w:sz="8" w:space="0" w:color="auto"/>
              <w:bottom w:val="single" w:sz="8" w:space="0" w:color="000000"/>
              <w:right w:val="single" w:sz="4" w:space="0" w:color="auto"/>
            </w:tcBorders>
            <w:shd w:val="clear" w:color="auto" w:fill="878EDF" w:themeFill="accent1" w:themeFillTint="99"/>
            <w:vAlign w:val="center"/>
          </w:tcPr>
          <w:p w14:paraId="03A1B606" w14:textId="77777777" w:rsidR="00115458" w:rsidRPr="002E368C" w:rsidRDefault="00115458" w:rsidP="002E368C">
            <w:pPr>
              <w:spacing w:after="0" w:line="240" w:lineRule="auto"/>
              <w:rPr>
                <w:rFonts w:cs="Arial"/>
                <w:b/>
                <w:bCs/>
              </w:rPr>
            </w:pPr>
          </w:p>
        </w:tc>
        <w:tc>
          <w:tcPr>
            <w:tcW w:w="685" w:type="pct"/>
            <w:tcBorders>
              <w:top w:val="single" w:sz="4" w:space="0" w:color="auto"/>
              <w:left w:val="nil"/>
              <w:bottom w:val="single" w:sz="4" w:space="0" w:color="auto"/>
              <w:right w:val="single" w:sz="4" w:space="0" w:color="auto"/>
            </w:tcBorders>
            <w:shd w:val="clear" w:color="auto" w:fill="878EDF" w:themeFill="accent1" w:themeFillTint="99"/>
            <w:vAlign w:val="center"/>
          </w:tcPr>
          <w:p w14:paraId="6DD0C357" w14:textId="2F7B196C" w:rsidR="00115458" w:rsidRPr="002E368C" w:rsidRDefault="00115458" w:rsidP="002E368C">
            <w:pPr>
              <w:spacing w:after="0" w:line="240" w:lineRule="auto"/>
              <w:jc w:val="center"/>
              <w:rPr>
                <w:rFonts w:cs="Arial"/>
                <w:b/>
                <w:bCs/>
              </w:rPr>
            </w:pPr>
            <w:r w:rsidRPr="002E368C">
              <w:rPr>
                <w:rFonts w:cs="Arial"/>
                <w:b/>
                <w:bCs/>
              </w:rPr>
              <w:t>ERS</w:t>
            </w:r>
            <w:r w:rsidRPr="002E368C">
              <w:rPr>
                <w:rFonts w:cs="Arial"/>
                <w:b/>
                <w:bCs/>
              </w:rPr>
              <w:br/>
            </w:r>
            <w:r w:rsidR="00FB307C">
              <w:rPr>
                <w:rFonts w:cs="Arial"/>
                <w:b/>
                <w:bCs/>
              </w:rPr>
              <w:t>v14</w:t>
            </w:r>
          </w:p>
        </w:tc>
        <w:tc>
          <w:tcPr>
            <w:tcW w:w="1012" w:type="pct"/>
            <w:tcBorders>
              <w:top w:val="single" w:sz="4" w:space="0" w:color="auto"/>
              <w:left w:val="nil"/>
              <w:bottom w:val="single" w:sz="4" w:space="0" w:color="auto"/>
              <w:right w:val="single" w:sz="4" w:space="0" w:color="auto"/>
            </w:tcBorders>
            <w:shd w:val="clear" w:color="auto" w:fill="878EDF" w:themeFill="accent1" w:themeFillTint="99"/>
            <w:vAlign w:val="center"/>
          </w:tcPr>
          <w:p w14:paraId="7CE2E586" w14:textId="6E7885AF" w:rsidR="00115458" w:rsidRPr="002E368C" w:rsidRDefault="00115458" w:rsidP="002E368C">
            <w:pPr>
              <w:spacing w:after="0" w:line="240" w:lineRule="auto"/>
              <w:jc w:val="center"/>
              <w:rPr>
                <w:rFonts w:cs="Arial"/>
                <w:b/>
                <w:bCs/>
              </w:rPr>
            </w:pPr>
            <w:r w:rsidRPr="002E368C">
              <w:rPr>
                <w:rFonts w:cs="Arial"/>
                <w:b/>
                <w:bCs/>
              </w:rPr>
              <w:t>PC spreadsheet</w:t>
            </w:r>
            <w:r w:rsidRPr="002E368C">
              <w:rPr>
                <w:rFonts w:cs="Arial"/>
                <w:b/>
                <w:bCs/>
              </w:rPr>
              <w:br/>
            </w:r>
            <w:r w:rsidR="00704695">
              <w:rPr>
                <w:rFonts w:cs="Arial"/>
                <w:b/>
                <w:bCs/>
              </w:rPr>
              <w:t>v8.0.0</w:t>
            </w:r>
          </w:p>
        </w:tc>
      </w:tr>
      <w:tr w:rsidR="00115458" w:rsidRPr="00D42995" w14:paraId="55E88EB0"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4CBAB154" w14:textId="77777777" w:rsidR="00115458" w:rsidRPr="002E368C" w:rsidRDefault="00115458" w:rsidP="002E368C">
            <w:pPr>
              <w:spacing w:after="0" w:line="240" w:lineRule="auto"/>
              <w:rPr>
                <w:rFonts w:cs="Arial"/>
              </w:rPr>
            </w:pPr>
            <w:r w:rsidRPr="002E368C">
              <w:rPr>
                <w:rFonts w:cs="Arial"/>
              </w:rPr>
              <w:t>Record length</w:t>
            </w:r>
          </w:p>
        </w:tc>
        <w:tc>
          <w:tcPr>
            <w:tcW w:w="685" w:type="pct"/>
            <w:tcBorders>
              <w:top w:val="single" w:sz="4" w:space="0" w:color="auto"/>
              <w:left w:val="nil"/>
              <w:bottom w:val="single" w:sz="4" w:space="0" w:color="auto"/>
              <w:right w:val="single" w:sz="4" w:space="0" w:color="auto"/>
            </w:tcBorders>
            <w:vAlign w:val="center"/>
          </w:tcPr>
          <w:p w14:paraId="3131C812" w14:textId="77777777" w:rsidR="00115458" w:rsidRPr="002E368C" w:rsidRDefault="00115458" w:rsidP="002E368C">
            <w:pPr>
              <w:spacing w:after="0" w:line="240" w:lineRule="auto"/>
              <w:jc w:val="center"/>
              <w:rPr>
                <w:rFonts w:cs="Arial"/>
              </w:rPr>
            </w:pPr>
            <w:r w:rsidRPr="002E368C">
              <w:rPr>
                <w:rFonts w:cs="Arial"/>
              </w:rPr>
              <w:t>9.1</w:t>
            </w:r>
          </w:p>
        </w:tc>
        <w:tc>
          <w:tcPr>
            <w:tcW w:w="1012" w:type="pct"/>
            <w:tcBorders>
              <w:top w:val="single" w:sz="4" w:space="0" w:color="auto"/>
              <w:left w:val="nil"/>
              <w:bottom w:val="single" w:sz="4" w:space="0" w:color="auto"/>
              <w:right w:val="single" w:sz="4" w:space="0" w:color="auto"/>
            </w:tcBorders>
            <w:noWrap/>
            <w:vAlign w:val="center"/>
          </w:tcPr>
          <w:p w14:paraId="5DD52B3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866CC39"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55B6D35F" w14:textId="77777777" w:rsidR="00115458" w:rsidRPr="002E368C" w:rsidRDefault="00115458" w:rsidP="002E368C">
            <w:pPr>
              <w:spacing w:after="0" w:line="240" w:lineRule="auto"/>
              <w:rPr>
                <w:rFonts w:cs="Arial"/>
              </w:rPr>
            </w:pPr>
            <w:r w:rsidRPr="002E368C">
              <w:rPr>
                <w:rFonts w:cs="Arial"/>
              </w:rPr>
              <w:t xml:space="preserve">Record identifier </w:t>
            </w:r>
          </w:p>
        </w:tc>
        <w:tc>
          <w:tcPr>
            <w:tcW w:w="685" w:type="pct"/>
            <w:tcBorders>
              <w:top w:val="nil"/>
              <w:left w:val="nil"/>
              <w:bottom w:val="single" w:sz="4" w:space="0" w:color="auto"/>
              <w:right w:val="single" w:sz="4" w:space="0" w:color="auto"/>
            </w:tcBorders>
            <w:vAlign w:val="center"/>
          </w:tcPr>
          <w:p w14:paraId="61D7D0C1" w14:textId="77777777" w:rsidR="00115458" w:rsidRPr="002E368C" w:rsidRDefault="00115458" w:rsidP="002E368C">
            <w:pPr>
              <w:spacing w:after="0" w:line="240" w:lineRule="auto"/>
              <w:jc w:val="center"/>
              <w:rPr>
                <w:rFonts w:cs="Arial"/>
              </w:rPr>
            </w:pPr>
            <w:r w:rsidRPr="002E368C">
              <w:rPr>
                <w:rFonts w:cs="Arial"/>
              </w:rPr>
              <w:t>9.2</w:t>
            </w:r>
          </w:p>
        </w:tc>
        <w:tc>
          <w:tcPr>
            <w:tcW w:w="1012" w:type="pct"/>
            <w:tcBorders>
              <w:top w:val="nil"/>
              <w:left w:val="nil"/>
              <w:bottom w:val="single" w:sz="4" w:space="0" w:color="auto"/>
              <w:right w:val="single" w:sz="4" w:space="0" w:color="auto"/>
            </w:tcBorders>
            <w:noWrap/>
            <w:vAlign w:val="center"/>
          </w:tcPr>
          <w:p w14:paraId="2F7075E0"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217E0E0B"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6AB562DF" w14:textId="77777777" w:rsidR="00115458" w:rsidRPr="002E368C" w:rsidRDefault="00115458" w:rsidP="002E368C">
            <w:pPr>
              <w:spacing w:after="0" w:line="240" w:lineRule="auto"/>
              <w:rPr>
                <w:rFonts w:cs="Arial"/>
              </w:rPr>
            </w:pPr>
            <w:r w:rsidRPr="002E368C">
              <w:rPr>
                <w:rFonts w:cs="Arial"/>
              </w:rPr>
              <w:t>Supplier Australian business number</w:t>
            </w:r>
          </w:p>
        </w:tc>
        <w:tc>
          <w:tcPr>
            <w:tcW w:w="685" w:type="pct"/>
            <w:tcBorders>
              <w:top w:val="nil"/>
              <w:left w:val="nil"/>
              <w:bottom w:val="single" w:sz="4" w:space="0" w:color="auto"/>
              <w:right w:val="single" w:sz="4" w:space="0" w:color="auto"/>
            </w:tcBorders>
            <w:vAlign w:val="center"/>
          </w:tcPr>
          <w:p w14:paraId="4B9EFFBE" w14:textId="77777777" w:rsidR="00115458" w:rsidRPr="002E368C" w:rsidRDefault="00115458" w:rsidP="002E368C">
            <w:pPr>
              <w:spacing w:after="0" w:line="240" w:lineRule="auto"/>
              <w:jc w:val="center"/>
              <w:rPr>
                <w:rFonts w:cs="Arial"/>
              </w:rPr>
            </w:pPr>
            <w:r w:rsidRPr="002E368C">
              <w:rPr>
                <w:rFonts w:cs="Arial"/>
              </w:rPr>
              <w:t>9.3</w:t>
            </w:r>
          </w:p>
        </w:tc>
        <w:tc>
          <w:tcPr>
            <w:tcW w:w="1012" w:type="pct"/>
            <w:tcBorders>
              <w:top w:val="nil"/>
              <w:left w:val="nil"/>
              <w:bottom w:val="single" w:sz="4" w:space="0" w:color="auto"/>
              <w:right w:val="single" w:sz="4" w:space="0" w:color="auto"/>
            </w:tcBorders>
            <w:noWrap/>
            <w:vAlign w:val="center"/>
          </w:tcPr>
          <w:p w14:paraId="2DC60A18"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3452F15"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7BED6EDE" w14:textId="77777777" w:rsidR="00115458" w:rsidRPr="002E368C" w:rsidRDefault="00115458" w:rsidP="002E368C">
            <w:pPr>
              <w:spacing w:after="0" w:line="240" w:lineRule="auto"/>
              <w:rPr>
                <w:rFonts w:cs="Arial"/>
              </w:rPr>
            </w:pPr>
            <w:r w:rsidRPr="002E368C">
              <w:rPr>
                <w:rFonts w:cs="Arial"/>
              </w:rPr>
              <w:t xml:space="preserve">Run type </w:t>
            </w:r>
          </w:p>
        </w:tc>
        <w:tc>
          <w:tcPr>
            <w:tcW w:w="685" w:type="pct"/>
            <w:tcBorders>
              <w:top w:val="nil"/>
              <w:left w:val="nil"/>
              <w:bottom w:val="single" w:sz="4" w:space="0" w:color="auto"/>
              <w:right w:val="single" w:sz="4" w:space="0" w:color="auto"/>
            </w:tcBorders>
            <w:vAlign w:val="center"/>
          </w:tcPr>
          <w:p w14:paraId="5EC347A9" w14:textId="77777777" w:rsidR="00115458" w:rsidRPr="002E368C" w:rsidRDefault="00115458" w:rsidP="002E368C">
            <w:pPr>
              <w:spacing w:after="0" w:line="240" w:lineRule="auto"/>
              <w:jc w:val="center"/>
              <w:rPr>
                <w:rFonts w:cs="Arial"/>
              </w:rPr>
            </w:pPr>
            <w:r w:rsidRPr="002E368C">
              <w:rPr>
                <w:rFonts w:cs="Arial"/>
              </w:rPr>
              <w:t>9.5</w:t>
            </w:r>
          </w:p>
        </w:tc>
        <w:tc>
          <w:tcPr>
            <w:tcW w:w="1012" w:type="pct"/>
            <w:tcBorders>
              <w:top w:val="nil"/>
              <w:left w:val="nil"/>
              <w:bottom w:val="single" w:sz="4" w:space="0" w:color="auto"/>
              <w:right w:val="single" w:sz="4" w:space="0" w:color="auto"/>
            </w:tcBorders>
            <w:noWrap/>
            <w:vAlign w:val="center"/>
          </w:tcPr>
          <w:p w14:paraId="04A118E8"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1F9FD626"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002C1851" w14:textId="77777777" w:rsidR="00115458" w:rsidRPr="002E368C" w:rsidRDefault="00115458" w:rsidP="002E368C">
            <w:pPr>
              <w:spacing w:after="0" w:line="240" w:lineRule="auto"/>
              <w:rPr>
                <w:rFonts w:cs="Arial"/>
              </w:rPr>
            </w:pPr>
            <w:r w:rsidRPr="002E368C">
              <w:rPr>
                <w:rFonts w:cs="Arial"/>
              </w:rPr>
              <w:t xml:space="preserve">Financial year end date </w:t>
            </w:r>
          </w:p>
        </w:tc>
        <w:tc>
          <w:tcPr>
            <w:tcW w:w="685" w:type="pct"/>
            <w:tcBorders>
              <w:top w:val="nil"/>
              <w:left w:val="nil"/>
              <w:bottom w:val="single" w:sz="4" w:space="0" w:color="auto"/>
              <w:right w:val="single" w:sz="4" w:space="0" w:color="auto"/>
            </w:tcBorders>
            <w:vAlign w:val="center"/>
          </w:tcPr>
          <w:p w14:paraId="36AD8D2E" w14:textId="77777777" w:rsidR="00115458" w:rsidRPr="002E368C" w:rsidRDefault="00115458" w:rsidP="002E368C">
            <w:pPr>
              <w:spacing w:after="0" w:line="240" w:lineRule="auto"/>
              <w:jc w:val="center"/>
              <w:rPr>
                <w:rFonts w:cs="Arial"/>
              </w:rPr>
            </w:pPr>
            <w:r w:rsidRPr="002E368C">
              <w:rPr>
                <w:rFonts w:cs="Arial"/>
              </w:rPr>
              <w:t>9.6</w:t>
            </w:r>
          </w:p>
        </w:tc>
        <w:tc>
          <w:tcPr>
            <w:tcW w:w="1012" w:type="pct"/>
            <w:tcBorders>
              <w:top w:val="nil"/>
              <w:left w:val="nil"/>
              <w:bottom w:val="single" w:sz="4" w:space="0" w:color="auto"/>
              <w:right w:val="single" w:sz="4" w:space="0" w:color="auto"/>
            </w:tcBorders>
            <w:noWrap/>
            <w:vAlign w:val="center"/>
          </w:tcPr>
          <w:p w14:paraId="3B0DE891"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2A8F019"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51E7309E" w14:textId="77777777" w:rsidR="00115458" w:rsidRPr="002E368C" w:rsidRDefault="00115458" w:rsidP="002E368C">
            <w:pPr>
              <w:spacing w:after="0" w:line="240" w:lineRule="auto"/>
              <w:rPr>
                <w:rFonts w:cs="Arial"/>
              </w:rPr>
            </w:pPr>
            <w:r w:rsidRPr="002E368C">
              <w:rPr>
                <w:rFonts w:cs="Arial"/>
              </w:rPr>
              <w:t>Filler (Data type)</w:t>
            </w:r>
          </w:p>
        </w:tc>
        <w:tc>
          <w:tcPr>
            <w:tcW w:w="685" w:type="pct"/>
            <w:tcBorders>
              <w:top w:val="nil"/>
              <w:left w:val="nil"/>
              <w:bottom w:val="single" w:sz="4" w:space="0" w:color="auto"/>
              <w:right w:val="single" w:sz="4" w:space="0" w:color="auto"/>
            </w:tcBorders>
            <w:vAlign w:val="center"/>
          </w:tcPr>
          <w:p w14:paraId="2D40FBCF" w14:textId="77777777" w:rsidR="00115458" w:rsidRPr="002E368C" w:rsidRDefault="00115458" w:rsidP="002E368C">
            <w:pPr>
              <w:spacing w:after="0" w:line="240" w:lineRule="auto"/>
              <w:jc w:val="center"/>
              <w:rPr>
                <w:rFonts w:cs="Arial"/>
              </w:rPr>
            </w:pPr>
            <w:r w:rsidRPr="002E368C">
              <w:rPr>
                <w:rFonts w:cs="Arial"/>
              </w:rPr>
              <w:t>9.6</w:t>
            </w:r>
          </w:p>
        </w:tc>
        <w:tc>
          <w:tcPr>
            <w:tcW w:w="1012" w:type="pct"/>
            <w:tcBorders>
              <w:top w:val="nil"/>
              <w:left w:val="nil"/>
              <w:bottom w:val="single" w:sz="4" w:space="0" w:color="auto"/>
              <w:right w:val="single" w:sz="4" w:space="0" w:color="auto"/>
            </w:tcBorders>
            <w:noWrap/>
            <w:vAlign w:val="center"/>
          </w:tcPr>
          <w:p w14:paraId="310908F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2AF86A0"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660FD429" w14:textId="77777777" w:rsidR="00115458" w:rsidRPr="002E368C" w:rsidRDefault="00115458" w:rsidP="002E368C">
            <w:pPr>
              <w:spacing w:after="0" w:line="240" w:lineRule="auto"/>
              <w:rPr>
                <w:rFonts w:cs="Arial"/>
              </w:rPr>
            </w:pPr>
            <w:r w:rsidRPr="002E368C">
              <w:rPr>
                <w:rFonts w:cs="Arial"/>
              </w:rPr>
              <w:t xml:space="preserve">Type of report </w:t>
            </w:r>
          </w:p>
        </w:tc>
        <w:tc>
          <w:tcPr>
            <w:tcW w:w="685" w:type="pct"/>
            <w:tcBorders>
              <w:top w:val="nil"/>
              <w:left w:val="nil"/>
              <w:bottom w:val="single" w:sz="4" w:space="0" w:color="auto"/>
              <w:right w:val="single" w:sz="4" w:space="0" w:color="auto"/>
            </w:tcBorders>
            <w:vAlign w:val="center"/>
          </w:tcPr>
          <w:p w14:paraId="084B0403" w14:textId="77777777" w:rsidR="00115458" w:rsidRPr="002E368C" w:rsidRDefault="00115458" w:rsidP="002E368C">
            <w:pPr>
              <w:spacing w:after="0" w:line="240" w:lineRule="auto"/>
              <w:jc w:val="center"/>
              <w:rPr>
                <w:rFonts w:cs="Arial"/>
              </w:rPr>
            </w:pPr>
            <w:r w:rsidRPr="002E368C">
              <w:rPr>
                <w:rFonts w:cs="Arial"/>
              </w:rPr>
              <w:t>9.6</w:t>
            </w:r>
          </w:p>
        </w:tc>
        <w:tc>
          <w:tcPr>
            <w:tcW w:w="1012" w:type="pct"/>
            <w:tcBorders>
              <w:top w:val="nil"/>
              <w:left w:val="nil"/>
              <w:bottom w:val="single" w:sz="4" w:space="0" w:color="auto"/>
              <w:right w:val="single" w:sz="4" w:space="0" w:color="auto"/>
            </w:tcBorders>
            <w:noWrap/>
            <w:vAlign w:val="center"/>
          </w:tcPr>
          <w:p w14:paraId="40E595C5" w14:textId="77777777" w:rsidR="00115458" w:rsidRPr="002E368C" w:rsidRDefault="00115458" w:rsidP="002E368C">
            <w:pPr>
              <w:spacing w:after="0" w:line="240" w:lineRule="auto"/>
              <w:jc w:val="center"/>
              <w:rPr>
                <w:rFonts w:cs="Arial"/>
              </w:rPr>
            </w:pPr>
            <w:r w:rsidRPr="002E368C">
              <w:rPr>
                <w:rFonts w:cs="Arial"/>
              </w:rPr>
              <w:t>6.22</w:t>
            </w:r>
          </w:p>
        </w:tc>
      </w:tr>
      <w:tr w:rsidR="00115458" w:rsidRPr="00D42995" w14:paraId="556BCF3B"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62CC7CB8" w14:textId="77777777" w:rsidR="00115458" w:rsidRPr="002E368C" w:rsidRDefault="00115458" w:rsidP="002E368C">
            <w:pPr>
              <w:spacing w:after="0" w:line="240" w:lineRule="auto"/>
              <w:rPr>
                <w:rFonts w:cs="Arial"/>
              </w:rPr>
            </w:pPr>
            <w:r w:rsidRPr="002E368C">
              <w:rPr>
                <w:rFonts w:cs="Arial"/>
              </w:rPr>
              <w:t>Filler (Type of return media)</w:t>
            </w:r>
          </w:p>
        </w:tc>
        <w:tc>
          <w:tcPr>
            <w:tcW w:w="685" w:type="pct"/>
            <w:tcBorders>
              <w:top w:val="nil"/>
              <w:left w:val="nil"/>
              <w:bottom w:val="single" w:sz="4" w:space="0" w:color="auto"/>
              <w:right w:val="single" w:sz="4" w:space="0" w:color="auto"/>
            </w:tcBorders>
            <w:vAlign w:val="center"/>
          </w:tcPr>
          <w:p w14:paraId="59D97B74" w14:textId="77777777" w:rsidR="00115458" w:rsidRPr="002E368C" w:rsidRDefault="00115458" w:rsidP="002E368C">
            <w:pPr>
              <w:spacing w:after="0" w:line="240" w:lineRule="auto"/>
              <w:jc w:val="center"/>
              <w:rPr>
                <w:rFonts w:cs="Arial"/>
              </w:rPr>
            </w:pPr>
            <w:r w:rsidRPr="002E368C">
              <w:rPr>
                <w:rFonts w:cs="Arial"/>
              </w:rPr>
              <w:t>9.6</w:t>
            </w:r>
          </w:p>
        </w:tc>
        <w:tc>
          <w:tcPr>
            <w:tcW w:w="1012" w:type="pct"/>
            <w:tcBorders>
              <w:top w:val="nil"/>
              <w:left w:val="nil"/>
              <w:bottom w:val="single" w:sz="4" w:space="0" w:color="auto"/>
              <w:right w:val="single" w:sz="4" w:space="0" w:color="auto"/>
            </w:tcBorders>
            <w:noWrap/>
            <w:vAlign w:val="center"/>
          </w:tcPr>
          <w:p w14:paraId="0761FE77"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1508C70E"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23F9E686" w14:textId="77777777" w:rsidR="00115458" w:rsidRPr="002E368C" w:rsidRDefault="00115458" w:rsidP="002E368C">
            <w:pPr>
              <w:spacing w:after="0" w:line="240" w:lineRule="auto"/>
              <w:rPr>
                <w:rFonts w:cs="Arial"/>
              </w:rPr>
            </w:pPr>
            <w:r w:rsidRPr="002E368C">
              <w:rPr>
                <w:rFonts w:cs="Arial"/>
              </w:rPr>
              <w:t xml:space="preserve">ATO reporting specification version number </w:t>
            </w:r>
          </w:p>
        </w:tc>
        <w:tc>
          <w:tcPr>
            <w:tcW w:w="685" w:type="pct"/>
            <w:tcBorders>
              <w:top w:val="nil"/>
              <w:left w:val="nil"/>
              <w:bottom w:val="single" w:sz="4" w:space="0" w:color="auto"/>
              <w:right w:val="single" w:sz="4" w:space="0" w:color="auto"/>
            </w:tcBorders>
            <w:vAlign w:val="center"/>
          </w:tcPr>
          <w:p w14:paraId="450D5F39" w14:textId="77777777" w:rsidR="00115458" w:rsidRPr="002E368C" w:rsidRDefault="00115458" w:rsidP="002E368C">
            <w:pPr>
              <w:spacing w:after="0" w:line="240" w:lineRule="auto"/>
              <w:jc w:val="center"/>
              <w:rPr>
                <w:rFonts w:cs="Arial"/>
              </w:rPr>
            </w:pPr>
            <w:r w:rsidRPr="002E368C">
              <w:rPr>
                <w:rFonts w:cs="Arial"/>
              </w:rPr>
              <w:t>9.8</w:t>
            </w:r>
          </w:p>
        </w:tc>
        <w:tc>
          <w:tcPr>
            <w:tcW w:w="1012" w:type="pct"/>
            <w:tcBorders>
              <w:top w:val="nil"/>
              <w:left w:val="nil"/>
              <w:bottom w:val="single" w:sz="4" w:space="0" w:color="auto"/>
              <w:right w:val="single" w:sz="4" w:space="0" w:color="auto"/>
            </w:tcBorders>
            <w:noWrap/>
            <w:vAlign w:val="center"/>
          </w:tcPr>
          <w:p w14:paraId="2D0ADE8E"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FB7C4D8"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0CC912EB" w14:textId="77777777" w:rsidR="00115458" w:rsidRPr="002E368C" w:rsidRDefault="00115458" w:rsidP="002E368C">
            <w:pPr>
              <w:spacing w:after="0" w:line="240" w:lineRule="auto"/>
              <w:rPr>
                <w:rFonts w:cs="Arial"/>
              </w:rPr>
            </w:pPr>
            <w:r w:rsidRPr="002E368C">
              <w:rPr>
                <w:rFonts w:cs="Arial"/>
              </w:rPr>
              <w:t>Filler (File format validation method)</w:t>
            </w:r>
          </w:p>
        </w:tc>
        <w:tc>
          <w:tcPr>
            <w:tcW w:w="685" w:type="pct"/>
            <w:tcBorders>
              <w:top w:val="nil"/>
              <w:left w:val="nil"/>
              <w:bottom w:val="single" w:sz="4" w:space="0" w:color="auto"/>
              <w:right w:val="single" w:sz="4" w:space="0" w:color="auto"/>
            </w:tcBorders>
            <w:vAlign w:val="center"/>
          </w:tcPr>
          <w:p w14:paraId="18E78901" w14:textId="77777777" w:rsidR="00115458" w:rsidRPr="002E368C" w:rsidRDefault="00115458" w:rsidP="002E368C">
            <w:pPr>
              <w:spacing w:after="0" w:line="240" w:lineRule="auto"/>
              <w:jc w:val="center"/>
              <w:rPr>
                <w:rFonts w:cs="Arial"/>
              </w:rPr>
            </w:pPr>
            <w:r w:rsidRPr="002E368C">
              <w:rPr>
                <w:rFonts w:cs="Arial"/>
              </w:rPr>
              <w:t>9.6</w:t>
            </w:r>
          </w:p>
        </w:tc>
        <w:tc>
          <w:tcPr>
            <w:tcW w:w="1012" w:type="pct"/>
            <w:tcBorders>
              <w:top w:val="nil"/>
              <w:left w:val="nil"/>
              <w:bottom w:val="single" w:sz="4" w:space="0" w:color="auto"/>
              <w:right w:val="single" w:sz="4" w:space="0" w:color="auto"/>
            </w:tcBorders>
            <w:noWrap/>
            <w:vAlign w:val="center"/>
          </w:tcPr>
          <w:p w14:paraId="057FB7B8"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1EE8AB10"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18075263" w14:textId="77777777" w:rsidR="00115458" w:rsidRPr="002E368C" w:rsidRDefault="00115458" w:rsidP="002E368C">
            <w:pPr>
              <w:spacing w:after="0" w:line="240" w:lineRule="auto"/>
              <w:rPr>
                <w:rFonts w:cs="Arial"/>
              </w:rPr>
            </w:pPr>
            <w:r w:rsidRPr="002E368C">
              <w:rPr>
                <w:rFonts w:cs="Arial"/>
              </w:rPr>
              <w:t>Filler</w:t>
            </w:r>
          </w:p>
        </w:tc>
        <w:tc>
          <w:tcPr>
            <w:tcW w:w="685" w:type="pct"/>
            <w:tcBorders>
              <w:top w:val="nil"/>
              <w:left w:val="nil"/>
              <w:bottom w:val="single" w:sz="4" w:space="0" w:color="auto"/>
              <w:right w:val="single" w:sz="4" w:space="0" w:color="auto"/>
            </w:tcBorders>
            <w:vAlign w:val="center"/>
          </w:tcPr>
          <w:p w14:paraId="6BF0511E" w14:textId="77777777" w:rsidR="00115458" w:rsidRPr="002E368C" w:rsidRDefault="00115458" w:rsidP="002E368C">
            <w:pPr>
              <w:spacing w:after="0" w:line="240" w:lineRule="auto"/>
              <w:jc w:val="center"/>
              <w:rPr>
                <w:rFonts w:cs="Arial"/>
              </w:rPr>
            </w:pPr>
            <w:r w:rsidRPr="002E368C">
              <w:rPr>
                <w:rFonts w:cs="Arial"/>
              </w:rPr>
              <w:t>9.6</w:t>
            </w:r>
          </w:p>
        </w:tc>
        <w:tc>
          <w:tcPr>
            <w:tcW w:w="1012" w:type="pct"/>
            <w:tcBorders>
              <w:top w:val="nil"/>
              <w:left w:val="nil"/>
              <w:bottom w:val="single" w:sz="4" w:space="0" w:color="auto"/>
              <w:right w:val="single" w:sz="4" w:space="0" w:color="auto"/>
            </w:tcBorders>
            <w:noWrap/>
            <w:vAlign w:val="center"/>
          </w:tcPr>
          <w:p w14:paraId="7D64CBBA"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235E112" w14:textId="77777777" w:rsidTr="00E91920">
        <w:trPr>
          <w:trHeight w:val="345"/>
        </w:trPr>
        <w:tc>
          <w:tcPr>
            <w:tcW w:w="3303" w:type="pct"/>
            <w:tcBorders>
              <w:top w:val="nil"/>
              <w:left w:val="single" w:sz="4" w:space="0" w:color="auto"/>
              <w:bottom w:val="single" w:sz="4" w:space="0" w:color="auto"/>
              <w:right w:val="single" w:sz="4" w:space="0" w:color="auto"/>
            </w:tcBorders>
            <w:vAlign w:val="center"/>
          </w:tcPr>
          <w:p w14:paraId="5EF74E77" w14:textId="77777777" w:rsidR="00115458" w:rsidRPr="002E368C" w:rsidRDefault="00115458" w:rsidP="002E368C">
            <w:pPr>
              <w:spacing w:after="0" w:line="240" w:lineRule="auto"/>
              <w:rPr>
                <w:rFonts w:cs="Arial"/>
              </w:rPr>
            </w:pPr>
            <w:r w:rsidRPr="002E368C">
              <w:rPr>
                <w:rFonts w:cs="Arial"/>
              </w:rPr>
              <w:t xml:space="preserve">Record identifier </w:t>
            </w:r>
          </w:p>
        </w:tc>
        <w:tc>
          <w:tcPr>
            <w:tcW w:w="685" w:type="pct"/>
            <w:tcBorders>
              <w:top w:val="nil"/>
              <w:left w:val="nil"/>
              <w:bottom w:val="single" w:sz="4" w:space="0" w:color="auto"/>
              <w:right w:val="single" w:sz="4" w:space="0" w:color="auto"/>
            </w:tcBorders>
            <w:vAlign w:val="center"/>
          </w:tcPr>
          <w:p w14:paraId="508A1A46" w14:textId="77777777" w:rsidR="00115458" w:rsidRPr="002E368C" w:rsidRDefault="00115458" w:rsidP="002E368C">
            <w:pPr>
              <w:spacing w:after="0" w:line="240" w:lineRule="auto"/>
              <w:jc w:val="center"/>
              <w:rPr>
                <w:rFonts w:cs="Arial"/>
              </w:rPr>
            </w:pPr>
            <w:r w:rsidRPr="002E368C">
              <w:rPr>
                <w:rFonts w:cs="Arial"/>
              </w:rPr>
              <w:t>9.9</w:t>
            </w:r>
          </w:p>
        </w:tc>
        <w:tc>
          <w:tcPr>
            <w:tcW w:w="1012" w:type="pct"/>
            <w:tcBorders>
              <w:top w:val="nil"/>
              <w:left w:val="nil"/>
              <w:bottom w:val="single" w:sz="4" w:space="0" w:color="auto"/>
              <w:right w:val="single" w:sz="4" w:space="0" w:color="auto"/>
            </w:tcBorders>
            <w:noWrap/>
            <w:vAlign w:val="center"/>
          </w:tcPr>
          <w:p w14:paraId="5D1ED09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B290B03"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68080E55" w14:textId="77777777" w:rsidR="00115458" w:rsidRPr="002E368C" w:rsidRDefault="00115458" w:rsidP="002E368C">
            <w:pPr>
              <w:spacing w:after="0" w:line="240" w:lineRule="auto"/>
              <w:rPr>
                <w:rFonts w:cs="Arial"/>
              </w:rPr>
            </w:pPr>
            <w:r w:rsidRPr="002E368C">
              <w:rPr>
                <w:rFonts w:cs="Arial"/>
              </w:rPr>
              <w:t>Supplier name</w:t>
            </w:r>
          </w:p>
        </w:tc>
        <w:tc>
          <w:tcPr>
            <w:tcW w:w="685" w:type="pct"/>
            <w:tcBorders>
              <w:top w:val="nil"/>
              <w:left w:val="nil"/>
              <w:bottom w:val="single" w:sz="4" w:space="0" w:color="auto"/>
              <w:right w:val="single" w:sz="4" w:space="0" w:color="auto"/>
            </w:tcBorders>
            <w:vAlign w:val="center"/>
          </w:tcPr>
          <w:p w14:paraId="181AC5D3" w14:textId="77777777" w:rsidR="00115458" w:rsidRPr="002E368C" w:rsidRDefault="00115458" w:rsidP="002E368C">
            <w:pPr>
              <w:spacing w:after="0" w:line="240" w:lineRule="auto"/>
              <w:jc w:val="center"/>
              <w:rPr>
                <w:rFonts w:cs="Arial"/>
              </w:rPr>
            </w:pPr>
            <w:r w:rsidRPr="002E368C">
              <w:rPr>
                <w:rFonts w:cs="Arial"/>
              </w:rPr>
              <w:t>9.10</w:t>
            </w:r>
          </w:p>
        </w:tc>
        <w:tc>
          <w:tcPr>
            <w:tcW w:w="1012" w:type="pct"/>
            <w:tcBorders>
              <w:top w:val="nil"/>
              <w:left w:val="nil"/>
              <w:bottom w:val="single" w:sz="4" w:space="0" w:color="auto"/>
              <w:right w:val="single" w:sz="4" w:space="0" w:color="auto"/>
            </w:tcBorders>
            <w:noWrap/>
            <w:vAlign w:val="center"/>
          </w:tcPr>
          <w:p w14:paraId="5623EC3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125163B"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30984B8E" w14:textId="77777777" w:rsidR="00115458" w:rsidRPr="002E368C" w:rsidRDefault="00115458" w:rsidP="002E368C">
            <w:pPr>
              <w:spacing w:after="0" w:line="240" w:lineRule="auto"/>
              <w:rPr>
                <w:rFonts w:cs="Arial"/>
              </w:rPr>
            </w:pPr>
            <w:r w:rsidRPr="002E368C">
              <w:rPr>
                <w:rFonts w:cs="Arial"/>
              </w:rPr>
              <w:t>Supplier contact name</w:t>
            </w:r>
          </w:p>
        </w:tc>
        <w:tc>
          <w:tcPr>
            <w:tcW w:w="685" w:type="pct"/>
            <w:tcBorders>
              <w:top w:val="nil"/>
              <w:left w:val="nil"/>
              <w:bottom w:val="single" w:sz="4" w:space="0" w:color="auto"/>
              <w:right w:val="single" w:sz="4" w:space="0" w:color="auto"/>
            </w:tcBorders>
            <w:vAlign w:val="center"/>
          </w:tcPr>
          <w:p w14:paraId="5D975BC7" w14:textId="77777777" w:rsidR="00115458" w:rsidRPr="002E368C" w:rsidRDefault="00115458" w:rsidP="002E368C">
            <w:pPr>
              <w:spacing w:after="0" w:line="240" w:lineRule="auto"/>
              <w:jc w:val="center"/>
              <w:rPr>
                <w:rFonts w:cs="Arial"/>
              </w:rPr>
            </w:pPr>
            <w:r w:rsidRPr="002E368C">
              <w:rPr>
                <w:rFonts w:cs="Arial"/>
              </w:rPr>
              <w:t>9.11</w:t>
            </w:r>
          </w:p>
        </w:tc>
        <w:tc>
          <w:tcPr>
            <w:tcW w:w="1012" w:type="pct"/>
            <w:tcBorders>
              <w:top w:val="nil"/>
              <w:left w:val="nil"/>
              <w:bottom w:val="single" w:sz="4" w:space="0" w:color="auto"/>
              <w:right w:val="single" w:sz="4" w:space="0" w:color="auto"/>
            </w:tcBorders>
            <w:noWrap/>
            <w:vAlign w:val="center"/>
          </w:tcPr>
          <w:p w14:paraId="12A8CF4A"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501B4D18"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36D2D929" w14:textId="77777777" w:rsidR="00115458" w:rsidRPr="002E368C" w:rsidRDefault="00115458" w:rsidP="002E368C">
            <w:pPr>
              <w:spacing w:after="0" w:line="240" w:lineRule="auto"/>
              <w:rPr>
                <w:rFonts w:cs="Arial"/>
              </w:rPr>
            </w:pPr>
            <w:r w:rsidRPr="002E368C">
              <w:rPr>
                <w:rFonts w:cs="Arial"/>
              </w:rPr>
              <w:t>Supplier contact telephone number</w:t>
            </w:r>
          </w:p>
        </w:tc>
        <w:tc>
          <w:tcPr>
            <w:tcW w:w="685" w:type="pct"/>
            <w:tcBorders>
              <w:top w:val="nil"/>
              <w:left w:val="nil"/>
              <w:bottom w:val="single" w:sz="4" w:space="0" w:color="auto"/>
              <w:right w:val="single" w:sz="4" w:space="0" w:color="auto"/>
            </w:tcBorders>
            <w:vAlign w:val="center"/>
          </w:tcPr>
          <w:p w14:paraId="51E1B9F5" w14:textId="77777777" w:rsidR="00115458" w:rsidRPr="002E368C" w:rsidRDefault="00115458" w:rsidP="002E368C">
            <w:pPr>
              <w:spacing w:after="0" w:line="240" w:lineRule="auto"/>
              <w:jc w:val="center"/>
              <w:rPr>
                <w:rFonts w:cs="Arial"/>
              </w:rPr>
            </w:pPr>
            <w:r w:rsidRPr="002E368C">
              <w:rPr>
                <w:rFonts w:cs="Arial"/>
              </w:rPr>
              <w:t>9.12</w:t>
            </w:r>
          </w:p>
        </w:tc>
        <w:tc>
          <w:tcPr>
            <w:tcW w:w="1012" w:type="pct"/>
            <w:tcBorders>
              <w:top w:val="nil"/>
              <w:left w:val="nil"/>
              <w:bottom w:val="single" w:sz="4" w:space="0" w:color="auto"/>
              <w:right w:val="single" w:sz="4" w:space="0" w:color="auto"/>
            </w:tcBorders>
            <w:noWrap/>
            <w:vAlign w:val="center"/>
          </w:tcPr>
          <w:p w14:paraId="5BA7D175"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13B3407A"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42697885" w14:textId="77777777" w:rsidR="00115458" w:rsidRPr="002E368C" w:rsidRDefault="00115458" w:rsidP="002E368C">
            <w:pPr>
              <w:spacing w:after="0" w:line="240" w:lineRule="auto"/>
              <w:rPr>
                <w:rFonts w:cs="Arial"/>
              </w:rPr>
            </w:pPr>
            <w:r w:rsidRPr="002E368C">
              <w:rPr>
                <w:rFonts w:cs="Arial"/>
              </w:rPr>
              <w:t>Supplier facsimile number</w:t>
            </w:r>
          </w:p>
        </w:tc>
        <w:tc>
          <w:tcPr>
            <w:tcW w:w="685" w:type="pct"/>
            <w:tcBorders>
              <w:top w:val="nil"/>
              <w:left w:val="nil"/>
              <w:bottom w:val="single" w:sz="4" w:space="0" w:color="auto"/>
              <w:right w:val="single" w:sz="4" w:space="0" w:color="auto"/>
            </w:tcBorders>
            <w:vAlign w:val="center"/>
          </w:tcPr>
          <w:p w14:paraId="6341683F" w14:textId="77777777" w:rsidR="00115458" w:rsidRPr="002E368C" w:rsidRDefault="00115458" w:rsidP="002E368C">
            <w:pPr>
              <w:spacing w:after="0" w:line="240" w:lineRule="auto"/>
              <w:jc w:val="center"/>
              <w:rPr>
                <w:rFonts w:cs="Arial"/>
              </w:rPr>
            </w:pPr>
            <w:r w:rsidRPr="002E368C">
              <w:rPr>
                <w:rFonts w:cs="Arial"/>
              </w:rPr>
              <w:t>9.13</w:t>
            </w:r>
          </w:p>
        </w:tc>
        <w:tc>
          <w:tcPr>
            <w:tcW w:w="1012" w:type="pct"/>
            <w:tcBorders>
              <w:top w:val="nil"/>
              <w:left w:val="nil"/>
              <w:bottom w:val="single" w:sz="4" w:space="0" w:color="auto"/>
              <w:right w:val="single" w:sz="4" w:space="0" w:color="auto"/>
            </w:tcBorders>
            <w:noWrap/>
            <w:vAlign w:val="center"/>
          </w:tcPr>
          <w:p w14:paraId="5F49223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CDEFCD5"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5EBD3247" w14:textId="77777777" w:rsidR="00115458" w:rsidRPr="002E368C" w:rsidRDefault="00115458" w:rsidP="002E368C">
            <w:pPr>
              <w:spacing w:after="0" w:line="240" w:lineRule="auto"/>
              <w:rPr>
                <w:rFonts w:cs="Arial"/>
              </w:rPr>
            </w:pPr>
            <w:r w:rsidRPr="002E368C">
              <w:rPr>
                <w:rFonts w:cs="Arial"/>
              </w:rPr>
              <w:t>Supplier file reference</w:t>
            </w:r>
          </w:p>
        </w:tc>
        <w:tc>
          <w:tcPr>
            <w:tcW w:w="685" w:type="pct"/>
            <w:tcBorders>
              <w:top w:val="nil"/>
              <w:left w:val="nil"/>
              <w:bottom w:val="single" w:sz="4" w:space="0" w:color="auto"/>
              <w:right w:val="single" w:sz="4" w:space="0" w:color="auto"/>
            </w:tcBorders>
            <w:vAlign w:val="center"/>
          </w:tcPr>
          <w:p w14:paraId="1B3EC335" w14:textId="77777777" w:rsidR="00115458" w:rsidRPr="002E368C" w:rsidRDefault="00115458" w:rsidP="002E368C">
            <w:pPr>
              <w:spacing w:after="0" w:line="240" w:lineRule="auto"/>
              <w:jc w:val="center"/>
              <w:rPr>
                <w:rFonts w:cs="Arial"/>
              </w:rPr>
            </w:pPr>
            <w:r w:rsidRPr="002E368C">
              <w:rPr>
                <w:rFonts w:cs="Arial"/>
              </w:rPr>
              <w:t>9.14</w:t>
            </w:r>
          </w:p>
        </w:tc>
        <w:tc>
          <w:tcPr>
            <w:tcW w:w="1012" w:type="pct"/>
            <w:tcBorders>
              <w:top w:val="nil"/>
              <w:left w:val="nil"/>
              <w:bottom w:val="single" w:sz="4" w:space="0" w:color="auto"/>
              <w:right w:val="single" w:sz="4" w:space="0" w:color="auto"/>
            </w:tcBorders>
            <w:noWrap/>
            <w:vAlign w:val="center"/>
          </w:tcPr>
          <w:p w14:paraId="51D393EE" w14:textId="77777777" w:rsidR="00115458" w:rsidRPr="002E368C" w:rsidRDefault="00115458" w:rsidP="002E368C">
            <w:pPr>
              <w:spacing w:after="0" w:line="240" w:lineRule="auto"/>
              <w:jc w:val="center"/>
              <w:rPr>
                <w:rFonts w:cs="Arial"/>
              </w:rPr>
            </w:pPr>
            <w:r w:rsidRPr="002E368C">
              <w:rPr>
                <w:rFonts w:cs="Arial"/>
              </w:rPr>
              <w:t>6.25</w:t>
            </w:r>
          </w:p>
        </w:tc>
      </w:tr>
      <w:tr w:rsidR="00115458" w:rsidRPr="00D42995" w14:paraId="5A233FE8"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51965C62" w14:textId="77777777" w:rsidR="00115458" w:rsidRPr="002E368C" w:rsidRDefault="00115458" w:rsidP="002E368C">
            <w:pPr>
              <w:spacing w:after="0" w:line="240" w:lineRule="auto"/>
              <w:rPr>
                <w:rFonts w:cs="Arial"/>
              </w:rPr>
            </w:pPr>
            <w:r w:rsidRPr="002E368C">
              <w:rPr>
                <w:rFonts w:cs="Arial"/>
              </w:rPr>
              <w:t>Supplier file reference of file being replaced or containing records to be corrected</w:t>
            </w:r>
          </w:p>
        </w:tc>
        <w:tc>
          <w:tcPr>
            <w:tcW w:w="685" w:type="pct"/>
            <w:tcBorders>
              <w:top w:val="nil"/>
              <w:left w:val="nil"/>
              <w:bottom w:val="single" w:sz="4" w:space="0" w:color="auto"/>
              <w:right w:val="single" w:sz="4" w:space="0" w:color="auto"/>
            </w:tcBorders>
            <w:vAlign w:val="center"/>
          </w:tcPr>
          <w:p w14:paraId="1062EFC0" w14:textId="77777777" w:rsidR="00115458" w:rsidRPr="002E368C" w:rsidRDefault="00115458" w:rsidP="002E368C">
            <w:pPr>
              <w:spacing w:after="0" w:line="240" w:lineRule="auto"/>
              <w:jc w:val="center"/>
              <w:rPr>
                <w:rFonts w:cs="Arial"/>
              </w:rPr>
            </w:pPr>
            <w:r w:rsidRPr="002E368C">
              <w:rPr>
                <w:rFonts w:cs="Arial"/>
              </w:rPr>
              <w:t>9.15</w:t>
            </w:r>
          </w:p>
        </w:tc>
        <w:tc>
          <w:tcPr>
            <w:tcW w:w="1012" w:type="pct"/>
            <w:tcBorders>
              <w:top w:val="nil"/>
              <w:left w:val="nil"/>
              <w:bottom w:val="single" w:sz="4" w:space="0" w:color="auto"/>
              <w:right w:val="single" w:sz="4" w:space="0" w:color="auto"/>
            </w:tcBorders>
            <w:noWrap/>
            <w:vAlign w:val="center"/>
          </w:tcPr>
          <w:p w14:paraId="3E944B8D" w14:textId="77777777" w:rsidR="00115458" w:rsidRPr="002E368C" w:rsidRDefault="00115458" w:rsidP="002E368C">
            <w:pPr>
              <w:spacing w:after="0" w:line="240" w:lineRule="auto"/>
              <w:jc w:val="center"/>
              <w:rPr>
                <w:rFonts w:cs="Arial"/>
              </w:rPr>
            </w:pPr>
            <w:r w:rsidRPr="002E368C">
              <w:rPr>
                <w:rFonts w:cs="Arial"/>
              </w:rPr>
              <w:t>6.26</w:t>
            </w:r>
          </w:p>
        </w:tc>
      </w:tr>
      <w:tr w:rsidR="00115458" w:rsidRPr="00D42995" w14:paraId="3274C48B"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15577F66" w14:textId="77777777" w:rsidR="00115458" w:rsidRPr="002E368C" w:rsidRDefault="00115458" w:rsidP="002E368C">
            <w:pPr>
              <w:spacing w:after="0" w:line="240" w:lineRule="auto"/>
              <w:rPr>
                <w:rFonts w:cs="Arial"/>
              </w:rPr>
            </w:pPr>
            <w:r w:rsidRPr="002E368C">
              <w:rPr>
                <w:rFonts w:cs="Arial"/>
              </w:rPr>
              <w:t xml:space="preserve">Record identifier </w:t>
            </w:r>
          </w:p>
        </w:tc>
        <w:tc>
          <w:tcPr>
            <w:tcW w:w="685" w:type="pct"/>
            <w:tcBorders>
              <w:top w:val="nil"/>
              <w:left w:val="nil"/>
              <w:bottom w:val="single" w:sz="4" w:space="0" w:color="auto"/>
              <w:right w:val="single" w:sz="4" w:space="0" w:color="auto"/>
            </w:tcBorders>
            <w:vAlign w:val="center"/>
          </w:tcPr>
          <w:p w14:paraId="58BF36E8" w14:textId="77777777" w:rsidR="00115458" w:rsidRPr="002E368C" w:rsidRDefault="00115458" w:rsidP="002E368C">
            <w:pPr>
              <w:spacing w:after="0" w:line="240" w:lineRule="auto"/>
              <w:jc w:val="center"/>
              <w:rPr>
                <w:rFonts w:cs="Arial"/>
              </w:rPr>
            </w:pPr>
            <w:r w:rsidRPr="002E368C">
              <w:rPr>
                <w:rFonts w:cs="Arial"/>
              </w:rPr>
              <w:t>9.16</w:t>
            </w:r>
          </w:p>
        </w:tc>
        <w:tc>
          <w:tcPr>
            <w:tcW w:w="1012" w:type="pct"/>
            <w:tcBorders>
              <w:top w:val="nil"/>
              <w:left w:val="nil"/>
              <w:bottom w:val="single" w:sz="4" w:space="0" w:color="auto"/>
              <w:right w:val="single" w:sz="4" w:space="0" w:color="auto"/>
            </w:tcBorders>
            <w:noWrap/>
            <w:vAlign w:val="center"/>
          </w:tcPr>
          <w:p w14:paraId="3AAA4DBB"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630DCCB8"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44A4D885" w14:textId="77777777" w:rsidR="00115458" w:rsidRPr="002E368C" w:rsidRDefault="00115458" w:rsidP="002E368C">
            <w:pPr>
              <w:spacing w:after="0" w:line="240" w:lineRule="auto"/>
              <w:rPr>
                <w:rFonts w:cs="Arial"/>
              </w:rPr>
            </w:pPr>
            <w:r w:rsidRPr="002E368C">
              <w:rPr>
                <w:rFonts w:cs="Arial"/>
              </w:rPr>
              <w:t>Supplier street address - line 1</w:t>
            </w:r>
          </w:p>
        </w:tc>
        <w:tc>
          <w:tcPr>
            <w:tcW w:w="685" w:type="pct"/>
            <w:tcBorders>
              <w:top w:val="nil"/>
              <w:left w:val="nil"/>
              <w:bottom w:val="single" w:sz="4" w:space="0" w:color="auto"/>
              <w:right w:val="single" w:sz="4" w:space="0" w:color="auto"/>
            </w:tcBorders>
            <w:vAlign w:val="center"/>
          </w:tcPr>
          <w:p w14:paraId="03133FDC" w14:textId="77777777" w:rsidR="00115458" w:rsidRPr="002E368C" w:rsidRDefault="00115458" w:rsidP="002E368C">
            <w:pPr>
              <w:spacing w:after="0" w:line="240" w:lineRule="auto"/>
              <w:jc w:val="center"/>
              <w:rPr>
                <w:rFonts w:cs="Arial"/>
              </w:rPr>
            </w:pPr>
            <w:r w:rsidRPr="002E368C">
              <w:rPr>
                <w:rFonts w:cs="Arial"/>
              </w:rPr>
              <w:t>9.17</w:t>
            </w:r>
          </w:p>
        </w:tc>
        <w:tc>
          <w:tcPr>
            <w:tcW w:w="1012" w:type="pct"/>
            <w:tcBorders>
              <w:top w:val="nil"/>
              <w:left w:val="nil"/>
              <w:bottom w:val="single" w:sz="4" w:space="0" w:color="auto"/>
              <w:right w:val="single" w:sz="4" w:space="0" w:color="auto"/>
            </w:tcBorders>
            <w:noWrap/>
            <w:vAlign w:val="center"/>
          </w:tcPr>
          <w:p w14:paraId="148590B9"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59CDF9C8"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23739293" w14:textId="77777777" w:rsidR="00115458" w:rsidRPr="002E368C" w:rsidRDefault="00115458" w:rsidP="002E368C">
            <w:pPr>
              <w:spacing w:after="0" w:line="240" w:lineRule="auto"/>
              <w:rPr>
                <w:rFonts w:cs="Arial"/>
              </w:rPr>
            </w:pPr>
            <w:r w:rsidRPr="002E368C">
              <w:rPr>
                <w:rFonts w:cs="Arial"/>
              </w:rPr>
              <w:t>Supplier street address - line 2</w:t>
            </w:r>
          </w:p>
        </w:tc>
        <w:tc>
          <w:tcPr>
            <w:tcW w:w="685" w:type="pct"/>
            <w:tcBorders>
              <w:top w:val="nil"/>
              <w:left w:val="nil"/>
              <w:bottom w:val="single" w:sz="4" w:space="0" w:color="auto"/>
              <w:right w:val="single" w:sz="4" w:space="0" w:color="auto"/>
            </w:tcBorders>
            <w:vAlign w:val="center"/>
          </w:tcPr>
          <w:p w14:paraId="23CAE22D" w14:textId="77777777" w:rsidR="00115458" w:rsidRPr="002E368C" w:rsidRDefault="00115458" w:rsidP="002E368C">
            <w:pPr>
              <w:spacing w:after="0" w:line="240" w:lineRule="auto"/>
              <w:jc w:val="center"/>
              <w:rPr>
                <w:rFonts w:cs="Arial"/>
              </w:rPr>
            </w:pPr>
            <w:r w:rsidRPr="002E368C">
              <w:rPr>
                <w:rFonts w:cs="Arial"/>
              </w:rPr>
              <w:t>9.17</w:t>
            </w:r>
          </w:p>
        </w:tc>
        <w:tc>
          <w:tcPr>
            <w:tcW w:w="1012" w:type="pct"/>
            <w:tcBorders>
              <w:top w:val="nil"/>
              <w:left w:val="nil"/>
              <w:bottom w:val="single" w:sz="4" w:space="0" w:color="auto"/>
              <w:right w:val="single" w:sz="4" w:space="0" w:color="auto"/>
            </w:tcBorders>
            <w:noWrap/>
            <w:vAlign w:val="center"/>
          </w:tcPr>
          <w:p w14:paraId="3953AAD8"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C2D8E9C"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4DF45B47" w14:textId="77777777" w:rsidR="00115458" w:rsidRPr="002E368C" w:rsidRDefault="00115458" w:rsidP="002E368C">
            <w:pPr>
              <w:spacing w:after="0" w:line="240" w:lineRule="auto"/>
              <w:rPr>
                <w:rFonts w:cs="Arial"/>
              </w:rPr>
            </w:pPr>
            <w:r w:rsidRPr="002E368C">
              <w:rPr>
                <w:rFonts w:cs="Arial"/>
              </w:rPr>
              <w:t>Supplier suburb, town or locality</w:t>
            </w:r>
          </w:p>
        </w:tc>
        <w:tc>
          <w:tcPr>
            <w:tcW w:w="685" w:type="pct"/>
            <w:tcBorders>
              <w:top w:val="nil"/>
              <w:left w:val="nil"/>
              <w:bottom w:val="single" w:sz="4" w:space="0" w:color="auto"/>
              <w:right w:val="single" w:sz="4" w:space="0" w:color="auto"/>
            </w:tcBorders>
            <w:vAlign w:val="center"/>
          </w:tcPr>
          <w:p w14:paraId="325E82AB" w14:textId="77777777" w:rsidR="00115458" w:rsidRPr="002E368C" w:rsidRDefault="00115458" w:rsidP="002E368C">
            <w:pPr>
              <w:spacing w:after="0" w:line="240" w:lineRule="auto"/>
              <w:jc w:val="center"/>
              <w:rPr>
                <w:rFonts w:cs="Arial"/>
              </w:rPr>
            </w:pPr>
            <w:r w:rsidRPr="002E368C">
              <w:rPr>
                <w:rFonts w:cs="Arial"/>
              </w:rPr>
              <w:t>9.18</w:t>
            </w:r>
          </w:p>
        </w:tc>
        <w:tc>
          <w:tcPr>
            <w:tcW w:w="1012" w:type="pct"/>
            <w:tcBorders>
              <w:top w:val="nil"/>
              <w:left w:val="nil"/>
              <w:bottom w:val="single" w:sz="4" w:space="0" w:color="auto"/>
              <w:right w:val="single" w:sz="4" w:space="0" w:color="auto"/>
            </w:tcBorders>
            <w:noWrap/>
            <w:vAlign w:val="center"/>
          </w:tcPr>
          <w:p w14:paraId="6EC7A5B9"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DFDD95D"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7AC4DFCB" w14:textId="77777777" w:rsidR="00115458" w:rsidRPr="002E368C" w:rsidRDefault="00115458" w:rsidP="002E368C">
            <w:pPr>
              <w:spacing w:after="0" w:line="240" w:lineRule="auto"/>
              <w:rPr>
                <w:rFonts w:cs="Arial"/>
              </w:rPr>
            </w:pPr>
            <w:r w:rsidRPr="002E368C">
              <w:rPr>
                <w:rFonts w:cs="Arial"/>
              </w:rPr>
              <w:t>Supplier state or territory</w:t>
            </w:r>
          </w:p>
        </w:tc>
        <w:tc>
          <w:tcPr>
            <w:tcW w:w="685" w:type="pct"/>
            <w:tcBorders>
              <w:top w:val="nil"/>
              <w:left w:val="nil"/>
              <w:bottom w:val="single" w:sz="4" w:space="0" w:color="auto"/>
              <w:right w:val="single" w:sz="4" w:space="0" w:color="auto"/>
            </w:tcBorders>
            <w:vAlign w:val="center"/>
          </w:tcPr>
          <w:p w14:paraId="6DCA68F4" w14:textId="77777777" w:rsidR="00115458" w:rsidRPr="002E368C" w:rsidRDefault="00115458" w:rsidP="002E368C">
            <w:pPr>
              <w:spacing w:after="0" w:line="240" w:lineRule="auto"/>
              <w:jc w:val="center"/>
              <w:rPr>
                <w:rFonts w:cs="Arial"/>
              </w:rPr>
            </w:pPr>
            <w:r w:rsidRPr="002E368C">
              <w:rPr>
                <w:rFonts w:cs="Arial"/>
              </w:rPr>
              <w:t>9.19</w:t>
            </w:r>
          </w:p>
        </w:tc>
        <w:tc>
          <w:tcPr>
            <w:tcW w:w="1012" w:type="pct"/>
            <w:tcBorders>
              <w:top w:val="nil"/>
              <w:left w:val="nil"/>
              <w:bottom w:val="single" w:sz="4" w:space="0" w:color="auto"/>
              <w:right w:val="single" w:sz="4" w:space="0" w:color="auto"/>
            </w:tcBorders>
            <w:noWrap/>
            <w:vAlign w:val="center"/>
          </w:tcPr>
          <w:p w14:paraId="09293C60"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F875BE4"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5E8877E2" w14:textId="77777777" w:rsidR="00115458" w:rsidRPr="002E368C" w:rsidRDefault="00115458" w:rsidP="002E368C">
            <w:pPr>
              <w:spacing w:after="0" w:line="240" w:lineRule="auto"/>
              <w:rPr>
                <w:rFonts w:cs="Arial"/>
              </w:rPr>
            </w:pPr>
            <w:r w:rsidRPr="002E368C">
              <w:rPr>
                <w:rFonts w:cs="Arial"/>
              </w:rPr>
              <w:t>Supplier postcode</w:t>
            </w:r>
          </w:p>
        </w:tc>
        <w:tc>
          <w:tcPr>
            <w:tcW w:w="685" w:type="pct"/>
            <w:tcBorders>
              <w:top w:val="nil"/>
              <w:left w:val="nil"/>
              <w:bottom w:val="single" w:sz="4" w:space="0" w:color="auto"/>
              <w:right w:val="single" w:sz="4" w:space="0" w:color="auto"/>
            </w:tcBorders>
            <w:vAlign w:val="center"/>
          </w:tcPr>
          <w:p w14:paraId="346C14A9" w14:textId="77777777" w:rsidR="00115458" w:rsidRPr="002E368C" w:rsidRDefault="00115458" w:rsidP="002E368C">
            <w:pPr>
              <w:spacing w:after="0" w:line="240" w:lineRule="auto"/>
              <w:jc w:val="center"/>
              <w:rPr>
                <w:rFonts w:cs="Arial"/>
              </w:rPr>
            </w:pPr>
            <w:r w:rsidRPr="002E368C">
              <w:rPr>
                <w:rFonts w:cs="Arial"/>
              </w:rPr>
              <w:t>9.20</w:t>
            </w:r>
          </w:p>
        </w:tc>
        <w:tc>
          <w:tcPr>
            <w:tcW w:w="1012" w:type="pct"/>
            <w:tcBorders>
              <w:top w:val="nil"/>
              <w:left w:val="nil"/>
              <w:bottom w:val="single" w:sz="4" w:space="0" w:color="auto"/>
              <w:right w:val="single" w:sz="4" w:space="0" w:color="auto"/>
            </w:tcBorders>
            <w:noWrap/>
            <w:vAlign w:val="center"/>
          </w:tcPr>
          <w:p w14:paraId="31615F07"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9FD2B37"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06DD3D8E" w14:textId="77777777" w:rsidR="00115458" w:rsidRPr="002E368C" w:rsidRDefault="00115458" w:rsidP="002E368C">
            <w:pPr>
              <w:spacing w:after="0" w:line="240" w:lineRule="auto"/>
              <w:rPr>
                <w:rFonts w:cs="Arial"/>
              </w:rPr>
            </w:pPr>
            <w:r w:rsidRPr="002E368C">
              <w:rPr>
                <w:rFonts w:cs="Arial"/>
              </w:rPr>
              <w:t>Supplier country</w:t>
            </w:r>
          </w:p>
        </w:tc>
        <w:tc>
          <w:tcPr>
            <w:tcW w:w="685" w:type="pct"/>
            <w:tcBorders>
              <w:top w:val="nil"/>
              <w:left w:val="nil"/>
              <w:bottom w:val="single" w:sz="4" w:space="0" w:color="auto"/>
              <w:right w:val="single" w:sz="4" w:space="0" w:color="auto"/>
            </w:tcBorders>
            <w:vAlign w:val="center"/>
          </w:tcPr>
          <w:p w14:paraId="708F30A6" w14:textId="77777777" w:rsidR="00115458" w:rsidRPr="002E368C" w:rsidRDefault="00115458" w:rsidP="002E368C">
            <w:pPr>
              <w:spacing w:after="0" w:line="240" w:lineRule="auto"/>
              <w:jc w:val="center"/>
              <w:rPr>
                <w:rFonts w:cs="Arial"/>
              </w:rPr>
            </w:pPr>
            <w:r w:rsidRPr="002E368C">
              <w:rPr>
                <w:rFonts w:cs="Arial"/>
              </w:rPr>
              <w:t>9.21</w:t>
            </w:r>
          </w:p>
        </w:tc>
        <w:tc>
          <w:tcPr>
            <w:tcW w:w="1012" w:type="pct"/>
            <w:tcBorders>
              <w:top w:val="nil"/>
              <w:left w:val="nil"/>
              <w:bottom w:val="single" w:sz="4" w:space="0" w:color="auto"/>
              <w:right w:val="single" w:sz="4" w:space="0" w:color="auto"/>
            </w:tcBorders>
            <w:noWrap/>
            <w:vAlign w:val="center"/>
          </w:tcPr>
          <w:p w14:paraId="404A35C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22D735BE"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006FD1B9" w14:textId="77777777" w:rsidR="00115458" w:rsidRPr="002E368C" w:rsidRDefault="00115458" w:rsidP="002E368C">
            <w:pPr>
              <w:spacing w:after="0" w:line="240" w:lineRule="auto"/>
              <w:rPr>
                <w:rFonts w:cs="Arial"/>
              </w:rPr>
            </w:pPr>
            <w:r w:rsidRPr="002E368C">
              <w:rPr>
                <w:rFonts w:cs="Arial"/>
              </w:rPr>
              <w:t xml:space="preserve">Supplier postal address - line 1     </w:t>
            </w:r>
          </w:p>
        </w:tc>
        <w:tc>
          <w:tcPr>
            <w:tcW w:w="685" w:type="pct"/>
            <w:tcBorders>
              <w:top w:val="nil"/>
              <w:left w:val="nil"/>
              <w:bottom w:val="single" w:sz="4" w:space="0" w:color="auto"/>
              <w:right w:val="single" w:sz="4" w:space="0" w:color="auto"/>
            </w:tcBorders>
            <w:vAlign w:val="center"/>
          </w:tcPr>
          <w:p w14:paraId="5CCD59AE" w14:textId="77777777" w:rsidR="00115458" w:rsidRPr="002E368C" w:rsidRDefault="00115458" w:rsidP="002E368C">
            <w:pPr>
              <w:spacing w:after="0" w:line="240" w:lineRule="auto"/>
              <w:jc w:val="center"/>
              <w:rPr>
                <w:rFonts w:cs="Arial"/>
              </w:rPr>
            </w:pPr>
            <w:r w:rsidRPr="002E368C">
              <w:rPr>
                <w:rFonts w:cs="Arial"/>
              </w:rPr>
              <w:t>9.22</w:t>
            </w:r>
          </w:p>
        </w:tc>
        <w:tc>
          <w:tcPr>
            <w:tcW w:w="1012" w:type="pct"/>
            <w:tcBorders>
              <w:top w:val="nil"/>
              <w:left w:val="nil"/>
              <w:bottom w:val="single" w:sz="4" w:space="0" w:color="auto"/>
              <w:right w:val="single" w:sz="4" w:space="0" w:color="auto"/>
            </w:tcBorders>
            <w:noWrap/>
            <w:vAlign w:val="center"/>
          </w:tcPr>
          <w:p w14:paraId="4CF6603F" w14:textId="77777777" w:rsidR="00115458" w:rsidRPr="002E368C" w:rsidRDefault="00115458" w:rsidP="002E368C">
            <w:pPr>
              <w:spacing w:after="0" w:line="240" w:lineRule="auto"/>
              <w:jc w:val="center"/>
              <w:rPr>
                <w:rFonts w:cs="Arial"/>
              </w:rPr>
            </w:pPr>
            <w:r w:rsidRPr="002E368C">
              <w:rPr>
                <w:rFonts w:cs="Arial"/>
              </w:rPr>
              <w:t>6.10</w:t>
            </w:r>
          </w:p>
        </w:tc>
      </w:tr>
      <w:tr w:rsidR="00115458" w:rsidRPr="00D42995" w14:paraId="16CAB1CB"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3535803B" w14:textId="77777777" w:rsidR="00115458" w:rsidRPr="002E368C" w:rsidRDefault="00115458" w:rsidP="002E368C">
            <w:pPr>
              <w:spacing w:after="0" w:line="240" w:lineRule="auto"/>
              <w:rPr>
                <w:rFonts w:cs="Arial"/>
              </w:rPr>
            </w:pPr>
            <w:r w:rsidRPr="002E368C">
              <w:rPr>
                <w:rFonts w:cs="Arial"/>
              </w:rPr>
              <w:t xml:space="preserve">Supplier postal address - line 2     </w:t>
            </w:r>
          </w:p>
        </w:tc>
        <w:tc>
          <w:tcPr>
            <w:tcW w:w="685" w:type="pct"/>
            <w:tcBorders>
              <w:top w:val="nil"/>
              <w:left w:val="nil"/>
              <w:bottom w:val="single" w:sz="4" w:space="0" w:color="auto"/>
              <w:right w:val="single" w:sz="4" w:space="0" w:color="auto"/>
            </w:tcBorders>
            <w:vAlign w:val="center"/>
          </w:tcPr>
          <w:p w14:paraId="608538D7" w14:textId="77777777" w:rsidR="00115458" w:rsidRPr="002E368C" w:rsidRDefault="00115458" w:rsidP="002E368C">
            <w:pPr>
              <w:spacing w:after="0" w:line="240" w:lineRule="auto"/>
              <w:jc w:val="center"/>
              <w:rPr>
                <w:rFonts w:cs="Arial"/>
              </w:rPr>
            </w:pPr>
            <w:r w:rsidRPr="002E368C">
              <w:rPr>
                <w:rFonts w:cs="Arial"/>
              </w:rPr>
              <w:t>9.22</w:t>
            </w:r>
          </w:p>
        </w:tc>
        <w:tc>
          <w:tcPr>
            <w:tcW w:w="1012" w:type="pct"/>
            <w:tcBorders>
              <w:top w:val="nil"/>
              <w:left w:val="nil"/>
              <w:bottom w:val="single" w:sz="4" w:space="0" w:color="auto"/>
              <w:right w:val="single" w:sz="4" w:space="0" w:color="auto"/>
            </w:tcBorders>
            <w:noWrap/>
            <w:vAlign w:val="center"/>
          </w:tcPr>
          <w:p w14:paraId="71E26F09" w14:textId="77777777" w:rsidR="00115458" w:rsidRPr="002E368C" w:rsidRDefault="00115458" w:rsidP="002E368C">
            <w:pPr>
              <w:spacing w:after="0" w:line="240" w:lineRule="auto"/>
              <w:jc w:val="center"/>
              <w:rPr>
                <w:rFonts w:cs="Arial"/>
              </w:rPr>
            </w:pPr>
            <w:r w:rsidRPr="002E368C">
              <w:rPr>
                <w:rFonts w:cs="Arial"/>
              </w:rPr>
              <w:t>6.10</w:t>
            </w:r>
          </w:p>
        </w:tc>
      </w:tr>
      <w:tr w:rsidR="00115458" w:rsidRPr="00D42995" w14:paraId="4809E7E7"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79138698" w14:textId="77777777" w:rsidR="00115458" w:rsidRPr="002E368C" w:rsidRDefault="00115458" w:rsidP="002E368C">
            <w:pPr>
              <w:spacing w:after="0" w:line="240" w:lineRule="auto"/>
              <w:rPr>
                <w:rFonts w:cs="Arial"/>
              </w:rPr>
            </w:pPr>
            <w:r w:rsidRPr="002E368C">
              <w:rPr>
                <w:rFonts w:cs="Arial"/>
              </w:rPr>
              <w:t xml:space="preserve">Supplier suburb, town or locality </w:t>
            </w:r>
          </w:p>
        </w:tc>
        <w:tc>
          <w:tcPr>
            <w:tcW w:w="685" w:type="pct"/>
            <w:tcBorders>
              <w:top w:val="nil"/>
              <w:left w:val="nil"/>
              <w:bottom w:val="single" w:sz="4" w:space="0" w:color="auto"/>
              <w:right w:val="single" w:sz="4" w:space="0" w:color="auto"/>
            </w:tcBorders>
            <w:vAlign w:val="center"/>
          </w:tcPr>
          <w:p w14:paraId="7D1F6ADA" w14:textId="77777777" w:rsidR="00115458" w:rsidRPr="002E368C" w:rsidRDefault="00115458" w:rsidP="002E368C">
            <w:pPr>
              <w:spacing w:after="0" w:line="240" w:lineRule="auto"/>
              <w:jc w:val="center"/>
              <w:rPr>
                <w:rFonts w:cs="Arial"/>
              </w:rPr>
            </w:pPr>
            <w:r w:rsidRPr="002E368C">
              <w:rPr>
                <w:rFonts w:cs="Arial"/>
              </w:rPr>
              <w:t>9.23</w:t>
            </w:r>
          </w:p>
        </w:tc>
        <w:tc>
          <w:tcPr>
            <w:tcW w:w="1012" w:type="pct"/>
            <w:tcBorders>
              <w:top w:val="nil"/>
              <w:left w:val="nil"/>
              <w:bottom w:val="single" w:sz="4" w:space="0" w:color="auto"/>
              <w:right w:val="single" w:sz="4" w:space="0" w:color="auto"/>
            </w:tcBorders>
            <w:noWrap/>
            <w:vAlign w:val="center"/>
          </w:tcPr>
          <w:p w14:paraId="3953344B" w14:textId="77777777" w:rsidR="00115458" w:rsidRPr="002E368C" w:rsidRDefault="00115458" w:rsidP="002E368C">
            <w:pPr>
              <w:spacing w:after="0" w:line="240" w:lineRule="auto"/>
              <w:jc w:val="center"/>
              <w:rPr>
                <w:rFonts w:cs="Arial"/>
              </w:rPr>
            </w:pPr>
            <w:r w:rsidRPr="002E368C">
              <w:rPr>
                <w:rFonts w:cs="Arial"/>
              </w:rPr>
              <w:t>6.11</w:t>
            </w:r>
          </w:p>
        </w:tc>
      </w:tr>
      <w:tr w:rsidR="00115458" w:rsidRPr="00D42995" w14:paraId="5168C732"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3F126DC6" w14:textId="77777777" w:rsidR="00115458" w:rsidRPr="002E368C" w:rsidRDefault="00115458" w:rsidP="002E368C">
            <w:pPr>
              <w:spacing w:after="0" w:line="240" w:lineRule="auto"/>
              <w:rPr>
                <w:rFonts w:cs="Arial"/>
              </w:rPr>
            </w:pPr>
            <w:r w:rsidRPr="002E368C">
              <w:rPr>
                <w:rFonts w:cs="Arial"/>
              </w:rPr>
              <w:t xml:space="preserve">Supplier state or territory </w:t>
            </w:r>
          </w:p>
        </w:tc>
        <w:tc>
          <w:tcPr>
            <w:tcW w:w="685" w:type="pct"/>
            <w:tcBorders>
              <w:top w:val="nil"/>
              <w:left w:val="nil"/>
              <w:bottom w:val="single" w:sz="4" w:space="0" w:color="auto"/>
              <w:right w:val="single" w:sz="4" w:space="0" w:color="auto"/>
            </w:tcBorders>
            <w:vAlign w:val="center"/>
          </w:tcPr>
          <w:p w14:paraId="410A0B23" w14:textId="77777777" w:rsidR="00115458" w:rsidRPr="002E368C" w:rsidRDefault="00115458" w:rsidP="002E368C">
            <w:pPr>
              <w:spacing w:after="0" w:line="240" w:lineRule="auto"/>
              <w:jc w:val="center"/>
              <w:rPr>
                <w:rFonts w:cs="Arial"/>
              </w:rPr>
            </w:pPr>
            <w:r w:rsidRPr="002E368C">
              <w:rPr>
                <w:rFonts w:cs="Arial"/>
              </w:rPr>
              <w:t>9.24</w:t>
            </w:r>
          </w:p>
        </w:tc>
        <w:tc>
          <w:tcPr>
            <w:tcW w:w="1012" w:type="pct"/>
            <w:tcBorders>
              <w:top w:val="nil"/>
              <w:left w:val="nil"/>
              <w:bottom w:val="single" w:sz="4" w:space="0" w:color="auto"/>
              <w:right w:val="single" w:sz="4" w:space="0" w:color="auto"/>
            </w:tcBorders>
            <w:noWrap/>
            <w:vAlign w:val="center"/>
          </w:tcPr>
          <w:p w14:paraId="395A1F1F" w14:textId="77777777" w:rsidR="00115458" w:rsidRPr="002E368C" w:rsidRDefault="00115458" w:rsidP="002E368C">
            <w:pPr>
              <w:spacing w:after="0" w:line="240" w:lineRule="auto"/>
              <w:jc w:val="center"/>
              <w:rPr>
                <w:rFonts w:cs="Arial"/>
              </w:rPr>
            </w:pPr>
            <w:r w:rsidRPr="002E368C">
              <w:rPr>
                <w:rFonts w:cs="Arial"/>
              </w:rPr>
              <w:t>6.12</w:t>
            </w:r>
          </w:p>
        </w:tc>
      </w:tr>
      <w:tr w:rsidR="00115458" w:rsidRPr="00D42995" w14:paraId="3FEC7104"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3BAEA853" w14:textId="77777777" w:rsidR="00115458" w:rsidRPr="002E368C" w:rsidRDefault="00115458" w:rsidP="002E368C">
            <w:pPr>
              <w:spacing w:after="0" w:line="240" w:lineRule="auto"/>
              <w:rPr>
                <w:rFonts w:cs="Arial"/>
              </w:rPr>
            </w:pPr>
            <w:r w:rsidRPr="002E368C">
              <w:rPr>
                <w:rFonts w:cs="Arial"/>
              </w:rPr>
              <w:t xml:space="preserve">Supplier postcode </w:t>
            </w:r>
          </w:p>
        </w:tc>
        <w:tc>
          <w:tcPr>
            <w:tcW w:w="685" w:type="pct"/>
            <w:tcBorders>
              <w:top w:val="nil"/>
              <w:left w:val="nil"/>
              <w:bottom w:val="single" w:sz="4" w:space="0" w:color="auto"/>
              <w:right w:val="single" w:sz="4" w:space="0" w:color="auto"/>
            </w:tcBorders>
            <w:vAlign w:val="center"/>
          </w:tcPr>
          <w:p w14:paraId="367C45DB" w14:textId="77777777" w:rsidR="00115458" w:rsidRPr="002E368C" w:rsidRDefault="00115458" w:rsidP="002E368C">
            <w:pPr>
              <w:spacing w:after="0" w:line="240" w:lineRule="auto"/>
              <w:jc w:val="center"/>
              <w:rPr>
                <w:rFonts w:cs="Arial"/>
              </w:rPr>
            </w:pPr>
            <w:r w:rsidRPr="002E368C">
              <w:rPr>
                <w:rFonts w:cs="Arial"/>
              </w:rPr>
              <w:t>9.25</w:t>
            </w:r>
          </w:p>
        </w:tc>
        <w:tc>
          <w:tcPr>
            <w:tcW w:w="1012" w:type="pct"/>
            <w:tcBorders>
              <w:top w:val="nil"/>
              <w:left w:val="nil"/>
              <w:bottom w:val="single" w:sz="4" w:space="0" w:color="auto"/>
              <w:right w:val="single" w:sz="4" w:space="0" w:color="auto"/>
            </w:tcBorders>
            <w:noWrap/>
            <w:vAlign w:val="center"/>
          </w:tcPr>
          <w:p w14:paraId="5890A3E5" w14:textId="77777777" w:rsidR="00115458" w:rsidRPr="002E368C" w:rsidRDefault="00115458" w:rsidP="002E368C">
            <w:pPr>
              <w:spacing w:after="0" w:line="240" w:lineRule="auto"/>
              <w:jc w:val="center"/>
              <w:rPr>
                <w:rFonts w:cs="Arial"/>
              </w:rPr>
            </w:pPr>
            <w:r w:rsidRPr="002E368C">
              <w:rPr>
                <w:rFonts w:cs="Arial"/>
              </w:rPr>
              <w:t>6.13</w:t>
            </w:r>
          </w:p>
        </w:tc>
      </w:tr>
      <w:tr w:rsidR="00115458" w:rsidRPr="00D42995" w14:paraId="1E6CB0FA" w14:textId="77777777" w:rsidTr="00E91920">
        <w:trPr>
          <w:cantSplit/>
          <w:trHeight w:val="255"/>
        </w:trPr>
        <w:tc>
          <w:tcPr>
            <w:tcW w:w="3303" w:type="pct"/>
            <w:tcBorders>
              <w:top w:val="nil"/>
              <w:left w:val="single" w:sz="4" w:space="0" w:color="auto"/>
              <w:bottom w:val="single" w:sz="4" w:space="0" w:color="auto"/>
              <w:right w:val="single" w:sz="4" w:space="0" w:color="auto"/>
            </w:tcBorders>
            <w:vAlign w:val="center"/>
          </w:tcPr>
          <w:p w14:paraId="6CB884B6" w14:textId="77777777" w:rsidR="00115458" w:rsidRPr="002E368C" w:rsidRDefault="00115458" w:rsidP="002E368C">
            <w:pPr>
              <w:spacing w:after="0" w:line="240" w:lineRule="auto"/>
              <w:rPr>
                <w:rFonts w:cs="Arial"/>
              </w:rPr>
            </w:pPr>
            <w:r w:rsidRPr="002E368C">
              <w:rPr>
                <w:rFonts w:cs="Arial"/>
              </w:rPr>
              <w:t xml:space="preserve">Supplier country  </w:t>
            </w:r>
          </w:p>
        </w:tc>
        <w:tc>
          <w:tcPr>
            <w:tcW w:w="685" w:type="pct"/>
            <w:tcBorders>
              <w:top w:val="nil"/>
              <w:left w:val="nil"/>
              <w:bottom w:val="single" w:sz="4" w:space="0" w:color="auto"/>
              <w:right w:val="single" w:sz="4" w:space="0" w:color="auto"/>
            </w:tcBorders>
            <w:vAlign w:val="center"/>
          </w:tcPr>
          <w:p w14:paraId="7DC82749" w14:textId="77777777" w:rsidR="00115458" w:rsidRPr="002E368C" w:rsidRDefault="00115458" w:rsidP="002E368C">
            <w:pPr>
              <w:spacing w:after="0" w:line="240" w:lineRule="auto"/>
              <w:jc w:val="center"/>
              <w:rPr>
                <w:rFonts w:cs="Arial"/>
              </w:rPr>
            </w:pPr>
            <w:r w:rsidRPr="002E368C">
              <w:rPr>
                <w:rFonts w:cs="Arial"/>
              </w:rPr>
              <w:t>9.26</w:t>
            </w:r>
          </w:p>
        </w:tc>
        <w:tc>
          <w:tcPr>
            <w:tcW w:w="1012" w:type="pct"/>
            <w:tcBorders>
              <w:top w:val="nil"/>
              <w:left w:val="nil"/>
              <w:bottom w:val="single" w:sz="4" w:space="0" w:color="auto"/>
              <w:right w:val="single" w:sz="4" w:space="0" w:color="auto"/>
            </w:tcBorders>
            <w:noWrap/>
            <w:vAlign w:val="center"/>
          </w:tcPr>
          <w:p w14:paraId="02980E64" w14:textId="77777777" w:rsidR="00115458" w:rsidRPr="002E368C" w:rsidRDefault="00115458" w:rsidP="002E368C">
            <w:pPr>
              <w:spacing w:after="0" w:line="240" w:lineRule="auto"/>
              <w:jc w:val="center"/>
              <w:rPr>
                <w:rFonts w:cs="Arial"/>
              </w:rPr>
            </w:pPr>
            <w:r w:rsidRPr="002E368C">
              <w:rPr>
                <w:rFonts w:cs="Arial"/>
              </w:rPr>
              <w:t>6.14</w:t>
            </w:r>
          </w:p>
        </w:tc>
      </w:tr>
      <w:tr w:rsidR="00115458" w:rsidRPr="00D42995" w14:paraId="373EC9BB"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4ACE2576" w14:textId="77777777" w:rsidR="00115458" w:rsidRPr="002E368C" w:rsidRDefault="00115458" w:rsidP="002E368C">
            <w:pPr>
              <w:spacing w:after="0" w:line="240" w:lineRule="auto"/>
              <w:rPr>
                <w:rFonts w:cs="Arial"/>
              </w:rPr>
            </w:pPr>
            <w:r w:rsidRPr="002E368C">
              <w:rPr>
                <w:rFonts w:cs="Arial"/>
              </w:rPr>
              <w:t>Supplier email address</w:t>
            </w:r>
          </w:p>
        </w:tc>
        <w:tc>
          <w:tcPr>
            <w:tcW w:w="685" w:type="pct"/>
            <w:tcBorders>
              <w:top w:val="nil"/>
              <w:left w:val="nil"/>
              <w:bottom w:val="single" w:sz="4" w:space="0" w:color="auto"/>
              <w:right w:val="single" w:sz="4" w:space="0" w:color="auto"/>
            </w:tcBorders>
            <w:vAlign w:val="center"/>
          </w:tcPr>
          <w:p w14:paraId="61800B03" w14:textId="77777777" w:rsidR="00115458" w:rsidRPr="002E368C" w:rsidRDefault="00115458" w:rsidP="002E368C">
            <w:pPr>
              <w:spacing w:after="0" w:line="240" w:lineRule="auto"/>
              <w:jc w:val="center"/>
              <w:rPr>
                <w:rFonts w:cs="Arial"/>
              </w:rPr>
            </w:pPr>
            <w:r w:rsidRPr="002E368C">
              <w:rPr>
                <w:rFonts w:cs="Arial"/>
              </w:rPr>
              <w:t>9.27</w:t>
            </w:r>
          </w:p>
        </w:tc>
        <w:tc>
          <w:tcPr>
            <w:tcW w:w="1012" w:type="pct"/>
            <w:tcBorders>
              <w:top w:val="nil"/>
              <w:left w:val="nil"/>
              <w:bottom w:val="single" w:sz="4" w:space="0" w:color="auto"/>
              <w:right w:val="single" w:sz="4" w:space="0" w:color="auto"/>
            </w:tcBorders>
            <w:noWrap/>
            <w:vAlign w:val="center"/>
          </w:tcPr>
          <w:p w14:paraId="0833688E"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2FD9E58" w14:textId="77777777" w:rsidTr="00E91920">
        <w:trPr>
          <w:trHeight w:val="255"/>
        </w:trPr>
        <w:tc>
          <w:tcPr>
            <w:tcW w:w="3303" w:type="pct"/>
            <w:tcBorders>
              <w:top w:val="nil"/>
              <w:left w:val="single" w:sz="4" w:space="0" w:color="auto"/>
              <w:bottom w:val="single" w:sz="4" w:space="0" w:color="auto"/>
              <w:right w:val="single" w:sz="4" w:space="0" w:color="auto"/>
            </w:tcBorders>
            <w:vAlign w:val="center"/>
          </w:tcPr>
          <w:p w14:paraId="7ECDE2F9" w14:textId="77777777" w:rsidR="00115458" w:rsidRPr="002E368C" w:rsidRDefault="00115458" w:rsidP="002E368C">
            <w:pPr>
              <w:spacing w:after="0" w:line="240" w:lineRule="auto"/>
              <w:rPr>
                <w:rFonts w:cs="Arial"/>
              </w:rPr>
            </w:pPr>
            <w:r w:rsidRPr="002E368C">
              <w:rPr>
                <w:rFonts w:cs="Arial"/>
              </w:rPr>
              <w:t xml:space="preserve">Record identifier </w:t>
            </w:r>
          </w:p>
        </w:tc>
        <w:tc>
          <w:tcPr>
            <w:tcW w:w="685" w:type="pct"/>
            <w:tcBorders>
              <w:top w:val="nil"/>
              <w:left w:val="nil"/>
              <w:bottom w:val="single" w:sz="4" w:space="0" w:color="auto"/>
              <w:right w:val="single" w:sz="4" w:space="0" w:color="auto"/>
            </w:tcBorders>
            <w:vAlign w:val="center"/>
          </w:tcPr>
          <w:p w14:paraId="3B8954B5" w14:textId="77777777" w:rsidR="00115458" w:rsidRPr="002E368C" w:rsidRDefault="00115458" w:rsidP="002E368C">
            <w:pPr>
              <w:spacing w:after="0" w:line="240" w:lineRule="auto"/>
              <w:jc w:val="center"/>
              <w:rPr>
                <w:rFonts w:cs="Arial"/>
              </w:rPr>
            </w:pPr>
            <w:r w:rsidRPr="002E368C">
              <w:rPr>
                <w:rFonts w:cs="Arial"/>
              </w:rPr>
              <w:t>9.28</w:t>
            </w:r>
          </w:p>
        </w:tc>
        <w:tc>
          <w:tcPr>
            <w:tcW w:w="1012" w:type="pct"/>
            <w:tcBorders>
              <w:top w:val="nil"/>
              <w:left w:val="nil"/>
              <w:bottom w:val="single" w:sz="4" w:space="0" w:color="auto"/>
              <w:right w:val="single" w:sz="4" w:space="0" w:color="auto"/>
            </w:tcBorders>
            <w:noWrap/>
            <w:vAlign w:val="center"/>
          </w:tcPr>
          <w:p w14:paraId="1E836D1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6AC15B6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6B06146" w14:textId="77777777" w:rsidR="00115458" w:rsidRPr="002E368C" w:rsidRDefault="00115458" w:rsidP="002E368C">
            <w:pPr>
              <w:spacing w:after="0" w:line="240" w:lineRule="auto"/>
              <w:rPr>
                <w:rFonts w:cs="Arial"/>
              </w:rPr>
            </w:pPr>
            <w:r w:rsidRPr="002E368C">
              <w:rPr>
                <w:rFonts w:cs="Arial"/>
              </w:rPr>
              <w:t>Sequence number of IDENTITY record</w:t>
            </w:r>
          </w:p>
        </w:tc>
        <w:tc>
          <w:tcPr>
            <w:tcW w:w="685" w:type="pct"/>
            <w:tcBorders>
              <w:top w:val="single" w:sz="4" w:space="0" w:color="auto"/>
              <w:left w:val="nil"/>
              <w:bottom w:val="single" w:sz="4" w:space="0" w:color="auto"/>
              <w:right w:val="single" w:sz="4" w:space="0" w:color="auto"/>
            </w:tcBorders>
            <w:vAlign w:val="center"/>
          </w:tcPr>
          <w:p w14:paraId="779082F5" w14:textId="77777777" w:rsidR="00115458" w:rsidRPr="002E368C" w:rsidRDefault="00115458" w:rsidP="002E368C">
            <w:pPr>
              <w:spacing w:after="0" w:line="240" w:lineRule="auto"/>
              <w:jc w:val="center"/>
              <w:rPr>
                <w:rFonts w:cs="Arial"/>
              </w:rPr>
            </w:pPr>
            <w:r w:rsidRPr="002E368C">
              <w:rPr>
                <w:rFonts w:cs="Arial"/>
              </w:rPr>
              <w:t>9.29</w:t>
            </w:r>
          </w:p>
        </w:tc>
        <w:tc>
          <w:tcPr>
            <w:tcW w:w="1012" w:type="pct"/>
            <w:tcBorders>
              <w:top w:val="single" w:sz="4" w:space="0" w:color="auto"/>
              <w:left w:val="nil"/>
              <w:bottom w:val="single" w:sz="4" w:space="0" w:color="auto"/>
              <w:right w:val="single" w:sz="4" w:space="0" w:color="auto"/>
            </w:tcBorders>
            <w:noWrap/>
            <w:vAlign w:val="center"/>
          </w:tcPr>
          <w:p w14:paraId="7DFCEA9C"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F7656F3"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6DB8A0F" w14:textId="77777777" w:rsidR="00115458" w:rsidRPr="002E368C" w:rsidRDefault="00115458" w:rsidP="002E368C">
            <w:pPr>
              <w:spacing w:after="0" w:line="240" w:lineRule="auto"/>
              <w:rPr>
                <w:rFonts w:cs="Arial"/>
              </w:rPr>
            </w:pPr>
            <w:r w:rsidRPr="002E368C">
              <w:rPr>
                <w:rFonts w:cs="Arial"/>
              </w:rPr>
              <w:t xml:space="preserve">Financial year </w:t>
            </w:r>
          </w:p>
        </w:tc>
        <w:tc>
          <w:tcPr>
            <w:tcW w:w="685" w:type="pct"/>
            <w:tcBorders>
              <w:top w:val="single" w:sz="4" w:space="0" w:color="auto"/>
              <w:left w:val="nil"/>
              <w:bottom w:val="single" w:sz="4" w:space="0" w:color="auto"/>
              <w:right w:val="single" w:sz="4" w:space="0" w:color="auto"/>
            </w:tcBorders>
            <w:vAlign w:val="center"/>
          </w:tcPr>
          <w:p w14:paraId="7F4C118D" w14:textId="77777777" w:rsidR="00115458" w:rsidRPr="002E368C" w:rsidRDefault="00115458" w:rsidP="002E368C">
            <w:pPr>
              <w:spacing w:after="0" w:line="240" w:lineRule="auto"/>
              <w:jc w:val="center"/>
              <w:rPr>
                <w:rFonts w:cs="Arial"/>
              </w:rPr>
            </w:pPr>
            <w:r w:rsidRPr="002E368C">
              <w:rPr>
                <w:rFonts w:cs="Arial"/>
              </w:rPr>
              <w:t>9.30</w:t>
            </w:r>
          </w:p>
        </w:tc>
        <w:tc>
          <w:tcPr>
            <w:tcW w:w="1012" w:type="pct"/>
            <w:tcBorders>
              <w:top w:val="single" w:sz="4" w:space="0" w:color="auto"/>
              <w:left w:val="nil"/>
              <w:bottom w:val="single" w:sz="4" w:space="0" w:color="auto"/>
              <w:right w:val="single" w:sz="4" w:space="0" w:color="auto"/>
            </w:tcBorders>
            <w:noWrap/>
            <w:vAlign w:val="center"/>
          </w:tcPr>
          <w:p w14:paraId="244A3F97"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A5DB3D0"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9F292FB" w14:textId="77777777" w:rsidR="00115458" w:rsidRPr="002E368C" w:rsidRDefault="00115458" w:rsidP="002E368C">
            <w:pPr>
              <w:spacing w:after="0" w:line="240" w:lineRule="auto"/>
              <w:rPr>
                <w:rFonts w:cs="Arial"/>
              </w:rPr>
            </w:pPr>
            <w:r w:rsidRPr="002E368C">
              <w:rPr>
                <w:rFonts w:cs="Arial"/>
              </w:rPr>
              <w:t>Investment body Australian business number (ABN) or withholding payer number (WPN)</w:t>
            </w:r>
          </w:p>
        </w:tc>
        <w:tc>
          <w:tcPr>
            <w:tcW w:w="685" w:type="pct"/>
            <w:tcBorders>
              <w:top w:val="single" w:sz="4" w:space="0" w:color="auto"/>
              <w:left w:val="nil"/>
              <w:bottom w:val="single" w:sz="4" w:space="0" w:color="auto"/>
              <w:right w:val="single" w:sz="4" w:space="0" w:color="auto"/>
            </w:tcBorders>
            <w:vAlign w:val="center"/>
          </w:tcPr>
          <w:p w14:paraId="39FD4D79" w14:textId="77777777" w:rsidR="00115458" w:rsidRPr="002E368C" w:rsidRDefault="00115458" w:rsidP="002E368C">
            <w:pPr>
              <w:spacing w:after="0" w:line="240" w:lineRule="auto"/>
              <w:jc w:val="center"/>
              <w:rPr>
                <w:rFonts w:cs="Arial"/>
              </w:rPr>
            </w:pPr>
            <w:r w:rsidRPr="002E368C">
              <w:rPr>
                <w:rFonts w:cs="Arial"/>
              </w:rPr>
              <w:t>9.31</w:t>
            </w:r>
          </w:p>
        </w:tc>
        <w:tc>
          <w:tcPr>
            <w:tcW w:w="1012" w:type="pct"/>
            <w:tcBorders>
              <w:top w:val="single" w:sz="4" w:space="0" w:color="auto"/>
              <w:left w:val="nil"/>
              <w:bottom w:val="single" w:sz="4" w:space="0" w:color="auto"/>
              <w:right w:val="single" w:sz="4" w:space="0" w:color="auto"/>
            </w:tcBorders>
            <w:noWrap/>
            <w:vAlign w:val="center"/>
          </w:tcPr>
          <w:p w14:paraId="4591EDD4" w14:textId="77777777" w:rsidR="00115458" w:rsidRPr="002E368C" w:rsidRDefault="00115458" w:rsidP="002E368C">
            <w:pPr>
              <w:spacing w:after="0" w:line="240" w:lineRule="auto"/>
              <w:jc w:val="center"/>
              <w:rPr>
                <w:rFonts w:cs="Arial"/>
              </w:rPr>
            </w:pPr>
            <w:r w:rsidRPr="002E368C">
              <w:rPr>
                <w:rFonts w:cs="Arial"/>
              </w:rPr>
              <w:t>6.1</w:t>
            </w:r>
          </w:p>
        </w:tc>
      </w:tr>
      <w:tr w:rsidR="00115458" w:rsidRPr="00D42995" w14:paraId="56C31790"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7C7E537" w14:textId="77777777" w:rsidR="00115458" w:rsidRPr="002E368C" w:rsidRDefault="00115458" w:rsidP="002E368C">
            <w:pPr>
              <w:spacing w:after="0" w:line="240" w:lineRule="auto"/>
              <w:rPr>
                <w:rFonts w:cs="Arial"/>
              </w:rPr>
            </w:pPr>
            <w:r w:rsidRPr="002E368C">
              <w:rPr>
                <w:rFonts w:cs="Arial"/>
              </w:rPr>
              <w:t>Investment body branch number</w:t>
            </w:r>
          </w:p>
        </w:tc>
        <w:tc>
          <w:tcPr>
            <w:tcW w:w="685" w:type="pct"/>
            <w:tcBorders>
              <w:top w:val="single" w:sz="4" w:space="0" w:color="auto"/>
              <w:left w:val="nil"/>
              <w:bottom w:val="single" w:sz="4" w:space="0" w:color="auto"/>
              <w:right w:val="single" w:sz="4" w:space="0" w:color="auto"/>
            </w:tcBorders>
            <w:vAlign w:val="center"/>
          </w:tcPr>
          <w:p w14:paraId="5AB140BA" w14:textId="77777777" w:rsidR="00115458" w:rsidRPr="002E368C" w:rsidRDefault="00115458" w:rsidP="002E368C">
            <w:pPr>
              <w:spacing w:after="0" w:line="240" w:lineRule="auto"/>
              <w:jc w:val="center"/>
              <w:rPr>
                <w:rFonts w:cs="Arial"/>
              </w:rPr>
            </w:pPr>
            <w:r w:rsidRPr="002E368C">
              <w:rPr>
                <w:rFonts w:cs="Arial"/>
              </w:rPr>
              <w:t>9.32</w:t>
            </w:r>
          </w:p>
        </w:tc>
        <w:tc>
          <w:tcPr>
            <w:tcW w:w="1012" w:type="pct"/>
            <w:tcBorders>
              <w:top w:val="single" w:sz="4" w:space="0" w:color="auto"/>
              <w:left w:val="nil"/>
              <w:bottom w:val="single" w:sz="4" w:space="0" w:color="auto"/>
              <w:right w:val="single" w:sz="4" w:space="0" w:color="auto"/>
            </w:tcBorders>
            <w:noWrap/>
            <w:vAlign w:val="center"/>
          </w:tcPr>
          <w:p w14:paraId="5D0CFFED" w14:textId="77777777" w:rsidR="00115458" w:rsidRPr="002E368C" w:rsidRDefault="00115458" w:rsidP="002E368C">
            <w:pPr>
              <w:spacing w:after="0" w:line="240" w:lineRule="auto"/>
              <w:jc w:val="center"/>
              <w:rPr>
                <w:rFonts w:cs="Arial"/>
              </w:rPr>
            </w:pPr>
            <w:r w:rsidRPr="002E368C">
              <w:rPr>
                <w:rFonts w:cs="Arial"/>
              </w:rPr>
              <w:t>6.2</w:t>
            </w:r>
          </w:p>
        </w:tc>
      </w:tr>
      <w:tr w:rsidR="00115458" w:rsidRPr="00D42995" w14:paraId="52A6B412"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56BE1CE" w14:textId="77777777" w:rsidR="00115458" w:rsidRPr="002E368C" w:rsidRDefault="00115458" w:rsidP="002E368C">
            <w:pPr>
              <w:spacing w:after="0" w:line="240" w:lineRule="auto"/>
              <w:rPr>
                <w:rFonts w:cs="Arial"/>
              </w:rPr>
            </w:pPr>
            <w:r w:rsidRPr="002E368C">
              <w:rPr>
                <w:rFonts w:cs="Arial"/>
              </w:rPr>
              <w:t>Investment body registered name</w:t>
            </w:r>
          </w:p>
        </w:tc>
        <w:tc>
          <w:tcPr>
            <w:tcW w:w="685" w:type="pct"/>
            <w:tcBorders>
              <w:top w:val="single" w:sz="4" w:space="0" w:color="auto"/>
              <w:left w:val="nil"/>
              <w:bottom w:val="single" w:sz="4" w:space="0" w:color="auto"/>
              <w:right w:val="single" w:sz="4" w:space="0" w:color="auto"/>
            </w:tcBorders>
            <w:vAlign w:val="center"/>
          </w:tcPr>
          <w:p w14:paraId="66C2644A" w14:textId="77777777" w:rsidR="00115458" w:rsidRPr="002E368C" w:rsidRDefault="00115458" w:rsidP="002E368C">
            <w:pPr>
              <w:spacing w:after="0" w:line="240" w:lineRule="auto"/>
              <w:jc w:val="center"/>
              <w:rPr>
                <w:rFonts w:cs="Arial"/>
              </w:rPr>
            </w:pPr>
            <w:r w:rsidRPr="002E368C">
              <w:rPr>
                <w:rFonts w:cs="Arial"/>
              </w:rPr>
              <w:t>9.33</w:t>
            </w:r>
          </w:p>
        </w:tc>
        <w:bookmarkStart w:id="2003" w:name="r6_003"/>
        <w:tc>
          <w:tcPr>
            <w:tcW w:w="1012" w:type="pct"/>
            <w:tcBorders>
              <w:top w:val="single" w:sz="4" w:space="0" w:color="auto"/>
              <w:left w:val="nil"/>
              <w:bottom w:val="single" w:sz="4" w:space="0" w:color="auto"/>
              <w:right w:val="single" w:sz="4" w:space="0" w:color="auto"/>
            </w:tcBorders>
            <w:noWrap/>
            <w:vAlign w:val="center"/>
          </w:tcPr>
          <w:p w14:paraId="4A8E5D86"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"d6_003" </w:instrText>
            </w:r>
            <w:r w:rsidRPr="002E368C">
              <w:rPr>
                <w:rFonts w:cs="Arial"/>
              </w:rPr>
            </w:r>
            <w:r w:rsidRPr="002E368C">
              <w:rPr>
                <w:rFonts w:cs="Arial"/>
              </w:rPr>
              <w:fldChar w:fldCharType="separate"/>
            </w:r>
            <w:r w:rsidRPr="002E368C">
              <w:rPr>
                <w:rFonts w:cs="Arial"/>
              </w:rPr>
              <w:t>6.3</w:t>
            </w:r>
            <w:bookmarkEnd w:id="2003"/>
            <w:r w:rsidRPr="002E368C">
              <w:rPr>
                <w:rFonts w:cs="Arial"/>
              </w:rPr>
              <w:fldChar w:fldCharType="end"/>
            </w:r>
          </w:p>
        </w:tc>
      </w:tr>
      <w:tr w:rsidR="00115458" w:rsidRPr="00D42995" w14:paraId="287FF24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05700F0" w14:textId="77777777" w:rsidR="00115458" w:rsidRPr="002E368C" w:rsidRDefault="00115458" w:rsidP="002E368C">
            <w:pPr>
              <w:spacing w:after="0" w:line="240" w:lineRule="auto"/>
              <w:rPr>
                <w:rFonts w:cs="Arial"/>
              </w:rPr>
            </w:pPr>
            <w:r w:rsidRPr="002E368C">
              <w:rPr>
                <w:rFonts w:cs="Arial"/>
              </w:rPr>
              <w:t>Investment body trading name</w:t>
            </w:r>
          </w:p>
        </w:tc>
        <w:tc>
          <w:tcPr>
            <w:tcW w:w="685" w:type="pct"/>
            <w:tcBorders>
              <w:top w:val="single" w:sz="4" w:space="0" w:color="auto"/>
              <w:left w:val="nil"/>
              <w:bottom w:val="single" w:sz="4" w:space="0" w:color="auto"/>
              <w:right w:val="single" w:sz="4" w:space="0" w:color="auto"/>
            </w:tcBorders>
            <w:vAlign w:val="center"/>
          </w:tcPr>
          <w:p w14:paraId="04CBCE55" w14:textId="77777777" w:rsidR="00115458" w:rsidRPr="002E368C" w:rsidRDefault="00115458" w:rsidP="002E368C">
            <w:pPr>
              <w:spacing w:after="0" w:line="240" w:lineRule="auto"/>
              <w:jc w:val="center"/>
              <w:rPr>
                <w:rFonts w:cs="Arial"/>
              </w:rPr>
            </w:pPr>
            <w:r w:rsidRPr="002E368C">
              <w:rPr>
                <w:rFonts w:cs="Arial"/>
              </w:rPr>
              <w:t>9.34</w:t>
            </w:r>
          </w:p>
        </w:tc>
        <w:bookmarkStart w:id="2004" w:name="r6_004"/>
        <w:tc>
          <w:tcPr>
            <w:tcW w:w="1012" w:type="pct"/>
            <w:tcBorders>
              <w:top w:val="single" w:sz="4" w:space="0" w:color="auto"/>
              <w:left w:val="nil"/>
              <w:bottom w:val="single" w:sz="4" w:space="0" w:color="auto"/>
              <w:right w:val="single" w:sz="4" w:space="0" w:color="auto"/>
            </w:tcBorders>
            <w:noWrap/>
            <w:vAlign w:val="center"/>
          </w:tcPr>
          <w:p w14:paraId="19B74FE0"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"d6_004" </w:instrText>
            </w:r>
            <w:r w:rsidRPr="002E368C">
              <w:rPr>
                <w:rFonts w:cs="Arial"/>
              </w:rPr>
            </w:r>
            <w:r w:rsidRPr="002E368C">
              <w:rPr>
                <w:rFonts w:cs="Arial"/>
              </w:rPr>
              <w:fldChar w:fldCharType="separate"/>
            </w:r>
            <w:r w:rsidRPr="002E368C">
              <w:rPr>
                <w:rFonts w:cs="Arial"/>
              </w:rPr>
              <w:t>6.4</w:t>
            </w:r>
            <w:bookmarkEnd w:id="2004"/>
            <w:r w:rsidRPr="002E368C">
              <w:rPr>
                <w:rFonts w:cs="Arial"/>
              </w:rPr>
              <w:fldChar w:fldCharType="end"/>
            </w:r>
          </w:p>
        </w:tc>
      </w:tr>
      <w:tr w:rsidR="00115458" w:rsidRPr="00D42995" w14:paraId="1B481C5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F7F8170" w14:textId="77777777" w:rsidR="00115458" w:rsidRPr="002E368C" w:rsidRDefault="00115458" w:rsidP="002E368C">
            <w:pPr>
              <w:spacing w:after="0" w:line="240" w:lineRule="auto"/>
              <w:rPr>
                <w:rFonts w:cs="Arial"/>
              </w:rPr>
            </w:pPr>
            <w:r w:rsidRPr="002E368C">
              <w:rPr>
                <w:rFonts w:cs="Arial"/>
              </w:rPr>
              <w:t>Investment body address line 1</w:t>
            </w:r>
          </w:p>
        </w:tc>
        <w:tc>
          <w:tcPr>
            <w:tcW w:w="685" w:type="pct"/>
            <w:tcBorders>
              <w:top w:val="single" w:sz="4" w:space="0" w:color="auto"/>
              <w:left w:val="nil"/>
              <w:bottom w:val="single" w:sz="4" w:space="0" w:color="auto"/>
              <w:right w:val="single" w:sz="4" w:space="0" w:color="auto"/>
            </w:tcBorders>
            <w:vAlign w:val="center"/>
          </w:tcPr>
          <w:p w14:paraId="69957D20" w14:textId="77777777" w:rsidR="00115458" w:rsidRPr="002E368C" w:rsidRDefault="00115458" w:rsidP="002E368C">
            <w:pPr>
              <w:spacing w:after="0" w:line="240" w:lineRule="auto"/>
              <w:jc w:val="center"/>
              <w:rPr>
                <w:rFonts w:cs="Arial"/>
              </w:rPr>
            </w:pPr>
            <w:r w:rsidRPr="002E368C">
              <w:rPr>
                <w:rFonts w:cs="Arial"/>
              </w:rPr>
              <w:t>9.35</w:t>
            </w:r>
          </w:p>
        </w:tc>
        <w:bookmarkStart w:id="2005" w:name="r6_005"/>
        <w:tc>
          <w:tcPr>
            <w:tcW w:w="1012" w:type="pct"/>
            <w:tcBorders>
              <w:top w:val="single" w:sz="4" w:space="0" w:color="auto"/>
              <w:left w:val="nil"/>
              <w:bottom w:val="single" w:sz="4" w:space="0" w:color="auto"/>
              <w:right w:val="single" w:sz="4" w:space="0" w:color="auto"/>
            </w:tcBorders>
            <w:noWrap/>
            <w:vAlign w:val="center"/>
          </w:tcPr>
          <w:p w14:paraId="26EE33DB"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"d6_005" </w:instrText>
            </w:r>
            <w:r w:rsidRPr="002E368C">
              <w:rPr>
                <w:rFonts w:cs="Arial"/>
              </w:rPr>
            </w:r>
            <w:r w:rsidRPr="002E368C">
              <w:rPr>
                <w:rFonts w:cs="Arial"/>
              </w:rPr>
              <w:fldChar w:fldCharType="separate"/>
            </w:r>
            <w:r w:rsidRPr="002E368C">
              <w:rPr>
                <w:rFonts w:cs="Arial"/>
              </w:rPr>
              <w:t>6.5</w:t>
            </w:r>
            <w:bookmarkEnd w:id="2005"/>
            <w:r w:rsidRPr="002E368C">
              <w:rPr>
                <w:rFonts w:cs="Arial"/>
              </w:rPr>
              <w:fldChar w:fldCharType="end"/>
            </w:r>
          </w:p>
        </w:tc>
      </w:tr>
      <w:tr w:rsidR="00115458" w:rsidRPr="00D42995" w14:paraId="6595277D"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8752AC0" w14:textId="77777777" w:rsidR="00115458" w:rsidRPr="002E368C" w:rsidRDefault="00115458" w:rsidP="002E368C">
            <w:pPr>
              <w:spacing w:after="0" w:line="240" w:lineRule="auto"/>
              <w:rPr>
                <w:rFonts w:cs="Arial"/>
              </w:rPr>
            </w:pPr>
            <w:r w:rsidRPr="002E368C">
              <w:rPr>
                <w:rFonts w:cs="Arial"/>
              </w:rPr>
              <w:t>Investment body address line 2</w:t>
            </w:r>
          </w:p>
        </w:tc>
        <w:tc>
          <w:tcPr>
            <w:tcW w:w="685" w:type="pct"/>
            <w:tcBorders>
              <w:top w:val="single" w:sz="4" w:space="0" w:color="auto"/>
              <w:left w:val="nil"/>
              <w:bottom w:val="single" w:sz="4" w:space="0" w:color="auto"/>
              <w:right w:val="single" w:sz="4" w:space="0" w:color="auto"/>
            </w:tcBorders>
            <w:vAlign w:val="center"/>
          </w:tcPr>
          <w:p w14:paraId="01F5D11C" w14:textId="77777777" w:rsidR="00115458" w:rsidRPr="002E368C" w:rsidRDefault="00115458" w:rsidP="002E368C">
            <w:pPr>
              <w:spacing w:after="0" w:line="240" w:lineRule="auto"/>
              <w:jc w:val="center"/>
              <w:rPr>
                <w:rFonts w:cs="Arial"/>
              </w:rPr>
            </w:pPr>
            <w:r w:rsidRPr="002E368C">
              <w:rPr>
                <w:rFonts w:cs="Arial"/>
              </w:rPr>
              <w:t>9.35</w:t>
            </w:r>
          </w:p>
        </w:tc>
        <w:tc>
          <w:tcPr>
            <w:tcW w:w="1012" w:type="pct"/>
            <w:tcBorders>
              <w:top w:val="single" w:sz="4" w:space="0" w:color="auto"/>
              <w:left w:val="nil"/>
              <w:bottom w:val="single" w:sz="4" w:space="0" w:color="auto"/>
              <w:right w:val="single" w:sz="4" w:space="0" w:color="auto"/>
            </w:tcBorders>
            <w:noWrap/>
            <w:vAlign w:val="center"/>
          </w:tcPr>
          <w:p w14:paraId="4E63CBFA" w14:textId="77777777" w:rsidR="00115458" w:rsidRPr="002E368C" w:rsidRDefault="00115458" w:rsidP="002E368C">
            <w:pPr>
              <w:spacing w:after="0" w:line="240" w:lineRule="auto"/>
              <w:jc w:val="center"/>
              <w:rPr>
                <w:rFonts w:cs="Arial"/>
              </w:rPr>
            </w:pPr>
            <w:hyperlink w:anchor="d6_005" w:history="1">
              <w:r w:rsidRPr="002E368C">
                <w:rPr>
                  <w:rFonts w:cs="Arial"/>
                </w:rPr>
                <w:t>6.5</w:t>
              </w:r>
            </w:hyperlink>
          </w:p>
        </w:tc>
      </w:tr>
      <w:tr w:rsidR="00115458" w:rsidRPr="00D42995" w14:paraId="5A42CC42"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618C5F2" w14:textId="77777777" w:rsidR="00115458" w:rsidRPr="002E368C" w:rsidRDefault="00115458" w:rsidP="002E368C">
            <w:pPr>
              <w:spacing w:after="0" w:line="240" w:lineRule="auto"/>
              <w:rPr>
                <w:rFonts w:cs="Arial"/>
              </w:rPr>
            </w:pPr>
            <w:r w:rsidRPr="002E368C">
              <w:rPr>
                <w:rFonts w:cs="Arial"/>
              </w:rPr>
              <w:t>Suburb, town or locality</w:t>
            </w:r>
          </w:p>
        </w:tc>
        <w:tc>
          <w:tcPr>
            <w:tcW w:w="685" w:type="pct"/>
            <w:tcBorders>
              <w:top w:val="single" w:sz="4" w:space="0" w:color="auto"/>
              <w:left w:val="nil"/>
              <w:bottom w:val="single" w:sz="4" w:space="0" w:color="auto"/>
              <w:right w:val="single" w:sz="4" w:space="0" w:color="auto"/>
            </w:tcBorders>
            <w:vAlign w:val="center"/>
          </w:tcPr>
          <w:p w14:paraId="1F6E9F18" w14:textId="77777777" w:rsidR="00115458" w:rsidRPr="002E368C" w:rsidRDefault="00115458" w:rsidP="002E368C">
            <w:pPr>
              <w:spacing w:after="0" w:line="240" w:lineRule="auto"/>
              <w:jc w:val="center"/>
              <w:rPr>
                <w:rFonts w:cs="Arial"/>
              </w:rPr>
            </w:pPr>
            <w:r w:rsidRPr="002E368C">
              <w:rPr>
                <w:rFonts w:cs="Arial"/>
              </w:rPr>
              <w:t>9.36</w:t>
            </w:r>
          </w:p>
        </w:tc>
        <w:bookmarkStart w:id="2006" w:name="r6_006"/>
        <w:tc>
          <w:tcPr>
            <w:tcW w:w="1012" w:type="pct"/>
            <w:tcBorders>
              <w:top w:val="single" w:sz="4" w:space="0" w:color="auto"/>
              <w:left w:val="nil"/>
              <w:bottom w:val="single" w:sz="4" w:space="0" w:color="auto"/>
              <w:right w:val="single" w:sz="4" w:space="0" w:color="auto"/>
            </w:tcBorders>
            <w:noWrap/>
            <w:vAlign w:val="center"/>
          </w:tcPr>
          <w:p w14:paraId="71DA2ED0"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"d6_006" </w:instrText>
            </w:r>
            <w:r w:rsidRPr="002E368C">
              <w:rPr>
                <w:rFonts w:cs="Arial"/>
              </w:rPr>
            </w:r>
            <w:r w:rsidRPr="002E368C">
              <w:rPr>
                <w:rFonts w:cs="Arial"/>
              </w:rPr>
              <w:fldChar w:fldCharType="separate"/>
            </w:r>
            <w:r w:rsidRPr="002E368C">
              <w:rPr>
                <w:rFonts w:cs="Arial"/>
              </w:rPr>
              <w:t>6.6</w:t>
            </w:r>
            <w:bookmarkEnd w:id="2006"/>
            <w:r w:rsidRPr="002E368C">
              <w:rPr>
                <w:rFonts w:cs="Arial"/>
              </w:rPr>
              <w:fldChar w:fldCharType="end"/>
            </w:r>
          </w:p>
        </w:tc>
      </w:tr>
      <w:tr w:rsidR="00115458" w:rsidRPr="00D42995" w14:paraId="45F308D0"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FA2F2FE" w14:textId="77777777" w:rsidR="00115458" w:rsidRPr="002E368C" w:rsidRDefault="00115458" w:rsidP="002E368C">
            <w:pPr>
              <w:spacing w:after="0" w:line="240" w:lineRule="auto"/>
              <w:rPr>
                <w:rFonts w:cs="Arial"/>
              </w:rPr>
            </w:pPr>
            <w:r w:rsidRPr="002E368C">
              <w:rPr>
                <w:rFonts w:cs="Arial"/>
              </w:rPr>
              <w:t>State or territory</w:t>
            </w:r>
          </w:p>
        </w:tc>
        <w:tc>
          <w:tcPr>
            <w:tcW w:w="685" w:type="pct"/>
            <w:tcBorders>
              <w:top w:val="single" w:sz="4" w:space="0" w:color="auto"/>
              <w:left w:val="nil"/>
              <w:bottom w:val="single" w:sz="4" w:space="0" w:color="auto"/>
              <w:right w:val="single" w:sz="4" w:space="0" w:color="auto"/>
            </w:tcBorders>
            <w:vAlign w:val="center"/>
          </w:tcPr>
          <w:p w14:paraId="3950CD25" w14:textId="77777777" w:rsidR="00115458" w:rsidRPr="002E368C" w:rsidRDefault="00115458" w:rsidP="002E368C">
            <w:pPr>
              <w:spacing w:after="0" w:line="240" w:lineRule="auto"/>
              <w:jc w:val="center"/>
              <w:rPr>
                <w:rFonts w:cs="Arial"/>
              </w:rPr>
            </w:pPr>
            <w:r w:rsidRPr="002E368C">
              <w:rPr>
                <w:rFonts w:cs="Arial"/>
              </w:rPr>
              <w:t>9.37</w:t>
            </w:r>
          </w:p>
        </w:tc>
        <w:bookmarkStart w:id="2007" w:name="r6_007"/>
        <w:tc>
          <w:tcPr>
            <w:tcW w:w="1012" w:type="pct"/>
            <w:tcBorders>
              <w:top w:val="single" w:sz="4" w:space="0" w:color="auto"/>
              <w:left w:val="nil"/>
              <w:bottom w:val="single" w:sz="4" w:space="0" w:color="auto"/>
              <w:right w:val="single" w:sz="4" w:space="0" w:color="auto"/>
            </w:tcBorders>
            <w:noWrap/>
            <w:vAlign w:val="center"/>
          </w:tcPr>
          <w:p w14:paraId="6BDADA3B"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"d6_007" </w:instrText>
            </w:r>
            <w:r w:rsidRPr="002E368C">
              <w:rPr>
                <w:rFonts w:cs="Arial"/>
              </w:rPr>
            </w:r>
            <w:r w:rsidRPr="002E368C">
              <w:rPr>
                <w:rFonts w:cs="Arial"/>
              </w:rPr>
              <w:fldChar w:fldCharType="separate"/>
            </w:r>
            <w:r w:rsidRPr="002E368C">
              <w:rPr>
                <w:rFonts w:cs="Arial"/>
              </w:rPr>
              <w:t>6.7</w:t>
            </w:r>
            <w:bookmarkEnd w:id="2007"/>
            <w:r w:rsidRPr="002E368C">
              <w:rPr>
                <w:rFonts w:cs="Arial"/>
              </w:rPr>
              <w:fldChar w:fldCharType="end"/>
            </w:r>
          </w:p>
        </w:tc>
      </w:tr>
      <w:tr w:rsidR="00115458" w:rsidRPr="00D42995" w14:paraId="099680B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7A5E550" w14:textId="77777777" w:rsidR="00115458" w:rsidRPr="002E368C" w:rsidRDefault="00115458" w:rsidP="002E368C">
            <w:pPr>
              <w:spacing w:after="0" w:line="240" w:lineRule="auto"/>
              <w:rPr>
                <w:rFonts w:cs="Arial"/>
              </w:rPr>
            </w:pPr>
            <w:r w:rsidRPr="002E368C">
              <w:rPr>
                <w:rFonts w:cs="Arial"/>
              </w:rPr>
              <w:t>Postcode</w:t>
            </w:r>
          </w:p>
        </w:tc>
        <w:tc>
          <w:tcPr>
            <w:tcW w:w="685" w:type="pct"/>
            <w:tcBorders>
              <w:top w:val="single" w:sz="4" w:space="0" w:color="auto"/>
              <w:left w:val="nil"/>
              <w:bottom w:val="single" w:sz="4" w:space="0" w:color="auto"/>
              <w:right w:val="single" w:sz="4" w:space="0" w:color="auto"/>
            </w:tcBorders>
            <w:vAlign w:val="center"/>
          </w:tcPr>
          <w:p w14:paraId="525AE80E" w14:textId="77777777" w:rsidR="00115458" w:rsidRPr="002E368C" w:rsidRDefault="00115458" w:rsidP="002E368C">
            <w:pPr>
              <w:spacing w:after="0" w:line="240" w:lineRule="auto"/>
              <w:jc w:val="center"/>
              <w:rPr>
                <w:rFonts w:cs="Arial"/>
              </w:rPr>
            </w:pPr>
            <w:r w:rsidRPr="002E368C">
              <w:rPr>
                <w:rFonts w:cs="Arial"/>
              </w:rPr>
              <w:t>9.38</w:t>
            </w:r>
          </w:p>
        </w:tc>
        <w:bookmarkStart w:id="2008" w:name="r6_008"/>
        <w:tc>
          <w:tcPr>
            <w:tcW w:w="1012" w:type="pct"/>
            <w:tcBorders>
              <w:top w:val="single" w:sz="4" w:space="0" w:color="auto"/>
              <w:left w:val="nil"/>
              <w:bottom w:val="single" w:sz="4" w:space="0" w:color="auto"/>
              <w:right w:val="single" w:sz="4" w:space="0" w:color="auto"/>
            </w:tcBorders>
            <w:noWrap/>
            <w:vAlign w:val="center"/>
          </w:tcPr>
          <w:p w14:paraId="0485518F"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"d6_008" </w:instrText>
            </w:r>
            <w:r w:rsidRPr="002E368C">
              <w:rPr>
                <w:rFonts w:cs="Arial"/>
              </w:rPr>
            </w:r>
            <w:r w:rsidRPr="002E368C">
              <w:rPr>
                <w:rFonts w:cs="Arial"/>
              </w:rPr>
              <w:fldChar w:fldCharType="separate"/>
            </w:r>
            <w:r w:rsidRPr="002E368C">
              <w:rPr>
                <w:rFonts w:cs="Arial"/>
              </w:rPr>
              <w:t>6.8</w:t>
            </w:r>
            <w:bookmarkEnd w:id="2008"/>
            <w:r w:rsidRPr="002E368C">
              <w:rPr>
                <w:rFonts w:cs="Arial"/>
              </w:rPr>
              <w:fldChar w:fldCharType="end"/>
            </w:r>
          </w:p>
        </w:tc>
      </w:tr>
      <w:tr w:rsidR="00115458" w:rsidRPr="00D42995" w14:paraId="06B83BE8"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DD4B4EF" w14:textId="77777777" w:rsidR="00115458" w:rsidRPr="002E368C" w:rsidRDefault="00115458" w:rsidP="002E368C">
            <w:pPr>
              <w:spacing w:after="0" w:line="240" w:lineRule="auto"/>
              <w:rPr>
                <w:rFonts w:cs="Arial"/>
              </w:rPr>
            </w:pPr>
            <w:r w:rsidRPr="002E368C">
              <w:rPr>
                <w:rFonts w:cs="Arial"/>
              </w:rPr>
              <w:t>Country</w:t>
            </w:r>
          </w:p>
        </w:tc>
        <w:tc>
          <w:tcPr>
            <w:tcW w:w="685" w:type="pct"/>
            <w:tcBorders>
              <w:top w:val="single" w:sz="4" w:space="0" w:color="auto"/>
              <w:left w:val="nil"/>
              <w:bottom w:val="single" w:sz="4" w:space="0" w:color="auto"/>
              <w:right w:val="single" w:sz="4" w:space="0" w:color="auto"/>
            </w:tcBorders>
            <w:vAlign w:val="center"/>
          </w:tcPr>
          <w:p w14:paraId="142E2778" w14:textId="77777777" w:rsidR="00115458" w:rsidRPr="002E368C" w:rsidRDefault="00115458" w:rsidP="002E368C">
            <w:pPr>
              <w:spacing w:after="0" w:line="240" w:lineRule="auto"/>
              <w:jc w:val="center"/>
              <w:rPr>
                <w:rFonts w:cs="Arial"/>
              </w:rPr>
            </w:pPr>
            <w:r w:rsidRPr="002E368C">
              <w:rPr>
                <w:rFonts w:cs="Arial"/>
              </w:rPr>
              <w:t>9.39</w:t>
            </w:r>
          </w:p>
        </w:tc>
        <w:bookmarkStart w:id="2009" w:name="r6_009"/>
        <w:tc>
          <w:tcPr>
            <w:tcW w:w="1012" w:type="pct"/>
            <w:tcBorders>
              <w:top w:val="single" w:sz="4" w:space="0" w:color="auto"/>
              <w:left w:val="nil"/>
              <w:bottom w:val="single" w:sz="4" w:space="0" w:color="auto"/>
              <w:right w:val="single" w:sz="4" w:space="0" w:color="auto"/>
            </w:tcBorders>
            <w:noWrap/>
            <w:vAlign w:val="center"/>
          </w:tcPr>
          <w:p w14:paraId="49ACD6C6"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"d6_009" </w:instrText>
            </w:r>
            <w:r w:rsidRPr="002E368C">
              <w:rPr>
                <w:rFonts w:cs="Arial"/>
              </w:rPr>
            </w:r>
            <w:r w:rsidRPr="002E368C">
              <w:rPr>
                <w:rFonts w:cs="Arial"/>
              </w:rPr>
              <w:fldChar w:fldCharType="separate"/>
            </w:r>
            <w:r w:rsidRPr="002E368C">
              <w:rPr>
                <w:rFonts w:cs="Arial"/>
              </w:rPr>
              <w:t>6.9</w:t>
            </w:r>
            <w:bookmarkEnd w:id="2009"/>
            <w:r w:rsidRPr="002E368C">
              <w:rPr>
                <w:rFonts w:cs="Arial"/>
              </w:rPr>
              <w:fldChar w:fldCharType="end"/>
            </w:r>
          </w:p>
        </w:tc>
      </w:tr>
      <w:tr w:rsidR="00115458" w:rsidRPr="00D42995" w14:paraId="5B2F8FC9"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4DEDBD1" w14:textId="77777777" w:rsidR="00115458" w:rsidRPr="002E368C" w:rsidRDefault="00115458" w:rsidP="002E368C">
            <w:pPr>
              <w:spacing w:after="0" w:line="240" w:lineRule="auto"/>
              <w:rPr>
                <w:rFonts w:cs="Arial"/>
              </w:rPr>
            </w:pPr>
            <w:r w:rsidRPr="002E368C">
              <w:rPr>
                <w:rFonts w:cs="Arial"/>
              </w:rPr>
              <w:t>Investment body contact name</w:t>
            </w:r>
          </w:p>
        </w:tc>
        <w:tc>
          <w:tcPr>
            <w:tcW w:w="685" w:type="pct"/>
            <w:tcBorders>
              <w:top w:val="single" w:sz="4" w:space="0" w:color="auto"/>
              <w:left w:val="nil"/>
              <w:bottom w:val="single" w:sz="4" w:space="0" w:color="auto"/>
              <w:right w:val="single" w:sz="4" w:space="0" w:color="auto"/>
            </w:tcBorders>
            <w:vAlign w:val="center"/>
          </w:tcPr>
          <w:p w14:paraId="54A3C507" w14:textId="77777777" w:rsidR="00115458" w:rsidRPr="002E368C" w:rsidRDefault="00115458" w:rsidP="002E368C">
            <w:pPr>
              <w:spacing w:after="0" w:line="240" w:lineRule="auto"/>
              <w:jc w:val="center"/>
              <w:rPr>
                <w:rFonts w:cs="Arial"/>
              </w:rPr>
            </w:pPr>
            <w:r w:rsidRPr="002E368C">
              <w:rPr>
                <w:rFonts w:cs="Arial"/>
              </w:rPr>
              <w:t>9.40</w:t>
            </w:r>
          </w:p>
        </w:tc>
        <w:bookmarkStart w:id="2010" w:name="r6_015"/>
        <w:tc>
          <w:tcPr>
            <w:tcW w:w="1012" w:type="pct"/>
            <w:tcBorders>
              <w:top w:val="single" w:sz="4" w:space="0" w:color="auto"/>
              <w:left w:val="nil"/>
              <w:bottom w:val="single" w:sz="4" w:space="0" w:color="auto"/>
              <w:right w:val="single" w:sz="4" w:space="0" w:color="auto"/>
            </w:tcBorders>
            <w:noWrap/>
            <w:vAlign w:val="center"/>
          </w:tcPr>
          <w:p w14:paraId="29CA9129"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"d6_015" </w:instrText>
            </w:r>
            <w:r w:rsidRPr="002E368C">
              <w:rPr>
                <w:rFonts w:cs="Arial"/>
              </w:rPr>
            </w:r>
            <w:r w:rsidRPr="002E368C">
              <w:rPr>
                <w:rFonts w:cs="Arial"/>
              </w:rPr>
              <w:fldChar w:fldCharType="separate"/>
            </w:r>
            <w:r w:rsidRPr="002E368C">
              <w:rPr>
                <w:rFonts w:cs="Arial"/>
              </w:rPr>
              <w:t>6.15</w:t>
            </w:r>
            <w:bookmarkEnd w:id="2010"/>
            <w:r w:rsidRPr="002E368C">
              <w:rPr>
                <w:rFonts w:cs="Arial"/>
              </w:rPr>
              <w:fldChar w:fldCharType="end"/>
            </w:r>
          </w:p>
        </w:tc>
      </w:tr>
      <w:tr w:rsidR="00115458" w:rsidRPr="00D42995" w14:paraId="0D7E5A8D"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AABED35" w14:textId="77777777" w:rsidR="00115458" w:rsidRPr="002E368C" w:rsidRDefault="00115458" w:rsidP="002E368C">
            <w:pPr>
              <w:spacing w:after="0" w:line="240" w:lineRule="auto"/>
              <w:rPr>
                <w:rFonts w:cs="Arial"/>
              </w:rPr>
            </w:pPr>
            <w:r w:rsidRPr="002E368C">
              <w:rPr>
                <w:rFonts w:cs="Arial"/>
              </w:rPr>
              <w:t>Investment body contact telephone number</w:t>
            </w:r>
          </w:p>
        </w:tc>
        <w:tc>
          <w:tcPr>
            <w:tcW w:w="685" w:type="pct"/>
            <w:tcBorders>
              <w:top w:val="single" w:sz="4" w:space="0" w:color="auto"/>
              <w:left w:val="nil"/>
              <w:bottom w:val="single" w:sz="4" w:space="0" w:color="auto"/>
              <w:right w:val="single" w:sz="4" w:space="0" w:color="auto"/>
            </w:tcBorders>
            <w:vAlign w:val="center"/>
          </w:tcPr>
          <w:p w14:paraId="40B7E644" w14:textId="77777777" w:rsidR="00115458" w:rsidRPr="002E368C" w:rsidRDefault="00115458" w:rsidP="002E368C">
            <w:pPr>
              <w:spacing w:after="0" w:line="240" w:lineRule="auto"/>
              <w:jc w:val="center"/>
              <w:rPr>
                <w:rFonts w:cs="Arial"/>
              </w:rPr>
            </w:pPr>
            <w:r w:rsidRPr="002E368C">
              <w:rPr>
                <w:rFonts w:cs="Arial"/>
              </w:rPr>
              <w:t>9.41</w:t>
            </w:r>
          </w:p>
        </w:tc>
        <w:bookmarkStart w:id="2011" w:name="r6_016"/>
        <w:tc>
          <w:tcPr>
            <w:tcW w:w="1012" w:type="pct"/>
            <w:tcBorders>
              <w:top w:val="single" w:sz="4" w:space="0" w:color="auto"/>
              <w:left w:val="nil"/>
              <w:bottom w:val="single" w:sz="4" w:space="0" w:color="auto"/>
              <w:right w:val="single" w:sz="4" w:space="0" w:color="auto"/>
            </w:tcBorders>
            <w:noWrap/>
            <w:vAlign w:val="center"/>
          </w:tcPr>
          <w:p w14:paraId="6A099AA3"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"d6_016" </w:instrText>
            </w:r>
            <w:r w:rsidRPr="002E368C">
              <w:rPr>
                <w:rFonts w:cs="Arial"/>
              </w:rPr>
            </w:r>
            <w:r w:rsidRPr="002E368C">
              <w:rPr>
                <w:rFonts w:cs="Arial"/>
              </w:rPr>
              <w:fldChar w:fldCharType="separate"/>
            </w:r>
            <w:r w:rsidRPr="002E368C">
              <w:rPr>
                <w:rFonts w:cs="Arial"/>
              </w:rPr>
              <w:t>6.16</w:t>
            </w:r>
            <w:bookmarkEnd w:id="2011"/>
            <w:r w:rsidRPr="002E368C">
              <w:rPr>
                <w:rFonts w:cs="Arial"/>
              </w:rPr>
              <w:fldChar w:fldCharType="end"/>
            </w:r>
          </w:p>
        </w:tc>
      </w:tr>
      <w:tr w:rsidR="00115458" w:rsidRPr="00D42995" w14:paraId="78ED931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36485F3" w14:textId="77777777" w:rsidR="00115458" w:rsidRPr="002E368C" w:rsidRDefault="00115458" w:rsidP="002E368C">
            <w:pPr>
              <w:spacing w:after="0" w:line="240" w:lineRule="auto"/>
              <w:rPr>
                <w:rFonts w:cs="Arial"/>
              </w:rPr>
            </w:pPr>
            <w:r w:rsidRPr="002E368C">
              <w:rPr>
                <w:rFonts w:cs="Arial"/>
              </w:rPr>
              <w:t>Investment body contact facsimile number</w:t>
            </w:r>
          </w:p>
        </w:tc>
        <w:tc>
          <w:tcPr>
            <w:tcW w:w="685" w:type="pct"/>
            <w:tcBorders>
              <w:top w:val="single" w:sz="4" w:space="0" w:color="auto"/>
              <w:left w:val="nil"/>
              <w:bottom w:val="single" w:sz="4" w:space="0" w:color="auto"/>
              <w:right w:val="single" w:sz="4" w:space="0" w:color="auto"/>
            </w:tcBorders>
            <w:vAlign w:val="center"/>
          </w:tcPr>
          <w:p w14:paraId="027393FF" w14:textId="77777777" w:rsidR="00115458" w:rsidRPr="002E368C" w:rsidRDefault="00115458" w:rsidP="002E368C">
            <w:pPr>
              <w:spacing w:after="0" w:line="240" w:lineRule="auto"/>
              <w:jc w:val="center"/>
              <w:rPr>
                <w:rFonts w:cs="Arial"/>
              </w:rPr>
            </w:pPr>
            <w:r w:rsidRPr="002E368C">
              <w:rPr>
                <w:rFonts w:cs="Arial"/>
              </w:rPr>
              <w:t>9.42</w:t>
            </w:r>
          </w:p>
        </w:tc>
        <w:bookmarkStart w:id="2012" w:name="r6_017"/>
        <w:tc>
          <w:tcPr>
            <w:tcW w:w="1012" w:type="pct"/>
            <w:tcBorders>
              <w:top w:val="single" w:sz="4" w:space="0" w:color="auto"/>
              <w:left w:val="nil"/>
              <w:bottom w:val="single" w:sz="4" w:space="0" w:color="auto"/>
              <w:right w:val="single" w:sz="4" w:space="0" w:color="auto"/>
            </w:tcBorders>
            <w:noWrap/>
            <w:vAlign w:val="center"/>
          </w:tcPr>
          <w:p w14:paraId="27015383"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"d6_017" </w:instrText>
            </w:r>
            <w:r w:rsidRPr="002E368C">
              <w:rPr>
                <w:rFonts w:cs="Arial"/>
              </w:rPr>
            </w:r>
            <w:r w:rsidRPr="002E368C">
              <w:rPr>
                <w:rFonts w:cs="Arial"/>
              </w:rPr>
              <w:fldChar w:fldCharType="separate"/>
            </w:r>
            <w:r w:rsidRPr="002E368C">
              <w:rPr>
                <w:rFonts w:cs="Arial"/>
              </w:rPr>
              <w:t>6.17</w:t>
            </w:r>
            <w:bookmarkEnd w:id="2012"/>
            <w:r w:rsidRPr="002E368C">
              <w:rPr>
                <w:rFonts w:cs="Arial"/>
              </w:rPr>
              <w:fldChar w:fldCharType="end"/>
            </w:r>
          </w:p>
        </w:tc>
      </w:tr>
      <w:tr w:rsidR="00115458" w:rsidRPr="00D42995" w14:paraId="7127E41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D2FF926" w14:textId="77777777" w:rsidR="00115458" w:rsidRPr="002E368C" w:rsidRDefault="00115458" w:rsidP="002E368C">
            <w:pPr>
              <w:spacing w:after="0" w:line="240" w:lineRule="auto"/>
              <w:rPr>
                <w:rFonts w:cs="Arial"/>
              </w:rPr>
            </w:pPr>
            <w:r w:rsidRPr="002E368C">
              <w:rPr>
                <w:rFonts w:cs="Arial"/>
              </w:rPr>
              <w:t>Investment body contact email address</w:t>
            </w:r>
          </w:p>
        </w:tc>
        <w:tc>
          <w:tcPr>
            <w:tcW w:w="685" w:type="pct"/>
            <w:tcBorders>
              <w:top w:val="single" w:sz="4" w:space="0" w:color="auto"/>
              <w:left w:val="nil"/>
              <w:bottom w:val="single" w:sz="4" w:space="0" w:color="auto"/>
              <w:right w:val="single" w:sz="4" w:space="0" w:color="auto"/>
            </w:tcBorders>
            <w:vAlign w:val="center"/>
          </w:tcPr>
          <w:p w14:paraId="4475F7F4" w14:textId="77777777" w:rsidR="00115458" w:rsidRPr="002E368C" w:rsidRDefault="00115458" w:rsidP="002E368C">
            <w:pPr>
              <w:spacing w:after="0" w:line="240" w:lineRule="auto"/>
              <w:jc w:val="center"/>
              <w:rPr>
                <w:rFonts w:cs="Arial"/>
              </w:rPr>
            </w:pPr>
            <w:r w:rsidRPr="002E368C">
              <w:rPr>
                <w:rFonts w:cs="Arial"/>
              </w:rPr>
              <w:t>9.43</w:t>
            </w:r>
          </w:p>
        </w:tc>
        <w:bookmarkStart w:id="2013" w:name="r6_018"/>
        <w:tc>
          <w:tcPr>
            <w:tcW w:w="1012" w:type="pct"/>
            <w:tcBorders>
              <w:top w:val="single" w:sz="4" w:space="0" w:color="auto"/>
              <w:left w:val="nil"/>
              <w:bottom w:val="single" w:sz="4" w:space="0" w:color="auto"/>
              <w:right w:val="single" w:sz="4" w:space="0" w:color="auto"/>
            </w:tcBorders>
            <w:noWrap/>
            <w:vAlign w:val="center"/>
          </w:tcPr>
          <w:p w14:paraId="7CB61A9D"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"d6_018" </w:instrText>
            </w:r>
            <w:r w:rsidRPr="002E368C">
              <w:rPr>
                <w:rFonts w:cs="Arial"/>
              </w:rPr>
            </w:r>
            <w:r w:rsidRPr="002E368C">
              <w:rPr>
                <w:rFonts w:cs="Arial"/>
              </w:rPr>
              <w:fldChar w:fldCharType="separate"/>
            </w:r>
            <w:r w:rsidRPr="002E368C">
              <w:rPr>
                <w:rFonts w:cs="Arial"/>
              </w:rPr>
              <w:t>6.18</w:t>
            </w:r>
            <w:bookmarkEnd w:id="2013"/>
            <w:r w:rsidRPr="002E368C">
              <w:rPr>
                <w:rFonts w:cs="Arial"/>
              </w:rPr>
              <w:fldChar w:fldCharType="end"/>
            </w:r>
          </w:p>
        </w:tc>
      </w:tr>
      <w:tr w:rsidR="00115458" w:rsidRPr="00D42995" w14:paraId="39C3D089"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266CF61" w14:textId="77777777" w:rsidR="00115458" w:rsidRPr="002E368C" w:rsidRDefault="00115458" w:rsidP="002E368C">
            <w:pPr>
              <w:spacing w:after="0" w:line="240" w:lineRule="auto"/>
              <w:rPr>
                <w:rFonts w:cs="Arial"/>
              </w:rPr>
            </w:pPr>
            <w:r w:rsidRPr="002E368C">
              <w:rPr>
                <w:rFonts w:cs="Arial"/>
              </w:rPr>
              <w:t>Reporting period indicator</w:t>
            </w:r>
          </w:p>
        </w:tc>
        <w:tc>
          <w:tcPr>
            <w:tcW w:w="685" w:type="pct"/>
            <w:tcBorders>
              <w:top w:val="single" w:sz="4" w:space="0" w:color="auto"/>
              <w:left w:val="nil"/>
              <w:bottom w:val="single" w:sz="4" w:space="0" w:color="auto"/>
              <w:right w:val="single" w:sz="4" w:space="0" w:color="auto"/>
            </w:tcBorders>
            <w:vAlign w:val="center"/>
          </w:tcPr>
          <w:p w14:paraId="5D2E818C" w14:textId="77777777" w:rsidR="00115458" w:rsidRPr="002E368C" w:rsidRDefault="00115458" w:rsidP="002E368C">
            <w:pPr>
              <w:spacing w:after="0" w:line="240" w:lineRule="auto"/>
              <w:jc w:val="center"/>
              <w:rPr>
                <w:rFonts w:cs="Arial"/>
              </w:rPr>
            </w:pPr>
            <w:r w:rsidRPr="002E368C">
              <w:rPr>
                <w:rFonts w:cs="Arial"/>
              </w:rPr>
              <w:t>9.44</w:t>
            </w:r>
          </w:p>
        </w:tc>
        <w:bookmarkStart w:id="2014" w:name="r6_020"/>
        <w:tc>
          <w:tcPr>
            <w:tcW w:w="1012" w:type="pct"/>
            <w:tcBorders>
              <w:top w:val="single" w:sz="4" w:space="0" w:color="auto"/>
              <w:left w:val="nil"/>
              <w:bottom w:val="single" w:sz="4" w:space="0" w:color="auto"/>
              <w:right w:val="single" w:sz="4" w:space="0" w:color="auto"/>
            </w:tcBorders>
            <w:noWrap/>
            <w:vAlign w:val="center"/>
          </w:tcPr>
          <w:p w14:paraId="5C2CB25F"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"d6_020" </w:instrText>
            </w:r>
            <w:r w:rsidRPr="002E368C">
              <w:rPr>
                <w:rFonts w:cs="Arial"/>
              </w:rPr>
            </w:r>
            <w:r w:rsidRPr="002E368C">
              <w:rPr>
                <w:rFonts w:cs="Arial"/>
              </w:rPr>
              <w:fldChar w:fldCharType="separate"/>
            </w:r>
            <w:r w:rsidRPr="002E368C">
              <w:rPr>
                <w:rFonts w:cs="Arial"/>
              </w:rPr>
              <w:t>6.20</w:t>
            </w:r>
            <w:bookmarkEnd w:id="2014"/>
            <w:r w:rsidRPr="002E368C">
              <w:rPr>
                <w:rFonts w:cs="Arial"/>
              </w:rPr>
              <w:fldChar w:fldCharType="end"/>
            </w:r>
          </w:p>
        </w:tc>
      </w:tr>
      <w:tr w:rsidR="00115458" w:rsidRPr="00D42995" w14:paraId="4B7E45E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823F26F" w14:textId="77777777" w:rsidR="00115458" w:rsidRPr="002E368C" w:rsidRDefault="00115458" w:rsidP="002E368C">
            <w:pPr>
              <w:spacing w:after="0" w:line="240" w:lineRule="auto"/>
              <w:rPr>
                <w:rFonts w:cs="Arial"/>
              </w:rPr>
            </w:pPr>
            <w:r w:rsidRPr="002E368C">
              <w:rPr>
                <w:rFonts w:cs="Arial"/>
              </w:rPr>
              <w:t>SAP year end date</w:t>
            </w:r>
          </w:p>
        </w:tc>
        <w:tc>
          <w:tcPr>
            <w:tcW w:w="685" w:type="pct"/>
            <w:tcBorders>
              <w:top w:val="single" w:sz="4" w:space="0" w:color="auto"/>
              <w:left w:val="nil"/>
              <w:bottom w:val="single" w:sz="4" w:space="0" w:color="auto"/>
              <w:right w:val="single" w:sz="4" w:space="0" w:color="auto"/>
            </w:tcBorders>
            <w:vAlign w:val="center"/>
          </w:tcPr>
          <w:p w14:paraId="06185DED" w14:textId="77777777" w:rsidR="00115458" w:rsidRPr="002E368C" w:rsidRDefault="00115458" w:rsidP="002E368C">
            <w:pPr>
              <w:spacing w:after="0" w:line="240" w:lineRule="auto"/>
              <w:jc w:val="center"/>
              <w:rPr>
                <w:rFonts w:cs="Arial"/>
              </w:rPr>
            </w:pPr>
            <w:r w:rsidRPr="002E368C">
              <w:rPr>
                <w:rFonts w:cs="Arial"/>
              </w:rPr>
              <w:t>9.45</w:t>
            </w:r>
          </w:p>
        </w:tc>
        <w:bookmarkStart w:id="2015" w:name="r6_021"/>
        <w:tc>
          <w:tcPr>
            <w:tcW w:w="1012" w:type="pct"/>
            <w:tcBorders>
              <w:top w:val="single" w:sz="4" w:space="0" w:color="auto"/>
              <w:left w:val="nil"/>
              <w:bottom w:val="single" w:sz="4" w:space="0" w:color="auto"/>
              <w:right w:val="single" w:sz="4" w:space="0" w:color="auto"/>
            </w:tcBorders>
            <w:noWrap/>
            <w:vAlign w:val="center"/>
          </w:tcPr>
          <w:p w14:paraId="6FD7F927"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"d6_021" </w:instrText>
            </w:r>
            <w:r w:rsidRPr="002E368C">
              <w:rPr>
                <w:rFonts w:cs="Arial"/>
              </w:rPr>
            </w:r>
            <w:r w:rsidRPr="002E368C">
              <w:rPr>
                <w:rFonts w:cs="Arial"/>
              </w:rPr>
              <w:fldChar w:fldCharType="separate"/>
            </w:r>
            <w:r w:rsidRPr="002E368C">
              <w:rPr>
                <w:rFonts w:cs="Arial"/>
              </w:rPr>
              <w:t>6.21</w:t>
            </w:r>
            <w:bookmarkEnd w:id="2015"/>
            <w:r w:rsidRPr="002E368C">
              <w:rPr>
                <w:rFonts w:cs="Arial"/>
              </w:rPr>
              <w:fldChar w:fldCharType="end"/>
            </w:r>
          </w:p>
        </w:tc>
      </w:tr>
      <w:tr w:rsidR="00115458" w:rsidRPr="00D42995" w14:paraId="436AE18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64B9431" w14:textId="77777777" w:rsidR="00115458" w:rsidRPr="002E368C" w:rsidRDefault="00115458" w:rsidP="002E368C">
            <w:pPr>
              <w:spacing w:after="0" w:line="240" w:lineRule="auto"/>
              <w:rPr>
                <w:rFonts w:cs="Arial"/>
              </w:rPr>
            </w:pPr>
            <w:r w:rsidRPr="002E368C">
              <w:rPr>
                <w:rFonts w:cs="Arial"/>
              </w:rPr>
              <w:t xml:space="preserve">Future reporting obligation </w:t>
            </w:r>
          </w:p>
        </w:tc>
        <w:tc>
          <w:tcPr>
            <w:tcW w:w="685" w:type="pct"/>
            <w:tcBorders>
              <w:top w:val="single" w:sz="4" w:space="0" w:color="auto"/>
              <w:left w:val="nil"/>
              <w:bottom w:val="single" w:sz="4" w:space="0" w:color="auto"/>
              <w:right w:val="single" w:sz="4" w:space="0" w:color="auto"/>
            </w:tcBorders>
            <w:vAlign w:val="center"/>
          </w:tcPr>
          <w:p w14:paraId="5C80F244" w14:textId="77777777" w:rsidR="00115458" w:rsidRPr="002E368C" w:rsidRDefault="00115458" w:rsidP="002E368C">
            <w:pPr>
              <w:spacing w:after="0" w:line="240" w:lineRule="auto"/>
              <w:jc w:val="center"/>
              <w:rPr>
                <w:rFonts w:cs="Arial"/>
              </w:rPr>
            </w:pPr>
            <w:r w:rsidRPr="002E368C">
              <w:rPr>
                <w:rFonts w:cs="Arial"/>
              </w:rPr>
              <w:t>9.46</w:t>
            </w:r>
          </w:p>
        </w:tc>
        <w:bookmarkStart w:id="2016" w:name="r6_023"/>
        <w:tc>
          <w:tcPr>
            <w:tcW w:w="1012" w:type="pct"/>
            <w:tcBorders>
              <w:top w:val="single" w:sz="4" w:space="0" w:color="auto"/>
              <w:left w:val="nil"/>
              <w:bottom w:val="single" w:sz="4" w:space="0" w:color="auto"/>
              <w:right w:val="single" w:sz="4" w:space="0" w:color="auto"/>
            </w:tcBorders>
            <w:noWrap/>
            <w:vAlign w:val="center"/>
          </w:tcPr>
          <w:p w14:paraId="59DB0C12" w14:textId="77777777" w:rsidR="00115458" w:rsidRPr="002E368C" w:rsidRDefault="00115458" w:rsidP="002E368C">
            <w:pPr>
              <w:spacing w:after="0" w:line="240" w:lineRule="auto"/>
              <w:jc w:val="center"/>
              <w:rPr>
                <w:rFonts w:cs="Arial"/>
              </w:rPr>
            </w:pPr>
            <w:r w:rsidRPr="002E368C">
              <w:rPr>
                <w:rFonts w:cs="Arial"/>
              </w:rPr>
              <w:fldChar w:fldCharType="begin"/>
            </w:r>
            <w:r w:rsidRPr="002E368C">
              <w:rPr>
                <w:rFonts w:cs="Arial"/>
              </w:rPr>
              <w:instrText xml:space="preserve"> HYPERLINK  \l "d6_023" </w:instrText>
            </w:r>
            <w:r w:rsidRPr="002E368C">
              <w:rPr>
                <w:rFonts w:cs="Arial"/>
              </w:rPr>
            </w:r>
            <w:r w:rsidRPr="002E368C">
              <w:rPr>
                <w:rFonts w:cs="Arial"/>
              </w:rPr>
              <w:fldChar w:fldCharType="separate"/>
            </w:r>
            <w:r w:rsidRPr="002E368C">
              <w:rPr>
                <w:rFonts w:cs="Arial"/>
              </w:rPr>
              <w:t>6.23</w:t>
            </w:r>
            <w:bookmarkEnd w:id="2016"/>
            <w:r w:rsidRPr="002E368C">
              <w:rPr>
                <w:rFonts w:cs="Arial"/>
              </w:rPr>
              <w:fldChar w:fldCharType="end"/>
            </w:r>
          </w:p>
        </w:tc>
      </w:tr>
      <w:tr w:rsidR="00115458" w:rsidRPr="00D42995" w14:paraId="27943E0E"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65C0EAD" w14:textId="77777777" w:rsidR="00115458" w:rsidRPr="002E368C" w:rsidRDefault="00115458" w:rsidP="002E368C">
            <w:pPr>
              <w:spacing w:after="0" w:line="240" w:lineRule="auto"/>
              <w:rPr>
                <w:rFonts w:cs="Arial"/>
              </w:rPr>
            </w:pPr>
            <w:r w:rsidRPr="002E368C">
              <w:t>Report format indicator (new field)</w:t>
            </w:r>
          </w:p>
        </w:tc>
        <w:tc>
          <w:tcPr>
            <w:tcW w:w="685" w:type="pct"/>
            <w:tcBorders>
              <w:top w:val="single" w:sz="4" w:space="0" w:color="auto"/>
              <w:left w:val="nil"/>
              <w:bottom w:val="single" w:sz="4" w:space="0" w:color="auto"/>
              <w:right w:val="single" w:sz="4" w:space="0" w:color="auto"/>
            </w:tcBorders>
            <w:vAlign w:val="center"/>
          </w:tcPr>
          <w:p w14:paraId="44ABF9FC" w14:textId="77777777" w:rsidR="00115458" w:rsidRPr="002E368C" w:rsidRDefault="00115458" w:rsidP="002E368C">
            <w:pPr>
              <w:spacing w:after="0" w:line="240" w:lineRule="auto"/>
              <w:jc w:val="center"/>
              <w:rPr>
                <w:rFonts w:cs="Arial"/>
                <w:b/>
              </w:rPr>
            </w:pPr>
            <w:r w:rsidRPr="002E368C">
              <w:rPr>
                <w:rFonts w:cs="Arial"/>
                <w:noProof/>
              </w:rPr>
              <w:t>9.47</w:t>
            </w:r>
          </w:p>
        </w:tc>
        <w:tc>
          <w:tcPr>
            <w:tcW w:w="1012" w:type="pct"/>
            <w:tcBorders>
              <w:top w:val="single" w:sz="4" w:space="0" w:color="auto"/>
              <w:left w:val="nil"/>
              <w:bottom w:val="single" w:sz="4" w:space="0" w:color="auto"/>
              <w:right w:val="single" w:sz="4" w:space="0" w:color="auto"/>
            </w:tcBorders>
            <w:noWrap/>
            <w:vAlign w:val="center"/>
          </w:tcPr>
          <w:p w14:paraId="14A20B3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78D897A3"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D1D5E19" w14:textId="77777777" w:rsidR="00115458" w:rsidRPr="002E368C" w:rsidRDefault="00115458" w:rsidP="002E368C">
            <w:pPr>
              <w:spacing w:after="0" w:line="240" w:lineRule="auto"/>
              <w:rPr>
                <w:rFonts w:cs="Arial"/>
              </w:rPr>
            </w:pPr>
            <w:r w:rsidRPr="002E368C">
              <w:t>Investment body entity type code (new field)</w:t>
            </w:r>
          </w:p>
        </w:tc>
        <w:tc>
          <w:tcPr>
            <w:tcW w:w="685" w:type="pct"/>
            <w:tcBorders>
              <w:top w:val="single" w:sz="4" w:space="0" w:color="auto"/>
              <w:left w:val="nil"/>
              <w:bottom w:val="single" w:sz="4" w:space="0" w:color="auto"/>
              <w:right w:val="single" w:sz="4" w:space="0" w:color="auto"/>
            </w:tcBorders>
            <w:vAlign w:val="center"/>
          </w:tcPr>
          <w:p w14:paraId="6AAFDC11" w14:textId="77777777" w:rsidR="00115458" w:rsidRPr="002E368C" w:rsidRDefault="00115458" w:rsidP="002E368C">
            <w:pPr>
              <w:spacing w:after="0" w:line="240" w:lineRule="auto"/>
              <w:jc w:val="center"/>
              <w:rPr>
                <w:rFonts w:cs="Arial"/>
              </w:rPr>
            </w:pPr>
            <w:hyperlink w:anchor="d7_048" w:history="1">
              <w:r w:rsidRPr="002E368C">
                <w:rPr>
                  <w:rFonts w:cs="Arial"/>
                </w:rPr>
                <w:t>9.48</w:t>
              </w:r>
            </w:hyperlink>
          </w:p>
        </w:tc>
        <w:tc>
          <w:tcPr>
            <w:tcW w:w="1012" w:type="pct"/>
            <w:tcBorders>
              <w:top w:val="single" w:sz="4" w:space="0" w:color="auto"/>
              <w:left w:val="nil"/>
              <w:bottom w:val="single" w:sz="4" w:space="0" w:color="auto"/>
              <w:right w:val="single" w:sz="4" w:space="0" w:color="auto"/>
            </w:tcBorders>
            <w:noWrap/>
            <w:vAlign w:val="center"/>
          </w:tcPr>
          <w:p w14:paraId="779A6318" w14:textId="77777777" w:rsidR="00115458" w:rsidRPr="002E368C" w:rsidRDefault="00115458" w:rsidP="002E368C">
            <w:pPr>
              <w:spacing w:after="0" w:line="240" w:lineRule="auto"/>
              <w:jc w:val="center"/>
              <w:rPr>
                <w:rFonts w:cs="Arial"/>
              </w:rPr>
            </w:pPr>
            <w:r w:rsidRPr="002E368C">
              <w:rPr>
                <w:rFonts w:cs="Arial"/>
              </w:rPr>
              <w:t>6.27</w:t>
            </w:r>
          </w:p>
        </w:tc>
      </w:tr>
      <w:tr w:rsidR="00115458" w:rsidRPr="00D42995" w14:paraId="1E1F73D3"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83E353D" w14:textId="77777777" w:rsidR="00115458" w:rsidRPr="002E368C" w:rsidRDefault="00115458" w:rsidP="002E368C">
            <w:pPr>
              <w:spacing w:after="0" w:line="240" w:lineRule="auto"/>
              <w:rPr>
                <w:rFonts w:cs="Arial"/>
              </w:rPr>
            </w:pPr>
            <w:r w:rsidRPr="002E368C">
              <w:t>Investment body entity sub-type code (new field)</w:t>
            </w:r>
          </w:p>
        </w:tc>
        <w:tc>
          <w:tcPr>
            <w:tcW w:w="685" w:type="pct"/>
            <w:tcBorders>
              <w:top w:val="single" w:sz="4" w:space="0" w:color="auto"/>
              <w:left w:val="nil"/>
              <w:bottom w:val="single" w:sz="4" w:space="0" w:color="auto"/>
              <w:right w:val="single" w:sz="4" w:space="0" w:color="auto"/>
            </w:tcBorders>
            <w:vAlign w:val="center"/>
          </w:tcPr>
          <w:p w14:paraId="758D23B9" w14:textId="77777777" w:rsidR="00115458" w:rsidRPr="002E368C" w:rsidRDefault="00115458" w:rsidP="002E368C">
            <w:pPr>
              <w:spacing w:after="0" w:line="240" w:lineRule="auto"/>
              <w:jc w:val="center"/>
              <w:rPr>
                <w:rFonts w:cs="Arial"/>
              </w:rPr>
            </w:pPr>
            <w:hyperlink w:anchor="d7_049" w:history="1">
              <w:r w:rsidRPr="002E368C">
                <w:rPr>
                  <w:rFonts w:cs="Arial"/>
                </w:rPr>
                <w:t>9.49</w:t>
              </w:r>
            </w:hyperlink>
          </w:p>
        </w:tc>
        <w:tc>
          <w:tcPr>
            <w:tcW w:w="1012" w:type="pct"/>
            <w:tcBorders>
              <w:top w:val="single" w:sz="4" w:space="0" w:color="auto"/>
              <w:left w:val="nil"/>
              <w:bottom w:val="single" w:sz="4" w:space="0" w:color="auto"/>
              <w:right w:val="single" w:sz="4" w:space="0" w:color="auto"/>
            </w:tcBorders>
            <w:noWrap/>
            <w:vAlign w:val="center"/>
          </w:tcPr>
          <w:p w14:paraId="42A063BF" w14:textId="77777777" w:rsidR="00115458" w:rsidRPr="002E368C" w:rsidRDefault="00115458" w:rsidP="002E368C">
            <w:pPr>
              <w:spacing w:after="0" w:line="240" w:lineRule="auto"/>
              <w:jc w:val="center"/>
              <w:rPr>
                <w:rFonts w:cs="Arial"/>
              </w:rPr>
            </w:pPr>
            <w:r w:rsidRPr="002E368C">
              <w:rPr>
                <w:rFonts w:cs="Arial"/>
              </w:rPr>
              <w:t>6.28</w:t>
            </w:r>
          </w:p>
        </w:tc>
      </w:tr>
      <w:tr w:rsidR="00115458" w:rsidRPr="00D42995" w14:paraId="308EA5C3"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7AB2C89" w14:textId="77777777" w:rsidR="00115458" w:rsidRPr="002E368C" w:rsidRDefault="00115458" w:rsidP="002E368C">
            <w:pPr>
              <w:spacing w:after="0" w:line="240" w:lineRule="auto"/>
              <w:rPr>
                <w:rFonts w:cs="Arial"/>
              </w:rPr>
            </w:pPr>
            <w:r w:rsidRPr="002E368C">
              <w:rPr>
                <w:rFonts w:cs="Arial"/>
              </w:rPr>
              <w:t>Filler (Report format indicator)</w:t>
            </w:r>
          </w:p>
        </w:tc>
        <w:tc>
          <w:tcPr>
            <w:tcW w:w="685" w:type="pct"/>
            <w:tcBorders>
              <w:top w:val="single" w:sz="4" w:space="0" w:color="auto"/>
              <w:left w:val="nil"/>
              <w:bottom w:val="single" w:sz="4" w:space="0" w:color="auto"/>
              <w:right w:val="single" w:sz="4" w:space="0" w:color="auto"/>
            </w:tcBorders>
            <w:vAlign w:val="center"/>
          </w:tcPr>
          <w:p w14:paraId="3CD8572A" w14:textId="77777777" w:rsidR="00115458" w:rsidRPr="002E368C" w:rsidRDefault="00115458" w:rsidP="002E368C">
            <w:pPr>
              <w:spacing w:after="0" w:line="240" w:lineRule="auto"/>
              <w:jc w:val="center"/>
              <w:rPr>
                <w:rFonts w:cs="Arial"/>
              </w:rPr>
            </w:pPr>
            <w:r w:rsidRPr="002E368C">
              <w:rPr>
                <w:rFonts w:cs="Arial"/>
              </w:rPr>
              <w:t>9.6</w:t>
            </w:r>
          </w:p>
        </w:tc>
        <w:tc>
          <w:tcPr>
            <w:tcW w:w="1012" w:type="pct"/>
            <w:tcBorders>
              <w:top w:val="single" w:sz="4" w:space="0" w:color="auto"/>
              <w:left w:val="nil"/>
              <w:bottom w:val="single" w:sz="4" w:space="0" w:color="auto"/>
              <w:right w:val="single" w:sz="4" w:space="0" w:color="auto"/>
            </w:tcBorders>
            <w:noWrap/>
            <w:vAlign w:val="center"/>
          </w:tcPr>
          <w:p w14:paraId="5294C677"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02193F12"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B79FE35" w14:textId="77777777" w:rsidR="00115458" w:rsidRPr="002E368C" w:rsidRDefault="00115458" w:rsidP="002E368C">
            <w:pPr>
              <w:spacing w:after="0" w:line="240" w:lineRule="auto"/>
              <w:rPr>
                <w:rFonts w:cs="Arial"/>
              </w:rPr>
            </w:pPr>
            <w:r w:rsidRPr="002E368C">
              <w:rPr>
                <w:rFonts w:cs="Arial"/>
              </w:rPr>
              <w:t>Record identifier</w:t>
            </w:r>
          </w:p>
        </w:tc>
        <w:tc>
          <w:tcPr>
            <w:tcW w:w="685" w:type="pct"/>
            <w:tcBorders>
              <w:top w:val="single" w:sz="4" w:space="0" w:color="auto"/>
              <w:left w:val="nil"/>
              <w:bottom w:val="single" w:sz="4" w:space="0" w:color="auto"/>
              <w:right w:val="single" w:sz="4" w:space="0" w:color="auto"/>
            </w:tcBorders>
            <w:vAlign w:val="center"/>
          </w:tcPr>
          <w:p w14:paraId="421A2553" w14:textId="77777777" w:rsidR="00115458" w:rsidRPr="002E368C" w:rsidRDefault="00115458" w:rsidP="002E368C">
            <w:pPr>
              <w:spacing w:after="0" w:line="240" w:lineRule="auto"/>
              <w:jc w:val="center"/>
              <w:rPr>
                <w:rFonts w:cs="Arial"/>
              </w:rPr>
            </w:pPr>
            <w:r w:rsidRPr="002E368C">
              <w:rPr>
                <w:rFonts w:cs="Arial"/>
              </w:rPr>
              <w:t>9.50</w:t>
            </w:r>
          </w:p>
        </w:tc>
        <w:tc>
          <w:tcPr>
            <w:tcW w:w="1012" w:type="pct"/>
            <w:tcBorders>
              <w:top w:val="single" w:sz="4" w:space="0" w:color="auto"/>
              <w:left w:val="nil"/>
              <w:bottom w:val="single" w:sz="4" w:space="0" w:color="auto"/>
              <w:right w:val="single" w:sz="4" w:space="0" w:color="auto"/>
            </w:tcBorders>
            <w:noWrap/>
            <w:vAlign w:val="center"/>
          </w:tcPr>
          <w:p w14:paraId="0016B48D"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69A34ACD"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D9551B6" w14:textId="77777777" w:rsidR="00115458" w:rsidRPr="002E368C" w:rsidRDefault="00115458" w:rsidP="002E368C">
            <w:pPr>
              <w:spacing w:after="0" w:line="240" w:lineRule="auto"/>
              <w:rPr>
                <w:rFonts w:cs="Arial"/>
              </w:rPr>
            </w:pPr>
            <w:r w:rsidRPr="002E368C">
              <w:rPr>
                <w:rFonts w:cs="Arial"/>
              </w:rPr>
              <w:t>Software product type</w:t>
            </w:r>
          </w:p>
        </w:tc>
        <w:tc>
          <w:tcPr>
            <w:tcW w:w="685" w:type="pct"/>
            <w:tcBorders>
              <w:top w:val="single" w:sz="4" w:space="0" w:color="auto"/>
              <w:left w:val="nil"/>
              <w:bottom w:val="single" w:sz="4" w:space="0" w:color="auto"/>
              <w:right w:val="single" w:sz="4" w:space="0" w:color="auto"/>
            </w:tcBorders>
            <w:vAlign w:val="center"/>
          </w:tcPr>
          <w:p w14:paraId="046C6EC8" w14:textId="77777777" w:rsidR="00115458" w:rsidRPr="002E368C" w:rsidRDefault="00115458" w:rsidP="002E368C">
            <w:pPr>
              <w:spacing w:after="0" w:line="240" w:lineRule="auto"/>
              <w:jc w:val="center"/>
              <w:rPr>
                <w:rFonts w:cs="Arial"/>
              </w:rPr>
            </w:pPr>
            <w:r w:rsidRPr="002E368C">
              <w:rPr>
                <w:rFonts w:cs="Arial"/>
              </w:rPr>
              <w:t>9.51</w:t>
            </w:r>
          </w:p>
        </w:tc>
        <w:tc>
          <w:tcPr>
            <w:tcW w:w="1012" w:type="pct"/>
            <w:tcBorders>
              <w:top w:val="single" w:sz="4" w:space="0" w:color="auto"/>
              <w:left w:val="nil"/>
              <w:bottom w:val="single" w:sz="4" w:space="0" w:color="auto"/>
              <w:right w:val="single" w:sz="4" w:space="0" w:color="auto"/>
            </w:tcBorders>
            <w:noWrap/>
            <w:vAlign w:val="center"/>
          </w:tcPr>
          <w:p w14:paraId="4EE2B0BE"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F3DFD3D"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8799C40" w14:textId="77777777" w:rsidR="00115458" w:rsidRPr="002E368C" w:rsidRDefault="00115458" w:rsidP="002E368C">
            <w:pPr>
              <w:spacing w:after="0" w:line="240" w:lineRule="auto"/>
              <w:rPr>
                <w:rFonts w:cs="Arial"/>
              </w:rPr>
            </w:pPr>
            <w:r w:rsidRPr="002E368C">
              <w:t>Record identifier </w:t>
            </w:r>
          </w:p>
        </w:tc>
        <w:tc>
          <w:tcPr>
            <w:tcW w:w="685" w:type="pct"/>
            <w:tcBorders>
              <w:top w:val="single" w:sz="4" w:space="0" w:color="auto"/>
              <w:left w:val="nil"/>
              <w:bottom w:val="single" w:sz="4" w:space="0" w:color="auto"/>
              <w:right w:val="single" w:sz="4" w:space="0" w:color="auto"/>
            </w:tcBorders>
            <w:vAlign w:val="center"/>
          </w:tcPr>
          <w:p w14:paraId="2C6C0DCE" w14:textId="77777777" w:rsidR="00115458" w:rsidRPr="002E368C" w:rsidRDefault="00115458" w:rsidP="002E368C">
            <w:pPr>
              <w:spacing w:after="0" w:line="240" w:lineRule="auto"/>
              <w:jc w:val="center"/>
              <w:rPr>
                <w:rFonts w:cs="Arial"/>
              </w:rPr>
            </w:pPr>
            <w:hyperlink w:anchor="d7_052" w:history="1">
              <w:r w:rsidRPr="002E368C">
                <w:rPr>
                  <w:rFonts w:cs="Arial"/>
                </w:rPr>
                <w:t>9.52</w:t>
              </w:r>
            </w:hyperlink>
          </w:p>
        </w:tc>
        <w:tc>
          <w:tcPr>
            <w:tcW w:w="1012" w:type="pct"/>
            <w:tcBorders>
              <w:top w:val="single" w:sz="4" w:space="0" w:color="auto"/>
              <w:left w:val="nil"/>
              <w:bottom w:val="single" w:sz="4" w:space="0" w:color="auto"/>
              <w:right w:val="single" w:sz="4" w:space="0" w:color="auto"/>
            </w:tcBorders>
            <w:noWrap/>
            <w:vAlign w:val="center"/>
          </w:tcPr>
          <w:p w14:paraId="485A6769"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66E7022"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828DBB0" w14:textId="77777777" w:rsidR="00115458" w:rsidRPr="002E368C" w:rsidRDefault="00115458" w:rsidP="002E368C">
            <w:pPr>
              <w:spacing w:after="0" w:line="240" w:lineRule="auto"/>
              <w:rPr>
                <w:rFonts w:cs="Arial"/>
              </w:rPr>
            </w:pPr>
            <w:r w:rsidRPr="002E368C">
              <w:t>Sequence number of SLDR record</w:t>
            </w:r>
          </w:p>
        </w:tc>
        <w:tc>
          <w:tcPr>
            <w:tcW w:w="685" w:type="pct"/>
            <w:tcBorders>
              <w:top w:val="single" w:sz="4" w:space="0" w:color="auto"/>
              <w:left w:val="nil"/>
              <w:bottom w:val="single" w:sz="4" w:space="0" w:color="auto"/>
              <w:right w:val="single" w:sz="4" w:space="0" w:color="auto"/>
            </w:tcBorders>
            <w:vAlign w:val="center"/>
          </w:tcPr>
          <w:p w14:paraId="7280B033" w14:textId="77777777" w:rsidR="00115458" w:rsidRPr="002E368C" w:rsidRDefault="00115458" w:rsidP="002E368C">
            <w:pPr>
              <w:spacing w:after="0" w:line="240" w:lineRule="auto"/>
              <w:jc w:val="center"/>
              <w:rPr>
                <w:rFonts w:cs="Arial"/>
              </w:rPr>
            </w:pPr>
            <w:hyperlink w:anchor="d7_053" w:history="1">
              <w:r w:rsidRPr="002E368C">
                <w:rPr>
                  <w:rFonts w:cs="Arial"/>
                </w:rPr>
                <w:t>9.53</w:t>
              </w:r>
            </w:hyperlink>
          </w:p>
        </w:tc>
        <w:tc>
          <w:tcPr>
            <w:tcW w:w="1012" w:type="pct"/>
            <w:tcBorders>
              <w:top w:val="single" w:sz="4" w:space="0" w:color="auto"/>
              <w:left w:val="nil"/>
              <w:bottom w:val="single" w:sz="4" w:space="0" w:color="auto"/>
              <w:right w:val="single" w:sz="4" w:space="0" w:color="auto"/>
            </w:tcBorders>
            <w:noWrap/>
            <w:vAlign w:val="center"/>
          </w:tcPr>
          <w:p w14:paraId="4DF47662"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3B96CFC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5D09CB9" w14:textId="77777777" w:rsidR="00115458" w:rsidRPr="002E368C" w:rsidRDefault="00115458" w:rsidP="002E368C">
            <w:pPr>
              <w:spacing w:after="0" w:line="240" w:lineRule="auto"/>
              <w:rPr>
                <w:rFonts w:cs="Arial"/>
              </w:rPr>
            </w:pPr>
            <w:r w:rsidRPr="002E368C">
              <w:t>Security level action code</w:t>
            </w:r>
          </w:p>
        </w:tc>
        <w:tc>
          <w:tcPr>
            <w:tcW w:w="685" w:type="pct"/>
            <w:tcBorders>
              <w:top w:val="single" w:sz="4" w:space="0" w:color="auto"/>
              <w:left w:val="nil"/>
              <w:bottom w:val="single" w:sz="4" w:space="0" w:color="auto"/>
              <w:right w:val="single" w:sz="4" w:space="0" w:color="auto"/>
            </w:tcBorders>
            <w:vAlign w:val="center"/>
          </w:tcPr>
          <w:p w14:paraId="6F192CE9" w14:textId="2FAF314F" w:rsidR="00115458" w:rsidRPr="002E368C" w:rsidRDefault="00665E74" w:rsidP="002E368C">
            <w:pPr>
              <w:spacing w:after="0" w:line="240" w:lineRule="auto"/>
              <w:jc w:val="center"/>
              <w:rPr>
                <w:rFonts w:cs="Arial"/>
              </w:rPr>
            </w:pPr>
            <w:r>
              <w:rPr>
                <w:rFonts w:cs="Arial"/>
              </w:rPr>
              <w:t>9.56</w:t>
            </w:r>
          </w:p>
        </w:tc>
        <w:tc>
          <w:tcPr>
            <w:tcW w:w="1012" w:type="pct"/>
            <w:tcBorders>
              <w:top w:val="single" w:sz="4" w:space="0" w:color="auto"/>
              <w:left w:val="nil"/>
              <w:bottom w:val="single" w:sz="4" w:space="0" w:color="auto"/>
              <w:right w:val="single" w:sz="4" w:space="0" w:color="auto"/>
            </w:tcBorders>
            <w:noWrap/>
            <w:vAlign w:val="center"/>
          </w:tcPr>
          <w:p w14:paraId="33DCE054" w14:textId="77777777" w:rsidR="00115458" w:rsidRPr="002E368C" w:rsidRDefault="00115458" w:rsidP="002E368C">
            <w:pPr>
              <w:spacing w:after="0" w:line="240" w:lineRule="auto"/>
              <w:jc w:val="center"/>
              <w:rPr>
                <w:rFonts w:cs="Arial"/>
              </w:rPr>
            </w:pPr>
            <w:r w:rsidRPr="002E368C">
              <w:rPr>
                <w:rFonts w:cs="Arial"/>
              </w:rPr>
              <w:t>6.31</w:t>
            </w:r>
          </w:p>
        </w:tc>
      </w:tr>
      <w:tr w:rsidR="00115458" w:rsidRPr="00D42995" w14:paraId="00224B0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3AD05C4" w14:textId="77777777" w:rsidR="00115458" w:rsidRPr="002E368C" w:rsidRDefault="00115458" w:rsidP="002E368C">
            <w:pPr>
              <w:spacing w:after="0" w:line="240" w:lineRule="auto"/>
              <w:rPr>
                <w:rFonts w:cs="Arial"/>
              </w:rPr>
            </w:pPr>
            <w:r w:rsidRPr="002E368C">
              <w:t xml:space="preserve">Date </w:t>
            </w:r>
          </w:p>
        </w:tc>
        <w:tc>
          <w:tcPr>
            <w:tcW w:w="685" w:type="pct"/>
            <w:tcBorders>
              <w:top w:val="single" w:sz="4" w:space="0" w:color="auto"/>
              <w:left w:val="nil"/>
              <w:bottom w:val="single" w:sz="4" w:space="0" w:color="auto"/>
              <w:right w:val="single" w:sz="4" w:space="0" w:color="auto"/>
            </w:tcBorders>
            <w:vAlign w:val="center"/>
          </w:tcPr>
          <w:p w14:paraId="3FC30433" w14:textId="63718F39" w:rsidR="00115458" w:rsidRPr="002E368C" w:rsidRDefault="00665E74" w:rsidP="002E368C">
            <w:pPr>
              <w:spacing w:after="0" w:line="240" w:lineRule="auto"/>
              <w:jc w:val="center"/>
              <w:rPr>
                <w:rFonts w:cs="Arial"/>
              </w:rPr>
            </w:pPr>
            <w:hyperlink w:anchor="d7_055" w:history="1">
              <w:r>
                <w:rPr>
                  <w:rFonts w:cs="Arial"/>
                </w:rPr>
                <w:t>9.57</w:t>
              </w:r>
            </w:hyperlink>
          </w:p>
        </w:tc>
        <w:tc>
          <w:tcPr>
            <w:tcW w:w="1012" w:type="pct"/>
            <w:tcBorders>
              <w:top w:val="single" w:sz="4" w:space="0" w:color="auto"/>
              <w:left w:val="nil"/>
              <w:bottom w:val="single" w:sz="4" w:space="0" w:color="auto"/>
              <w:right w:val="single" w:sz="4" w:space="0" w:color="auto"/>
            </w:tcBorders>
            <w:noWrap/>
            <w:vAlign w:val="center"/>
          </w:tcPr>
          <w:p w14:paraId="3784E3C2" w14:textId="77777777" w:rsidR="00115458" w:rsidRPr="002E368C" w:rsidRDefault="00115458" w:rsidP="002E368C">
            <w:pPr>
              <w:spacing w:after="0" w:line="240" w:lineRule="auto"/>
              <w:jc w:val="center"/>
              <w:rPr>
                <w:rFonts w:cs="Arial"/>
              </w:rPr>
            </w:pPr>
            <w:r w:rsidRPr="002E368C">
              <w:rPr>
                <w:rFonts w:cs="Arial"/>
              </w:rPr>
              <w:t>6.32</w:t>
            </w:r>
          </w:p>
        </w:tc>
      </w:tr>
      <w:tr w:rsidR="00115458" w:rsidRPr="00D42995" w14:paraId="5B944E7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EA59600" w14:textId="77777777" w:rsidR="00115458" w:rsidRPr="002E368C" w:rsidRDefault="00115458" w:rsidP="002E368C">
            <w:pPr>
              <w:spacing w:after="0" w:line="240" w:lineRule="auto"/>
              <w:rPr>
                <w:rFonts w:cs="Arial"/>
              </w:rPr>
            </w:pPr>
            <w:r w:rsidRPr="002E368C">
              <w:t xml:space="preserve">Identifier type </w:t>
            </w:r>
          </w:p>
        </w:tc>
        <w:tc>
          <w:tcPr>
            <w:tcW w:w="685" w:type="pct"/>
            <w:tcBorders>
              <w:top w:val="single" w:sz="4" w:space="0" w:color="auto"/>
              <w:left w:val="nil"/>
              <w:bottom w:val="single" w:sz="4" w:space="0" w:color="auto"/>
              <w:right w:val="single" w:sz="4" w:space="0" w:color="auto"/>
            </w:tcBorders>
            <w:vAlign w:val="center"/>
          </w:tcPr>
          <w:p w14:paraId="71784FE5" w14:textId="57285250" w:rsidR="00115458" w:rsidRPr="002E368C" w:rsidRDefault="00665E74" w:rsidP="002E368C">
            <w:pPr>
              <w:spacing w:after="0" w:line="240" w:lineRule="auto"/>
              <w:jc w:val="center"/>
              <w:rPr>
                <w:rFonts w:cs="Arial"/>
              </w:rPr>
            </w:pPr>
            <w:hyperlink w:anchor="d7_056" w:history="1">
              <w:r>
                <w:rPr>
                  <w:rFonts w:cs="Arial"/>
                </w:rPr>
                <w:t>9.58</w:t>
              </w:r>
            </w:hyperlink>
          </w:p>
        </w:tc>
        <w:tc>
          <w:tcPr>
            <w:tcW w:w="1012" w:type="pct"/>
            <w:tcBorders>
              <w:top w:val="single" w:sz="4" w:space="0" w:color="auto"/>
              <w:left w:val="nil"/>
              <w:bottom w:val="single" w:sz="4" w:space="0" w:color="auto"/>
              <w:right w:val="single" w:sz="4" w:space="0" w:color="auto"/>
            </w:tcBorders>
            <w:noWrap/>
            <w:vAlign w:val="center"/>
          </w:tcPr>
          <w:p w14:paraId="2F9E00E0" w14:textId="77777777" w:rsidR="00115458" w:rsidRPr="002E368C" w:rsidRDefault="00115458" w:rsidP="002E368C">
            <w:pPr>
              <w:spacing w:after="0" w:line="240" w:lineRule="auto"/>
              <w:jc w:val="center"/>
              <w:rPr>
                <w:rFonts w:cs="Arial"/>
              </w:rPr>
            </w:pPr>
            <w:r w:rsidRPr="002E368C">
              <w:rPr>
                <w:rFonts w:cs="Arial"/>
              </w:rPr>
              <w:t>6.33</w:t>
            </w:r>
          </w:p>
        </w:tc>
      </w:tr>
      <w:tr w:rsidR="00115458" w:rsidRPr="00D42995" w14:paraId="54BFE9E8"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3922050" w14:textId="77777777" w:rsidR="00115458" w:rsidRPr="002E368C" w:rsidRDefault="00115458" w:rsidP="002E368C">
            <w:pPr>
              <w:spacing w:after="0" w:line="240" w:lineRule="auto"/>
              <w:rPr>
                <w:rFonts w:cs="Arial"/>
              </w:rPr>
            </w:pPr>
            <w:r w:rsidRPr="002E368C">
              <w:t>Identifier</w:t>
            </w:r>
          </w:p>
        </w:tc>
        <w:tc>
          <w:tcPr>
            <w:tcW w:w="685" w:type="pct"/>
            <w:tcBorders>
              <w:top w:val="single" w:sz="4" w:space="0" w:color="auto"/>
              <w:left w:val="nil"/>
              <w:bottom w:val="single" w:sz="4" w:space="0" w:color="auto"/>
              <w:right w:val="single" w:sz="4" w:space="0" w:color="auto"/>
            </w:tcBorders>
            <w:vAlign w:val="center"/>
          </w:tcPr>
          <w:p w14:paraId="77EE800A" w14:textId="1F31BC7E" w:rsidR="00115458" w:rsidRPr="002E368C" w:rsidRDefault="00665E74" w:rsidP="002E368C">
            <w:pPr>
              <w:spacing w:after="0" w:line="240" w:lineRule="auto"/>
              <w:jc w:val="center"/>
              <w:rPr>
                <w:rFonts w:cs="Arial"/>
              </w:rPr>
            </w:pPr>
            <w:r>
              <w:rPr>
                <w:rFonts w:cs="Arial"/>
              </w:rPr>
              <w:t>9.59</w:t>
            </w:r>
          </w:p>
        </w:tc>
        <w:tc>
          <w:tcPr>
            <w:tcW w:w="1012" w:type="pct"/>
            <w:tcBorders>
              <w:top w:val="single" w:sz="4" w:space="0" w:color="auto"/>
              <w:left w:val="nil"/>
              <w:bottom w:val="single" w:sz="4" w:space="0" w:color="auto"/>
              <w:right w:val="single" w:sz="4" w:space="0" w:color="auto"/>
            </w:tcBorders>
            <w:noWrap/>
            <w:vAlign w:val="center"/>
          </w:tcPr>
          <w:p w14:paraId="13B2FDD1" w14:textId="77777777" w:rsidR="00115458" w:rsidRPr="002E368C" w:rsidRDefault="00115458" w:rsidP="002E368C">
            <w:pPr>
              <w:spacing w:after="0" w:line="240" w:lineRule="auto"/>
              <w:jc w:val="center"/>
              <w:rPr>
                <w:rFonts w:cs="Arial"/>
              </w:rPr>
            </w:pPr>
            <w:r w:rsidRPr="002E368C">
              <w:rPr>
                <w:rFonts w:cs="Arial"/>
              </w:rPr>
              <w:t>6.34</w:t>
            </w:r>
          </w:p>
        </w:tc>
      </w:tr>
      <w:tr w:rsidR="00115458" w:rsidRPr="00D42995" w14:paraId="249EE7A6"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17D3ED9" w14:textId="77777777" w:rsidR="00115458" w:rsidRPr="002E368C" w:rsidRDefault="00115458" w:rsidP="002E368C">
            <w:pPr>
              <w:spacing w:after="0" w:line="240" w:lineRule="auto"/>
              <w:rPr>
                <w:rFonts w:cs="Arial"/>
              </w:rPr>
            </w:pPr>
            <w:r w:rsidRPr="002E368C">
              <w:rPr>
                <w:rFonts w:cs="Arial"/>
              </w:rPr>
              <w:t>Identifier cost base percentage</w:t>
            </w:r>
          </w:p>
        </w:tc>
        <w:tc>
          <w:tcPr>
            <w:tcW w:w="685" w:type="pct"/>
            <w:tcBorders>
              <w:top w:val="single" w:sz="4" w:space="0" w:color="auto"/>
              <w:left w:val="nil"/>
              <w:bottom w:val="single" w:sz="4" w:space="0" w:color="auto"/>
              <w:right w:val="single" w:sz="4" w:space="0" w:color="auto"/>
            </w:tcBorders>
            <w:vAlign w:val="center"/>
          </w:tcPr>
          <w:p w14:paraId="1CE0F54F" w14:textId="77777777" w:rsidR="00115458" w:rsidRPr="002E368C" w:rsidRDefault="00115458" w:rsidP="002E368C">
            <w:pPr>
              <w:spacing w:after="0" w:line="240" w:lineRule="auto"/>
              <w:jc w:val="center"/>
              <w:rPr>
                <w:rFonts w:cs="Arial"/>
              </w:rPr>
            </w:pPr>
            <w:r w:rsidRPr="002E368C">
              <w:rPr>
                <w:rFonts w:cs="Arial"/>
              </w:rPr>
              <w:t>9.58</w:t>
            </w:r>
          </w:p>
        </w:tc>
        <w:tc>
          <w:tcPr>
            <w:tcW w:w="1012" w:type="pct"/>
            <w:tcBorders>
              <w:top w:val="single" w:sz="4" w:space="0" w:color="auto"/>
              <w:left w:val="nil"/>
              <w:bottom w:val="single" w:sz="4" w:space="0" w:color="auto"/>
              <w:right w:val="single" w:sz="4" w:space="0" w:color="auto"/>
            </w:tcBorders>
            <w:noWrap/>
            <w:vAlign w:val="center"/>
          </w:tcPr>
          <w:p w14:paraId="7D2F8F71" w14:textId="77777777" w:rsidR="00115458" w:rsidRPr="002E368C" w:rsidRDefault="00115458" w:rsidP="002E368C">
            <w:pPr>
              <w:spacing w:after="0" w:line="240" w:lineRule="auto"/>
              <w:jc w:val="center"/>
              <w:rPr>
                <w:rFonts w:cs="Arial"/>
              </w:rPr>
            </w:pPr>
            <w:r w:rsidRPr="002E368C">
              <w:rPr>
                <w:rFonts w:cs="Arial"/>
              </w:rPr>
              <w:t>6.35</w:t>
            </w:r>
          </w:p>
        </w:tc>
      </w:tr>
      <w:tr w:rsidR="00115458" w:rsidRPr="00D42995" w14:paraId="5441CF5A"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F29A00C" w14:textId="77777777" w:rsidR="00115458" w:rsidRPr="002E368C" w:rsidRDefault="00115458" w:rsidP="002E368C">
            <w:pPr>
              <w:spacing w:after="0" w:line="240" w:lineRule="auto"/>
              <w:rPr>
                <w:rFonts w:cs="Arial"/>
              </w:rPr>
            </w:pPr>
            <w:r w:rsidRPr="002E368C">
              <w:rPr>
                <w:rFonts w:cs="Arial"/>
              </w:rPr>
              <w:t xml:space="preserve">Record identifier </w:t>
            </w:r>
          </w:p>
        </w:tc>
        <w:tc>
          <w:tcPr>
            <w:tcW w:w="685" w:type="pct"/>
            <w:tcBorders>
              <w:top w:val="single" w:sz="4" w:space="0" w:color="auto"/>
              <w:left w:val="nil"/>
              <w:bottom w:val="single" w:sz="4" w:space="0" w:color="auto"/>
              <w:right w:val="single" w:sz="4" w:space="0" w:color="auto"/>
            </w:tcBorders>
            <w:vAlign w:val="center"/>
          </w:tcPr>
          <w:p w14:paraId="7AEDD6E7" w14:textId="77777777" w:rsidR="00115458" w:rsidRPr="002E368C" w:rsidRDefault="00115458" w:rsidP="002E368C">
            <w:pPr>
              <w:spacing w:after="0" w:line="240" w:lineRule="auto"/>
              <w:jc w:val="center"/>
              <w:rPr>
                <w:rFonts w:cs="Arial"/>
              </w:rPr>
            </w:pPr>
            <w:r w:rsidRPr="002E368C">
              <w:rPr>
                <w:rFonts w:cs="Arial"/>
              </w:rPr>
              <w:t>9.59</w:t>
            </w:r>
          </w:p>
        </w:tc>
        <w:tc>
          <w:tcPr>
            <w:tcW w:w="1012" w:type="pct"/>
            <w:tcBorders>
              <w:top w:val="single" w:sz="4" w:space="0" w:color="auto"/>
              <w:left w:val="nil"/>
              <w:bottom w:val="single" w:sz="4" w:space="0" w:color="auto"/>
              <w:right w:val="single" w:sz="4" w:space="0" w:color="auto"/>
            </w:tcBorders>
            <w:noWrap/>
            <w:vAlign w:val="center"/>
          </w:tcPr>
          <w:p w14:paraId="115A6783"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491772B9"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BBC8376" w14:textId="77777777" w:rsidR="00115458" w:rsidRPr="002E368C" w:rsidRDefault="00115458" w:rsidP="002E368C">
            <w:pPr>
              <w:spacing w:after="0" w:line="240" w:lineRule="auto"/>
              <w:rPr>
                <w:rFonts w:cs="Arial"/>
              </w:rPr>
            </w:pPr>
            <w:r w:rsidRPr="002E368C">
              <w:rPr>
                <w:rFonts w:cs="Arial"/>
              </w:rPr>
              <w:t>Sequence number of DACCOUNT record</w:t>
            </w:r>
          </w:p>
        </w:tc>
        <w:tc>
          <w:tcPr>
            <w:tcW w:w="685" w:type="pct"/>
            <w:tcBorders>
              <w:top w:val="single" w:sz="4" w:space="0" w:color="auto"/>
              <w:left w:val="nil"/>
              <w:bottom w:val="single" w:sz="4" w:space="0" w:color="auto"/>
              <w:right w:val="single" w:sz="4" w:space="0" w:color="auto"/>
            </w:tcBorders>
            <w:vAlign w:val="center"/>
          </w:tcPr>
          <w:p w14:paraId="0A0C48EC" w14:textId="77777777" w:rsidR="00115458" w:rsidRPr="002E368C" w:rsidRDefault="00115458" w:rsidP="002E368C">
            <w:pPr>
              <w:spacing w:after="0" w:line="240" w:lineRule="auto"/>
              <w:jc w:val="center"/>
              <w:rPr>
                <w:rFonts w:cs="Arial"/>
              </w:rPr>
            </w:pPr>
            <w:hyperlink w:anchor="d7_059" w:history="1">
              <w:r w:rsidRPr="002E368C">
                <w:rPr>
                  <w:rFonts w:cs="Arial"/>
                </w:rPr>
                <w:t>9.62</w:t>
              </w:r>
            </w:hyperlink>
          </w:p>
        </w:tc>
        <w:tc>
          <w:tcPr>
            <w:tcW w:w="1012" w:type="pct"/>
            <w:tcBorders>
              <w:top w:val="single" w:sz="4" w:space="0" w:color="auto"/>
              <w:left w:val="nil"/>
              <w:bottom w:val="single" w:sz="4" w:space="0" w:color="auto"/>
              <w:right w:val="single" w:sz="4" w:space="0" w:color="auto"/>
            </w:tcBorders>
            <w:noWrap/>
            <w:vAlign w:val="center"/>
          </w:tcPr>
          <w:p w14:paraId="14562D60"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6CC948C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398FB8D" w14:textId="77777777" w:rsidR="00115458" w:rsidRPr="002E368C" w:rsidRDefault="00115458" w:rsidP="002E368C">
            <w:pPr>
              <w:spacing w:after="0" w:line="240" w:lineRule="auto"/>
              <w:rPr>
                <w:rFonts w:cs="Arial"/>
              </w:rPr>
            </w:pPr>
            <w:r w:rsidRPr="002E368C">
              <w:rPr>
                <w:rFonts w:cs="Arial"/>
              </w:rPr>
              <w:t>Investment reference number</w:t>
            </w:r>
          </w:p>
        </w:tc>
        <w:tc>
          <w:tcPr>
            <w:tcW w:w="685" w:type="pct"/>
            <w:tcBorders>
              <w:top w:val="single" w:sz="4" w:space="0" w:color="auto"/>
              <w:left w:val="nil"/>
              <w:bottom w:val="single" w:sz="4" w:space="0" w:color="auto"/>
              <w:right w:val="single" w:sz="4" w:space="0" w:color="auto"/>
            </w:tcBorders>
            <w:vAlign w:val="center"/>
          </w:tcPr>
          <w:p w14:paraId="3EF7099E" w14:textId="77777777" w:rsidR="00115458" w:rsidRPr="002E368C" w:rsidRDefault="00115458" w:rsidP="002E368C">
            <w:pPr>
              <w:spacing w:after="0" w:line="240" w:lineRule="auto"/>
              <w:jc w:val="center"/>
              <w:rPr>
                <w:rFonts w:cs="Arial"/>
              </w:rPr>
            </w:pPr>
            <w:hyperlink w:anchor="d7_060" w:history="1">
              <w:r w:rsidRPr="002E368C">
                <w:rPr>
                  <w:rFonts w:cs="Arial"/>
                </w:rPr>
                <w:t>9.63</w:t>
              </w:r>
            </w:hyperlink>
          </w:p>
        </w:tc>
        <w:tc>
          <w:tcPr>
            <w:tcW w:w="1012" w:type="pct"/>
            <w:tcBorders>
              <w:top w:val="single" w:sz="4" w:space="0" w:color="auto"/>
              <w:left w:val="nil"/>
              <w:bottom w:val="single" w:sz="4" w:space="0" w:color="auto"/>
              <w:right w:val="single" w:sz="4" w:space="0" w:color="auto"/>
            </w:tcBorders>
            <w:noWrap/>
            <w:vAlign w:val="center"/>
          </w:tcPr>
          <w:p w14:paraId="2638D17C" w14:textId="77777777" w:rsidR="00115458" w:rsidRPr="002E368C" w:rsidRDefault="00115458" w:rsidP="002E368C">
            <w:pPr>
              <w:spacing w:after="0" w:line="240" w:lineRule="auto"/>
              <w:jc w:val="center"/>
              <w:rPr>
                <w:rFonts w:cs="Arial"/>
              </w:rPr>
            </w:pPr>
            <w:hyperlink w:anchor="d6_060" w:history="1">
              <w:r w:rsidRPr="002E368C">
                <w:rPr>
                  <w:rFonts w:cs="Arial"/>
                </w:rPr>
                <w:t>6.62</w:t>
              </w:r>
            </w:hyperlink>
          </w:p>
        </w:tc>
      </w:tr>
      <w:tr w:rsidR="00115458" w:rsidRPr="00D42995" w14:paraId="7EA0965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0F9E61E" w14:textId="77777777" w:rsidR="00115458" w:rsidRPr="002E368C" w:rsidRDefault="00115458" w:rsidP="002E368C">
            <w:pPr>
              <w:spacing w:after="0" w:line="240" w:lineRule="auto"/>
              <w:rPr>
                <w:rFonts w:cs="Arial"/>
              </w:rPr>
            </w:pPr>
            <w:r w:rsidRPr="002E368C">
              <w:rPr>
                <w:rFonts w:cs="Arial"/>
              </w:rPr>
              <w:t>Account reference number</w:t>
            </w:r>
          </w:p>
        </w:tc>
        <w:tc>
          <w:tcPr>
            <w:tcW w:w="685" w:type="pct"/>
            <w:tcBorders>
              <w:top w:val="single" w:sz="4" w:space="0" w:color="auto"/>
              <w:left w:val="nil"/>
              <w:bottom w:val="single" w:sz="4" w:space="0" w:color="auto"/>
              <w:right w:val="single" w:sz="4" w:space="0" w:color="auto"/>
            </w:tcBorders>
            <w:vAlign w:val="center"/>
          </w:tcPr>
          <w:p w14:paraId="0DFDCF10" w14:textId="77777777" w:rsidR="00115458" w:rsidRPr="002E368C" w:rsidRDefault="00115458" w:rsidP="002E368C">
            <w:pPr>
              <w:spacing w:after="0" w:line="240" w:lineRule="auto"/>
              <w:jc w:val="center"/>
              <w:rPr>
                <w:rFonts w:cs="Arial"/>
              </w:rPr>
            </w:pPr>
            <w:hyperlink w:anchor="d7_061" w:history="1">
              <w:r w:rsidRPr="002E368C">
                <w:rPr>
                  <w:rFonts w:cs="Arial"/>
                </w:rPr>
                <w:t>9.64</w:t>
              </w:r>
            </w:hyperlink>
          </w:p>
        </w:tc>
        <w:tc>
          <w:tcPr>
            <w:tcW w:w="1012" w:type="pct"/>
            <w:tcBorders>
              <w:top w:val="single" w:sz="4" w:space="0" w:color="auto"/>
              <w:left w:val="nil"/>
              <w:bottom w:val="single" w:sz="4" w:space="0" w:color="auto"/>
              <w:right w:val="single" w:sz="4" w:space="0" w:color="auto"/>
            </w:tcBorders>
            <w:noWrap/>
            <w:vAlign w:val="center"/>
          </w:tcPr>
          <w:p w14:paraId="5CFD5B33" w14:textId="77777777" w:rsidR="00115458" w:rsidRPr="002E368C" w:rsidRDefault="00115458" w:rsidP="002E368C">
            <w:pPr>
              <w:spacing w:after="0" w:line="240" w:lineRule="auto"/>
              <w:jc w:val="center"/>
              <w:rPr>
                <w:rFonts w:cs="Arial"/>
              </w:rPr>
            </w:pPr>
            <w:r w:rsidRPr="002E368C">
              <w:rPr>
                <w:rFonts w:cs="Arial"/>
              </w:rPr>
              <w:t>6.64</w:t>
            </w:r>
          </w:p>
        </w:tc>
      </w:tr>
      <w:tr w:rsidR="00115458" w:rsidRPr="00D42995" w14:paraId="1EC61B02"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1B3A167" w14:textId="77777777" w:rsidR="00115458" w:rsidRPr="002E368C" w:rsidRDefault="00115458" w:rsidP="002E368C">
            <w:pPr>
              <w:spacing w:after="0" w:line="240" w:lineRule="auto"/>
              <w:rPr>
                <w:rFonts w:cs="Arial"/>
              </w:rPr>
            </w:pPr>
            <w:r w:rsidRPr="002E368C">
              <w:rPr>
                <w:rFonts w:cs="Arial"/>
              </w:rPr>
              <w:t>BSB number</w:t>
            </w:r>
          </w:p>
        </w:tc>
        <w:tc>
          <w:tcPr>
            <w:tcW w:w="685" w:type="pct"/>
            <w:tcBorders>
              <w:top w:val="single" w:sz="4" w:space="0" w:color="auto"/>
              <w:left w:val="nil"/>
              <w:bottom w:val="single" w:sz="4" w:space="0" w:color="auto"/>
              <w:right w:val="single" w:sz="4" w:space="0" w:color="auto"/>
            </w:tcBorders>
            <w:vAlign w:val="center"/>
          </w:tcPr>
          <w:p w14:paraId="1343CF8D" w14:textId="77777777" w:rsidR="00115458" w:rsidRPr="002E368C" w:rsidRDefault="00115458" w:rsidP="002E368C">
            <w:pPr>
              <w:spacing w:after="0" w:line="240" w:lineRule="auto"/>
              <w:jc w:val="center"/>
              <w:rPr>
                <w:rFonts w:cs="Arial"/>
              </w:rPr>
            </w:pPr>
            <w:hyperlink w:anchor="d7_062" w:history="1">
              <w:r w:rsidRPr="002E368C">
                <w:rPr>
                  <w:rFonts w:cs="Arial"/>
                </w:rPr>
                <w:t>9.65</w:t>
              </w:r>
            </w:hyperlink>
          </w:p>
        </w:tc>
        <w:tc>
          <w:tcPr>
            <w:tcW w:w="1012" w:type="pct"/>
            <w:tcBorders>
              <w:top w:val="single" w:sz="4" w:space="0" w:color="auto"/>
              <w:left w:val="nil"/>
              <w:bottom w:val="single" w:sz="4" w:space="0" w:color="auto"/>
              <w:right w:val="single" w:sz="4" w:space="0" w:color="auto"/>
            </w:tcBorders>
            <w:noWrap/>
            <w:vAlign w:val="center"/>
          </w:tcPr>
          <w:p w14:paraId="2B7E13B0" w14:textId="77777777" w:rsidR="00115458" w:rsidRPr="002E368C" w:rsidRDefault="00115458" w:rsidP="002E368C">
            <w:pPr>
              <w:spacing w:after="0" w:line="240" w:lineRule="auto"/>
              <w:jc w:val="center"/>
              <w:rPr>
                <w:rFonts w:cs="Arial"/>
              </w:rPr>
            </w:pPr>
            <w:r w:rsidRPr="002E368C">
              <w:rPr>
                <w:rFonts w:cs="Arial"/>
              </w:rPr>
              <w:t>6.65</w:t>
            </w:r>
          </w:p>
        </w:tc>
      </w:tr>
      <w:tr w:rsidR="00115458" w:rsidRPr="00D42995" w14:paraId="1D445AD4"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106EDED" w14:textId="77777777" w:rsidR="00115458" w:rsidRPr="002E368C" w:rsidRDefault="00115458" w:rsidP="002E368C">
            <w:pPr>
              <w:spacing w:after="0" w:line="240" w:lineRule="auto"/>
              <w:rPr>
                <w:rFonts w:cs="Arial"/>
              </w:rPr>
            </w:pPr>
            <w:r w:rsidRPr="002E368C">
              <w:rPr>
                <w:rFonts w:cs="Arial"/>
              </w:rPr>
              <w:t>Branch location</w:t>
            </w:r>
          </w:p>
        </w:tc>
        <w:tc>
          <w:tcPr>
            <w:tcW w:w="685" w:type="pct"/>
            <w:tcBorders>
              <w:top w:val="single" w:sz="4" w:space="0" w:color="auto"/>
              <w:left w:val="nil"/>
              <w:bottom w:val="single" w:sz="4" w:space="0" w:color="auto"/>
              <w:right w:val="single" w:sz="4" w:space="0" w:color="auto"/>
            </w:tcBorders>
            <w:vAlign w:val="center"/>
          </w:tcPr>
          <w:p w14:paraId="71E25A89" w14:textId="77777777" w:rsidR="00115458" w:rsidRPr="002E368C" w:rsidRDefault="00115458" w:rsidP="002E368C">
            <w:pPr>
              <w:spacing w:after="0" w:line="240" w:lineRule="auto"/>
              <w:jc w:val="center"/>
              <w:rPr>
                <w:rFonts w:cs="Arial"/>
              </w:rPr>
            </w:pPr>
            <w:hyperlink w:anchor="d7_063" w:history="1">
              <w:r w:rsidRPr="002E368C">
                <w:rPr>
                  <w:rFonts w:cs="Arial"/>
                </w:rPr>
                <w:t>9.66</w:t>
              </w:r>
            </w:hyperlink>
          </w:p>
        </w:tc>
        <w:tc>
          <w:tcPr>
            <w:tcW w:w="1012" w:type="pct"/>
            <w:tcBorders>
              <w:top w:val="single" w:sz="4" w:space="0" w:color="auto"/>
              <w:left w:val="nil"/>
              <w:bottom w:val="single" w:sz="4" w:space="0" w:color="auto"/>
              <w:right w:val="single" w:sz="4" w:space="0" w:color="auto"/>
            </w:tcBorders>
            <w:noWrap/>
            <w:vAlign w:val="center"/>
          </w:tcPr>
          <w:p w14:paraId="13B837E0" w14:textId="77777777" w:rsidR="00115458" w:rsidRPr="002E368C" w:rsidRDefault="00115458" w:rsidP="002E368C">
            <w:pPr>
              <w:spacing w:after="0" w:line="240" w:lineRule="auto"/>
              <w:jc w:val="center"/>
              <w:rPr>
                <w:rFonts w:cs="Arial"/>
              </w:rPr>
            </w:pPr>
            <w:r w:rsidRPr="002E368C">
              <w:rPr>
                <w:rFonts w:cs="Arial"/>
              </w:rPr>
              <w:t>na</w:t>
            </w:r>
          </w:p>
        </w:tc>
      </w:tr>
      <w:tr w:rsidR="00115458" w:rsidRPr="00D42995" w14:paraId="252C0284"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25D314F" w14:textId="77777777" w:rsidR="00115458" w:rsidRPr="002E368C" w:rsidRDefault="00115458" w:rsidP="002E368C">
            <w:pPr>
              <w:spacing w:after="0" w:line="240" w:lineRule="auto"/>
              <w:rPr>
                <w:rFonts w:cs="Arial"/>
              </w:rPr>
            </w:pPr>
            <w:r w:rsidRPr="002E368C">
              <w:rPr>
                <w:rFonts w:cs="Arial"/>
              </w:rPr>
              <w:t>Account name</w:t>
            </w:r>
          </w:p>
        </w:tc>
        <w:tc>
          <w:tcPr>
            <w:tcW w:w="685" w:type="pct"/>
            <w:tcBorders>
              <w:top w:val="single" w:sz="4" w:space="0" w:color="auto"/>
              <w:left w:val="nil"/>
              <w:bottom w:val="single" w:sz="4" w:space="0" w:color="auto"/>
              <w:right w:val="single" w:sz="4" w:space="0" w:color="auto"/>
            </w:tcBorders>
            <w:vAlign w:val="center"/>
          </w:tcPr>
          <w:p w14:paraId="2C3989AE" w14:textId="77777777" w:rsidR="00115458" w:rsidRPr="002E368C" w:rsidRDefault="00115458" w:rsidP="002E368C">
            <w:pPr>
              <w:spacing w:after="0" w:line="240" w:lineRule="auto"/>
              <w:jc w:val="center"/>
              <w:rPr>
                <w:rFonts w:cs="Arial"/>
              </w:rPr>
            </w:pPr>
            <w:hyperlink w:anchor="d7_064" w:history="1">
              <w:r w:rsidRPr="002E368C">
                <w:rPr>
                  <w:rFonts w:cs="Arial"/>
                </w:rPr>
                <w:t>9.67</w:t>
              </w:r>
            </w:hyperlink>
          </w:p>
        </w:tc>
        <w:tc>
          <w:tcPr>
            <w:tcW w:w="1012" w:type="pct"/>
            <w:tcBorders>
              <w:top w:val="single" w:sz="4" w:space="0" w:color="auto"/>
              <w:left w:val="nil"/>
              <w:bottom w:val="single" w:sz="4" w:space="0" w:color="auto"/>
              <w:right w:val="single" w:sz="4" w:space="0" w:color="auto"/>
            </w:tcBorders>
            <w:noWrap/>
            <w:vAlign w:val="center"/>
          </w:tcPr>
          <w:p w14:paraId="366393DB" w14:textId="77777777" w:rsidR="00115458" w:rsidRPr="002E368C" w:rsidRDefault="00115458" w:rsidP="002E368C">
            <w:pPr>
              <w:spacing w:after="0" w:line="240" w:lineRule="auto"/>
              <w:jc w:val="center"/>
              <w:rPr>
                <w:rFonts w:cs="Arial"/>
              </w:rPr>
            </w:pPr>
            <w:r w:rsidRPr="002E368C">
              <w:rPr>
                <w:rFonts w:cs="Arial"/>
              </w:rPr>
              <w:t>6.66</w:t>
            </w:r>
          </w:p>
        </w:tc>
      </w:tr>
      <w:tr w:rsidR="00115458" w:rsidRPr="00D42995" w14:paraId="474403BE"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4694025" w14:textId="77777777" w:rsidR="00115458" w:rsidRPr="002E368C" w:rsidRDefault="00115458" w:rsidP="002E368C">
            <w:pPr>
              <w:spacing w:after="0" w:line="240" w:lineRule="auto"/>
              <w:rPr>
                <w:rFonts w:cs="Arial"/>
              </w:rPr>
            </w:pPr>
            <w:r w:rsidRPr="002E368C">
              <w:rPr>
                <w:rFonts w:cs="Arial"/>
              </w:rPr>
              <w:t>Number of investors in the account</w:t>
            </w:r>
          </w:p>
        </w:tc>
        <w:tc>
          <w:tcPr>
            <w:tcW w:w="685" w:type="pct"/>
            <w:tcBorders>
              <w:top w:val="single" w:sz="4" w:space="0" w:color="auto"/>
              <w:left w:val="nil"/>
              <w:bottom w:val="single" w:sz="4" w:space="0" w:color="auto"/>
              <w:right w:val="single" w:sz="4" w:space="0" w:color="auto"/>
            </w:tcBorders>
            <w:vAlign w:val="center"/>
          </w:tcPr>
          <w:p w14:paraId="74CE9C23" w14:textId="77777777" w:rsidR="00115458" w:rsidRPr="002E368C" w:rsidRDefault="00115458" w:rsidP="002E368C">
            <w:pPr>
              <w:spacing w:after="0" w:line="240" w:lineRule="auto"/>
              <w:jc w:val="center"/>
              <w:rPr>
                <w:rFonts w:cs="Arial"/>
              </w:rPr>
            </w:pPr>
            <w:hyperlink w:anchor="d7_065" w:history="1">
              <w:r w:rsidRPr="002E368C">
                <w:rPr>
                  <w:rFonts w:cs="Arial"/>
                </w:rPr>
                <w:t>9.68</w:t>
              </w:r>
            </w:hyperlink>
          </w:p>
        </w:tc>
        <w:tc>
          <w:tcPr>
            <w:tcW w:w="1012" w:type="pct"/>
            <w:tcBorders>
              <w:top w:val="single" w:sz="4" w:space="0" w:color="auto"/>
              <w:left w:val="nil"/>
              <w:bottom w:val="single" w:sz="4" w:space="0" w:color="auto"/>
              <w:right w:val="single" w:sz="4" w:space="0" w:color="auto"/>
            </w:tcBorders>
            <w:noWrap/>
            <w:vAlign w:val="center"/>
          </w:tcPr>
          <w:p w14:paraId="3548DC9B" w14:textId="77777777" w:rsidR="00115458" w:rsidRPr="002E368C" w:rsidRDefault="00115458" w:rsidP="002E368C">
            <w:pPr>
              <w:spacing w:after="0" w:line="240" w:lineRule="auto"/>
              <w:jc w:val="center"/>
              <w:rPr>
                <w:rFonts w:cs="Arial"/>
              </w:rPr>
            </w:pPr>
            <w:hyperlink w:anchor="d6_065" w:history="1">
              <w:r w:rsidRPr="002E368C">
                <w:rPr>
                  <w:rFonts w:cs="Arial"/>
                </w:rPr>
                <w:t>6.67</w:t>
              </w:r>
            </w:hyperlink>
          </w:p>
        </w:tc>
      </w:tr>
      <w:tr w:rsidR="00115458" w:rsidRPr="00D42995" w14:paraId="10D01970"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7507D46" w14:textId="77777777" w:rsidR="00115458" w:rsidRPr="002E368C" w:rsidRDefault="00115458" w:rsidP="002E368C">
            <w:pPr>
              <w:spacing w:after="0" w:line="240" w:lineRule="auto"/>
              <w:rPr>
                <w:rFonts w:cs="Arial"/>
              </w:rPr>
            </w:pPr>
            <w:r w:rsidRPr="002E368C">
              <w:rPr>
                <w:rFonts w:cs="Arial"/>
              </w:rPr>
              <w:t>Number of investor records provided</w:t>
            </w:r>
          </w:p>
        </w:tc>
        <w:tc>
          <w:tcPr>
            <w:tcW w:w="685" w:type="pct"/>
            <w:tcBorders>
              <w:top w:val="single" w:sz="4" w:space="0" w:color="auto"/>
              <w:left w:val="nil"/>
              <w:bottom w:val="single" w:sz="4" w:space="0" w:color="auto"/>
              <w:right w:val="single" w:sz="4" w:space="0" w:color="auto"/>
            </w:tcBorders>
            <w:vAlign w:val="center"/>
          </w:tcPr>
          <w:p w14:paraId="05E29377" w14:textId="77777777" w:rsidR="00115458" w:rsidRPr="002E368C" w:rsidRDefault="00115458" w:rsidP="002E368C">
            <w:pPr>
              <w:spacing w:after="0" w:line="240" w:lineRule="auto"/>
              <w:jc w:val="center"/>
              <w:rPr>
                <w:rFonts w:cs="Arial"/>
              </w:rPr>
            </w:pPr>
            <w:hyperlink w:anchor="d7_066" w:history="1">
              <w:r w:rsidRPr="002E368C">
                <w:rPr>
                  <w:rFonts w:cs="Arial"/>
                </w:rPr>
                <w:t>9.69</w:t>
              </w:r>
            </w:hyperlink>
          </w:p>
        </w:tc>
        <w:tc>
          <w:tcPr>
            <w:tcW w:w="1012" w:type="pct"/>
            <w:tcBorders>
              <w:top w:val="single" w:sz="4" w:space="0" w:color="auto"/>
              <w:left w:val="nil"/>
              <w:bottom w:val="single" w:sz="4" w:space="0" w:color="auto"/>
              <w:right w:val="single" w:sz="4" w:space="0" w:color="auto"/>
            </w:tcBorders>
            <w:noWrap/>
            <w:vAlign w:val="center"/>
          </w:tcPr>
          <w:p w14:paraId="603FF613" w14:textId="77777777" w:rsidR="00115458" w:rsidRPr="002E368C" w:rsidRDefault="00115458" w:rsidP="002E368C">
            <w:pPr>
              <w:spacing w:after="0" w:line="240" w:lineRule="auto"/>
              <w:jc w:val="center"/>
              <w:rPr>
                <w:rFonts w:cs="Arial"/>
              </w:rPr>
            </w:pPr>
            <w:hyperlink w:anchor="d6_066" w:history="1">
              <w:r w:rsidRPr="002E368C">
                <w:rPr>
                  <w:rFonts w:cs="Arial"/>
                </w:rPr>
                <w:t>6.68</w:t>
              </w:r>
            </w:hyperlink>
          </w:p>
        </w:tc>
      </w:tr>
      <w:tr w:rsidR="00115458" w:rsidRPr="00D42995" w14:paraId="5890029E"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A6C8BB2" w14:textId="77777777" w:rsidR="00115458" w:rsidRPr="002E368C" w:rsidRDefault="00115458" w:rsidP="00F4606C">
            <w:pPr>
              <w:spacing w:after="0" w:line="240" w:lineRule="auto"/>
              <w:rPr>
                <w:rFonts w:cs="Arial"/>
              </w:rPr>
            </w:pPr>
            <w:r w:rsidRPr="002E368C">
              <w:rPr>
                <w:rFonts w:cs="Arial"/>
              </w:rPr>
              <w:t>Date of payment</w:t>
            </w:r>
          </w:p>
        </w:tc>
        <w:tc>
          <w:tcPr>
            <w:tcW w:w="685" w:type="pct"/>
            <w:tcBorders>
              <w:top w:val="single" w:sz="4" w:space="0" w:color="auto"/>
              <w:left w:val="nil"/>
              <w:bottom w:val="single" w:sz="4" w:space="0" w:color="auto"/>
              <w:right w:val="single" w:sz="4" w:space="0" w:color="auto"/>
            </w:tcBorders>
            <w:vAlign w:val="center"/>
          </w:tcPr>
          <w:p w14:paraId="5137F35F" w14:textId="77777777" w:rsidR="00115458" w:rsidRPr="00F4606C" w:rsidRDefault="00115458" w:rsidP="00F4606C">
            <w:pPr>
              <w:spacing w:after="0" w:line="240" w:lineRule="auto"/>
              <w:jc w:val="center"/>
              <w:rPr>
                <w:rFonts w:cs="Arial"/>
              </w:rPr>
            </w:pPr>
            <w:hyperlink w:anchor="d7_067" w:history="1">
              <w:r w:rsidRPr="00F4606C">
                <w:rPr>
                  <w:rFonts w:cs="Arial"/>
                </w:rPr>
                <w:t>9.70</w:t>
              </w:r>
            </w:hyperlink>
          </w:p>
        </w:tc>
        <w:tc>
          <w:tcPr>
            <w:tcW w:w="1012" w:type="pct"/>
            <w:tcBorders>
              <w:top w:val="single" w:sz="4" w:space="0" w:color="auto"/>
              <w:left w:val="nil"/>
              <w:bottom w:val="single" w:sz="4" w:space="0" w:color="auto"/>
              <w:right w:val="single" w:sz="4" w:space="0" w:color="auto"/>
            </w:tcBorders>
            <w:noWrap/>
            <w:vAlign w:val="center"/>
          </w:tcPr>
          <w:p w14:paraId="6A8056D4" w14:textId="77777777" w:rsidR="00115458" w:rsidRPr="00F4606C" w:rsidRDefault="00115458" w:rsidP="00F4606C">
            <w:pPr>
              <w:spacing w:after="0" w:line="240" w:lineRule="auto"/>
              <w:jc w:val="center"/>
              <w:rPr>
                <w:rFonts w:cs="Arial"/>
              </w:rPr>
            </w:pPr>
            <w:hyperlink w:anchor="d6_067" w:history="1">
              <w:r w:rsidRPr="00F4606C">
                <w:rPr>
                  <w:rFonts w:cs="Arial"/>
                </w:rPr>
                <w:t>6.69</w:t>
              </w:r>
            </w:hyperlink>
          </w:p>
        </w:tc>
      </w:tr>
      <w:tr w:rsidR="00115458" w:rsidRPr="00D42995" w14:paraId="6D2BBC76"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7C14E0D" w14:textId="77777777" w:rsidR="00115458" w:rsidRPr="00F4606C" w:rsidRDefault="00115458" w:rsidP="00F4606C">
            <w:pPr>
              <w:spacing w:after="0" w:line="240" w:lineRule="auto"/>
              <w:rPr>
                <w:rFonts w:cs="Arial"/>
              </w:rPr>
            </w:pPr>
            <w:r w:rsidRPr="00F4606C">
              <w:rPr>
                <w:rFonts w:cs="Arial"/>
              </w:rPr>
              <w:t>Type of investment</w:t>
            </w:r>
          </w:p>
        </w:tc>
        <w:tc>
          <w:tcPr>
            <w:tcW w:w="685" w:type="pct"/>
            <w:tcBorders>
              <w:top w:val="single" w:sz="4" w:space="0" w:color="auto"/>
              <w:left w:val="nil"/>
              <w:bottom w:val="single" w:sz="4" w:space="0" w:color="auto"/>
              <w:right w:val="single" w:sz="4" w:space="0" w:color="auto"/>
            </w:tcBorders>
            <w:vAlign w:val="center"/>
          </w:tcPr>
          <w:p w14:paraId="3DDC1CB8" w14:textId="77777777" w:rsidR="00115458" w:rsidRPr="00F4606C" w:rsidRDefault="00115458" w:rsidP="00F4606C">
            <w:pPr>
              <w:spacing w:after="0" w:line="240" w:lineRule="auto"/>
              <w:jc w:val="center"/>
              <w:rPr>
                <w:rFonts w:cs="Arial"/>
              </w:rPr>
            </w:pPr>
            <w:hyperlink w:anchor="d7_068" w:history="1">
              <w:r w:rsidRPr="00F4606C">
                <w:rPr>
                  <w:rFonts w:cs="Arial"/>
                </w:rPr>
                <w:t>9.71</w:t>
              </w:r>
            </w:hyperlink>
          </w:p>
        </w:tc>
        <w:tc>
          <w:tcPr>
            <w:tcW w:w="1012" w:type="pct"/>
            <w:tcBorders>
              <w:top w:val="single" w:sz="4" w:space="0" w:color="auto"/>
              <w:left w:val="nil"/>
              <w:bottom w:val="single" w:sz="4" w:space="0" w:color="auto"/>
              <w:right w:val="single" w:sz="4" w:space="0" w:color="auto"/>
            </w:tcBorders>
            <w:noWrap/>
            <w:vAlign w:val="center"/>
          </w:tcPr>
          <w:p w14:paraId="40468A12" w14:textId="77777777" w:rsidR="00115458" w:rsidRPr="00F4606C" w:rsidRDefault="00115458" w:rsidP="00F4606C">
            <w:pPr>
              <w:spacing w:after="0" w:line="240" w:lineRule="auto"/>
              <w:jc w:val="center"/>
              <w:rPr>
                <w:rFonts w:cs="Arial"/>
              </w:rPr>
            </w:pPr>
            <w:hyperlink w:anchor="d6_068" w:history="1">
              <w:r w:rsidRPr="00F4606C">
                <w:rPr>
                  <w:rFonts w:cs="Arial"/>
                </w:rPr>
                <w:t>6.70</w:t>
              </w:r>
            </w:hyperlink>
          </w:p>
        </w:tc>
      </w:tr>
      <w:tr w:rsidR="00115458" w:rsidRPr="00D42995" w14:paraId="2371B00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1E9F899" w14:textId="77777777" w:rsidR="00115458" w:rsidRPr="00F4606C" w:rsidRDefault="00115458" w:rsidP="00F4606C">
            <w:pPr>
              <w:spacing w:after="0" w:line="240" w:lineRule="auto"/>
              <w:rPr>
                <w:rFonts w:cs="Arial"/>
              </w:rPr>
            </w:pPr>
            <w:r w:rsidRPr="00F4606C">
              <w:rPr>
                <w:rFonts w:cs="Arial"/>
              </w:rPr>
              <w:t>Type of payment</w:t>
            </w:r>
          </w:p>
        </w:tc>
        <w:tc>
          <w:tcPr>
            <w:tcW w:w="685" w:type="pct"/>
            <w:tcBorders>
              <w:top w:val="single" w:sz="4" w:space="0" w:color="auto"/>
              <w:left w:val="nil"/>
              <w:bottom w:val="single" w:sz="4" w:space="0" w:color="auto"/>
              <w:right w:val="single" w:sz="4" w:space="0" w:color="auto"/>
            </w:tcBorders>
            <w:vAlign w:val="center"/>
          </w:tcPr>
          <w:p w14:paraId="47F2D7A1" w14:textId="77777777" w:rsidR="00115458" w:rsidRPr="00F4606C" w:rsidRDefault="00115458" w:rsidP="00F4606C">
            <w:pPr>
              <w:spacing w:after="0" w:line="240" w:lineRule="auto"/>
              <w:jc w:val="center"/>
              <w:rPr>
                <w:rFonts w:cs="Arial"/>
              </w:rPr>
            </w:pPr>
            <w:hyperlink w:anchor="d7_069" w:history="1">
              <w:r w:rsidRPr="00F4606C">
                <w:rPr>
                  <w:rFonts w:cs="Arial"/>
                </w:rPr>
                <w:t>9.72</w:t>
              </w:r>
            </w:hyperlink>
          </w:p>
        </w:tc>
        <w:tc>
          <w:tcPr>
            <w:tcW w:w="1012" w:type="pct"/>
            <w:tcBorders>
              <w:top w:val="single" w:sz="4" w:space="0" w:color="auto"/>
              <w:left w:val="nil"/>
              <w:bottom w:val="single" w:sz="4" w:space="0" w:color="auto"/>
              <w:right w:val="single" w:sz="4" w:space="0" w:color="auto"/>
            </w:tcBorders>
            <w:noWrap/>
            <w:vAlign w:val="center"/>
          </w:tcPr>
          <w:p w14:paraId="4A47115B" w14:textId="77777777" w:rsidR="00115458" w:rsidRPr="00F4606C" w:rsidRDefault="00115458" w:rsidP="00F4606C">
            <w:pPr>
              <w:spacing w:after="0" w:line="240" w:lineRule="auto"/>
              <w:jc w:val="center"/>
              <w:rPr>
                <w:rFonts w:cs="Arial"/>
              </w:rPr>
            </w:pPr>
            <w:hyperlink w:anchor="d6_069" w:history="1">
              <w:r w:rsidRPr="00F4606C">
                <w:rPr>
                  <w:rFonts w:cs="Arial"/>
                </w:rPr>
                <w:t>6.71</w:t>
              </w:r>
            </w:hyperlink>
          </w:p>
        </w:tc>
      </w:tr>
      <w:tr w:rsidR="00115458" w:rsidRPr="00D42995" w14:paraId="2AC089B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B7B639F" w14:textId="77777777" w:rsidR="00115458" w:rsidRPr="00F4606C" w:rsidRDefault="00115458" w:rsidP="00F4606C">
            <w:pPr>
              <w:spacing w:after="0" w:line="240" w:lineRule="auto"/>
              <w:rPr>
                <w:rFonts w:cs="Arial"/>
              </w:rPr>
            </w:pPr>
            <w:r w:rsidRPr="00F4606C">
              <w:rPr>
                <w:rFonts w:cs="Arial"/>
              </w:rPr>
              <w:t>Term of investment</w:t>
            </w:r>
          </w:p>
        </w:tc>
        <w:tc>
          <w:tcPr>
            <w:tcW w:w="685" w:type="pct"/>
            <w:tcBorders>
              <w:top w:val="single" w:sz="4" w:space="0" w:color="auto"/>
              <w:left w:val="nil"/>
              <w:bottom w:val="single" w:sz="4" w:space="0" w:color="auto"/>
              <w:right w:val="single" w:sz="4" w:space="0" w:color="auto"/>
            </w:tcBorders>
            <w:vAlign w:val="center"/>
          </w:tcPr>
          <w:p w14:paraId="27A9AB7F" w14:textId="77777777" w:rsidR="00115458" w:rsidRPr="00F4606C" w:rsidRDefault="00115458" w:rsidP="00F4606C">
            <w:pPr>
              <w:spacing w:after="0" w:line="240" w:lineRule="auto"/>
              <w:jc w:val="center"/>
              <w:rPr>
                <w:rFonts w:cs="Arial"/>
              </w:rPr>
            </w:pPr>
            <w:hyperlink w:anchor="d7_070" w:history="1">
              <w:r w:rsidRPr="00F4606C">
                <w:rPr>
                  <w:rFonts w:cs="Arial"/>
                </w:rPr>
                <w:t>9.71</w:t>
              </w:r>
            </w:hyperlink>
          </w:p>
        </w:tc>
        <w:tc>
          <w:tcPr>
            <w:tcW w:w="1012" w:type="pct"/>
            <w:tcBorders>
              <w:top w:val="single" w:sz="4" w:space="0" w:color="auto"/>
              <w:left w:val="nil"/>
              <w:bottom w:val="single" w:sz="4" w:space="0" w:color="auto"/>
              <w:right w:val="single" w:sz="4" w:space="0" w:color="auto"/>
            </w:tcBorders>
            <w:noWrap/>
            <w:vAlign w:val="center"/>
          </w:tcPr>
          <w:p w14:paraId="3324EDB8" w14:textId="77777777" w:rsidR="00115458" w:rsidRPr="00F4606C" w:rsidRDefault="00115458" w:rsidP="00F4606C">
            <w:pPr>
              <w:spacing w:after="0" w:line="240" w:lineRule="auto"/>
              <w:jc w:val="center"/>
              <w:rPr>
                <w:rFonts w:cs="Arial"/>
              </w:rPr>
            </w:pPr>
            <w:hyperlink w:anchor="d6_070" w:history="1">
              <w:r w:rsidRPr="00F4606C">
                <w:rPr>
                  <w:rFonts w:cs="Arial"/>
                </w:rPr>
                <w:t>6.72</w:t>
              </w:r>
            </w:hyperlink>
          </w:p>
        </w:tc>
      </w:tr>
      <w:tr w:rsidR="00115458" w:rsidRPr="00D42995" w14:paraId="589849A5"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7709543" w14:textId="77777777" w:rsidR="00115458" w:rsidRPr="00F4606C" w:rsidRDefault="00115458" w:rsidP="00F4606C">
            <w:pPr>
              <w:spacing w:after="0" w:line="240" w:lineRule="auto"/>
              <w:rPr>
                <w:rFonts w:cs="Arial"/>
              </w:rPr>
            </w:pPr>
            <w:r w:rsidRPr="00F4606C">
              <w:rPr>
                <w:rFonts w:cs="Arial"/>
              </w:rPr>
              <w:t xml:space="preserve">TFN withholding tax deducted </w:t>
            </w:r>
          </w:p>
        </w:tc>
        <w:tc>
          <w:tcPr>
            <w:tcW w:w="685" w:type="pct"/>
            <w:tcBorders>
              <w:top w:val="single" w:sz="4" w:space="0" w:color="auto"/>
              <w:left w:val="nil"/>
              <w:bottom w:val="single" w:sz="4" w:space="0" w:color="auto"/>
              <w:right w:val="single" w:sz="4" w:space="0" w:color="auto"/>
            </w:tcBorders>
            <w:vAlign w:val="center"/>
          </w:tcPr>
          <w:p w14:paraId="751B0C5E" w14:textId="77777777" w:rsidR="00115458" w:rsidRPr="00F4606C" w:rsidRDefault="00115458" w:rsidP="00F4606C">
            <w:pPr>
              <w:spacing w:after="0" w:line="240" w:lineRule="auto"/>
              <w:jc w:val="center"/>
              <w:rPr>
                <w:rFonts w:cs="Arial"/>
              </w:rPr>
            </w:pPr>
            <w:hyperlink w:anchor="d7_071" w:history="1">
              <w:r w:rsidRPr="00F4606C">
                <w:rPr>
                  <w:rFonts w:cs="Arial"/>
                </w:rPr>
                <w:t>9.74</w:t>
              </w:r>
            </w:hyperlink>
          </w:p>
        </w:tc>
        <w:tc>
          <w:tcPr>
            <w:tcW w:w="1012" w:type="pct"/>
            <w:tcBorders>
              <w:top w:val="single" w:sz="4" w:space="0" w:color="auto"/>
              <w:left w:val="nil"/>
              <w:bottom w:val="single" w:sz="4" w:space="0" w:color="auto"/>
              <w:right w:val="single" w:sz="4" w:space="0" w:color="auto"/>
            </w:tcBorders>
            <w:noWrap/>
            <w:vAlign w:val="center"/>
          </w:tcPr>
          <w:p w14:paraId="29B67AF8" w14:textId="77777777" w:rsidR="00115458" w:rsidRPr="00F4606C" w:rsidRDefault="00115458" w:rsidP="00F4606C">
            <w:pPr>
              <w:spacing w:after="0" w:line="240" w:lineRule="auto"/>
              <w:jc w:val="center"/>
              <w:rPr>
                <w:rFonts w:cs="Arial"/>
              </w:rPr>
            </w:pPr>
            <w:hyperlink w:anchor="d6_071" w:history="1">
              <w:r w:rsidRPr="00F4606C">
                <w:rPr>
                  <w:rFonts w:cs="Arial"/>
                </w:rPr>
                <w:t>6.73</w:t>
              </w:r>
            </w:hyperlink>
          </w:p>
        </w:tc>
      </w:tr>
      <w:tr w:rsidR="00115458" w:rsidRPr="00D42995" w14:paraId="1D9BA74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54E18B4" w14:textId="77777777" w:rsidR="00115458" w:rsidRPr="00F4606C" w:rsidRDefault="00115458" w:rsidP="00F4606C">
            <w:pPr>
              <w:spacing w:after="0" w:line="240" w:lineRule="auto"/>
              <w:rPr>
                <w:rFonts w:cs="Arial"/>
              </w:rPr>
            </w:pPr>
            <w:r w:rsidRPr="00F4606C">
              <w:rPr>
                <w:rFonts w:cs="Arial"/>
              </w:rPr>
              <w:t xml:space="preserve">TFN withholding tax refunded </w:t>
            </w:r>
          </w:p>
        </w:tc>
        <w:tc>
          <w:tcPr>
            <w:tcW w:w="685" w:type="pct"/>
            <w:tcBorders>
              <w:top w:val="single" w:sz="4" w:space="0" w:color="auto"/>
              <w:left w:val="nil"/>
              <w:bottom w:val="single" w:sz="4" w:space="0" w:color="auto"/>
              <w:right w:val="single" w:sz="4" w:space="0" w:color="auto"/>
            </w:tcBorders>
            <w:vAlign w:val="center"/>
          </w:tcPr>
          <w:p w14:paraId="0016A276" w14:textId="77777777" w:rsidR="00115458" w:rsidRPr="00F4606C" w:rsidRDefault="00115458" w:rsidP="00F4606C">
            <w:pPr>
              <w:spacing w:after="0" w:line="240" w:lineRule="auto"/>
              <w:jc w:val="center"/>
              <w:rPr>
                <w:rFonts w:cs="Arial"/>
              </w:rPr>
            </w:pPr>
            <w:hyperlink w:anchor="d7_072" w:history="1">
              <w:r w:rsidRPr="00F4606C">
                <w:rPr>
                  <w:rFonts w:cs="Arial"/>
                </w:rPr>
                <w:t>9.75</w:t>
              </w:r>
            </w:hyperlink>
          </w:p>
        </w:tc>
        <w:tc>
          <w:tcPr>
            <w:tcW w:w="1012" w:type="pct"/>
            <w:tcBorders>
              <w:top w:val="single" w:sz="4" w:space="0" w:color="auto"/>
              <w:left w:val="nil"/>
              <w:bottom w:val="single" w:sz="4" w:space="0" w:color="auto"/>
              <w:right w:val="single" w:sz="4" w:space="0" w:color="auto"/>
            </w:tcBorders>
            <w:noWrap/>
            <w:vAlign w:val="center"/>
          </w:tcPr>
          <w:p w14:paraId="7F634003" w14:textId="77777777" w:rsidR="00115458" w:rsidRPr="00F4606C" w:rsidRDefault="00115458" w:rsidP="00F4606C">
            <w:pPr>
              <w:spacing w:after="0" w:line="240" w:lineRule="auto"/>
              <w:jc w:val="center"/>
              <w:rPr>
                <w:rFonts w:cs="Arial"/>
              </w:rPr>
            </w:pPr>
            <w:hyperlink w:anchor="d6_072" w:history="1">
              <w:r w:rsidRPr="00F4606C">
                <w:rPr>
                  <w:rFonts w:cs="Arial"/>
                </w:rPr>
                <w:t>6.74</w:t>
              </w:r>
            </w:hyperlink>
          </w:p>
        </w:tc>
      </w:tr>
      <w:tr w:rsidR="00115458" w:rsidRPr="00D42995" w14:paraId="3F7B95F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76E3852" w14:textId="77777777" w:rsidR="00115458" w:rsidRPr="00F4606C" w:rsidRDefault="00115458" w:rsidP="00F4606C">
            <w:pPr>
              <w:spacing w:after="0" w:line="240" w:lineRule="auto"/>
              <w:rPr>
                <w:rFonts w:cs="Arial"/>
              </w:rPr>
            </w:pPr>
            <w:r w:rsidRPr="00F4606C">
              <w:rPr>
                <w:rFonts w:cs="Arial"/>
              </w:rPr>
              <w:t xml:space="preserve">Non-resident withholding amount deducted </w:t>
            </w:r>
          </w:p>
        </w:tc>
        <w:tc>
          <w:tcPr>
            <w:tcW w:w="685" w:type="pct"/>
            <w:tcBorders>
              <w:top w:val="single" w:sz="4" w:space="0" w:color="auto"/>
              <w:left w:val="nil"/>
              <w:bottom w:val="single" w:sz="4" w:space="0" w:color="auto"/>
              <w:right w:val="single" w:sz="4" w:space="0" w:color="auto"/>
            </w:tcBorders>
            <w:vAlign w:val="center"/>
          </w:tcPr>
          <w:p w14:paraId="5A738B96" w14:textId="77777777" w:rsidR="00115458" w:rsidRPr="00F4606C" w:rsidRDefault="00115458" w:rsidP="00F4606C">
            <w:pPr>
              <w:spacing w:after="0" w:line="240" w:lineRule="auto"/>
              <w:jc w:val="center"/>
              <w:rPr>
                <w:rFonts w:cs="Arial"/>
              </w:rPr>
            </w:pPr>
          </w:p>
        </w:tc>
        <w:tc>
          <w:tcPr>
            <w:tcW w:w="1012" w:type="pct"/>
            <w:tcBorders>
              <w:top w:val="single" w:sz="4" w:space="0" w:color="auto"/>
              <w:left w:val="nil"/>
              <w:bottom w:val="single" w:sz="4" w:space="0" w:color="auto"/>
              <w:right w:val="single" w:sz="4" w:space="0" w:color="auto"/>
            </w:tcBorders>
            <w:noWrap/>
            <w:vAlign w:val="center"/>
          </w:tcPr>
          <w:p w14:paraId="1DBEE59E" w14:textId="77777777" w:rsidR="00115458" w:rsidRPr="00F4606C" w:rsidRDefault="00115458" w:rsidP="00F4606C">
            <w:pPr>
              <w:spacing w:after="0" w:line="240" w:lineRule="auto"/>
              <w:jc w:val="center"/>
              <w:rPr>
                <w:rFonts w:cs="Arial"/>
              </w:rPr>
            </w:pPr>
            <w:hyperlink w:anchor="d6_073" w:history="1">
              <w:r w:rsidRPr="00F4606C">
                <w:rPr>
                  <w:rFonts w:cs="Arial"/>
                </w:rPr>
                <w:t>6.75</w:t>
              </w:r>
            </w:hyperlink>
          </w:p>
        </w:tc>
      </w:tr>
      <w:tr w:rsidR="00115458" w:rsidRPr="00D42995" w14:paraId="4475E2D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33628F0" w14:textId="77777777" w:rsidR="00115458" w:rsidRPr="00F4606C" w:rsidRDefault="00115458" w:rsidP="00F4606C">
            <w:pPr>
              <w:spacing w:after="0" w:line="240" w:lineRule="auto"/>
              <w:rPr>
                <w:rFonts w:cs="Arial"/>
              </w:rPr>
            </w:pPr>
            <w:r w:rsidRPr="00F4606C">
              <w:rPr>
                <w:rFonts w:cs="Arial"/>
              </w:rPr>
              <w:t>Non-Assessable Non-Exempt (NANE) Non-Trust income</w:t>
            </w:r>
          </w:p>
        </w:tc>
        <w:tc>
          <w:tcPr>
            <w:tcW w:w="685" w:type="pct"/>
            <w:tcBorders>
              <w:top w:val="single" w:sz="4" w:space="0" w:color="auto"/>
              <w:left w:val="nil"/>
              <w:bottom w:val="single" w:sz="4" w:space="0" w:color="auto"/>
              <w:right w:val="single" w:sz="4" w:space="0" w:color="auto"/>
            </w:tcBorders>
            <w:vAlign w:val="center"/>
          </w:tcPr>
          <w:p w14:paraId="4FCD35BC" w14:textId="77777777" w:rsidR="00115458" w:rsidRPr="00D42995" w:rsidRDefault="00115458" w:rsidP="00F4606C">
            <w:pPr>
              <w:spacing w:after="0" w:line="240" w:lineRule="auto"/>
              <w:jc w:val="center"/>
            </w:pPr>
            <w:r w:rsidRPr="00F4606C">
              <w:rPr>
                <w:rFonts w:cs="Arial"/>
              </w:rPr>
              <w:t>9.77</w:t>
            </w:r>
          </w:p>
        </w:tc>
        <w:tc>
          <w:tcPr>
            <w:tcW w:w="1012" w:type="pct"/>
            <w:tcBorders>
              <w:top w:val="single" w:sz="4" w:space="0" w:color="auto"/>
              <w:left w:val="nil"/>
              <w:bottom w:val="single" w:sz="4" w:space="0" w:color="auto"/>
              <w:right w:val="single" w:sz="4" w:space="0" w:color="auto"/>
            </w:tcBorders>
            <w:noWrap/>
            <w:vAlign w:val="center"/>
          </w:tcPr>
          <w:p w14:paraId="0E935022" w14:textId="77777777" w:rsidR="00115458" w:rsidRPr="00F4606C" w:rsidRDefault="00115458" w:rsidP="00F4606C">
            <w:pPr>
              <w:spacing w:after="0" w:line="240" w:lineRule="auto"/>
              <w:jc w:val="center"/>
              <w:rPr>
                <w:rFonts w:cs="Arial"/>
              </w:rPr>
            </w:pPr>
            <w:r w:rsidRPr="00F4606C">
              <w:rPr>
                <w:rFonts w:cs="Arial"/>
              </w:rPr>
              <w:t>6.76</w:t>
            </w:r>
          </w:p>
        </w:tc>
      </w:tr>
      <w:tr w:rsidR="00115458" w:rsidRPr="00D42995" w14:paraId="23910756"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98D5987" w14:textId="77777777" w:rsidR="00115458" w:rsidRPr="00F4606C" w:rsidRDefault="00115458" w:rsidP="00F4606C">
            <w:pPr>
              <w:spacing w:after="0" w:line="240" w:lineRule="auto"/>
              <w:rPr>
                <w:rFonts w:cs="Arial"/>
              </w:rPr>
            </w:pPr>
            <w:r w:rsidRPr="00F4606C">
              <w:rPr>
                <w:rFonts w:cs="Arial"/>
              </w:rPr>
              <w:t>Filler (previously Non-resident withholding amount refunded)</w:t>
            </w:r>
          </w:p>
        </w:tc>
        <w:tc>
          <w:tcPr>
            <w:tcW w:w="685" w:type="pct"/>
            <w:tcBorders>
              <w:top w:val="single" w:sz="4" w:space="0" w:color="auto"/>
              <w:left w:val="nil"/>
              <w:bottom w:val="single" w:sz="4" w:space="0" w:color="auto"/>
              <w:right w:val="single" w:sz="4" w:space="0" w:color="auto"/>
            </w:tcBorders>
            <w:vAlign w:val="center"/>
          </w:tcPr>
          <w:p w14:paraId="3EB08C0D" w14:textId="77777777" w:rsidR="00115458" w:rsidRPr="00F4606C" w:rsidRDefault="00115458" w:rsidP="00F4606C">
            <w:pPr>
              <w:spacing w:after="0" w:line="240" w:lineRule="auto"/>
              <w:jc w:val="center"/>
              <w:rPr>
                <w:rFonts w:cs="Arial"/>
              </w:rPr>
            </w:pPr>
            <w:hyperlink w:anchor="d7_006" w:history="1">
              <w:r w:rsidRPr="00F4606C">
                <w:rPr>
                  <w:rFonts w:cs="Arial"/>
                </w:rPr>
                <w:t>9.6</w:t>
              </w:r>
            </w:hyperlink>
          </w:p>
        </w:tc>
        <w:tc>
          <w:tcPr>
            <w:tcW w:w="1012" w:type="pct"/>
            <w:tcBorders>
              <w:top w:val="single" w:sz="4" w:space="0" w:color="auto"/>
              <w:left w:val="nil"/>
              <w:bottom w:val="single" w:sz="4" w:space="0" w:color="auto"/>
              <w:right w:val="single" w:sz="4" w:space="0" w:color="auto"/>
            </w:tcBorders>
            <w:noWrap/>
            <w:vAlign w:val="center"/>
          </w:tcPr>
          <w:p w14:paraId="15F999E1"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41193FE8"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DD3235F" w14:textId="77777777" w:rsidR="00115458" w:rsidRPr="00F4606C" w:rsidRDefault="00115458" w:rsidP="00F4606C">
            <w:pPr>
              <w:spacing w:after="0" w:line="240" w:lineRule="auto"/>
              <w:rPr>
                <w:rFonts w:cs="Arial"/>
              </w:rPr>
            </w:pPr>
            <w:r w:rsidRPr="00F4606C">
              <w:rPr>
                <w:rFonts w:cs="Arial"/>
              </w:rPr>
              <w:t>Cash or non-cash value of an investment related betting chance prize</w:t>
            </w:r>
          </w:p>
        </w:tc>
        <w:tc>
          <w:tcPr>
            <w:tcW w:w="685" w:type="pct"/>
            <w:tcBorders>
              <w:top w:val="single" w:sz="4" w:space="0" w:color="auto"/>
              <w:left w:val="nil"/>
              <w:bottom w:val="single" w:sz="4" w:space="0" w:color="auto"/>
              <w:right w:val="single" w:sz="4" w:space="0" w:color="auto"/>
            </w:tcBorders>
            <w:vAlign w:val="center"/>
          </w:tcPr>
          <w:p w14:paraId="78009EAB" w14:textId="77777777" w:rsidR="00115458" w:rsidRPr="00F4606C" w:rsidRDefault="00115458" w:rsidP="00F4606C">
            <w:pPr>
              <w:spacing w:after="0" w:line="240" w:lineRule="auto"/>
              <w:jc w:val="center"/>
              <w:rPr>
                <w:rFonts w:cs="Arial"/>
              </w:rPr>
            </w:pPr>
            <w:r w:rsidRPr="00F4606C">
              <w:rPr>
                <w:rFonts w:cs="Arial"/>
              </w:rPr>
              <w:t>9.78</w:t>
            </w:r>
          </w:p>
        </w:tc>
        <w:tc>
          <w:tcPr>
            <w:tcW w:w="1012" w:type="pct"/>
            <w:tcBorders>
              <w:top w:val="single" w:sz="4" w:space="0" w:color="auto"/>
              <w:left w:val="nil"/>
              <w:bottom w:val="single" w:sz="4" w:space="0" w:color="auto"/>
              <w:right w:val="single" w:sz="4" w:space="0" w:color="auto"/>
            </w:tcBorders>
            <w:noWrap/>
            <w:vAlign w:val="center"/>
          </w:tcPr>
          <w:p w14:paraId="4AD3F7F0" w14:textId="77777777" w:rsidR="00115458" w:rsidRPr="00F4606C" w:rsidRDefault="00115458" w:rsidP="00F4606C">
            <w:pPr>
              <w:spacing w:after="0" w:line="240" w:lineRule="auto"/>
              <w:jc w:val="center"/>
              <w:rPr>
                <w:rFonts w:cs="Arial"/>
              </w:rPr>
            </w:pPr>
            <w:hyperlink w:anchor="d6_074" w:history="1">
              <w:r w:rsidRPr="00F4606C">
                <w:rPr>
                  <w:rFonts w:cs="Arial"/>
                </w:rPr>
                <w:t>6.77</w:t>
              </w:r>
            </w:hyperlink>
          </w:p>
          <w:p w14:paraId="40DB88BB" w14:textId="77777777" w:rsidR="00115458" w:rsidRPr="00F4606C" w:rsidRDefault="00115458" w:rsidP="00F4606C">
            <w:pPr>
              <w:spacing w:after="0" w:line="240" w:lineRule="auto"/>
              <w:jc w:val="center"/>
              <w:rPr>
                <w:rFonts w:cs="Arial"/>
              </w:rPr>
            </w:pPr>
          </w:p>
        </w:tc>
      </w:tr>
      <w:tr w:rsidR="00115458" w:rsidRPr="00D42995" w14:paraId="25A0471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0B5762F" w14:textId="77777777" w:rsidR="00115458" w:rsidRPr="00F4606C" w:rsidRDefault="00115458" w:rsidP="00F4606C">
            <w:pPr>
              <w:spacing w:after="0" w:line="240" w:lineRule="auto"/>
              <w:rPr>
                <w:rFonts w:cs="Arial"/>
              </w:rPr>
            </w:pPr>
            <w:r w:rsidRPr="00F4606C">
              <w:rPr>
                <w:rFonts w:cs="Arial"/>
              </w:rPr>
              <w:t xml:space="preserve">Interest </w:t>
            </w:r>
          </w:p>
        </w:tc>
        <w:tc>
          <w:tcPr>
            <w:tcW w:w="685" w:type="pct"/>
            <w:tcBorders>
              <w:top w:val="single" w:sz="4" w:space="0" w:color="auto"/>
              <w:left w:val="nil"/>
              <w:bottom w:val="single" w:sz="4" w:space="0" w:color="auto"/>
              <w:right w:val="single" w:sz="4" w:space="0" w:color="auto"/>
            </w:tcBorders>
            <w:vAlign w:val="center"/>
          </w:tcPr>
          <w:p w14:paraId="4C83A6D1" w14:textId="77777777" w:rsidR="00115458" w:rsidRPr="00F4606C" w:rsidRDefault="00115458" w:rsidP="00F4606C">
            <w:pPr>
              <w:spacing w:after="0" w:line="240" w:lineRule="auto"/>
              <w:jc w:val="center"/>
              <w:rPr>
                <w:rFonts w:cs="Arial"/>
              </w:rPr>
            </w:pPr>
            <w:hyperlink w:anchor="d7_075" w:history="1">
              <w:r w:rsidRPr="00F4606C">
                <w:rPr>
                  <w:rFonts w:cs="Arial"/>
                </w:rPr>
                <w:t>9.79</w:t>
              </w:r>
            </w:hyperlink>
          </w:p>
        </w:tc>
        <w:tc>
          <w:tcPr>
            <w:tcW w:w="1012" w:type="pct"/>
            <w:tcBorders>
              <w:top w:val="single" w:sz="4" w:space="0" w:color="auto"/>
              <w:left w:val="nil"/>
              <w:bottom w:val="single" w:sz="4" w:space="0" w:color="auto"/>
              <w:right w:val="single" w:sz="4" w:space="0" w:color="auto"/>
            </w:tcBorders>
            <w:noWrap/>
            <w:vAlign w:val="center"/>
          </w:tcPr>
          <w:p w14:paraId="71A36D2D" w14:textId="77777777" w:rsidR="00115458" w:rsidRPr="00F4606C" w:rsidRDefault="00115458" w:rsidP="00F4606C">
            <w:pPr>
              <w:spacing w:after="0" w:line="240" w:lineRule="auto"/>
              <w:jc w:val="center"/>
              <w:rPr>
                <w:rFonts w:cs="Arial"/>
              </w:rPr>
            </w:pPr>
            <w:hyperlink w:anchor="d6_075" w:history="1">
              <w:r w:rsidRPr="00F4606C">
                <w:rPr>
                  <w:rFonts w:cs="Arial"/>
                </w:rPr>
                <w:t>6.78</w:t>
              </w:r>
            </w:hyperlink>
          </w:p>
        </w:tc>
      </w:tr>
      <w:tr w:rsidR="00115458" w:rsidRPr="00D42995" w14:paraId="1CA8BED6"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0D32A6D" w14:textId="77777777" w:rsidR="00115458" w:rsidRPr="00F4606C" w:rsidRDefault="00115458" w:rsidP="00F4606C">
            <w:pPr>
              <w:spacing w:after="0" w:line="240" w:lineRule="auto"/>
              <w:rPr>
                <w:rFonts w:cs="Arial"/>
              </w:rPr>
            </w:pPr>
            <w:r w:rsidRPr="00F4606C">
              <w:rPr>
                <w:rFonts w:cs="Arial"/>
              </w:rPr>
              <w:t xml:space="preserve">Unfranked dividends not declared to be conduit foreign income </w:t>
            </w:r>
          </w:p>
        </w:tc>
        <w:tc>
          <w:tcPr>
            <w:tcW w:w="685" w:type="pct"/>
            <w:tcBorders>
              <w:top w:val="single" w:sz="4" w:space="0" w:color="auto"/>
              <w:left w:val="nil"/>
              <w:bottom w:val="single" w:sz="4" w:space="0" w:color="auto"/>
              <w:right w:val="single" w:sz="4" w:space="0" w:color="auto"/>
            </w:tcBorders>
            <w:vAlign w:val="center"/>
          </w:tcPr>
          <w:p w14:paraId="100F4382" w14:textId="77777777" w:rsidR="00115458" w:rsidRPr="00F4606C" w:rsidRDefault="00115458" w:rsidP="00F4606C">
            <w:pPr>
              <w:spacing w:after="0" w:line="240" w:lineRule="auto"/>
              <w:jc w:val="center"/>
              <w:rPr>
                <w:rFonts w:cs="Arial"/>
              </w:rPr>
            </w:pPr>
            <w:hyperlink w:anchor="d7_076" w:history="1">
              <w:r w:rsidRPr="00F4606C">
                <w:rPr>
                  <w:rFonts w:cs="Arial"/>
                </w:rPr>
                <w:t>9.80</w:t>
              </w:r>
            </w:hyperlink>
          </w:p>
        </w:tc>
        <w:tc>
          <w:tcPr>
            <w:tcW w:w="1012" w:type="pct"/>
            <w:tcBorders>
              <w:top w:val="single" w:sz="4" w:space="0" w:color="auto"/>
              <w:left w:val="nil"/>
              <w:bottom w:val="single" w:sz="4" w:space="0" w:color="auto"/>
              <w:right w:val="single" w:sz="4" w:space="0" w:color="auto"/>
            </w:tcBorders>
            <w:noWrap/>
            <w:vAlign w:val="center"/>
          </w:tcPr>
          <w:p w14:paraId="349D96A3" w14:textId="77777777" w:rsidR="00115458" w:rsidRPr="00F4606C" w:rsidRDefault="00115458" w:rsidP="00F4606C">
            <w:pPr>
              <w:spacing w:after="0" w:line="240" w:lineRule="auto"/>
              <w:jc w:val="center"/>
              <w:rPr>
                <w:rFonts w:cs="Arial"/>
              </w:rPr>
            </w:pPr>
            <w:hyperlink w:anchor="d6_076" w:history="1">
              <w:r w:rsidRPr="00F4606C">
                <w:rPr>
                  <w:rFonts w:cs="Arial"/>
                </w:rPr>
                <w:t>6.79</w:t>
              </w:r>
            </w:hyperlink>
          </w:p>
        </w:tc>
      </w:tr>
      <w:tr w:rsidR="00115458" w:rsidRPr="00D42995" w14:paraId="3FFFFD93"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0ADE67F" w14:textId="77777777" w:rsidR="00115458" w:rsidRPr="00F4606C" w:rsidRDefault="00115458" w:rsidP="00F4606C">
            <w:pPr>
              <w:spacing w:after="0" w:line="240" w:lineRule="auto"/>
              <w:rPr>
                <w:rFonts w:cs="Arial"/>
              </w:rPr>
            </w:pPr>
            <w:r w:rsidRPr="00F4606C">
              <w:rPr>
                <w:rFonts w:cs="Arial"/>
              </w:rPr>
              <w:t xml:space="preserve">Unfranked dividends declared to be conduit foreign income </w:t>
            </w:r>
          </w:p>
        </w:tc>
        <w:tc>
          <w:tcPr>
            <w:tcW w:w="685" w:type="pct"/>
            <w:tcBorders>
              <w:top w:val="single" w:sz="4" w:space="0" w:color="auto"/>
              <w:left w:val="nil"/>
              <w:bottom w:val="single" w:sz="4" w:space="0" w:color="auto"/>
              <w:right w:val="single" w:sz="4" w:space="0" w:color="auto"/>
            </w:tcBorders>
            <w:vAlign w:val="center"/>
          </w:tcPr>
          <w:p w14:paraId="7A7045F0" w14:textId="77777777" w:rsidR="00115458" w:rsidRPr="00F4606C" w:rsidRDefault="00115458" w:rsidP="00F4606C">
            <w:pPr>
              <w:spacing w:after="0" w:line="240" w:lineRule="auto"/>
              <w:jc w:val="center"/>
              <w:rPr>
                <w:rFonts w:cs="Arial"/>
              </w:rPr>
            </w:pPr>
            <w:hyperlink w:anchor="d7_077" w:history="1">
              <w:r w:rsidRPr="00F4606C">
                <w:rPr>
                  <w:rFonts w:cs="Arial"/>
                </w:rPr>
                <w:t>9.81</w:t>
              </w:r>
            </w:hyperlink>
          </w:p>
        </w:tc>
        <w:tc>
          <w:tcPr>
            <w:tcW w:w="1012" w:type="pct"/>
            <w:tcBorders>
              <w:top w:val="single" w:sz="4" w:space="0" w:color="auto"/>
              <w:left w:val="nil"/>
              <w:bottom w:val="single" w:sz="4" w:space="0" w:color="auto"/>
              <w:right w:val="single" w:sz="4" w:space="0" w:color="auto"/>
            </w:tcBorders>
            <w:noWrap/>
            <w:vAlign w:val="center"/>
          </w:tcPr>
          <w:p w14:paraId="4038040B" w14:textId="77777777" w:rsidR="00115458" w:rsidRPr="00F4606C" w:rsidRDefault="00115458" w:rsidP="00F4606C">
            <w:pPr>
              <w:spacing w:after="0" w:line="240" w:lineRule="auto"/>
              <w:jc w:val="center"/>
              <w:rPr>
                <w:rFonts w:cs="Arial"/>
              </w:rPr>
            </w:pPr>
            <w:hyperlink w:anchor="d6_077" w:history="1">
              <w:r w:rsidRPr="00F4606C">
                <w:rPr>
                  <w:rFonts w:cs="Arial"/>
                </w:rPr>
                <w:t>6.80</w:t>
              </w:r>
            </w:hyperlink>
          </w:p>
        </w:tc>
      </w:tr>
      <w:tr w:rsidR="00115458" w:rsidRPr="00D42995" w14:paraId="2ED2D86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AAFD99A" w14:textId="77777777" w:rsidR="00115458" w:rsidRPr="00F4606C" w:rsidRDefault="00115458" w:rsidP="00F4606C">
            <w:pPr>
              <w:spacing w:after="0" w:line="240" w:lineRule="auto"/>
              <w:rPr>
                <w:rFonts w:cs="Arial"/>
              </w:rPr>
            </w:pPr>
            <w:r w:rsidRPr="00F4606C">
              <w:rPr>
                <w:rFonts w:cs="Arial"/>
              </w:rPr>
              <w:t xml:space="preserve">Franked dividends </w:t>
            </w:r>
          </w:p>
        </w:tc>
        <w:tc>
          <w:tcPr>
            <w:tcW w:w="685" w:type="pct"/>
            <w:tcBorders>
              <w:top w:val="single" w:sz="4" w:space="0" w:color="auto"/>
              <w:left w:val="nil"/>
              <w:bottom w:val="single" w:sz="4" w:space="0" w:color="auto"/>
              <w:right w:val="single" w:sz="4" w:space="0" w:color="auto"/>
            </w:tcBorders>
            <w:vAlign w:val="center"/>
          </w:tcPr>
          <w:p w14:paraId="273BC3AF" w14:textId="77777777" w:rsidR="00115458" w:rsidRPr="00F4606C" w:rsidRDefault="00115458" w:rsidP="00F4606C">
            <w:pPr>
              <w:spacing w:after="0" w:line="240" w:lineRule="auto"/>
              <w:jc w:val="center"/>
              <w:rPr>
                <w:rFonts w:cs="Arial"/>
              </w:rPr>
            </w:pPr>
            <w:hyperlink w:anchor="d7_078" w:history="1">
              <w:r w:rsidRPr="00F4606C">
                <w:rPr>
                  <w:rFonts w:cs="Arial"/>
                </w:rPr>
                <w:t>9.82</w:t>
              </w:r>
            </w:hyperlink>
          </w:p>
        </w:tc>
        <w:tc>
          <w:tcPr>
            <w:tcW w:w="1012" w:type="pct"/>
            <w:tcBorders>
              <w:top w:val="single" w:sz="4" w:space="0" w:color="auto"/>
              <w:left w:val="nil"/>
              <w:bottom w:val="single" w:sz="4" w:space="0" w:color="auto"/>
              <w:right w:val="single" w:sz="4" w:space="0" w:color="auto"/>
            </w:tcBorders>
            <w:noWrap/>
            <w:vAlign w:val="center"/>
          </w:tcPr>
          <w:p w14:paraId="3ACEE924" w14:textId="77777777" w:rsidR="00115458" w:rsidRPr="00F4606C" w:rsidRDefault="00115458" w:rsidP="00F4606C">
            <w:pPr>
              <w:spacing w:after="0" w:line="240" w:lineRule="auto"/>
              <w:jc w:val="center"/>
              <w:rPr>
                <w:rFonts w:cs="Arial"/>
              </w:rPr>
            </w:pPr>
            <w:hyperlink w:anchor="d6_078" w:history="1">
              <w:r w:rsidRPr="00F4606C">
                <w:rPr>
                  <w:rFonts w:cs="Arial"/>
                </w:rPr>
                <w:t>6.81</w:t>
              </w:r>
            </w:hyperlink>
          </w:p>
        </w:tc>
      </w:tr>
      <w:tr w:rsidR="00115458" w:rsidRPr="00D42995" w14:paraId="32525FB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9C3D3F5" w14:textId="77777777" w:rsidR="00115458" w:rsidRPr="00F4606C" w:rsidRDefault="00115458" w:rsidP="00F4606C">
            <w:pPr>
              <w:spacing w:after="0" w:line="240" w:lineRule="auto"/>
              <w:rPr>
                <w:rFonts w:cs="Arial"/>
              </w:rPr>
            </w:pPr>
            <w:r w:rsidRPr="00F4606C">
              <w:rPr>
                <w:rFonts w:cs="Arial"/>
              </w:rPr>
              <w:t xml:space="preserve">Franking credit </w:t>
            </w:r>
          </w:p>
        </w:tc>
        <w:tc>
          <w:tcPr>
            <w:tcW w:w="685" w:type="pct"/>
            <w:tcBorders>
              <w:top w:val="single" w:sz="4" w:space="0" w:color="auto"/>
              <w:left w:val="nil"/>
              <w:bottom w:val="single" w:sz="4" w:space="0" w:color="auto"/>
              <w:right w:val="single" w:sz="4" w:space="0" w:color="auto"/>
            </w:tcBorders>
            <w:vAlign w:val="center"/>
          </w:tcPr>
          <w:p w14:paraId="18A74C3A" w14:textId="77777777" w:rsidR="00115458" w:rsidRPr="00F4606C" w:rsidRDefault="00115458" w:rsidP="00F4606C">
            <w:pPr>
              <w:spacing w:after="0" w:line="240" w:lineRule="auto"/>
              <w:jc w:val="center"/>
              <w:rPr>
                <w:rFonts w:cs="Arial"/>
              </w:rPr>
            </w:pPr>
            <w:hyperlink w:anchor="d7_079" w:history="1">
              <w:r w:rsidRPr="00F4606C">
                <w:rPr>
                  <w:rFonts w:cs="Arial"/>
                </w:rPr>
                <w:t>9.83</w:t>
              </w:r>
            </w:hyperlink>
          </w:p>
        </w:tc>
        <w:tc>
          <w:tcPr>
            <w:tcW w:w="1012" w:type="pct"/>
            <w:tcBorders>
              <w:top w:val="single" w:sz="4" w:space="0" w:color="auto"/>
              <w:left w:val="nil"/>
              <w:bottom w:val="single" w:sz="4" w:space="0" w:color="auto"/>
              <w:right w:val="single" w:sz="4" w:space="0" w:color="auto"/>
            </w:tcBorders>
            <w:noWrap/>
            <w:vAlign w:val="center"/>
          </w:tcPr>
          <w:p w14:paraId="652407F6" w14:textId="77777777" w:rsidR="00115458" w:rsidRPr="00F4606C" w:rsidRDefault="00115458" w:rsidP="00F4606C">
            <w:pPr>
              <w:spacing w:after="0" w:line="240" w:lineRule="auto"/>
              <w:jc w:val="center"/>
              <w:rPr>
                <w:rFonts w:cs="Arial"/>
              </w:rPr>
            </w:pPr>
            <w:hyperlink w:anchor="d6_079" w:history="1">
              <w:r w:rsidRPr="00F4606C">
                <w:rPr>
                  <w:rFonts w:cs="Arial"/>
                </w:rPr>
                <w:t>6.82</w:t>
              </w:r>
            </w:hyperlink>
          </w:p>
        </w:tc>
      </w:tr>
      <w:tr w:rsidR="00115458" w:rsidRPr="00D42995" w14:paraId="5ACB265A"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D2F49F9" w14:textId="77777777" w:rsidR="00115458" w:rsidRPr="00F4606C" w:rsidRDefault="00115458" w:rsidP="00F4606C">
            <w:pPr>
              <w:spacing w:after="0" w:line="240" w:lineRule="auto"/>
              <w:rPr>
                <w:rFonts w:cs="Arial"/>
              </w:rPr>
            </w:pPr>
            <w:r w:rsidRPr="00F4606C">
              <w:rPr>
                <w:rFonts w:cs="Arial"/>
              </w:rPr>
              <w:t xml:space="preserve">Other taxable Australian income </w:t>
            </w:r>
          </w:p>
        </w:tc>
        <w:tc>
          <w:tcPr>
            <w:tcW w:w="685" w:type="pct"/>
            <w:tcBorders>
              <w:top w:val="single" w:sz="4" w:space="0" w:color="auto"/>
              <w:left w:val="nil"/>
              <w:bottom w:val="single" w:sz="4" w:space="0" w:color="auto"/>
              <w:right w:val="single" w:sz="4" w:space="0" w:color="auto"/>
            </w:tcBorders>
            <w:vAlign w:val="center"/>
          </w:tcPr>
          <w:p w14:paraId="3A35A269" w14:textId="77777777" w:rsidR="00115458" w:rsidRPr="00F4606C" w:rsidRDefault="00115458" w:rsidP="00F4606C">
            <w:pPr>
              <w:spacing w:after="0" w:line="240" w:lineRule="auto"/>
              <w:jc w:val="center"/>
              <w:rPr>
                <w:rFonts w:cs="Arial"/>
              </w:rPr>
            </w:pPr>
            <w:hyperlink w:anchor="d7_080" w:history="1">
              <w:r w:rsidRPr="00F4606C">
                <w:rPr>
                  <w:rFonts w:cs="Arial"/>
                </w:rPr>
                <w:t>9.84</w:t>
              </w:r>
            </w:hyperlink>
          </w:p>
        </w:tc>
        <w:tc>
          <w:tcPr>
            <w:tcW w:w="1012" w:type="pct"/>
            <w:tcBorders>
              <w:top w:val="single" w:sz="4" w:space="0" w:color="auto"/>
              <w:left w:val="nil"/>
              <w:bottom w:val="single" w:sz="4" w:space="0" w:color="auto"/>
              <w:right w:val="single" w:sz="4" w:space="0" w:color="auto"/>
            </w:tcBorders>
            <w:noWrap/>
            <w:vAlign w:val="center"/>
          </w:tcPr>
          <w:p w14:paraId="36A45E87" w14:textId="77777777" w:rsidR="00115458" w:rsidRPr="00F4606C" w:rsidRDefault="00115458" w:rsidP="00F4606C">
            <w:pPr>
              <w:spacing w:after="0" w:line="240" w:lineRule="auto"/>
              <w:jc w:val="center"/>
              <w:rPr>
                <w:rFonts w:cs="Arial"/>
              </w:rPr>
            </w:pPr>
            <w:hyperlink w:anchor="d6_080" w:history="1">
              <w:r w:rsidRPr="00F4606C">
                <w:rPr>
                  <w:rFonts w:cs="Arial"/>
                </w:rPr>
                <w:t>6.83</w:t>
              </w:r>
            </w:hyperlink>
          </w:p>
        </w:tc>
      </w:tr>
      <w:tr w:rsidR="00115458" w:rsidRPr="00D42995" w14:paraId="6A09CC40"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E8B2536" w14:textId="77777777" w:rsidR="00115458" w:rsidRPr="00F4606C" w:rsidRDefault="00115458" w:rsidP="00F4606C">
            <w:pPr>
              <w:spacing w:after="0" w:line="240" w:lineRule="auto"/>
              <w:rPr>
                <w:rFonts w:cs="Arial"/>
              </w:rPr>
            </w:pPr>
            <w:r w:rsidRPr="00F4606C">
              <w:rPr>
                <w:rFonts w:cs="Arial"/>
              </w:rPr>
              <w:t>Non-primary production income</w:t>
            </w:r>
          </w:p>
        </w:tc>
        <w:tc>
          <w:tcPr>
            <w:tcW w:w="685" w:type="pct"/>
            <w:tcBorders>
              <w:top w:val="single" w:sz="4" w:space="0" w:color="auto"/>
              <w:left w:val="nil"/>
              <w:bottom w:val="single" w:sz="4" w:space="0" w:color="auto"/>
              <w:right w:val="single" w:sz="4" w:space="0" w:color="auto"/>
            </w:tcBorders>
            <w:vAlign w:val="center"/>
          </w:tcPr>
          <w:p w14:paraId="7B1F4C46" w14:textId="77777777" w:rsidR="00115458" w:rsidRPr="00F4606C" w:rsidRDefault="00115458" w:rsidP="00F4606C">
            <w:pPr>
              <w:spacing w:after="0" w:line="240" w:lineRule="auto"/>
              <w:jc w:val="center"/>
              <w:rPr>
                <w:rFonts w:cs="Arial"/>
              </w:rPr>
            </w:pPr>
            <w:hyperlink w:anchor="d7_081" w:history="1">
              <w:r w:rsidRPr="00F4606C">
                <w:rPr>
                  <w:rFonts w:cs="Arial"/>
                </w:rPr>
                <w:t>9.85</w:t>
              </w:r>
            </w:hyperlink>
          </w:p>
        </w:tc>
        <w:tc>
          <w:tcPr>
            <w:tcW w:w="1012" w:type="pct"/>
            <w:tcBorders>
              <w:top w:val="single" w:sz="4" w:space="0" w:color="auto"/>
              <w:left w:val="nil"/>
              <w:bottom w:val="single" w:sz="4" w:space="0" w:color="auto"/>
              <w:right w:val="single" w:sz="4" w:space="0" w:color="auto"/>
            </w:tcBorders>
            <w:noWrap/>
            <w:vAlign w:val="center"/>
          </w:tcPr>
          <w:p w14:paraId="7ABE1A74" w14:textId="77777777" w:rsidR="00115458" w:rsidRPr="00F4606C" w:rsidRDefault="00115458" w:rsidP="00F4606C">
            <w:pPr>
              <w:spacing w:after="0" w:line="240" w:lineRule="auto"/>
              <w:jc w:val="center"/>
              <w:rPr>
                <w:rFonts w:cs="Arial"/>
              </w:rPr>
            </w:pPr>
            <w:hyperlink w:anchor="d6_081" w:history="1">
              <w:r w:rsidRPr="00F4606C">
                <w:rPr>
                  <w:rFonts w:cs="Arial"/>
                </w:rPr>
                <w:t>6.84</w:t>
              </w:r>
            </w:hyperlink>
          </w:p>
        </w:tc>
      </w:tr>
      <w:tr w:rsidR="00115458" w:rsidRPr="00D42995" w14:paraId="553B86F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4ED93B0" w14:textId="77777777" w:rsidR="00115458" w:rsidRPr="00F4606C" w:rsidRDefault="00115458" w:rsidP="00F4606C">
            <w:pPr>
              <w:spacing w:after="0" w:line="240" w:lineRule="auto"/>
              <w:rPr>
                <w:rFonts w:cs="Arial"/>
              </w:rPr>
            </w:pPr>
            <w:r w:rsidRPr="00F4606C">
              <w:rPr>
                <w:rFonts w:cs="Arial"/>
              </w:rPr>
              <w:t>Deductions relating to non-primary production distributions (Other deductions relating to distributions)</w:t>
            </w:r>
          </w:p>
        </w:tc>
        <w:tc>
          <w:tcPr>
            <w:tcW w:w="685" w:type="pct"/>
            <w:tcBorders>
              <w:top w:val="single" w:sz="4" w:space="0" w:color="auto"/>
              <w:left w:val="nil"/>
              <w:bottom w:val="single" w:sz="4" w:space="0" w:color="auto"/>
              <w:right w:val="single" w:sz="4" w:space="0" w:color="auto"/>
            </w:tcBorders>
            <w:vAlign w:val="center"/>
          </w:tcPr>
          <w:p w14:paraId="794771A5" w14:textId="77777777" w:rsidR="00115458" w:rsidRPr="00F4606C" w:rsidRDefault="00115458" w:rsidP="00F4606C">
            <w:pPr>
              <w:spacing w:after="0" w:line="240" w:lineRule="auto"/>
              <w:jc w:val="center"/>
              <w:rPr>
                <w:rFonts w:cs="Arial"/>
              </w:rPr>
            </w:pPr>
            <w:hyperlink w:anchor="d7_082" w:history="1">
              <w:r w:rsidRPr="00F4606C">
                <w:rPr>
                  <w:rFonts w:cs="Arial"/>
                </w:rPr>
                <w:t>9.86</w:t>
              </w:r>
            </w:hyperlink>
          </w:p>
        </w:tc>
        <w:tc>
          <w:tcPr>
            <w:tcW w:w="1012" w:type="pct"/>
            <w:tcBorders>
              <w:top w:val="single" w:sz="4" w:space="0" w:color="auto"/>
              <w:left w:val="nil"/>
              <w:bottom w:val="single" w:sz="4" w:space="0" w:color="auto"/>
              <w:right w:val="single" w:sz="4" w:space="0" w:color="auto"/>
            </w:tcBorders>
            <w:noWrap/>
            <w:vAlign w:val="center"/>
          </w:tcPr>
          <w:p w14:paraId="44DFB550" w14:textId="77777777" w:rsidR="00115458" w:rsidRPr="00F4606C" w:rsidRDefault="00115458" w:rsidP="00F4606C">
            <w:pPr>
              <w:spacing w:after="0" w:line="240" w:lineRule="auto"/>
              <w:jc w:val="center"/>
              <w:rPr>
                <w:rFonts w:cs="Arial"/>
              </w:rPr>
            </w:pPr>
            <w:hyperlink w:anchor="d6_082" w:history="1">
              <w:r w:rsidRPr="00F4606C">
                <w:rPr>
                  <w:rFonts w:cs="Arial"/>
                </w:rPr>
                <w:t>6.85</w:t>
              </w:r>
            </w:hyperlink>
          </w:p>
        </w:tc>
      </w:tr>
      <w:tr w:rsidR="00115458" w:rsidRPr="00D42995" w14:paraId="6E7B21E4"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7B5A7D1" w14:textId="77777777" w:rsidR="00115458" w:rsidRPr="00F4606C" w:rsidRDefault="00115458" w:rsidP="00F4606C">
            <w:pPr>
              <w:spacing w:after="0" w:line="240" w:lineRule="auto"/>
              <w:rPr>
                <w:rFonts w:cs="Arial"/>
              </w:rPr>
            </w:pPr>
            <w:r w:rsidRPr="00F4606C">
              <w:rPr>
                <w:rFonts w:cs="Arial"/>
              </w:rPr>
              <w:t>CGT concession amount or AMIT CGT gross up amount</w:t>
            </w:r>
          </w:p>
        </w:tc>
        <w:tc>
          <w:tcPr>
            <w:tcW w:w="685" w:type="pct"/>
            <w:tcBorders>
              <w:top w:val="single" w:sz="4" w:space="0" w:color="auto"/>
              <w:left w:val="nil"/>
              <w:bottom w:val="single" w:sz="4" w:space="0" w:color="auto"/>
              <w:right w:val="single" w:sz="4" w:space="0" w:color="auto"/>
            </w:tcBorders>
            <w:vAlign w:val="center"/>
          </w:tcPr>
          <w:p w14:paraId="3EF3E0F5" w14:textId="77777777" w:rsidR="00115458" w:rsidRPr="00F4606C" w:rsidRDefault="00115458" w:rsidP="00F4606C">
            <w:pPr>
              <w:spacing w:after="0" w:line="240" w:lineRule="auto"/>
              <w:jc w:val="center"/>
              <w:rPr>
                <w:rFonts w:cs="Arial"/>
              </w:rPr>
            </w:pPr>
            <w:hyperlink w:anchor="d7_083" w:history="1">
              <w:r w:rsidRPr="00F4606C">
                <w:rPr>
                  <w:rFonts w:cs="Arial"/>
                </w:rPr>
                <w:t>9.87</w:t>
              </w:r>
            </w:hyperlink>
          </w:p>
        </w:tc>
        <w:tc>
          <w:tcPr>
            <w:tcW w:w="1012" w:type="pct"/>
            <w:tcBorders>
              <w:top w:val="single" w:sz="4" w:space="0" w:color="auto"/>
              <w:left w:val="nil"/>
              <w:bottom w:val="single" w:sz="4" w:space="0" w:color="auto"/>
              <w:right w:val="single" w:sz="4" w:space="0" w:color="auto"/>
            </w:tcBorders>
            <w:noWrap/>
            <w:vAlign w:val="center"/>
          </w:tcPr>
          <w:p w14:paraId="2D09DD4A" w14:textId="77777777" w:rsidR="00115458" w:rsidRPr="00F4606C" w:rsidRDefault="00115458" w:rsidP="00F4606C">
            <w:pPr>
              <w:spacing w:after="0" w:line="240" w:lineRule="auto"/>
              <w:jc w:val="center"/>
              <w:rPr>
                <w:rFonts w:cs="Arial"/>
              </w:rPr>
            </w:pPr>
            <w:hyperlink w:anchor="d6_083" w:history="1">
              <w:r w:rsidRPr="00F4606C">
                <w:rPr>
                  <w:rFonts w:cs="Arial"/>
                </w:rPr>
                <w:t>6.86</w:t>
              </w:r>
            </w:hyperlink>
          </w:p>
        </w:tc>
      </w:tr>
      <w:tr w:rsidR="00115458" w:rsidRPr="00D42995" w14:paraId="16FC5665"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4D02902" w14:textId="77777777" w:rsidR="00115458" w:rsidRPr="00F4606C" w:rsidRDefault="00115458" w:rsidP="00F4606C">
            <w:pPr>
              <w:spacing w:after="0" w:line="240" w:lineRule="auto"/>
              <w:rPr>
                <w:rFonts w:cs="Arial"/>
              </w:rPr>
            </w:pPr>
            <w:r w:rsidRPr="00F4606C">
              <w:rPr>
                <w:rFonts w:cs="Arial"/>
              </w:rPr>
              <w:t>Net capital gain</w:t>
            </w:r>
          </w:p>
        </w:tc>
        <w:tc>
          <w:tcPr>
            <w:tcW w:w="685" w:type="pct"/>
            <w:tcBorders>
              <w:top w:val="single" w:sz="4" w:space="0" w:color="auto"/>
              <w:left w:val="nil"/>
              <w:bottom w:val="single" w:sz="4" w:space="0" w:color="auto"/>
              <w:right w:val="single" w:sz="4" w:space="0" w:color="auto"/>
            </w:tcBorders>
            <w:vAlign w:val="center"/>
          </w:tcPr>
          <w:p w14:paraId="40C1EAE6" w14:textId="77777777" w:rsidR="00115458" w:rsidRPr="00F4606C" w:rsidRDefault="00115458" w:rsidP="00F4606C">
            <w:pPr>
              <w:spacing w:after="0" w:line="240" w:lineRule="auto"/>
              <w:jc w:val="center"/>
              <w:rPr>
                <w:rFonts w:cs="Arial"/>
              </w:rPr>
            </w:pPr>
            <w:hyperlink w:anchor="d7_084" w:history="1">
              <w:r w:rsidRPr="00F4606C">
                <w:rPr>
                  <w:rFonts w:cs="Arial"/>
                </w:rPr>
                <w:t>9.88</w:t>
              </w:r>
            </w:hyperlink>
          </w:p>
        </w:tc>
        <w:tc>
          <w:tcPr>
            <w:tcW w:w="1012" w:type="pct"/>
            <w:tcBorders>
              <w:top w:val="single" w:sz="4" w:space="0" w:color="auto"/>
              <w:left w:val="nil"/>
              <w:bottom w:val="single" w:sz="4" w:space="0" w:color="auto"/>
              <w:right w:val="single" w:sz="4" w:space="0" w:color="auto"/>
            </w:tcBorders>
            <w:noWrap/>
            <w:vAlign w:val="center"/>
          </w:tcPr>
          <w:p w14:paraId="6A5D43BB" w14:textId="77777777" w:rsidR="00115458" w:rsidRPr="00F4606C" w:rsidRDefault="00115458" w:rsidP="00F4606C">
            <w:pPr>
              <w:spacing w:after="0" w:line="240" w:lineRule="auto"/>
              <w:jc w:val="center"/>
              <w:rPr>
                <w:rFonts w:cs="Arial"/>
              </w:rPr>
            </w:pPr>
            <w:hyperlink w:anchor="d6_084" w:history="1">
              <w:r w:rsidRPr="00F4606C">
                <w:rPr>
                  <w:rFonts w:cs="Arial"/>
                </w:rPr>
                <w:t>6.87</w:t>
              </w:r>
            </w:hyperlink>
          </w:p>
        </w:tc>
      </w:tr>
      <w:tr w:rsidR="00115458" w:rsidRPr="00D42995" w14:paraId="1729B61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98B2506" w14:textId="77777777" w:rsidR="00115458" w:rsidRPr="00F4606C" w:rsidRDefault="00115458" w:rsidP="00F4606C">
            <w:pPr>
              <w:spacing w:after="0" w:line="240" w:lineRule="auto"/>
              <w:rPr>
                <w:rFonts w:cs="Arial"/>
              </w:rPr>
            </w:pPr>
            <w:r w:rsidRPr="00F4606C">
              <w:rPr>
                <w:rFonts w:cs="Arial"/>
              </w:rPr>
              <w:t>Total current year capital gains</w:t>
            </w:r>
          </w:p>
        </w:tc>
        <w:tc>
          <w:tcPr>
            <w:tcW w:w="685" w:type="pct"/>
            <w:tcBorders>
              <w:top w:val="single" w:sz="4" w:space="0" w:color="auto"/>
              <w:left w:val="nil"/>
              <w:bottom w:val="single" w:sz="4" w:space="0" w:color="auto"/>
              <w:right w:val="single" w:sz="4" w:space="0" w:color="auto"/>
            </w:tcBorders>
            <w:vAlign w:val="center"/>
          </w:tcPr>
          <w:p w14:paraId="1A184A32" w14:textId="77777777" w:rsidR="00115458" w:rsidRPr="00F4606C" w:rsidRDefault="00115458" w:rsidP="00F4606C">
            <w:pPr>
              <w:spacing w:after="0" w:line="240" w:lineRule="auto"/>
              <w:jc w:val="center"/>
              <w:rPr>
                <w:rFonts w:cs="Arial"/>
              </w:rPr>
            </w:pPr>
            <w:hyperlink w:anchor="d7_085" w:history="1">
              <w:r w:rsidRPr="00F4606C">
                <w:rPr>
                  <w:rFonts w:cs="Arial"/>
                </w:rPr>
                <w:t>9.89</w:t>
              </w:r>
            </w:hyperlink>
          </w:p>
        </w:tc>
        <w:tc>
          <w:tcPr>
            <w:tcW w:w="1012" w:type="pct"/>
            <w:tcBorders>
              <w:top w:val="single" w:sz="4" w:space="0" w:color="auto"/>
              <w:left w:val="nil"/>
              <w:bottom w:val="single" w:sz="4" w:space="0" w:color="auto"/>
              <w:right w:val="single" w:sz="4" w:space="0" w:color="auto"/>
            </w:tcBorders>
            <w:noWrap/>
            <w:vAlign w:val="center"/>
          </w:tcPr>
          <w:p w14:paraId="30E33309" w14:textId="77777777" w:rsidR="00115458" w:rsidRPr="00F4606C" w:rsidRDefault="00115458" w:rsidP="00F4606C">
            <w:pPr>
              <w:spacing w:after="0" w:line="240" w:lineRule="auto"/>
              <w:jc w:val="center"/>
              <w:rPr>
                <w:rFonts w:cs="Arial"/>
              </w:rPr>
            </w:pPr>
            <w:hyperlink w:anchor="d6_085" w:history="1">
              <w:r w:rsidRPr="00F4606C">
                <w:rPr>
                  <w:rFonts w:cs="Arial"/>
                </w:rPr>
                <w:t>6.88</w:t>
              </w:r>
            </w:hyperlink>
          </w:p>
        </w:tc>
      </w:tr>
      <w:tr w:rsidR="00115458" w:rsidRPr="00D42995" w14:paraId="5ED915C8"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63A5CD4" w14:textId="77777777" w:rsidR="00115458" w:rsidRPr="00F4606C" w:rsidRDefault="00115458" w:rsidP="00F4606C">
            <w:pPr>
              <w:spacing w:after="0" w:line="240" w:lineRule="auto"/>
              <w:rPr>
                <w:rFonts w:cs="Arial"/>
              </w:rPr>
            </w:pPr>
            <w:r w:rsidRPr="00F4606C">
              <w:rPr>
                <w:rFonts w:cs="Arial"/>
              </w:rPr>
              <w:t xml:space="preserve">Taxable foreign capital gains </w:t>
            </w:r>
          </w:p>
        </w:tc>
        <w:tc>
          <w:tcPr>
            <w:tcW w:w="685" w:type="pct"/>
            <w:tcBorders>
              <w:top w:val="single" w:sz="4" w:space="0" w:color="auto"/>
              <w:left w:val="nil"/>
              <w:bottom w:val="single" w:sz="4" w:space="0" w:color="auto"/>
              <w:right w:val="single" w:sz="4" w:space="0" w:color="auto"/>
            </w:tcBorders>
            <w:vAlign w:val="center"/>
          </w:tcPr>
          <w:p w14:paraId="780802C2" w14:textId="77777777" w:rsidR="00115458" w:rsidRPr="00F4606C" w:rsidRDefault="00115458" w:rsidP="00F4606C">
            <w:pPr>
              <w:spacing w:after="0" w:line="240" w:lineRule="auto"/>
              <w:jc w:val="center"/>
              <w:rPr>
                <w:rFonts w:cs="Arial"/>
              </w:rPr>
            </w:pPr>
            <w:hyperlink w:anchor="d7_086" w:history="1">
              <w:r w:rsidRPr="00F4606C">
                <w:rPr>
                  <w:rFonts w:cs="Arial"/>
                </w:rPr>
                <w:t>9.90</w:t>
              </w:r>
            </w:hyperlink>
          </w:p>
        </w:tc>
        <w:tc>
          <w:tcPr>
            <w:tcW w:w="1012" w:type="pct"/>
            <w:tcBorders>
              <w:top w:val="single" w:sz="4" w:space="0" w:color="auto"/>
              <w:left w:val="nil"/>
              <w:bottom w:val="single" w:sz="4" w:space="0" w:color="auto"/>
              <w:right w:val="single" w:sz="4" w:space="0" w:color="auto"/>
            </w:tcBorders>
            <w:noWrap/>
            <w:vAlign w:val="center"/>
          </w:tcPr>
          <w:p w14:paraId="665ED332" w14:textId="77777777" w:rsidR="00115458" w:rsidRPr="00F4606C" w:rsidRDefault="00115458" w:rsidP="00F4606C">
            <w:pPr>
              <w:spacing w:after="0" w:line="240" w:lineRule="auto"/>
              <w:jc w:val="center"/>
              <w:rPr>
                <w:rFonts w:cs="Arial"/>
              </w:rPr>
            </w:pPr>
            <w:hyperlink w:anchor="d6_086" w:history="1">
              <w:r w:rsidRPr="00F4606C">
                <w:rPr>
                  <w:rFonts w:cs="Arial"/>
                </w:rPr>
                <w:t>6.89</w:t>
              </w:r>
            </w:hyperlink>
          </w:p>
        </w:tc>
      </w:tr>
      <w:tr w:rsidR="00115458" w:rsidRPr="00D42995" w14:paraId="35B5A5B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92573B8" w14:textId="77777777" w:rsidR="00115458" w:rsidRPr="00F4606C" w:rsidRDefault="00115458" w:rsidP="00F4606C">
            <w:pPr>
              <w:spacing w:after="0" w:line="240" w:lineRule="auto"/>
              <w:rPr>
                <w:rFonts w:cs="Arial"/>
              </w:rPr>
            </w:pPr>
            <w:r w:rsidRPr="00F4606C">
              <w:rPr>
                <w:rFonts w:cs="Arial"/>
              </w:rPr>
              <w:t xml:space="preserve">Assessable foreign source income </w:t>
            </w:r>
          </w:p>
        </w:tc>
        <w:tc>
          <w:tcPr>
            <w:tcW w:w="685" w:type="pct"/>
            <w:tcBorders>
              <w:top w:val="single" w:sz="4" w:space="0" w:color="auto"/>
              <w:left w:val="nil"/>
              <w:bottom w:val="single" w:sz="4" w:space="0" w:color="auto"/>
              <w:right w:val="single" w:sz="4" w:space="0" w:color="auto"/>
            </w:tcBorders>
            <w:vAlign w:val="center"/>
          </w:tcPr>
          <w:p w14:paraId="3CD5406C" w14:textId="77777777" w:rsidR="00115458" w:rsidRPr="00F4606C" w:rsidRDefault="00115458" w:rsidP="00F4606C">
            <w:pPr>
              <w:spacing w:after="0" w:line="240" w:lineRule="auto"/>
              <w:jc w:val="center"/>
              <w:rPr>
                <w:rFonts w:cs="Arial"/>
              </w:rPr>
            </w:pPr>
            <w:hyperlink w:anchor="d7_087" w:history="1">
              <w:r w:rsidRPr="00F4606C">
                <w:rPr>
                  <w:rFonts w:cs="Arial"/>
                </w:rPr>
                <w:t>9.91</w:t>
              </w:r>
            </w:hyperlink>
          </w:p>
        </w:tc>
        <w:tc>
          <w:tcPr>
            <w:tcW w:w="1012" w:type="pct"/>
            <w:tcBorders>
              <w:top w:val="single" w:sz="4" w:space="0" w:color="auto"/>
              <w:left w:val="nil"/>
              <w:bottom w:val="single" w:sz="4" w:space="0" w:color="auto"/>
              <w:right w:val="single" w:sz="4" w:space="0" w:color="auto"/>
            </w:tcBorders>
            <w:noWrap/>
            <w:vAlign w:val="center"/>
          </w:tcPr>
          <w:p w14:paraId="5C153C42" w14:textId="77777777" w:rsidR="00115458" w:rsidRPr="00F4606C" w:rsidRDefault="00115458" w:rsidP="00F4606C">
            <w:pPr>
              <w:spacing w:after="0" w:line="240" w:lineRule="auto"/>
              <w:jc w:val="center"/>
              <w:rPr>
                <w:rFonts w:cs="Arial"/>
              </w:rPr>
            </w:pPr>
            <w:hyperlink w:anchor="d6_087" w:history="1">
              <w:r w:rsidRPr="00F4606C">
                <w:rPr>
                  <w:rFonts w:cs="Arial"/>
                </w:rPr>
                <w:t>6.90</w:t>
              </w:r>
            </w:hyperlink>
          </w:p>
        </w:tc>
      </w:tr>
      <w:tr w:rsidR="00115458" w:rsidRPr="00D42995" w14:paraId="6055DE9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4A2387E" w14:textId="77777777" w:rsidR="00115458" w:rsidRPr="00F4606C" w:rsidRDefault="00115458" w:rsidP="00F4606C">
            <w:pPr>
              <w:spacing w:after="0" w:line="240" w:lineRule="auto"/>
              <w:rPr>
                <w:rFonts w:cs="Arial"/>
              </w:rPr>
            </w:pPr>
            <w:r w:rsidRPr="00F4606C">
              <w:rPr>
                <w:rFonts w:cs="Arial"/>
              </w:rPr>
              <w:t xml:space="preserve">Other net foreign source income </w:t>
            </w:r>
          </w:p>
        </w:tc>
        <w:tc>
          <w:tcPr>
            <w:tcW w:w="685" w:type="pct"/>
            <w:tcBorders>
              <w:top w:val="single" w:sz="4" w:space="0" w:color="auto"/>
              <w:left w:val="nil"/>
              <w:bottom w:val="single" w:sz="4" w:space="0" w:color="auto"/>
              <w:right w:val="single" w:sz="4" w:space="0" w:color="auto"/>
            </w:tcBorders>
            <w:vAlign w:val="center"/>
          </w:tcPr>
          <w:p w14:paraId="2E5DEE4D" w14:textId="77777777" w:rsidR="00115458" w:rsidRPr="00F4606C" w:rsidRDefault="00115458" w:rsidP="00F4606C">
            <w:pPr>
              <w:spacing w:after="0" w:line="240" w:lineRule="auto"/>
              <w:jc w:val="center"/>
              <w:rPr>
                <w:rFonts w:cs="Arial"/>
              </w:rPr>
            </w:pPr>
            <w:hyperlink w:anchor="d7_088" w:history="1">
              <w:r w:rsidRPr="00F4606C">
                <w:rPr>
                  <w:rFonts w:cs="Arial"/>
                </w:rPr>
                <w:t>9.92</w:t>
              </w:r>
            </w:hyperlink>
          </w:p>
        </w:tc>
        <w:tc>
          <w:tcPr>
            <w:tcW w:w="1012" w:type="pct"/>
            <w:tcBorders>
              <w:top w:val="single" w:sz="4" w:space="0" w:color="auto"/>
              <w:left w:val="nil"/>
              <w:bottom w:val="single" w:sz="4" w:space="0" w:color="auto"/>
              <w:right w:val="single" w:sz="4" w:space="0" w:color="auto"/>
            </w:tcBorders>
            <w:noWrap/>
            <w:vAlign w:val="center"/>
          </w:tcPr>
          <w:p w14:paraId="648BC01C" w14:textId="77777777" w:rsidR="00115458" w:rsidRPr="00F4606C" w:rsidRDefault="00115458" w:rsidP="00F4606C">
            <w:pPr>
              <w:spacing w:after="0" w:line="240" w:lineRule="auto"/>
              <w:jc w:val="center"/>
              <w:rPr>
                <w:rFonts w:cs="Arial"/>
              </w:rPr>
            </w:pPr>
            <w:hyperlink w:anchor="d6_088" w:history="1">
              <w:r w:rsidRPr="00F4606C">
                <w:rPr>
                  <w:rFonts w:cs="Arial"/>
                </w:rPr>
                <w:t>6.91</w:t>
              </w:r>
            </w:hyperlink>
          </w:p>
        </w:tc>
      </w:tr>
      <w:tr w:rsidR="00115458" w:rsidRPr="00D42995" w14:paraId="0125B5AA"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94940B0" w14:textId="77777777" w:rsidR="00115458" w:rsidRPr="00F4606C" w:rsidRDefault="00115458" w:rsidP="00F4606C">
            <w:pPr>
              <w:spacing w:after="0" w:line="240" w:lineRule="auto"/>
              <w:rPr>
                <w:rFonts w:cs="Arial"/>
              </w:rPr>
            </w:pPr>
            <w:r w:rsidRPr="00F4606C">
              <w:rPr>
                <w:rFonts w:cs="Arial"/>
              </w:rPr>
              <w:t xml:space="preserve">Foreign income tax offset </w:t>
            </w:r>
          </w:p>
        </w:tc>
        <w:tc>
          <w:tcPr>
            <w:tcW w:w="685" w:type="pct"/>
            <w:tcBorders>
              <w:top w:val="single" w:sz="4" w:space="0" w:color="auto"/>
              <w:left w:val="nil"/>
              <w:bottom w:val="single" w:sz="4" w:space="0" w:color="auto"/>
              <w:right w:val="single" w:sz="4" w:space="0" w:color="auto"/>
            </w:tcBorders>
            <w:vAlign w:val="center"/>
          </w:tcPr>
          <w:p w14:paraId="6A43871D" w14:textId="77777777" w:rsidR="00115458" w:rsidRPr="00F4606C" w:rsidRDefault="00115458" w:rsidP="00F4606C">
            <w:pPr>
              <w:spacing w:after="0" w:line="240" w:lineRule="auto"/>
              <w:jc w:val="center"/>
              <w:rPr>
                <w:rFonts w:cs="Arial"/>
              </w:rPr>
            </w:pPr>
            <w:r w:rsidRPr="00F4606C">
              <w:rPr>
                <w:rFonts w:cs="Arial"/>
              </w:rPr>
              <w:t>9.93</w:t>
            </w:r>
          </w:p>
        </w:tc>
        <w:tc>
          <w:tcPr>
            <w:tcW w:w="1012" w:type="pct"/>
            <w:tcBorders>
              <w:top w:val="single" w:sz="4" w:space="0" w:color="auto"/>
              <w:left w:val="nil"/>
              <w:bottom w:val="single" w:sz="4" w:space="0" w:color="auto"/>
              <w:right w:val="single" w:sz="4" w:space="0" w:color="auto"/>
            </w:tcBorders>
            <w:noWrap/>
            <w:vAlign w:val="center"/>
          </w:tcPr>
          <w:p w14:paraId="3BA341F2" w14:textId="77777777" w:rsidR="00115458" w:rsidRPr="00F4606C" w:rsidRDefault="00115458" w:rsidP="00F4606C">
            <w:pPr>
              <w:spacing w:after="0" w:line="240" w:lineRule="auto"/>
              <w:jc w:val="center"/>
              <w:rPr>
                <w:rFonts w:cs="Arial"/>
              </w:rPr>
            </w:pPr>
            <w:hyperlink w:anchor="d6_089" w:history="1">
              <w:r w:rsidRPr="00F4606C">
                <w:rPr>
                  <w:rFonts w:cs="Arial"/>
                </w:rPr>
                <w:t>6.92</w:t>
              </w:r>
            </w:hyperlink>
          </w:p>
        </w:tc>
      </w:tr>
      <w:tr w:rsidR="00115458" w:rsidRPr="00D42995" w14:paraId="4DE57448"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EB6D895" w14:textId="77777777" w:rsidR="00115458" w:rsidRPr="00F4606C" w:rsidRDefault="00115458" w:rsidP="00F4606C">
            <w:pPr>
              <w:spacing w:after="0" w:line="240" w:lineRule="auto"/>
              <w:rPr>
                <w:rFonts w:cs="Arial"/>
              </w:rPr>
            </w:pPr>
            <w:r w:rsidRPr="00F4606C">
              <w:rPr>
                <w:rFonts w:cs="Arial"/>
              </w:rPr>
              <w:t xml:space="preserve">Australian franking credits from a New Zealand franking company </w:t>
            </w:r>
          </w:p>
        </w:tc>
        <w:tc>
          <w:tcPr>
            <w:tcW w:w="685" w:type="pct"/>
            <w:tcBorders>
              <w:top w:val="single" w:sz="4" w:space="0" w:color="auto"/>
              <w:left w:val="nil"/>
              <w:bottom w:val="single" w:sz="4" w:space="0" w:color="auto"/>
              <w:right w:val="single" w:sz="4" w:space="0" w:color="auto"/>
            </w:tcBorders>
            <w:vAlign w:val="center"/>
          </w:tcPr>
          <w:p w14:paraId="679F8AD8" w14:textId="77777777" w:rsidR="00115458" w:rsidRPr="00F4606C" w:rsidRDefault="00115458" w:rsidP="00F4606C">
            <w:pPr>
              <w:spacing w:after="0" w:line="240" w:lineRule="auto"/>
              <w:jc w:val="center"/>
              <w:rPr>
                <w:rFonts w:cs="Arial"/>
              </w:rPr>
            </w:pPr>
            <w:hyperlink w:anchor="d7_090" w:history="1">
              <w:r w:rsidRPr="00F4606C">
                <w:rPr>
                  <w:rFonts w:cs="Arial"/>
                </w:rPr>
                <w:t>9.94</w:t>
              </w:r>
            </w:hyperlink>
          </w:p>
        </w:tc>
        <w:tc>
          <w:tcPr>
            <w:tcW w:w="1012" w:type="pct"/>
            <w:tcBorders>
              <w:top w:val="single" w:sz="4" w:space="0" w:color="auto"/>
              <w:left w:val="nil"/>
              <w:bottom w:val="single" w:sz="4" w:space="0" w:color="auto"/>
              <w:right w:val="single" w:sz="4" w:space="0" w:color="auto"/>
            </w:tcBorders>
            <w:noWrap/>
            <w:vAlign w:val="center"/>
          </w:tcPr>
          <w:p w14:paraId="6E9E6715" w14:textId="77777777" w:rsidR="00115458" w:rsidRPr="00F4606C" w:rsidRDefault="00115458" w:rsidP="00F4606C">
            <w:pPr>
              <w:spacing w:after="0" w:line="240" w:lineRule="auto"/>
              <w:jc w:val="center"/>
              <w:rPr>
                <w:rFonts w:cs="Arial"/>
              </w:rPr>
            </w:pPr>
            <w:hyperlink w:anchor="d6_090" w:history="1">
              <w:r w:rsidRPr="00F4606C">
                <w:rPr>
                  <w:rFonts w:cs="Arial"/>
                </w:rPr>
                <w:t>6.93</w:t>
              </w:r>
            </w:hyperlink>
          </w:p>
        </w:tc>
      </w:tr>
      <w:tr w:rsidR="00115458" w:rsidRPr="00D42995" w14:paraId="3C63182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6AADE79" w14:textId="77777777" w:rsidR="00115458" w:rsidRPr="00F4606C" w:rsidRDefault="00115458" w:rsidP="00F4606C">
            <w:pPr>
              <w:spacing w:after="0" w:line="240" w:lineRule="auto"/>
              <w:rPr>
                <w:rFonts w:cs="Arial"/>
              </w:rPr>
            </w:pPr>
            <w:r w:rsidRPr="00F4606C">
              <w:rPr>
                <w:rFonts w:cs="Arial"/>
              </w:rPr>
              <w:t xml:space="preserve">Net exempted amounts </w:t>
            </w:r>
          </w:p>
        </w:tc>
        <w:tc>
          <w:tcPr>
            <w:tcW w:w="685" w:type="pct"/>
            <w:tcBorders>
              <w:top w:val="single" w:sz="4" w:space="0" w:color="auto"/>
              <w:left w:val="nil"/>
              <w:bottom w:val="single" w:sz="4" w:space="0" w:color="auto"/>
              <w:right w:val="single" w:sz="4" w:space="0" w:color="auto"/>
            </w:tcBorders>
            <w:vAlign w:val="center"/>
          </w:tcPr>
          <w:p w14:paraId="1425AC84" w14:textId="77777777" w:rsidR="00115458" w:rsidRPr="00F4606C" w:rsidRDefault="00115458" w:rsidP="00F4606C">
            <w:pPr>
              <w:spacing w:after="0" w:line="240" w:lineRule="auto"/>
              <w:jc w:val="center"/>
              <w:rPr>
                <w:rFonts w:cs="Arial"/>
              </w:rPr>
            </w:pPr>
            <w:r w:rsidRPr="00F4606C">
              <w:rPr>
                <w:rFonts w:cs="Arial"/>
              </w:rPr>
              <w:t>9.95</w:t>
            </w:r>
          </w:p>
        </w:tc>
        <w:tc>
          <w:tcPr>
            <w:tcW w:w="1012" w:type="pct"/>
            <w:tcBorders>
              <w:top w:val="single" w:sz="4" w:space="0" w:color="auto"/>
              <w:left w:val="nil"/>
              <w:bottom w:val="single" w:sz="4" w:space="0" w:color="auto"/>
              <w:right w:val="single" w:sz="4" w:space="0" w:color="auto"/>
            </w:tcBorders>
            <w:noWrap/>
            <w:vAlign w:val="center"/>
          </w:tcPr>
          <w:p w14:paraId="0457EE71" w14:textId="77777777" w:rsidR="00115458" w:rsidRPr="00F4606C" w:rsidRDefault="00115458" w:rsidP="00F4606C">
            <w:pPr>
              <w:spacing w:after="0" w:line="240" w:lineRule="auto"/>
              <w:jc w:val="center"/>
              <w:rPr>
                <w:rFonts w:cs="Arial"/>
              </w:rPr>
            </w:pPr>
            <w:hyperlink w:anchor="d6_091" w:history="1">
              <w:r w:rsidRPr="00F4606C">
                <w:rPr>
                  <w:rFonts w:cs="Arial"/>
                </w:rPr>
                <w:t>6.94</w:t>
              </w:r>
            </w:hyperlink>
          </w:p>
        </w:tc>
      </w:tr>
      <w:tr w:rsidR="00115458" w:rsidRPr="00D42995" w14:paraId="27557112"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0A2655D" w14:textId="77777777" w:rsidR="00115458" w:rsidRPr="00F4606C" w:rsidRDefault="00115458" w:rsidP="00F4606C">
            <w:pPr>
              <w:spacing w:after="0" w:line="240" w:lineRule="auto"/>
              <w:rPr>
                <w:rFonts w:cs="Arial"/>
              </w:rPr>
            </w:pPr>
            <w:r w:rsidRPr="00F4606C">
              <w:rPr>
                <w:rFonts w:cs="Arial"/>
              </w:rPr>
              <w:t xml:space="preserve">Tax-free amounts </w:t>
            </w:r>
          </w:p>
        </w:tc>
        <w:tc>
          <w:tcPr>
            <w:tcW w:w="685" w:type="pct"/>
            <w:tcBorders>
              <w:top w:val="single" w:sz="4" w:space="0" w:color="auto"/>
              <w:left w:val="nil"/>
              <w:bottom w:val="single" w:sz="4" w:space="0" w:color="auto"/>
              <w:right w:val="single" w:sz="4" w:space="0" w:color="auto"/>
            </w:tcBorders>
            <w:vAlign w:val="center"/>
          </w:tcPr>
          <w:p w14:paraId="3117686B" w14:textId="77777777" w:rsidR="00115458" w:rsidRPr="00F4606C" w:rsidRDefault="00115458" w:rsidP="00F4606C">
            <w:pPr>
              <w:spacing w:after="0" w:line="240" w:lineRule="auto"/>
              <w:jc w:val="center"/>
              <w:rPr>
                <w:rFonts w:cs="Arial"/>
              </w:rPr>
            </w:pPr>
            <w:hyperlink w:anchor="d7_092" w:history="1">
              <w:r w:rsidRPr="00F4606C">
                <w:rPr>
                  <w:rFonts w:cs="Arial"/>
                </w:rPr>
                <w:t>9.96</w:t>
              </w:r>
            </w:hyperlink>
          </w:p>
        </w:tc>
        <w:tc>
          <w:tcPr>
            <w:tcW w:w="1012" w:type="pct"/>
            <w:tcBorders>
              <w:top w:val="single" w:sz="4" w:space="0" w:color="auto"/>
              <w:left w:val="nil"/>
              <w:bottom w:val="single" w:sz="4" w:space="0" w:color="auto"/>
              <w:right w:val="single" w:sz="4" w:space="0" w:color="auto"/>
            </w:tcBorders>
            <w:noWrap/>
            <w:vAlign w:val="center"/>
          </w:tcPr>
          <w:p w14:paraId="6A0D9D39" w14:textId="77777777" w:rsidR="00115458" w:rsidRPr="00F4606C" w:rsidRDefault="00115458" w:rsidP="00F4606C">
            <w:pPr>
              <w:spacing w:after="0" w:line="240" w:lineRule="auto"/>
              <w:jc w:val="center"/>
              <w:rPr>
                <w:rFonts w:cs="Arial"/>
              </w:rPr>
            </w:pPr>
            <w:hyperlink w:anchor="d6_092" w:history="1">
              <w:r w:rsidRPr="00F4606C">
                <w:rPr>
                  <w:rFonts w:cs="Arial"/>
                </w:rPr>
                <w:t>6.95</w:t>
              </w:r>
            </w:hyperlink>
          </w:p>
        </w:tc>
      </w:tr>
      <w:tr w:rsidR="00115458" w:rsidRPr="00D42995" w14:paraId="6B2D9C56"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3DF7F75" w14:textId="77777777" w:rsidR="00115458" w:rsidRPr="00F4606C" w:rsidRDefault="00115458" w:rsidP="00F4606C">
            <w:pPr>
              <w:spacing w:after="0" w:line="240" w:lineRule="auto"/>
              <w:rPr>
                <w:rFonts w:cs="Arial"/>
              </w:rPr>
            </w:pPr>
            <w:r w:rsidRPr="00F4606C">
              <w:rPr>
                <w:rFonts w:cs="Arial"/>
              </w:rPr>
              <w:t xml:space="preserve">Tax-deferred amounts </w:t>
            </w:r>
          </w:p>
        </w:tc>
        <w:tc>
          <w:tcPr>
            <w:tcW w:w="685" w:type="pct"/>
            <w:tcBorders>
              <w:top w:val="single" w:sz="4" w:space="0" w:color="auto"/>
              <w:left w:val="nil"/>
              <w:bottom w:val="single" w:sz="4" w:space="0" w:color="auto"/>
              <w:right w:val="single" w:sz="4" w:space="0" w:color="auto"/>
            </w:tcBorders>
            <w:vAlign w:val="center"/>
          </w:tcPr>
          <w:p w14:paraId="00295CA9" w14:textId="77777777" w:rsidR="00115458" w:rsidRPr="00F4606C" w:rsidRDefault="00115458" w:rsidP="00F4606C">
            <w:pPr>
              <w:spacing w:after="0" w:line="240" w:lineRule="auto"/>
              <w:jc w:val="center"/>
              <w:rPr>
                <w:rFonts w:cs="Arial"/>
              </w:rPr>
            </w:pPr>
            <w:hyperlink w:anchor="d7_093" w:history="1">
              <w:r w:rsidRPr="00F4606C">
                <w:rPr>
                  <w:rFonts w:cs="Arial"/>
                </w:rPr>
                <w:t>9.97</w:t>
              </w:r>
            </w:hyperlink>
          </w:p>
        </w:tc>
        <w:tc>
          <w:tcPr>
            <w:tcW w:w="1012" w:type="pct"/>
            <w:tcBorders>
              <w:top w:val="single" w:sz="4" w:space="0" w:color="auto"/>
              <w:left w:val="nil"/>
              <w:bottom w:val="single" w:sz="4" w:space="0" w:color="auto"/>
              <w:right w:val="single" w:sz="4" w:space="0" w:color="auto"/>
            </w:tcBorders>
            <w:noWrap/>
            <w:vAlign w:val="center"/>
          </w:tcPr>
          <w:p w14:paraId="4DD478DD" w14:textId="77777777" w:rsidR="00115458" w:rsidRPr="00F4606C" w:rsidRDefault="00115458" w:rsidP="00F4606C">
            <w:pPr>
              <w:spacing w:after="0" w:line="240" w:lineRule="auto"/>
              <w:jc w:val="center"/>
              <w:rPr>
                <w:rFonts w:cs="Arial"/>
              </w:rPr>
            </w:pPr>
            <w:hyperlink w:anchor="d6_093" w:history="1">
              <w:r w:rsidRPr="00F4606C">
                <w:rPr>
                  <w:rFonts w:cs="Arial"/>
                </w:rPr>
                <w:t>6.96</w:t>
              </w:r>
            </w:hyperlink>
          </w:p>
        </w:tc>
      </w:tr>
      <w:tr w:rsidR="00115458" w:rsidRPr="00D42995" w14:paraId="296F8AC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FD3869A" w14:textId="77777777" w:rsidR="00115458" w:rsidRPr="00F4606C" w:rsidRDefault="00115458" w:rsidP="00F4606C">
            <w:pPr>
              <w:spacing w:after="0" w:line="240" w:lineRule="auto"/>
              <w:rPr>
                <w:rFonts w:cs="Arial"/>
              </w:rPr>
            </w:pPr>
            <w:r w:rsidRPr="00F4606C">
              <w:rPr>
                <w:rFonts w:cs="Arial"/>
              </w:rPr>
              <w:t>Other allowable trust deductions</w:t>
            </w:r>
          </w:p>
        </w:tc>
        <w:tc>
          <w:tcPr>
            <w:tcW w:w="685" w:type="pct"/>
            <w:tcBorders>
              <w:top w:val="single" w:sz="4" w:space="0" w:color="auto"/>
              <w:left w:val="nil"/>
              <w:bottom w:val="single" w:sz="4" w:space="0" w:color="auto"/>
              <w:right w:val="single" w:sz="4" w:space="0" w:color="auto"/>
            </w:tcBorders>
            <w:vAlign w:val="center"/>
          </w:tcPr>
          <w:p w14:paraId="00DFA96D" w14:textId="77777777" w:rsidR="00115458" w:rsidRPr="00F4606C" w:rsidRDefault="00115458" w:rsidP="00F4606C">
            <w:pPr>
              <w:spacing w:after="0" w:line="240" w:lineRule="auto"/>
              <w:jc w:val="center"/>
              <w:rPr>
                <w:rFonts w:cs="Arial"/>
              </w:rPr>
            </w:pPr>
            <w:hyperlink w:anchor="d7_094" w:history="1">
              <w:r w:rsidRPr="00F4606C">
                <w:rPr>
                  <w:rFonts w:cs="Arial"/>
                </w:rPr>
                <w:t>9.98</w:t>
              </w:r>
            </w:hyperlink>
          </w:p>
        </w:tc>
        <w:tc>
          <w:tcPr>
            <w:tcW w:w="1012" w:type="pct"/>
            <w:tcBorders>
              <w:top w:val="single" w:sz="4" w:space="0" w:color="auto"/>
              <w:left w:val="nil"/>
              <w:bottom w:val="single" w:sz="4" w:space="0" w:color="auto"/>
              <w:right w:val="single" w:sz="4" w:space="0" w:color="auto"/>
            </w:tcBorders>
            <w:noWrap/>
            <w:vAlign w:val="center"/>
          </w:tcPr>
          <w:p w14:paraId="1F736828" w14:textId="77777777" w:rsidR="00115458" w:rsidRPr="00F4606C" w:rsidRDefault="00115458" w:rsidP="00F4606C">
            <w:pPr>
              <w:spacing w:after="0" w:line="240" w:lineRule="auto"/>
              <w:jc w:val="center"/>
              <w:rPr>
                <w:rFonts w:cs="Arial"/>
              </w:rPr>
            </w:pPr>
            <w:hyperlink w:anchor="d6_094" w:history="1">
              <w:r w:rsidRPr="00F4606C">
                <w:rPr>
                  <w:rFonts w:cs="Arial"/>
                </w:rPr>
                <w:t>6.97</w:t>
              </w:r>
            </w:hyperlink>
          </w:p>
        </w:tc>
      </w:tr>
      <w:tr w:rsidR="00115458" w:rsidRPr="00D42995" w14:paraId="46ADB20C"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72C5EEF" w14:textId="77777777" w:rsidR="00115458" w:rsidRPr="00F4606C" w:rsidRDefault="00115458" w:rsidP="00F4606C">
            <w:pPr>
              <w:spacing w:after="0" w:line="240" w:lineRule="auto"/>
              <w:rPr>
                <w:rFonts w:cs="Arial"/>
              </w:rPr>
            </w:pPr>
            <w:r w:rsidRPr="00F4606C">
              <w:rPr>
                <w:rFonts w:cs="Arial"/>
              </w:rPr>
              <w:t xml:space="preserve">Share of credit for amounts withheld from foreign resident withholding </w:t>
            </w:r>
          </w:p>
        </w:tc>
        <w:tc>
          <w:tcPr>
            <w:tcW w:w="685" w:type="pct"/>
            <w:tcBorders>
              <w:top w:val="single" w:sz="4" w:space="0" w:color="auto"/>
              <w:left w:val="nil"/>
              <w:bottom w:val="single" w:sz="4" w:space="0" w:color="auto"/>
              <w:right w:val="single" w:sz="4" w:space="0" w:color="auto"/>
            </w:tcBorders>
            <w:vAlign w:val="center"/>
          </w:tcPr>
          <w:p w14:paraId="3C42B61A" w14:textId="77777777" w:rsidR="00115458" w:rsidRPr="00F4606C" w:rsidRDefault="00115458" w:rsidP="00F4606C">
            <w:pPr>
              <w:spacing w:after="0" w:line="240" w:lineRule="auto"/>
              <w:jc w:val="center"/>
              <w:rPr>
                <w:rFonts w:cs="Arial"/>
              </w:rPr>
            </w:pPr>
            <w:hyperlink w:anchor="d7_095" w:history="1">
              <w:r w:rsidRPr="00F4606C">
                <w:rPr>
                  <w:rFonts w:cs="Arial"/>
                </w:rPr>
                <w:t>9.99</w:t>
              </w:r>
            </w:hyperlink>
          </w:p>
        </w:tc>
        <w:tc>
          <w:tcPr>
            <w:tcW w:w="1012" w:type="pct"/>
            <w:tcBorders>
              <w:top w:val="single" w:sz="4" w:space="0" w:color="auto"/>
              <w:left w:val="nil"/>
              <w:bottom w:val="single" w:sz="4" w:space="0" w:color="auto"/>
              <w:right w:val="single" w:sz="4" w:space="0" w:color="auto"/>
            </w:tcBorders>
            <w:noWrap/>
            <w:vAlign w:val="center"/>
          </w:tcPr>
          <w:p w14:paraId="6650D950" w14:textId="77777777" w:rsidR="00115458" w:rsidRPr="00F4606C" w:rsidRDefault="00115458" w:rsidP="00F4606C">
            <w:pPr>
              <w:spacing w:after="0" w:line="240" w:lineRule="auto"/>
              <w:jc w:val="center"/>
              <w:rPr>
                <w:rFonts w:cs="Arial"/>
              </w:rPr>
            </w:pPr>
            <w:hyperlink w:anchor="d6_095" w:history="1">
              <w:r w:rsidRPr="00F4606C">
                <w:rPr>
                  <w:rFonts w:cs="Arial"/>
                </w:rPr>
                <w:t>6.98</w:t>
              </w:r>
            </w:hyperlink>
          </w:p>
        </w:tc>
      </w:tr>
      <w:tr w:rsidR="00115458" w:rsidRPr="00D42995" w14:paraId="6C2C938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09443FD" w14:textId="77777777" w:rsidR="00115458" w:rsidRPr="00F4606C" w:rsidRDefault="00115458" w:rsidP="00F4606C">
            <w:pPr>
              <w:spacing w:after="0" w:line="240" w:lineRule="auto"/>
              <w:rPr>
                <w:rFonts w:cs="Arial"/>
              </w:rPr>
            </w:pPr>
            <w:r w:rsidRPr="00F4606C">
              <w:rPr>
                <w:rFonts w:cs="Arial"/>
              </w:rPr>
              <w:t xml:space="preserve">Share of credit for tax paid by trustee </w:t>
            </w:r>
          </w:p>
        </w:tc>
        <w:tc>
          <w:tcPr>
            <w:tcW w:w="685" w:type="pct"/>
            <w:tcBorders>
              <w:top w:val="single" w:sz="4" w:space="0" w:color="auto"/>
              <w:left w:val="nil"/>
              <w:bottom w:val="single" w:sz="4" w:space="0" w:color="auto"/>
              <w:right w:val="single" w:sz="4" w:space="0" w:color="auto"/>
            </w:tcBorders>
            <w:vAlign w:val="center"/>
          </w:tcPr>
          <w:p w14:paraId="2300FB48" w14:textId="77777777" w:rsidR="00115458" w:rsidRPr="00F4606C" w:rsidRDefault="00115458" w:rsidP="00F4606C">
            <w:pPr>
              <w:spacing w:after="0" w:line="240" w:lineRule="auto"/>
              <w:jc w:val="center"/>
              <w:rPr>
                <w:rFonts w:cs="Arial"/>
              </w:rPr>
            </w:pPr>
            <w:hyperlink w:anchor="d7_096" w:history="1">
              <w:r w:rsidRPr="00F4606C">
                <w:rPr>
                  <w:rFonts w:cs="Arial"/>
                </w:rPr>
                <w:t>9.100</w:t>
              </w:r>
            </w:hyperlink>
          </w:p>
        </w:tc>
        <w:tc>
          <w:tcPr>
            <w:tcW w:w="1012" w:type="pct"/>
            <w:tcBorders>
              <w:top w:val="single" w:sz="4" w:space="0" w:color="auto"/>
              <w:left w:val="nil"/>
              <w:bottom w:val="single" w:sz="4" w:space="0" w:color="auto"/>
              <w:right w:val="single" w:sz="4" w:space="0" w:color="auto"/>
            </w:tcBorders>
            <w:noWrap/>
            <w:vAlign w:val="center"/>
          </w:tcPr>
          <w:p w14:paraId="77B4BFBC" w14:textId="77777777" w:rsidR="00115458" w:rsidRPr="00F4606C" w:rsidRDefault="00115458" w:rsidP="00F4606C">
            <w:pPr>
              <w:spacing w:after="0" w:line="240" w:lineRule="auto"/>
              <w:jc w:val="center"/>
              <w:rPr>
                <w:rFonts w:cs="Arial"/>
              </w:rPr>
            </w:pPr>
            <w:hyperlink w:anchor="d6_096" w:history="1">
              <w:r w:rsidRPr="00F4606C">
                <w:rPr>
                  <w:rFonts w:cs="Arial"/>
                </w:rPr>
                <w:t>6.99</w:t>
              </w:r>
            </w:hyperlink>
          </w:p>
        </w:tc>
      </w:tr>
      <w:tr w:rsidR="00115458" w:rsidRPr="00D42995" w14:paraId="65F21E3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5252C44" w14:textId="77777777" w:rsidR="00115458" w:rsidRPr="00F4606C" w:rsidRDefault="00115458" w:rsidP="00F4606C">
            <w:pPr>
              <w:spacing w:after="0" w:line="240" w:lineRule="auto"/>
              <w:rPr>
                <w:rFonts w:cs="Arial"/>
              </w:rPr>
            </w:pPr>
            <w:r w:rsidRPr="00F4606C">
              <w:rPr>
                <w:rFonts w:cs="Arial"/>
              </w:rPr>
              <w:t>Non-resident beneficiary ss98(3) or non-resident member ss276-105(2)(a) or (b) assessable amounts (Non-resident beneficiary ss98(3) assessable amount )</w:t>
            </w:r>
          </w:p>
        </w:tc>
        <w:tc>
          <w:tcPr>
            <w:tcW w:w="685" w:type="pct"/>
            <w:tcBorders>
              <w:top w:val="single" w:sz="4" w:space="0" w:color="auto"/>
              <w:left w:val="nil"/>
              <w:bottom w:val="single" w:sz="4" w:space="0" w:color="auto"/>
              <w:right w:val="single" w:sz="4" w:space="0" w:color="auto"/>
            </w:tcBorders>
            <w:vAlign w:val="center"/>
          </w:tcPr>
          <w:p w14:paraId="7E1FEE69" w14:textId="77777777" w:rsidR="00115458" w:rsidRPr="00F4606C" w:rsidRDefault="00115458" w:rsidP="00F4606C">
            <w:pPr>
              <w:spacing w:after="0" w:line="240" w:lineRule="auto"/>
              <w:jc w:val="center"/>
              <w:rPr>
                <w:rFonts w:cs="Arial"/>
              </w:rPr>
            </w:pPr>
            <w:hyperlink w:anchor="d7_097" w:history="1">
              <w:r w:rsidRPr="00F4606C">
                <w:rPr>
                  <w:rFonts w:cs="Arial"/>
                </w:rPr>
                <w:t>9.101</w:t>
              </w:r>
            </w:hyperlink>
          </w:p>
        </w:tc>
        <w:tc>
          <w:tcPr>
            <w:tcW w:w="1012" w:type="pct"/>
            <w:tcBorders>
              <w:top w:val="single" w:sz="4" w:space="0" w:color="auto"/>
              <w:left w:val="nil"/>
              <w:bottom w:val="single" w:sz="4" w:space="0" w:color="auto"/>
              <w:right w:val="single" w:sz="4" w:space="0" w:color="auto"/>
            </w:tcBorders>
            <w:noWrap/>
            <w:vAlign w:val="center"/>
          </w:tcPr>
          <w:p w14:paraId="2A0A3DD0" w14:textId="77777777" w:rsidR="00115458" w:rsidRPr="00F4606C" w:rsidRDefault="00115458" w:rsidP="00F4606C">
            <w:pPr>
              <w:spacing w:after="0" w:line="240" w:lineRule="auto"/>
              <w:jc w:val="center"/>
              <w:rPr>
                <w:rFonts w:cs="Arial"/>
              </w:rPr>
            </w:pPr>
            <w:hyperlink w:anchor="d6_097" w:history="1">
              <w:r w:rsidRPr="00F4606C">
                <w:rPr>
                  <w:rFonts w:cs="Arial"/>
                </w:rPr>
                <w:t>6.100</w:t>
              </w:r>
            </w:hyperlink>
          </w:p>
        </w:tc>
      </w:tr>
      <w:tr w:rsidR="00115458" w:rsidRPr="00D42995" w14:paraId="5C61EA15"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47E1307" w14:textId="77777777" w:rsidR="00115458" w:rsidRPr="00F4606C" w:rsidRDefault="00115458" w:rsidP="00F4606C">
            <w:pPr>
              <w:spacing w:after="0" w:line="240" w:lineRule="auto"/>
              <w:rPr>
                <w:rFonts w:cs="Arial"/>
              </w:rPr>
            </w:pPr>
            <w:r w:rsidRPr="00F4606C">
              <w:rPr>
                <w:rFonts w:cs="Arial"/>
              </w:rPr>
              <w:t>Non-resident beneficiary ss98(4) or non-resident member ss276-105(2)(c) assessable amounts (Non-resident beneficiary ss98(4) assessable amount)</w:t>
            </w:r>
          </w:p>
        </w:tc>
        <w:tc>
          <w:tcPr>
            <w:tcW w:w="685" w:type="pct"/>
            <w:tcBorders>
              <w:top w:val="single" w:sz="4" w:space="0" w:color="auto"/>
              <w:left w:val="nil"/>
              <w:bottom w:val="single" w:sz="4" w:space="0" w:color="auto"/>
              <w:right w:val="single" w:sz="4" w:space="0" w:color="auto"/>
            </w:tcBorders>
            <w:vAlign w:val="center"/>
          </w:tcPr>
          <w:p w14:paraId="43ACAE5D" w14:textId="77777777" w:rsidR="00115458" w:rsidRPr="00F4606C" w:rsidRDefault="00115458" w:rsidP="00F4606C">
            <w:pPr>
              <w:spacing w:after="0" w:line="240" w:lineRule="auto"/>
              <w:jc w:val="center"/>
              <w:rPr>
                <w:rFonts w:cs="Arial"/>
              </w:rPr>
            </w:pPr>
            <w:hyperlink w:anchor="d7_098" w:history="1">
              <w:r w:rsidRPr="00F4606C">
                <w:rPr>
                  <w:rFonts w:cs="Arial"/>
                </w:rPr>
                <w:t>9.102</w:t>
              </w:r>
            </w:hyperlink>
          </w:p>
        </w:tc>
        <w:tc>
          <w:tcPr>
            <w:tcW w:w="1012" w:type="pct"/>
            <w:tcBorders>
              <w:top w:val="single" w:sz="4" w:space="0" w:color="auto"/>
              <w:left w:val="nil"/>
              <w:bottom w:val="single" w:sz="4" w:space="0" w:color="auto"/>
              <w:right w:val="single" w:sz="4" w:space="0" w:color="auto"/>
            </w:tcBorders>
            <w:noWrap/>
            <w:vAlign w:val="center"/>
          </w:tcPr>
          <w:p w14:paraId="52A9EFD0" w14:textId="77777777" w:rsidR="00115458" w:rsidRPr="00F4606C" w:rsidRDefault="00115458" w:rsidP="00F4606C">
            <w:pPr>
              <w:spacing w:after="0" w:line="240" w:lineRule="auto"/>
              <w:jc w:val="center"/>
              <w:rPr>
                <w:rFonts w:cs="Arial"/>
              </w:rPr>
            </w:pPr>
            <w:hyperlink w:anchor="d6_098" w:history="1">
              <w:r w:rsidRPr="00F4606C">
                <w:rPr>
                  <w:rFonts w:cs="Arial"/>
                </w:rPr>
                <w:t>6.101</w:t>
              </w:r>
            </w:hyperlink>
          </w:p>
        </w:tc>
      </w:tr>
      <w:tr w:rsidR="00115458" w:rsidRPr="00D42995" w14:paraId="6EEDF6DE"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35E1A92" w14:textId="77777777" w:rsidR="00115458" w:rsidRPr="00F4606C" w:rsidRDefault="00115458" w:rsidP="00F4606C">
            <w:pPr>
              <w:spacing w:after="0" w:line="240" w:lineRule="auto"/>
              <w:rPr>
                <w:rFonts w:cs="Arial"/>
              </w:rPr>
            </w:pPr>
            <w:r w:rsidRPr="00F4606C">
              <w:rPr>
                <w:rFonts w:cs="Arial"/>
              </w:rPr>
              <w:t>Interposed entity name</w:t>
            </w:r>
          </w:p>
        </w:tc>
        <w:tc>
          <w:tcPr>
            <w:tcW w:w="685" w:type="pct"/>
            <w:tcBorders>
              <w:top w:val="single" w:sz="4" w:space="0" w:color="auto"/>
              <w:left w:val="nil"/>
              <w:bottom w:val="single" w:sz="4" w:space="0" w:color="auto"/>
              <w:right w:val="single" w:sz="4" w:space="0" w:color="auto"/>
            </w:tcBorders>
            <w:vAlign w:val="center"/>
          </w:tcPr>
          <w:p w14:paraId="3C2E1EF1" w14:textId="77777777" w:rsidR="00115458" w:rsidRPr="00F4606C" w:rsidRDefault="00115458" w:rsidP="00F4606C">
            <w:pPr>
              <w:spacing w:after="0" w:line="240" w:lineRule="auto"/>
              <w:jc w:val="center"/>
              <w:rPr>
                <w:rFonts w:cs="Arial"/>
              </w:rPr>
            </w:pPr>
            <w:hyperlink w:anchor="d7_099" w:history="1">
              <w:r w:rsidRPr="00F4606C">
                <w:rPr>
                  <w:rFonts w:cs="Arial"/>
                </w:rPr>
                <w:t>9.103</w:t>
              </w:r>
            </w:hyperlink>
          </w:p>
        </w:tc>
        <w:tc>
          <w:tcPr>
            <w:tcW w:w="1012" w:type="pct"/>
            <w:tcBorders>
              <w:top w:val="single" w:sz="4" w:space="0" w:color="auto"/>
              <w:left w:val="nil"/>
              <w:bottom w:val="single" w:sz="4" w:space="0" w:color="auto"/>
              <w:right w:val="single" w:sz="4" w:space="0" w:color="auto"/>
            </w:tcBorders>
            <w:noWrap/>
            <w:vAlign w:val="center"/>
          </w:tcPr>
          <w:p w14:paraId="5065DD77" w14:textId="77777777" w:rsidR="00115458" w:rsidRPr="00F4606C" w:rsidRDefault="00115458" w:rsidP="00F4606C">
            <w:pPr>
              <w:spacing w:after="0" w:line="240" w:lineRule="auto"/>
              <w:jc w:val="center"/>
              <w:rPr>
                <w:rFonts w:cs="Arial"/>
              </w:rPr>
            </w:pPr>
            <w:hyperlink w:anchor="d6_099" w:history="1">
              <w:r w:rsidRPr="00F4606C">
                <w:rPr>
                  <w:rFonts w:cs="Arial"/>
                </w:rPr>
                <w:t>6.102</w:t>
              </w:r>
            </w:hyperlink>
          </w:p>
        </w:tc>
      </w:tr>
      <w:tr w:rsidR="00115458" w:rsidRPr="00D42995" w14:paraId="1D2A7146"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A249E48" w14:textId="77777777" w:rsidR="00115458" w:rsidRPr="00F4606C" w:rsidRDefault="00115458" w:rsidP="00F4606C">
            <w:pPr>
              <w:spacing w:after="0" w:line="240" w:lineRule="auto"/>
              <w:rPr>
                <w:rFonts w:cs="Arial"/>
              </w:rPr>
            </w:pPr>
            <w:r w:rsidRPr="00F4606C">
              <w:rPr>
                <w:rFonts w:cs="Arial"/>
              </w:rPr>
              <w:t>Interposed entity TFN or ABN</w:t>
            </w:r>
          </w:p>
        </w:tc>
        <w:tc>
          <w:tcPr>
            <w:tcW w:w="685" w:type="pct"/>
            <w:tcBorders>
              <w:top w:val="single" w:sz="4" w:space="0" w:color="auto"/>
              <w:left w:val="nil"/>
              <w:bottom w:val="single" w:sz="4" w:space="0" w:color="auto"/>
              <w:right w:val="single" w:sz="4" w:space="0" w:color="auto"/>
            </w:tcBorders>
            <w:vAlign w:val="center"/>
          </w:tcPr>
          <w:p w14:paraId="29D8FEE8" w14:textId="77777777" w:rsidR="00115458" w:rsidRPr="00F4606C" w:rsidRDefault="00115458" w:rsidP="00F4606C">
            <w:pPr>
              <w:spacing w:after="0" w:line="240" w:lineRule="auto"/>
              <w:jc w:val="center"/>
              <w:rPr>
                <w:rFonts w:cs="Arial"/>
              </w:rPr>
            </w:pPr>
            <w:r w:rsidRPr="00F4606C">
              <w:rPr>
                <w:rFonts w:cs="Arial"/>
              </w:rPr>
              <w:t>9.104</w:t>
            </w:r>
          </w:p>
        </w:tc>
        <w:tc>
          <w:tcPr>
            <w:tcW w:w="1012" w:type="pct"/>
            <w:tcBorders>
              <w:top w:val="single" w:sz="4" w:space="0" w:color="auto"/>
              <w:left w:val="nil"/>
              <w:bottom w:val="single" w:sz="4" w:space="0" w:color="auto"/>
              <w:right w:val="single" w:sz="4" w:space="0" w:color="auto"/>
            </w:tcBorders>
            <w:noWrap/>
            <w:vAlign w:val="center"/>
          </w:tcPr>
          <w:p w14:paraId="04B7E074" w14:textId="77777777" w:rsidR="00115458" w:rsidRPr="00F4606C" w:rsidRDefault="00115458" w:rsidP="00F4606C">
            <w:pPr>
              <w:spacing w:after="0" w:line="240" w:lineRule="auto"/>
              <w:jc w:val="center"/>
              <w:rPr>
                <w:rFonts w:cs="Arial"/>
              </w:rPr>
            </w:pPr>
            <w:hyperlink w:anchor="d6_100" w:history="1">
              <w:r w:rsidRPr="00F4606C">
                <w:rPr>
                  <w:rFonts w:cs="Arial"/>
                </w:rPr>
                <w:t>6.103</w:t>
              </w:r>
            </w:hyperlink>
          </w:p>
        </w:tc>
      </w:tr>
      <w:tr w:rsidR="00115458" w:rsidRPr="00D42995" w14:paraId="57A029AC"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0484793" w14:textId="77777777" w:rsidR="00115458" w:rsidRPr="00F4606C" w:rsidRDefault="00115458" w:rsidP="00F4606C">
            <w:pPr>
              <w:spacing w:after="0" w:line="240" w:lineRule="auto"/>
              <w:rPr>
                <w:rFonts w:cs="Arial"/>
              </w:rPr>
            </w:pPr>
            <w:r w:rsidRPr="00F4606C">
              <w:rPr>
                <w:rFonts w:cs="Arial"/>
              </w:rPr>
              <w:t>Managed investment trust fund payments</w:t>
            </w:r>
          </w:p>
        </w:tc>
        <w:tc>
          <w:tcPr>
            <w:tcW w:w="685" w:type="pct"/>
            <w:tcBorders>
              <w:top w:val="single" w:sz="4" w:space="0" w:color="auto"/>
              <w:left w:val="nil"/>
              <w:bottom w:val="single" w:sz="4" w:space="0" w:color="auto"/>
              <w:right w:val="single" w:sz="4" w:space="0" w:color="auto"/>
            </w:tcBorders>
            <w:vAlign w:val="center"/>
          </w:tcPr>
          <w:p w14:paraId="6FEE8E44" w14:textId="77777777" w:rsidR="00115458" w:rsidRPr="00F4606C" w:rsidRDefault="00115458" w:rsidP="00F4606C">
            <w:pPr>
              <w:spacing w:after="0" w:line="240" w:lineRule="auto"/>
              <w:jc w:val="center"/>
              <w:rPr>
                <w:rFonts w:cs="Arial"/>
              </w:rPr>
            </w:pPr>
            <w:r w:rsidRPr="00F4606C">
              <w:rPr>
                <w:rFonts w:cs="Arial"/>
              </w:rPr>
              <w:t>9.105</w:t>
            </w:r>
          </w:p>
        </w:tc>
        <w:tc>
          <w:tcPr>
            <w:tcW w:w="1012" w:type="pct"/>
            <w:tcBorders>
              <w:top w:val="single" w:sz="4" w:space="0" w:color="auto"/>
              <w:left w:val="nil"/>
              <w:bottom w:val="single" w:sz="4" w:space="0" w:color="auto"/>
              <w:right w:val="single" w:sz="4" w:space="0" w:color="auto"/>
            </w:tcBorders>
            <w:noWrap/>
            <w:vAlign w:val="center"/>
          </w:tcPr>
          <w:p w14:paraId="2DD4CBEE" w14:textId="77777777" w:rsidR="00115458" w:rsidRPr="00F4606C" w:rsidRDefault="00115458" w:rsidP="00F4606C">
            <w:pPr>
              <w:spacing w:after="0" w:line="240" w:lineRule="auto"/>
              <w:jc w:val="center"/>
              <w:rPr>
                <w:rFonts w:cs="Arial"/>
              </w:rPr>
            </w:pPr>
            <w:hyperlink w:anchor="d6_101" w:history="1">
              <w:r w:rsidRPr="00F4606C">
                <w:rPr>
                  <w:rFonts w:cs="Arial"/>
                </w:rPr>
                <w:t>6.104</w:t>
              </w:r>
            </w:hyperlink>
          </w:p>
        </w:tc>
      </w:tr>
      <w:tr w:rsidR="00115458" w:rsidRPr="00D42995" w14:paraId="127F835E"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66B9EE0" w14:textId="77777777" w:rsidR="00115458" w:rsidRPr="00F4606C" w:rsidRDefault="00115458" w:rsidP="00F4606C">
            <w:pPr>
              <w:spacing w:after="0" w:line="240" w:lineRule="auto"/>
              <w:rPr>
                <w:rFonts w:cs="Arial"/>
              </w:rPr>
            </w:pPr>
            <w:r w:rsidRPr="00F4606C">
              <w:rPr>
                <w:rFonts w:cs="Arial"/>
              </w:rPr>
              <w:t>Amounts withheld from managed investment trust fund payments</w:t>
            </w:r>
          </w:p>
        </w:tc>
        <w:tc>
          <w:tcPr>
            <w:tcW w:w="685" w:type="pct"/>
            <w:tcBorders>
              <w:top w:val="single" w:sz="4" w:space="0" w:color="auto"/>
              <w:left w:val="nil"/>
              <w:bottom w:val="single" w:sz="4" w:space="0" w:color="auto"/>
              <w:right w:val="single" w:sz="4" w:space="0" w:color="auto"/>
            </w:tcBorders>
            <w:vAlign w:val="center"/>
          </w:tcPr>
          <w:p w14:paraId="59BAC6B9" w14:textId="77777777" w:rsidR="00115458" w:rsidRPr="00F4606C" w:rsidRDefault="00115458" w:rsidP="00F4606C">
            <w:pPr>
              <w:spacing w:after="0" w:line="240" w:lineRule="auto"/>
              <w:jc w:val="center"/>
              <w:rPr>
                <w:rFonts w:cs="Arial"/>
              </w:rPr>
            </w:pPr>
            <w:r w:rsidRPr="00F4606C">
              <w:rPr>
                <w:rFonts w:cs="Arial"/>
              </w:rPr>
              <w:t>9.106</w:t>
            </w:r>
          </w:p>
        </w:tc>
        <w:tc>
          <w:tcPr>
            <w:tcW w:w="1012" w:type="pct"/>
            <w:tcBorders>
              <w:top w:val="single" w:sz="4" w:space="0" w:color="auto"/>
              <w:left w:val="nil"/>
              <w:bottom w:val="single" w:sz="4" w:space="0" w:color="auto"/>
              <w:right w:val="single" w:sz="4" w:space="0" w:color="auto"/>
            </w:tcBorders>
            <w:noWrap/>
            <w:vAlign w:val="center"/>
          </w:tcPr>
          <w:p w14:paraId="6D668EC1" w14:textId="77777777" w:rsidR="00115458" w:rsidRPr="00F4606C" w:rsidRDefault="00115458" w:rsidP="00F4606C">
            <w:pPr>
              <w:spacing w:after="0" w:line="240" w:lineRule="auto"/>
              <w:jc w:val="center"/>
              <w:rPr>
                <w:rFonts w:cs="Arial"/>
              </w:rPr>
            </w:pPr>
            <w:hyperlink w:anchor="d6_102" w:history="1">
              <w:r w:rsidRPr="00F4606C">
                <w:rPr>
                  <w:rFonts w:cs="Arial"/>
                </w:rPr>
                <w:t>6.105</w:t>
              </w:r>
            </w:hyperlink>
          </w:p>
        </w:tc>
      </w:tr>
      <w:tr w:rsidR="00115458" w:rsidRPr="00D42995" w14:paraId="7294613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0DF6D5D" w14:textId="77777777" w:rsidR="00115458" w:rsidRPr="00F4606C" w:rsidRDefault="00115458" w:rsidP="00F4606C">
            <w:pPr>
              <w:spacing w:after="0" w:line="240" w:lineRule="auto"/>
              <w:rPr>
                <w:rFonts w:cs="Arial"/>
              </w:rPr>
            </w:pPr>
            <w:r w:rsidRPr="00F4606C">
              <w:t>Exploration credits</w:t>
            </w:r>
          </w:p>
        </w:tc>
        <w:tc>
          <w:tcPr>
            <w:tcW w:w="685" w:type="pct"/>
            <w:tcBorders>
              <w:top w:val="single" w:sz="4" w:space="0" w:color="auto"/>
              <w:left w:val="nil"/>
              <w:bottom w:val="single" w:sz="4" w:space="0" w:color="auto"/>
              <w:right w:val="single" w:sz="4" w:space="0" w:color="auto"/>
            </w:tcBorders>
            <w:vAlign w:val="center"/>
          </w:tcPr>
          <w:p w14:paraId="567355CF" w14:textId="77777777" w:rsidR="00115458" w:rsidRPr="00F4606C" w:rsidRDefault="00115458" w:rsidP="00F4606C">
            <w:pPr>
              <w:spacing w:after="0" w:line="240" w:lineRule="auto"/>
              <w:jc w:val="center"/>
              <w:rPr>
                <w:rFonts w:cs="Arial"/>
              </w:rPr>
            </w:pPr>
            <w:r w:rsidRPr="00F4606C">
              <w:rPr>
                <w:rFonts w:cs="Arial"/>
              </w:rPr>
              <w:t>9.107</w:t>
            </w:r>
          </w:p>
        </w:tc>
        <w:tc>
          <w:tcPr>
            <w:tcW w:w="1012" w:type="pct"/>
            <w:tcBorders>
              <w:top w:val="single" w:sz="4" w:space="0" w:color="auto"/>
              <w:left w:val="nil"/>
              <w:bottom w:val="single" w:sz="4" w:space="0" w:color="auto"/>
              <w:right w:val="single" w:sz="4" w:space="0" w:color="auto"/>
            </w:tcBorders>
            <w:noWrap/>
            <w:vAlign w:val="center"/>
          </w:tcPr>
          <w:p w14:paraId="21AFDBEA" w14:textId="77777777" w:rsidR="00115458" w:rsidRPr="00F4606C" w:rsidRDefault="00115458" w:rsidP="00F4606C">
            <w:pPr>
              <w:spacing w:after="0" w:line="240" w:lineRule="auto"/>
              <w:jc w:val="center"/>
              <w:rPr>
                <w:rFonts w:cs="Arial"/>
              </w:rPr>
            </w:pPr>
            <w:hyperlink w:anchor="d6_103" w:history="1">
              <w:r w:rsidRPr="00F4606C">
                <w:rPr>
                  <w:rFonts w:cs="Arial"/>
                </w:rPr>
                <w:t>6.106</w:t>
              </w:r>
            </w:hyperlink>
          </w:p>
        </w:tc>
      </w:tr>
      <w:tr w:rsidR="00115458" w:rsidRPr="00D42995" w14:paraId="51C3B959"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161960D" w14:textId="77777777" w:rsidR="00115458" w:rsidRPr="00F4606C" w:rsidRDefault="00115458" w:rsidP="00F4606C">
            <w:pPr>
              <w:spacing w:after="0" w:line="240" w:lineRule="auto"/>
              <w:rPr>
                <w:rFonts w:cs="Arial"/>
              </w:rPr>
            </w:pPr>
            <w:r w:rsidRPr="00F4606C">
              <w:t>Listed investment company capital gain deduction</w:t>
            </w:r>
          </w:p>
        </w:tc>
        <w:tc>
          <w:tcPr>
            <w:tcW w:w="685" w:type="pct"/>
            <w:tcBorders>
              <w:top w:val="single" w:sz="4" w:space="0" w:color="auto"/>
              <w:left w:val="nil"/>
              <w:bottom w:val="single" w:sz="4" w:space="0" w:color="auto"/>
              <w:right w:val="single" w:sz="4" w:space="0" w:color="auto"/>
            </w:tcBorders>
            <w:vAlign w:val="center"/>
          </w:tcPr>
          <w:p w14:paraId="57C6574C" w14:textId="77777777" w:rsidR="00115458" w:rsidRPr="00F4606C" w:rsidRDefault="00115458" w:rsidP="00F4606C">
            <w:pPr>
              <w:spacing w:after="0" w:line="240" w:lineRule="auto"/>
              <w:jc w:val="center"/>
              <w:rPr>
                <w:rFonts w:cs="Arial"/>
              </w:rPr>
            </w:pPr>
            <w:r w:rsidRPr="00F4606C">
              <w:rPr>
                <w:rFonts w:cs="Arial"/>
              </w:rPr>
              <w:t>9.108</w:t>
            </w:r>
          </w:p>
        </w:tc>
        <w:tc>
          <w:tcPr>
            <w:tcW w:w="1012" w:type="pct"/>
            <w:tcBorders>
              <w:top w:val="single" w:sz="4" w:space="0" w:color="auto"/>
              <w:left w:val="nil"/>
              <w:bottom w:val="single" w:sz="4" w:space="0" w:color="auto"/>
              <w:right w:val="single" w:sz="4" w:space="0" w:color="auto"/>
            </w:tcBorders>
            <w:noWrap/>
            <w:vAlign w:val="center"/>
          </w:tcPr>
          <w:p w14:paraId="6F0FF1FF" w14:textId="77777777" w:rsidR="00115458" w:rsidRPr="00F4606C" w:rsidRDefault="00115458" w:rsidP="00F4606C">
            <w:pPr>
              <w:spacing w:after="0" w:line="240" w:lineRule="auto"/>
              <w:jc w:val="center"/>
              <w:rPr>
                <w:rFonts w:cs="Arial"/>
              </w:rPr>
            </w:pPr>
            <w:hyperlink w:anchor="d6_104" w:history="1">
              <w:r w:rsidRPr="00F4606C">
                <w:rPr>
                  <w:rFonts w:cs="Arial"/>
                </w:rPr>
                <w:t>6.107</w:t>
              </w:r>
            </w:hyperlink>
          </w:p>
        </w:tc>
      </w:tr>
      <w:tr w:rsidR="00115458" w:rsidRPr="00D42995" w14:paraId="16A93AC5"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CAA72F5" w14:textId="77777777" w:rsidR="00115458" w:rsidRPr="00F4606C" w:rsidRDefault="00115458" w:rsidP="00F4606C">
            <w:pPr>
              <w:spacing w:after="0" w:line="240" w:lineRule="auto"/>
              <w:rPr>
                <w:rFonts w:cs="Arial"/>
              </w:rPr>
            </w:pPr>
            <w:r w:rsidRPr="00F4606C">
              <w:rPr>
                <w:rFonts w:cs="Arial"/>
              </w:rPr>
              <w:t xml:space="preserve">Record identifier </w:t>
            </w:r>
          </w:p>
        </w:tc>
        <w:tc>
          <w:tcPr>
            <w:tcW w:w="685" w:type="pct"/>
            <w:tcBorders>
              <w:top w:val="single" w:sz="4" w:space="0" w:color="auto"/>
              <w:left w:val="nil"/>
              <w:bottom w:val="single" w:sz="4" w:space="0" w:color="auto"/>
              <w:right w:val="single" w:sz="4" w:space="0" w:color="auto"/>
            </w:tcBorders>
            <w:vAlign w:val="center"/>
          </w:tcPr>
          <w:p w14:paraId="120902DD" w14:textId="77777777" w:rsidR="00115458" w:rsidRPr="00F4606C" w:rsidRDefault="00115458" w:rsidP="00F4606C">
            <w:pPr>
              <w:spacing w:after="0" w:line="240" w:lineRule="auto"/>
              <w:jc w:val="center"/>
              <w:rPr>
                <w:rFonts w:cs="Arial"/>
              </w:rPr>
            </w:pPr>
            <w:r w:rsidRPr="00F4606C">
              <w:rPr>
                <w:rFonts w:cs="Arial"/>
              </w:rPr>
              <w:t>9.109</w:t>
            </w:r>
          </w:p>
        </w:tc>
        <w:tc>
          <w:tcPr>
            <w:tcW w:w="1012" w:type="pct"/>
            <w:tcBorders>
              <w:top w:val="single" w:sz="4" w:space="0" w:color="auto"/>
              <w:left w:val="nil"/>
              <w:bottom w:val="single" w:sz="4" w:space="0" w:color="auto"/>
              <w:right w:val="single" w:sz="4" w:space="0" w:color="auto"/>
            </w:tcBorders>
            <w:noWrap/>
            <w:vAlign w:val="center"/>
          </w:tcPr>
          <w:p w14:paraId="7EBF944D"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1E6D179C"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5406783" w14:textId="77777777" w:rsidR="00115458" w:rsidRPr="00F4606C" w:rsidRDefault="00115458" w:rsidP="00F4606C">
            <w:pPr>
              <w:spacing w:after="0" w:line="240" w:lineRule="auto"/>
              <w:rPr>
                <w:rFonts w:cs="Arial"/>
              </w:rPr>
            </w:pPr>
            <w:r w:rsidRPr="00F4606C">
              <w:rPr>
                <w:rFonts w:cs="Arial"/>
              </w:rPr>
              <w:t xml:space="preserve">Supplementary income payment type </w:t>
            </w:r>
          </w:p>
        </w:tc>
        <w:tc>
          <w:tcPr>
            <w:tcW w:w="685" w:type="pct"/>
            <w:tcBorders>
              <w:top w:val="single" w:sz="4" w:space="0" w:color="auto"/>
              <w:left w:val="nil"/>
              <w:bottom w:val="single" w:sz="4" w:space="0" w:color="auto"/>
              <w:right w:val="single" w:sz="4" w:space="0" w:color="auto"/>
            </w:tcBorders>
            <w:vAlign w:val="center"/>
          </w:tcPr>
          <w:p w14:paraId="42D00586" w14:textId="77777777" w:rsidR="00115458" w:rsidRPr="00F4606C" w:rsidRDefault="00115458" w:rsidP="00F4606C">
            <w:pPr>
              <w:spacing w:after="0" w:line="240" w:lineRule="auto"/>
              <w:jc w:val="center"/>
              <w:rPr>
                <w:rFonts w:cs="Arial"/>
              </w:rPr>
            </w:pPr>
            <w:r w:rsidRPr="00F4606C">
              <w:rPr>
                <w:rFonts w:cs="Arial"/>
              </w:rPr>
              <w:t>9.110</w:t>
            </w:r>
          </w:p>
        </w:tc>
        <w:tc>
          <w:tcPr>
            <w:tcW w:w="1012" w:type="pct"/>
            <w:tcBorders>
              <w:top w:val="single" w:sz="4" w:space="0" w:color="auto"/>
              <w:left w:val="nil"/>
              <w:bottom w:val="single" w:sz="4" w:space="0" w:color="auto"/>
              <w:right w:val="single" w:sz="4" w:space="0" w:color="auto"/>
            </w:tcBorders>
            <w:noWrap/>
            <w:vAlign w:val="center"/>
          </w:tcPr>
          <w:p w14:paraId="4170C61D"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13EFEEFA"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A2F83AD" w14:textId="77777777" w:rsidR="00115458" w:rsidRPr="00F4606C" w:rsidRDefault="00115458" w:rsidP="00F4606C">
            <w:pPr>
              <w:spacing w:after="0" w:line="240" w:lineRule="auto"/>
              <w:rPr>
                <w:rFonts w:cs="Arial"/>
              </w:rPr>
            </w:pPr>
            <w:r w:rsidRPr="00F4606C">
              <w:rPr>
                <w:rFonts w:cs="Arial"/>
              </w:rPr>
              <w:t>Sequence number of DACCSUPP record</w:t>
            </w:r>
          </w:p>
        </w:tc>
        <w:tc>
          <w:tcPr>
            <w:tcW w:w="685" w:type="pct"/>
            <w:tcBorders>
              <w:top w:val="single" w:sz="4" w:space="0" w:color="auto"/>
              <w:left w:val="nil"/>
              <w:bottom w:val="single" w:sz="4" w:space="0" w:color="auto"/>
              <w:right w:val="single" w:sz="4" w:space="0" w:color="auto"/>
            </w:tcBorders>
            <w:vAlign w:val="center"/>
          </w:tcPr>
          <w:p w14:paraId="6BDB730A" w14:textId="77777777" w:rsidR="00115458" w:rsidRPr="00F4606C" w:rsidRDefault="00115458" w:rsidP="00F4606C">
            <w:pPr>
              <w:spacing w:after="0" w:line="240" w:lineRule="auto"/>
              <w:jc w:val="center"/>
              <w:rPr>
                <w:rFonts w:cs="Arial"/>
              </w:rPr>
            </w:pPr>
            <w:r w:rsidRPr="00F4606C">
              <w:rPr>
                <w:rFonts w:cs="Arial"/>
              </w:rPr>
              <w:t>9.111</w:t>
            </w:r>
          </w:p>
        </w:tc>
        <w:tc>
          <w:tcPr>
            <w:tcW w:w="1012" w:type="pct"/>
            <w:tcBorders>
              <w:top w:val="single" w:sz="4" w:space="0" w:color="auto"/>
              <w:left w:val="nil"/>
              <w:bottom w:val="single" w:sz="4" w:space="0" w:color="auto"/>
              <w:right w:val="single" w:sz="4" w:space="0" w:color="auto"/>
            </w:tcBorders>
            <w:noWrap/>
            <w:vAlign w:val="center"/>
          </w:tcPr>
          <w:p w14:paraId="5CD935C0"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698BD1B1"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6AFB9B2" w14:textId="77777777" w:rsidR="00115458" w:rsidRPr="00F4606C" w:rsidRDefault="00115458" w:rsidP="00F4606C">
            <w:pPr>
              <w:spacing w:after="0" w:line="240" w:lineRule="auto"/>
              <w:rPr>
                <w:rFonts w:cs="Arial"/>
              </w:rPr>
            </w:pPr>
            <w:r w:rsidRPr="00F4606C">
              <w:rPr>
                <w:rFonts w:cs="Arial"/>
              </w:rPr>
              <w:t>Share of National rental affordability scheme tax offset</w:t>
            </w:r>
          </w:p>
        </w:tc>
        <w:tc>
          <w:tcPr>
            <w:tcW w:w="685" w:type="pct"/>
            <w:tcBorders>
              <w:top w:val="single" w:sz="4" w:space="0" w:color="auto"/>
              <w:left w:val="nil"/>
              <w:bottom w:val="single" w:sz="4" w:space="0" w:color="auto"/>
              <w:right w:val="single" w:sz="4" w:space="0" w:color="auto"/>
            </w:tcBorders>
            <w:vAlign w:val="center"/>
          </w:tcPr>
          <w:p w14:paraId="4E73C970" w14:textId="77777777" w:rsidR="00115458" w:rsidRPr="00F4606C" w:rsidRDefault="00115458" w:rsidP="00F4606C">
            <w:pPr>
              <w:spacing w:after="0" w:line="240" w:lineRule="auto"/>
              <w:jc w:val="center"/>
              <w:rPr>
                <w:rFonts w:cs="Arial"/>
              </w:rPr>
            </w:pPr>
            <w:r w:rsidRPr="00F4606C">
              <w:rPr>
                <w:rFonts w:cs="Arial"/>
              </w:rPr>
              <w:t>9.112</w:t>
            </w:r>
          </w:p>
        </w:tc>
        <w:tc>
          <w:tcPr>
            <w:tcW w:w="1012" w:type="pct"/>
            <w:tcBorders>
              <w:top w:val="single" w:sz="4" w:space="0" w:color="auto"/>
              <w:left w:val="nil"/>
              <w:bottom w:val="single" w:sz="4" w:space="0" w:color="auto"/>
              <w:right w:val="single" w:sz="4" w:space="0" w:color="auto"/>
            </w:tcBorders>
            <w:noWrap/>
            <w:vAlign w:val="center"/>
          </w:tcPr>
          <w:p w14:paraId="4B03BD8E" w14:textId="77777777" w:rsidR="00115458" w:rsidRPr="00F4606C" w:rsidRDefault="00115458" w:rsidP="00F4606C">
            <w:pPr>
              <w:spacing w:after="0" w:line="240" w:lineRule="auto"/>
              <w:jc w:val="center"/>
              <w:rPr>
                <w:rFonts w:cs="Arial"/>
              </w:rPr>
            </w:pPr>
            <w:r w:rsidRPr="00F4606C">
              <w:rPr>
                <w:rFonts w:cs="Arial"/>
              </w:rPr>
              <w:t>6.108</w:t>
            </w:r>
          </w:p>
        </w:tc>
      </w:tr>
      <w:tr w:rsidR="00115458" w:rsidRPr="00D42995" w14:paraId="48F8077A"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3F85CBA" w14:textId="77777777" w:rsidR="00115458" w:rsidRPr="00F4606C" w:rsidRDefault="00115458" w:rsidP="00F4606C">
            <w:pPr>
              <w:spacing w:after="0" w:line="240" w:lineRule="auto"/>
              <w:rPr>
                <w:rFonts w:cs="Arial"/>
              </w:rPr>
            </w:pPr>
            <w:r w:rsidRPr="00F4606C">
              <w:rPr>
                <w:rFonts w:cs="Arial"/>
              </w:rPr>
              <w:t xml:space="preserve">Primary production income </w:t>
            </w:r>
          </w:p>
        </w:tc>
        <w:tc>
          <w:tcPr>
            <w:tcW w:w="685" w:type="pct"/>
            <w:tcBorders>
              <w:top w:val="single" w:sz="4" w:space="0" w:color="auto"/>
              <w:left w:val="nil"/>
              <w:bottom w:val="single" w:sz="4" w:space="0" w:color="auto"/>
              <w:right w:val="single" w:sz="4" w:space="0" w:color="auto"/>
            </w:tcBorders>
            <w:vAlign w:val="center"/>
          </w:tcPr>
          <w:p w14:paraId="5A0A14D9" w14:textId="77777777" w:rsidR="00115458" w:rsidRPr="00F4606C" w:rsidRDefault="00115458" w:rsidP="00F4606C">
            <w:pPr>
              <w:spacing w:after="0" w:line="240" w:lineRule="auto"/>
              <w:jc w:val="center"/>
              <w:rPr>
                <w:rFonts w:cs="Arial"/>
              </w:rPr>
            </w:pPr>
            <w:r w:rsidRPr="00F4606C">
              <w:rPr>
                <w:rFonts w:cs="Arial"/>
              </w:rPr>
              <w:t>9.113</w:t>
            </w:r>
          </w:p>
        </w:tc>
        <w:tc>
          <w:tcPr>
            <w:tcW w:w="1012" w:type="pct"/>
            <w:tcBorders>
              <w:top w:val="single" w:sz="4" w:space="0" w:color="auto"/>
              <w:left w:val="nil"/>
              <w:bottom w:val="single" w:sz="4" w:space="0" w:color="auto"/>
              <w:right w:val="single" w:sz="4" w:space="0" w:color="auto"/>
            </w:tcBorders>
            <w:noWrap/>
            <w:vAlign w:val="center"/>
          </w:tcPr>
          <w:p w14:paraId="4FCEBB66" w14:textId="77777777" w:rsidR="00115458" w:rsidRPr="00F4606C" w:rsidRDefault="00115458" w:rsidP="00F4606C">
            <w:pPr>
              <w:spacing w:after="0" w:line="240" w:lineRule="auto"/>
              <w:jc w:val="center"/>
              <w:rPr>
                <w:rFonts w:cs="Arial"/>
              </w:rPr>
            </w:pPr>
            <w:r w:rsidRPr="00F4606C">
              <w:rPr>
                <w:rFonts w:cs="Arial"/>
              </w:rPr>
              <w:t>6.109</w:t>
            </w:r>
          </w:p>
        </w:tc>
      </w:tr>
      <w:tr w:rsidR="00115458" w:rsidRPr="00D42995" w14:paraId="0FDEDD1C"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E43C1D6" w14:textId="77777777" w:rsidR="00115458" w:rsidRPr="00F4606C" w:rsidRDefault="00115458" w:rsidP="00F4606C">
            <w:pPr>
              <w:spacing w:after="0" w:line="240" w:lineRule="auto"/>
              <w:rPr>
                <w:rFonts w:cs="Arial"/>
              </w:rPr>
            </w:pPr>
            <w:r w:rsidRPr="00F4606C">
              <w:rPr>
                <w:rFonts w:cs="Arial"/>
              </w:rPr>
              <w:t>Share of credit for tax withheld where ABN not quoted</w:t>
            </w:r>
          </w:p>
        </w:tc>
        <w:tc>
          <w:tcPr>
            <w:tcW w:w="685" w:type="pct"/>
            <w:tcBorders>
              <w:top w:val="single" w:sz="4" w:space="0" w:color="auto"/>
              <w:left w:val="nil"/>
              <w:bottom w:val="single" w:sz="4" w:space="0" w:color="auto"/>
              <w:right w:val="single" w:sz="4" w:space="0" w:color="auto"/>
            </w:tcBorders>
            <w:vAlign w:val="center"/>
          </w:tcPr>
          <w:p w14:paraId="38702BE0" w14:textId="77777777" w:rsidR="00115458" w:rsidRPr="00F4606C" w:rsidRDefault="00115458" w:rsidP="00F4606C">
            <w:pPr>
              <w:spacing w:after="0" w:line="240" w:lineRule="auto"/>
              <w:jc w:val="center"/>
              <w:rPr>
                <w:rFonts w:cs="Arial"/>
              </w:rPr>
            </w:pPr>
            <w:r w:rsidRPr="00F4606C">
              <w:rPr>
                <w:rFonts w:cs="Arial"/>
              </w:rPr>
              <w:t>9.114</w:t>
            </w:r>
          </w:p>
        </w:tc>
        <w:tc>
          <w:tcPr>
            <w:tcW w:w="1012" w:type="pct"/>
            <w:tcBorders>
              <w:top w:val="single" w:sz="4" w:space="0" w:color="auto"/>
              <w:left w:val="nil"/>
              <w:bottom w:val="single" w:sz="4" w:space="0" w:color="auto"/>
              <w:right w:val="single" w:sz="4" w:space="0" w:color="auto"/>
            </w:tcBorders>
            <w:noWrap/>
            <w:vAlign w:val="center"/>
          </w:tcPr>
          <w:p w14:paraId="424FF10A" w14:textId="77777777" w:rsidR="00115458" w:rsidRPr="00F4606C" w:rsidRDefault="00115458" w:rsidP="00F4606C">
            <w:pPr>
              <w:spacing w:after="0" w:line="240" w:lineRule="auto"/>
              <w:jc w:val="center"/>
              <w:rPr>
                <w:rFonts w:cs="Arial"/>
              </w:rPr>
            </w:pPr>
            <w:r w:rsidRPr="00F4606C">
              <w:rPr>
                <w:rFonts w:cs="Arial"/>
              </w:rPr>
              <w:t>6.110</w:t>
            </w:r>
          </w:p>
        </w:tc>
      </w:tr>
      <w:tr w:rsidR="00115458" w:rsidRPr="00D42995" w14:paraId="6B1FFD5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3D531CB" w14:textId="77777777" w:rsidR="00115458" w:rsidRPr="00F4606C" w:rsidRDefault="00115458" w:rsidP="00F4606C">
            <w:pPr>
              <w:spacing w:after="0" w:line="240" w:lineRule="auto"/>
              <w:rPr>
                <w:rFonts w:cs="Arial"/>
              </w:rPr>
            </w:pPr>
            <w:r w:rsidRPr="00F4606C">
              <w:rPr>
                <w:rFonts w:cs="Arial"/>
              </w:rPr>
              <w:t xml:space="preserve">Deductions relating to distribution of primary production income </w:t>
            </w:r>
          </w:p>
        </w:tc>
        <w:tc>
          <w:tcPr>
            <w:tcW w:w="685" w:type="pct"/>
            <w:tcBorders>
              <w:top w:val="single" w:sz="4" w:space="0" w:color="auto"/>
              <w:left w:val="nil"/>
              <w:bottom w:val="single" w:sz="4" w:space="0" w:color="auto"/>
              <w:right w:val="single" w:sz="4" w:space="0" w:color="auto"/>
            </w:tcBorders>
            <w:vAlign w:val="center"/>
          </w:tcPr>
          <w:p w14:paraId="54E4228B" w14:textId="77777777" w:rsidR="00115458" w:rsidRPr="00F4606C" w:rsidRDefault="00115458" w:rsidP="00F4606C">
            <w:pPr>
              <w:spacing w:after="0" w:line="240" w:lineRule="auto"/>
              <w:jc w:val="center"/>
              <w:rPr>
                <w:rFonts w:cs="Arial"/>
              </w:rPr>
            </w:pPr>
            <w:r w:rsidRPr="00F4606C">
              <w:rPr>
                <w:rFonts w:cs="Arial"/>
              </w:rPr>
              <w:t>9.115</w:t>
            </w:r>
          </w:p>
        </w:tc>
        <w:tc>
          <w:tcPr>
            <w:tcW w:w="1012" w:type="pct"/>
            <w:tcBorders>
              <w:top w:val="single" w:sz="4" w:space="0" w:color="auto"/>
              <w:left w:val="nil"/>
              <w:bottom w:val="single" w:sz="4" w:space="0" w:color="auto"/>
              <w:right w:val="single" w:sz="4" w:space="0" w:color="auto"/>
            </w:tcBorders>
            <w:noWrap/>
            <w:vAlign w:val="center"/>
          </w:tcPr>
          <w:p w14:paraId="4F0E1A9E" w14:textId="77777777" w:rsidR="00115458" w:rsidRPr="00F4606C" w:rsidRDefault="00115458" w:rsidP="00F4606C">
            <w:pPr>
              <w:spacing w:after="0" w:line="240" w:lineRule="auto"/>
              <w:jc w:val="center"/>
              <w:rPr>
                <w:rFonts w:cs="Arial"/>
              </w:rPr>
            </w:pPr>
            <w:r w:rsidRPr="00F4606C">
              <w:rPr>
                <w:rFonts w:cs="Arial"/>
              </w:rPr>
              <w:t>6.111</w:t>
            </w:r>
          </w:p>
        </w:tc>
      </w:tr>
      <w:tr w:rsidR="00115458" w:rsidRPr="00D42995" w14:paraId="4BAB03A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54783B8" w14:textId="77777777" w:rsidR="00115458" w:rsidRPr="00F4606C" w:rsidRDefault="00115458" w:rsidP="00F4606C">
            <w:pPr>
              <w:spacing w:after="0" w:line="240" w:lineRule="auto"/>
              <w:rPr>
                <w:rFonts w:cs="Arial"/>
              </w:rPr>
            </w:pPr>
            <w:r w:rsidRPr="00F4606C">
              <w:rPr>
                <w:rFonts w:cs="Arial"/>
              </w:rPr>
              <w:t xml:space="preserve">Transferor trust income </w:t>
            </w:r>
          </w:p>
        </w:tc>
        <w:tc>
          <w:tcPr>
            <w:tcW w:w="685" w:type="pct"/>
            <w:tcBorders>
              <w:top w:val="single" w:sz="4" w:space="0" w:color="auto"/>
              <w:left w:val="nil"/>
              <w:bottom w:val="single" w:sz="4" w:space="0" w:color="auto"/>
              <w:right w:val="single" w:sz="4" w:space="0" w:color="auto"/>
            </w:tcBorders>
            <w:vAlign w:val="center"/>
          </w:tcPr>
          <w:p w14:paraId="639506D4" w14:textId="77777777" w:rsidR="00115458" w:rsidRPr="00F4606C" w:rsidRDefault="00115458" w:rsidP="00F4606C">
            <w:pPr>
              <w:spacing w:after="0" w:line="240" w:lineRule="auto"/>
              <w:jc w:val="center"/>
              <w:rPr>
                <w:rFonts w:cs="Arial"/>
              </w:rPr>
            </w:pPr>
            <w:r w:rsidRPr="00F4606C">
              <w:rPr>
                <w:rFonts w:cs="Arial"/>
              </w:rPr>
              <w:t>9.116</w:t>
            </w:r>
          </w:p>
        </w:tc>
        <w:tc>
          <w:tcPr>
            <w:tcW w:w="1012" w:type="pct"/>
            <w:tcBorders>
              <w:top w:val="single" w:sz="4" w:space="0" w:color="auto"/>
              <w:left w:val="nil"/>
              <w:bottom w:val="single" w:sz="4" w:space="0" w:color="auto"/>
              <w:right w:val="single" w:sz="4" w:space="0" w:color="auto"/>
            </w:tcBorders>
            <w:noWrap/>
            <w:vAlign w:val="center"/>
          </w:tcPr>
          <w:p w14:paraId="6733DCD0" w14:textId="77777777" w:rsidR="00115458" w:rsidRPr="00F4606C" w:rsidRDefault="00115458" w:rsidP="00F4606C">
            <w:pPr>
              <w:spacing w:after="0" w:line="240" w:lineRule="auto"/>
              <w:jc w:val="center"/>
              <w:rPr>
                <w:rFonts w:cs="Arial"/>
              </w:rPr>
            </w:pPr>
            <w:r w:rsidRPr="00F4606C">
              <w:rPr>
                <w:rFonts w:cs="Arial"/>
              </w:rPr>
              <w:t>6.112</w:t>
            </w:r>
          </w:p>
        </w:tc>
      </w:tr>
      <w:tr w:rsidR="00115458" w:rsidRPr="00D42995" w14:paraId="07B3FAB2"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AB92E88" w14:textId="77777777" w:rsidR="00115458" w:rsidRPr="00F4606C" w:rsidRDefault="00115458" w:rsidP="00F4606C">
            <w:pPr>
              <w:spacing w:after="0" w:line="240" w:lineRule="auto"/>
              <w:rPr>
                <w:rFonts w:cs="Arial"/>
              </w:rPr>
            </w:pPr>
            <w:r w:rsidRPr="00F4606C">
              <w:rPr>
                <w:rFonts w:cs="Arial"/>
              </w:rPr>
              <w:t>CFC Income</w:t>
            </w:r>
          </w:p>
        </w:tc>
        <w:tc>
          <w:tcPr>
            <w:tcW w:w="685" w:type="pct"/>
            <w:tcBorders>
              <w:top w:val="single" w:sz="4" w:space="0" w:color="auto"/>
              <w:left w:val="nil"/>
              <w:bottom w:val="single" w:sz="4" w:space="0" w:color="auto"/>
              <w:right w:val="single" w:sz="4" w:space="0" w:color="auto"/>
            </w:tcBorders>
            <w:vAlign w:val="center"/>
          </w:tcPr>
          <w:p w14:paraId="2D3B0F11" w14:textId="77777777" w:rsidR="00115458" w:rsidRPr="00F4606C" w:rsidRDefault="00115458" w:rsidP="00F4606C">
            <w:pPr>
              <w:spacing w:after="0" w:line="240" w:lineRule="auto"/>
              <w:jc w:val="center"/>
              <w:rPr>
                <w:rFonts w:cs="Arial"/>
              </w:rPr>
            </w:pPr>
            <w:r w:rsidRPr="00F4606C">
              <w:rPr>
                <w:rFonts w:cs="Arial"/>
              </w:rPr>
              <w:t>9.117</w:t>
            </w:r>
          </w:p>
        </w:tc>
        <w:tc>
          <w:tcPr>
            <w:tcW w:w="1012" w:type="pct"/>
            <w:tcBorders>
              <w:top w:val="single" w:sz="4" w:space="0" w:color="auto"/>
              <w:left w:val="nil"/>
              <w:bottom w:val="single" w:sz="4" w:space="0" w:color="auto"/>
              <w:right w:val="single" w:sz="4" w:space="0" w:color="auto"/>
            </w:tcBorders>
            <w:noWrap/>
            <w:vAlign w:val="center"/>
          </w:tcPr>
          <w:p w14:paraId="4DBDDC29" w14:textId="77777777" w:rsidR="00115458" w:rsidRPr="00F4606C" w:rsidRDefault="00115458" w:rsidP="00F4606C">
            <w:pPr>
              <w:spacing w:after="0" w:line="240" w:lineRule="auto"/>
              <w:jc w:val="center"/>
              <w:rPr>
                <w:rFonts w:cs="Arial"/>
              </w:rPr>
            </w:pPr>
            <w:r w:rsidRPr="00F4606C">
              <w:rPr>
                <w:rFonts w:cs="Arial"/>
              </w:rPr>
              <w:t>6.113</w:t>
            </w:r>
          </w:p>
        </w:tc>
      </w:tr>
      <w:tr w:rsidR="00115458" w:rsidRPr="00D42995" w14:paraId="26FBC7C8"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EA5446D" w14:textId="77777777" w:rsidR="00115458" w:rsidRPr="00F4606C" w:rsidRDefault="00115458" w:rsidP="00F4606C">
            <w:pPr>
              <w:spacing w:after="0" w:line="240" w:lineRule="auto"/>
              <w:rPr>
                <w:rFonts w:cs="Arial"/>
              </w:rPr>
            </w:pPr>
            <w:r w:rsidRPr="00F4606C">
              <w:rPr>
                <w:rFonts w:cs="Arial"/>
              </w:rPr>
              <w:t xml:space="preserve">Net foreign rent </w:t>
            </w:r>
          </w:p>
        </w:tc>
        <w:tc>
          <w:tcPr>
            <w:tcW w:w="685" w:type="pct"/>
            <w:tcBorders>
              <w:top w:val="single" w:sz="4" w:space="0" w:color="auto"/>
              <w:left w:val="nil"/>
              <w:bottom w:val="single" w:sz="4" w:space="0" w:color="auto"/>
              <w:right w:val="single" w:sz="4" w:space="0" w:color="auto"/>
            </w:tcBorders>
            <w:vAlign w:val="center"/>
          </w:tcPr>
          <w:p w14:paraId="453EC132" w14:textId="77777777" w:rsidR="00115458" w:rsidRPr="00F4606C" w:rsidRDefault="00115458" w:rsidP="00F4606C">
            <w:pPr>
              <w:spacing w:after="0" w:line="240" w:lineRule="auto"/>
              <w:jc w:val="center"/>
              <w:rPr>
                <w:rFonts w:cs="Arial"/>
              </w:rPr>
            </w:pPr>
            <w:r w:rsidRPr="00F4606C">
              <w:rPr>
                <w:rFonts w:cs="Arial"/>
              </w:rPr>
              <w:t>9.118</w:t>
            </w:r>
          </w:p>
        </w:tc>
        <w:tc>
          <w:tcPr>
            <w:tcW w:w="1012" w:type="pct"/>
            <w:tcBorders>
              <w:top w:val="single" w:sz="4" w:space="0" w:color="auto"/>
              <w:left w:val="nil"/>
              <w:bottom w:val="single" w:sz="4" w:space="0" w:color="auto"/>
              <w:right w:val="single" w:sz="4" w:space="0" w:color="auto"/>
            </w:tcBorders>
            <w:noWrap/>
            <w:vAlign w:val="center"/>
          </w:tcPr>
          <w:p w14:paraId="13866C77" w14:textId="77777777" w:rsidR="00115458" w:rsidRPr="00F4606C" w:rsidRDefault="00115458" w:rsidP="00F4606C">
            <w:pPr>
              <w:spacing w:after="0" w:line="240" w:lineRule="auto"/>
              <w:jc w:val="center"/>
              <w:rPr>
                <w:rFonts w:cs="Arial"/>
              </w:rPr>
            </w:pPr>
            <w:r w:rsidRPr="00F4606C">
              <w:rPr>
                <w:rFonts w:cs="Arial"/>
              </w:rPr>
              <w:t>6.114</w:t>
            </w:r>
          </w:p>
        </w:tc>
      </w:tr>
      <w:tr w:rsidR="00115458" w:rsidRPr="00D42995" w14:paraId="38E73799"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42C0020" w14:textId="77777777" w:rsidR="00115458" w:rsidRPr="00F4606C" w:rsidRDefault="00115458" w:rsidP="00F4606C">
            <w:pPr>
              <w:spacing w:after="0" w:line="240" w:lineRule="auto"/>
              <w:rPr>
                <w:rFonts w:cs="Arial"/>
              </w:rPr>
            </w:pPr>
            <w:r w:rsidRPr="00F4606C">
              <w:rPr>
                <w:rFonts w:cs="Arial"/>
              </w:rPr>
              <w:t xml:space="preserve">Unfranked distributions from trusts </w:t>
            </w:r>
          </w:p>
        </w:tc>
        <w:tc>
          <w:tcPr>
            <w:tcW w:w="685" w:type="pct"/>
            <w:tcBorders>
              <w:top w:val="single" w:sz="4" w:space="0" w:color="auto"/>
              <w:left w:val="nil"/>
              <w:bottom w:val="single" w:sz="4" w:space="0" w:color="auto"/>
              <w:right w:val="single" w:sz="4" w:space="0" w:color="auto"/>
            </w:tcBorders>
            <w:vAlign w:val="center"/>
          </w:tcPr>
          <w:p w14:paraId="470D9581" w14:textId="77777777" w:rsidR="00115458" w:rsidRPr="00F4606C" w:rsidRDefault="00115458" w:rsidP="00F4606C">
            <w:pPr>
              <w:spacing w:after="0" w:line="240" w:lineRule="auto"/>
              <w:jc w:val="center"/>
              <w:rPr>
                <w:rFonts w:cs="Arial"/>
              </w:rPr>
            </w:pPr>
            <w:r w:rsidRPr="00F4606C">
              <w:rPr>
                <w:rFonts w:cs="Arial"/>
              </w:rPr>
              <w:t>9.119</w:t>
            </w:r>
          </w:p>
        </w:tc>
        <w:tc>
          <w:tcPr>
            <w:tcW w:w="1012" w:type="pct"/>
            <w:tcBorders>
              <w:top w:val="single" w:sz="4" w:space="0" w:color="auto"/>
              <w:left w:val="nil"/>
              <w:bottom w:val="single" w:sz="4" w:space="0" w:color="auto"/>
              <w:right w:val="single" w:sz="4" w:space="0" w:color="auto"/>
            </w:tcBorders>
            <w:noWrap/>
            <w:vAlign w:val="center"/>
          </w:tcPr>
          <w:p w14:paraId="6F2D5372" w14:textId="77777777" w:rsidR="00115458" w:rsidRPr="00F4606C" w:rsidRDefault="00115458" w:rsidP="00F4606C">
            <w:pPr>
              <w:spacing w:after="0" w:line="240" w:lineRule="auto"/>
              <w:jc w:val="center"/>
              <w:rPr>
                <w:rFonts w:cs="Arial"/>
              </w:rPr>
            </w:pPr>
            <w:r w:rsidRPr="00F4606C">
              <w:rPr>
                <w:rFonts w:cs="Arial"/>
              </w:rPr>
              <w:t>6.115</w:t>
            </w:r>
          </w:p>
        </w:tc>
      </w:tr>
      <w:tr w:rsidR="00115458" w:rsidRPr="00D42995" w14:paraId="1527FFF8"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94CB3BD" w14:textId="77777777" w:rsidR="00115458" w:rsidRPr="00F4606C" w:rsidRDefault="00115458" w:rsidP="00F4606C">
            <w:pPr>
              <w:spacing w:after="0" w:line="240" w:lineRule="auto"/>
              <w:rPr>
                <w:rFonts w:cs="Arial"/>
              </w:rPr>
            </w:pPr>
            <w:r w:rsidRPr="00F4606C">
              <w:rPr>
                <w:rFonts w:cs="Arial"/>
              </w:rPr>
              <w:t>Franked distributions from trusts</w:t>
            </w:r>
          </w:p>
        </w:tc>
        <w:tc>
          <w:tcPr>
            <w:tcW w:w="685" w:type="pct"/>
            <w:tcBorders>
              <w:top w:val="single" w:sz="4" w:space="0" w:color="auto"/>
              <w:left w:val="nil"/>
              <w:bottom w:val="single" w:sz="4" w:space="0" w:color="auto"/>
              <w:right w:val="single" w:sz="4" w:space="0" w:color="auto"/>
            </w:tcBorders>
            <w:vAlign w:val="center"/>
          </w:tcPr>
          <w:p w14:paraId="2E981441" w14:textId="77777777" w:rsidR="00115458" w:rsidRPr="00F4606C" w:rsidRDefault="00115458" w:rsidP="00F4606C">
            <w:pPr>
              <w:spacing w:after="0" w:line="240" w:lineRule="auto"/>
              <w:jc w:val="center"/>
              <w:rPr>
                <w:rFonts w:cs="Arial"/>
              </w:rPr>
            </w:pPr>
            <w:r w:rsidRPr="00F4606C">
              <w:rPr>
                <w:rFonts w:cs="Arial"/>
              </w:rPr>
              <w:t>9.120</w:t>
            </w:r>
          </w:p>
        </w:tc>
        <w:tc>
          <w:tcPr>
            <w:tcW w:w="1012" w:type="pct"/>
            <w:tcBorders>
              <w:top w:val="single" w:sz="4" w:space="0" w:color="auto"/>
              <w:left w:val="nil"/>
              <w:bottom w:val="single" w:sz="4" w:space="0" w:color="auto"/>
              <w:right w:val="single" w:sz="4" w:space="0" w:color="auto"/>
            </w:tcBorders>
            <w:noWrap/>
            <w:vAlign w:val="center"/>
          </w:tcPr>
          <w:p w14:paraId="1B4DDD1A" w14:textId="77777777" w:rsidR="00115458" w:rsidRPr="00F4606C" w:rsidRDefault="00115458" w:rsidP="00F4606C">
            <w:pPr>
              <w:spacing w:after="0" w:line="240" w:lineRule="auto"/>
              <w:jc w:val="center"/>
              <w:rPr>
                <w:rFonts w:cs="Arial"/>
              </w:rPr>
            </w:pPr>
            <w:r w:rsidRPr="00F4606C">
              <w:rPr>
                <w:rFonts w:cs="Arial"/>
              </w:rPr>
              <w:t>6.116</w:t>
            </w:r>
          </w:p>
        </w:tc>
      </w:tr>
      <w:tr w:rsidR="00115458" w:rsidRPr="00D42995" w14:paraId="273B0F5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A93988C" w14:textId="77777777" w:rsidR="00115458" w:rsidRPr="00F4606C" w:rsidRDefault="00115458" w:rsidP="00F4606C">
            <w:pPr>
              <w:spacing w:after="0" w:line="240" w:lineRule="auto"/>
              <w:rPr>
                <w:rFonts w:cs="Arial"/>
              </w:rPr>
            </w:pPr>
            <w:r w:rsidRPr="00F4606C">
              <w:t>Gross cash distribution</w:t>
            </w:r>
          </w:p>
        </w:tc>
        <w:tc>
          <w:tcPr>
            <w:tcW w:w="685" w:type="pct"/>
            <w:tcBorders>
              <w:top w:val="single" w:sz="4" w:space="0" w:color="auto"/>
              <w:left w:val="nil"/>
              <w:bottom w:val="single" w:sz="4" w:space="0" w:color="auto"/>
              <w:right w:val="single" w:sz="4" w:space="0" w:color="auto"/>
            </w:tcBorders>
            <w:vAlign w:val="center"/>
          </w:tcPr>
          <w:p w14:paraId="4B500954" w14:textId="77777777" w:rsidR="00115458" w:rsidRPr="00F4606C" w:rsidRDefault="00115458" w:rsidP="00F4606C">
            <w:pPr>
              <w:spacing w:after="0" w:line="240" w:lineRule="auto"/>
              <w:jc w:val="center"/>
              <w:rPr>
                <w:rFonts w:cs="Arial"/>
              </w:rPr>
            </w:pPr>
            <w:r w:rsidRPr="00F4606C">
              <w:rPr>
                <w:rFonts w:cs="Arial"/>
              </w:rPr>
              <w:t>9.121</w:t>
            </w:r>
          </w:p>
        </w:tc>
        <w:tc>
          <w:tcPr>
            <w:tcW w:w="1012" w:type="pct"/>
            <w:tcBorders>
              <w:top w:val="single" w:sz="4" w:space="0" w:color="auto"/>
              <w:left w:val="nil"/>
              <w:bottom w:val="single" w:sz="4" w:space="0" w:color="auto"/>
              <w:right w:val="single" w:sz="4" w:space="0" w:color="auto"/>
            </w:tcBorders>
            <w:noWrap/>
            <w:vAlign w:val="center"/>
          </w:tcPr>
          <w:p w14:paraId="5882A685" w14:textId="77777777" w:rsidR="00115458" w:rsidRPr="00F4606C" w:rsidRDefault="00115458" w:rsidP="00F4606C">
            <w:pPr>
              <w:spacing w:after="0" w:line="240" w:lineRule="auto"/>
              <w:jc w:val="center"/>
              <w:rPr>
                <w:rFonts w:cs="Arial"/>
              </w:rPr>
            </w:pPr>
            <w:r w:rsidRPr="00F4606C">
              <w:rPr>
                <w:rFonts w:cs="Arial"/>
              </w:rPr>
              <w:t>6.117</w:t>
            </w:r>
          </w:p>
        </w:tc>
      </w:tr>
      <w:tr w:rsidR="00115458" w:rsidRPr="00D42995" w14:paraId="2B4EEEC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FC839F9" w14:textId="77777777" w:rsidR="00115458" w:rsidRPr="00F4606C" w:rsidRDefault="00115458" w:rsidP="00F4606C">
            <w:pPr>
              <w:spacing w:after="0" w:line="240" w:lineRule="auto"/>
              <w:rPr>
                <w:rFonts w:cs="Arial"/>
              </w:rPr>
            </w:pPr>
            <w:r w:rsidRPr="00F4606C">
              <w:t>Interest exempt from withholding</w:t>
            </w:r>
          </w:p>
        </w:tc>
        <w:tc>
          <w:tcPr>
            <w:tcW w:w="685" w:type="pct"/>
            <w:tcBorders>
              <w:top w:val="single" w:sz="4" w:space="0" w:color="auto"/>
              <w:left w:val="nil"/>
              <w:bottom w:val="single" w:sz="4" w:space="0" w:color="auto"/>
              <w:right w:val="single" w:sz="4" w:space="0" w:color="auto"/>
            </w:tcBorders>
            <w:vAlign w:val="center"/>
          </w:tcPr>
          <w:p w14:paraId="5F64D63A" w14:textId="77777777" w:rsidR="00115458" w:rsidRPr="00F4606C" w:rsidRDefault="00115458" w:rsidP="00F4606C">
            <w:pPr>
              <w:spacing w:after="0" w:line="240" w:lineRule="auto"/>
              <w:jc w:val="center"/>
              <w:rPr>
                <w:rFonts w:cs="Arial"/>
              </w:rPr>
            </w:pPr>
            <w:hyperlink w:anchor="d7_118" w:history="1">
              <w:r w:rsidRPr="00F4606C">
                <w:rPr>
                  <w:rFonts w:cs="Arial"/>
                </w:rPr>
                <w:t>9.122</w:t>
              </w:r>
            </w:hyperlink>
          </w:p>
        </w:tc>
        <w:tc>
          <w:tcPr>
            <w:tcW w:w="1012" w:type="pct"/>
            <w:tcBorders>
              <w:top w:val="single" w:sz="4" w:space="0" w:color="auto"/>
              <w:left w:val="nil"/>
              <w:bottom w:val="single" w:sz="4" w:space="0" w:color="auto"/>
              <w:right w:val="single" w:sz="4" w:space="0" w:color="auto"/>
            </w:tcBorders>
            <w:noWrap/>
            <w:vAlign w:val="center"/>
          </w:tcPr>
          <w:p w14:paraId="3A7B67EE" w14:textId="77777777" w:rsidR="00115458" w:rsidRPr="00F4606C" w:rsidRDefault="00115458" w:rsidP="00F4606C">
            <w:pPr>
              <w:spacing w:after="0" w:line="240" w:lineRule="auto"/>
              <w:jc w:val="center"/>
              <w:rPr>
                <w:rFonts w:cs="Arial"/>
              </w:rPr>
            </w:pPr>
            <w:r w:rsidRPr="00F4606C">
              <w:rPr>
                <w:rFonts w:cs="Arial"/>
              </w:rPr>
              <w:t>6.118</w:t>
            </w:r>
          </w:p>
        </w:tc>
      </w:tr>
      <w:tr w:rsidR="00115458" w:rsidRPr="00D42995" w14:paraId="57C7C3FA"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E2B0F8E" w14:textId="77777777" w:rsidR="00115458" w:rsidRPr="00F4606C" w:rsidRDefault="00115458" w:rsidP="00F4606C">
            <w:pPr>
              <w:spacing w:after="0" w:line="240" w:lineRule="auto"/>
              <w:rPr>
                <w:rFonts w:cs="Arial"/>
              </w:rPr>
            </w:pPr>
            <w:r w:rsidRPr="00F4606C">
              <w:t>Capital Gains discount method – Taxable Australian property</w:t>
            </w:r>
          </w:p>
        </w:tc>
        <w:tc>
          <w:tcPr>
            <w:tcW w:w="685" w:type="pct"/>
            <w:tcBorders>
              <w:top w:val="single" w:sz="4" w:space="0" w:color="auto"/>
              <w:left w:val="nil"/>
              <w:bottom w:val="single" w:sz="4" w:space="0" w:color="auto"/>
              <w:right w:val="single" w:sz="4" w:space="0" w:color="auto"/>
            </w:tcBorders>
            <w:vAlign w:val="center"/>
          </w:tcPr>
          <w:p w14:paraId="25006419" w14:textId="77777777" w:rsidR="00115458" w:rsidRPr="00F4606C" w:rsidRDefault="00115458" w:rsidP="00F4606C">
            <w:pPr>
              <w:spacing w:after="0" w:line="240" w:lineRule="auto"/>
              <w:jc w:val="center"/>
              <w:rPr>
                <w:rFonts w:cs="Arial"/>
              </w:rPr>
            </w:pPr>
            <w:hyperlink w:anchor="d7_119" w:history="1">
              <w:r w:rsidRPr="00F4606C">
                <w:rPr>
                  <w:rFonts w:cs="Arial"/>
                </w:rPr>
                <w:t>9.123</w:t>
              </w:r>
            </w:hyperlink>
          </w:p>
        </w:tc>
        <w:tc>
          <w:tcPr>
            <w:tcW w:w="1012" w:type="pct"/>
            <w:tcBorders>
              <w:top w:val="single" w:sz="4" w:space="0" w:color="auto"/>
              <w:left w:val="nil"/>
              <w:bottom w:val="single" w:sz="4" w:space="0" w:color="auto"/>
              <w:right w:val="single" w:sz="4" w:space="0" w:color="auto"/>
            </w:tcBorders>
            <w:noWrap/>
            <w:vAlign w:val="center"/>
          </w:tcPr>
          <w:p w14:paraId="1B0CDEB0" w14:textId="77777777" w:rsidR="00115458" w:rsidRPr="00F4606C" w:rsidRDefault="00115458" w:rsidP="00F4606C">
            <w:pPr>
              <w:spacing w:after="0" w:line="240" w:lineRule="auto"/>
              <w:jc w:val="center"/>
              <w:rPr>
                <w:rFonts w:cs="Arial"/>
              </w:rPr>
            </w:pPr>
            <w:r w:rsidRPr="00F4606C">
              <w:rPr>
                <w:rFonts w:cs="Arial"/>
              </w:rPr>
              <w:t>6.119</w:t>
            </w:r>
          </w:p>
        </w:tc>
      </w:tr>
      <w:tr w:rsidR="00115458" w:rsidRPr="00D42995" w14:paraId="1ED2F345"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5B636F2" w14:textId="77777777" w:rsidR="00115458" w:rsidRPr="00F4606C" w:rsidRDefault="00115458" w:rsidP="00F4606C">
            <w:pPr>
              <w:spacing w:after="0" w:line="240" w:lineRule="auto"/>
              <w:rPr>
                <w:rFonts w:cs="Arial"/>
              </w:rPr>
            </w:pPr>
            <w:r w:rsidRPr="00F4606C">
              <w:t>Capital Gains discount method – Non-Taxable Australian property</w:t>
            </w:r>
          </w:p>
        </w:tc>
        <w:tc>
          <w:tcPr>
            <w:tcW w:w="685" w:type="pct"/>
            <w:tcBorders>
              <w:top w:val="single" w:sz="4" w:space="0" w:color="auto"/>
              <w:left w:val="nil"/>
              <w:bottom w:val="single" w:sz="4" w:space="0" w:color="auto"/>
              <w:right w:val="single" w:sz="4" w:space="0" w:color="auto"/>
            </w:tcBorders>
            <w:vAlign w:val="center"/>
          </w:tcPr>
          <w:p w14:paraId="5A66B5AF" w14:textId="77777777" w:rsidR="00115458" w:rsidRPr="00F4606C" w:rsidRDefault="00115458" w:rsidP="00F4606C">
            <w:pPr>
              <w:spacing w:after="0" w:line="240" w:lineRule="auto"/>
              <w:jc w:val="center"/>
              <w:rPr>
                <w:rFonts w:cs="Arial"/>
              </w:rPr>
            </w:pPr>
            <w:hyperlink w:anchor="d7_120" w:history="1">
              <w:r w:rsidRPr="00F4606C">
                <w:rPr>
                  <w:rFonts w:cs="Arial"/>
                </w:rPr>
                <w:t>9.124</w:t>
              </w:r>
            </w:hyperlink>
          </w:p>
        </w:tc>
        <w:tc>
          <w:tcPr>
            <w:tcW w:w="1012" w:type="pct"/>
            <w:tcBorders>
              <w:top w:val="single" w:sz="4" w:space="0" w:color="auto"/>
              <w:left w:val="nil"/>
              <w:bottom w:val="single" w:sz="4" w:space="0" w:color="auto"/>
              <w:right w:val="single" w:sz="4" w:space="0" w:color="auto"/>
            </w:tcBorders>
            <w:noWrap/>
            <w:vAlign w:val="center"/>
          </w:tcPr>
          <w:p w14:paraId="3154D743" w14:textId="77777777" w:rsidR="00115458" w:rsidRPr="00F4606C" w:rsidRDefault="00115458" w:rsidP="00F4606C">
            <w:pPr>
              <w:spacing w:after="0" w:line="240" w:lineRule="auto"/>
              <w:jc w:val="center"/>
              <w:rPr>
                <w:rFonts w:cs="Arial"/>
              </w:rPr>
            </w:pPr>
            <w:r w:rsidRPr="00F4606C">
              <w:rPr>
                <w:rFonts w:cs="Arial"/>
              </w:rPr>
              <w:t>6.120</w:t>
            </w:r>
          </w:p>
        </w:tc>
      </w:tr>
      <w:tr w:rsidR="00115458" w:rsidRPr="00D42995" w14:paraId="5E1C6195"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DCB4DF3" w14:textId="77777777" w:rsidR="00115458" w:rsidRPr="00F4606C" w:rsidRDefault="00115458" w:rsidP="00F4606C">
            <w:pPr>
              <w:spacing w:after="0" w:line="240" w:lineRule="auto"/>
              <w:rPr>
                <w:rFonts w:cs="Arial"/>
              </w:rPr>
            </w:pPr>
            <w:r w:rsidRPr="00F4606C">
              <w:t>Capital gains other – Taxable Australian property</w:t>
            </w:r>
          </w:p>
        </w:tc>
        <w:tc>
          <w:tcPr>
            <w:tcW w:w="685" w:type="pct"/>
            <w:tcBorders>
              <w:top w:val="single" w:sz="4" w:space="0" w:color="auto"/>
              <w:left w:val="nil"/>
              <w:bottom w:val="single" w:sz="4" w:space="0" w:color="auto"/>
              <w:right w:val="single" w:sz="4" w:space="0" w:color="auto"/>
            </w:tcBorders>
            <w:vAlign w:val="center"/>
          </w:tcPr>
          <w:p w14:paraId="1B7A1961" w14:textId="77777777" w:rsidR="00115458" w:rsidRPr="00F4606C" w:rsidRDefault="00115458" w:rsidP="00F4606C">
            <w:pPr>
              <w:spacing w:after="0" w:line="240" w:lineRule="auto"/>
              <w:jc w:val="center"/>
              <w:rPr>
                <w:rFonts w:cs="Arial"/>
              </w:rPr>
            </w:pPr>
            <w:r w:rsidRPr="00F4606C">
              <w:rPr>
                <w:rFonts w:cs="Arial"/>
              </w:rPr>
              <w:t>9.125</w:t>
            </w:r>
          </w:p>
        </w:tc>
        <w:tc>
          <w:tcPr>
            <w:tcW w:w="1012" w:type="pct"/>
            <w:tcBorders>
              <w:top w:val="single" w:sz="4" w:space="0" w:color="auto"/>
              <w:left w:val="nil"/>
              <w:bottom w:val="single" w:sz="4" w:space="0" w:color="auto"/>
              <w:right w:val="single" w:sz="4" w:space="0" w:color="auto"/>
            </w:tcBorders>
            <w:noWrap/>
            <w:vAlign w:val="center"/>
          </w:tcPr>
          <w:p w14:paraId="362C5742" w14:textId="77777777" w:rsidR="00115458" w:rsidRPr="00F4606C" w:rsidRDefault="00115458" w:rsidP="00F4606C">
            <w:pPr>
              <w:spacing w:after="0" w:line="240" w:lineRule="auto"/>
              <w:jc w:val="center"/>
              <w:rPr>
                <w:rFonts w:cs="Arial"/>
              </w:rPr>
            </w:pPr>
            <w:r w:rsidRPr="00F4606C">
              <w:rPr>
                <w:rFonts w:cs="Arial"/>
              </w:rPr>
              <w:t>6.121</w:t>
            </w:r>
          </w:p>
        </w:tc>
      </w:tr>
      <w:tr w:rsidR="00115458" w:rsidRPr="00D42995" w14:paraId="7F576D80"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1D86C78" w14:textId="77777777" w:rsidR="00115458" w:rsidRPr="00F4606C" w:rsidRDefault="00115458" w:rsidP="00F4606C">
            <w:pPr>
              <w:spacing w:after="0" w:line="240" w:lineRule="auto"/>
              <w:rPr>
                <w:rFonts w:cs="Arial"/>
              </w:rPr>
            </w:pPr>
            <w:r w:rsidRPr="00F4606C">
              <w:t>Capital gains other – Non-Taxable Australian property</w:t>
            </w:r>
          </w:p>
        </w:tc>
        <w:tc>
          <w:tcPr>
            <w:tcW w:w="685" w:type="pct"/>
            <w:tcBorders>
              <w:top w:val="single" w:sz="4" w:space="0" w:color="auto"/>
              <w:left w:val="nil"/>
              <w:bottom w:val="single" w:sz="4" w:space="0" w:color="auto"/>
              <w:right w:val="single" w:sz="4" w:space="0" w:color="auto"/>
            </w:tcBorders>
            <w:vAlign w:val="center"/>
          </w:tcPr>
          <w:p w14:paraId="66C5FB2D" w14:textId="77777777" w:rsidR="00115458" w:rsidRPr="00F4606C" w:rsidRDefault="00115458" w:rsidP="00F4606C">
            <w:pPr>
              <w:spacing w:after="0" w:line="240" w:lineRule="auto"/>
              <w:jc w:val="center"/>
              <w:rPr>
                <w:rFonts w:cs="Arial"/>
              </w:rPr>
            </w:pPr>
            <w:r w:rsidRPr="00F4606C">
              <w:rPr>
                <w:rFonts w:cs="Arial"/>
              </w:rPr>
              <w:t>9.126</w:t>
            </w:r>
          </w:p>
        </w:tc>
        <w:tc>
          <w:tcPr>
            <w:tcW w:w="1012" w:type="pct"/>
            <w:tcBorders>
              <w:top w:val="single" w:sz="4" w:space="0" w:color="auto"/>
              <w:left w:val="nil"/>
              <w:bottom w:val="single" w:sz="4" w:space="0" w:color="auto"/>
              <w:right w:val="single" w:sz="4" w:space="0" w:color="auto"/>
            </w:tcBorders>
            <w:noWrap/>
            <w:vAlign w:val="center"/>
          </w:tcPr>
          <w:p w14:paraId="5441E768" w14:textId="77777777" w:rsidR="00115458" w:rsidRPr="00F4606C" w:rsidRDefault="00115458" w:rsidP="00F4606C">
            <w:pPr>
              <w:spacing w:after="0" w:line="240" w:lineRule="auto"/>
              <w:jc w:val="center"/>
              <w:rPr>
                <w:rFonts w:cs="Arial"/>
              </w:rPr>
            </w:pPr>
            <w:r w:rsidRPr="00F4606C">
              <w:rPr>
                <w:rFonts w:cs="Arial"/>
              </w:rPr>
              <w:t>6.122</w:t>
            </w:r>
          </w:p>
        </w:tc>
      </w:tr>
      <w:tr w:rsidR="00115458" w:rsidRPr="00D42995" w14:paraId="2A5C184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810B6D8" w14:textId="77777777" w:rsidR="00115458" w:rsidRPr="00F4606C" w:rsidRDefault="00115458" w:rsidP="00F4606C">
            <w:pPr>
              <w:spacing w:after="0" w:line="240" w:lineRule="auto"/>
              <w:rPr>
                <w:rFonts w:cs="Arial"/>
              </w:rPr>
            </w:pPr>
            <w:r w:rsidRPr="00F4606C">
              <w:t>Non-assessable non-exempt amount</w:t>
            </w:r>
          </w:p>
        </w:tc>
        <w:tc>
          <w:tcPr>
            <w:tcW w:w="685" w:type="pct"/>
            <w:tcBorders>
              <w:top w:val="single" w:sz="4" w:space="0" w:color="auto"/>
              <w:left w:val="nil"/>
              <w:bottom w:val="single" w:sz="4" w:space="0" w:color="auto"/>
              <w:right w:val="single" w:sz="4" w:space="0" w:color="auto"/>
            </w:tcBorders>
            <w:vAlign w:val="center"/>
          </w:tcPr>
          <w:p w14:paraId="14435350" w14:textId="77777777" w:rsidR="00115458" w:rsidRPr="00F4606C" w:rsidRDefault="00115458" w:rsidP="00F4606C">
            <w:pPr>
              <w:spacing w:after="0" w:line="240" w:lineRule="auto"/>
              <w:jc w:val="center"/>
              <w:rPr>
                <w:rFonts w:cs="Arial"/>
              </w:rPr>
            </w:pPr>
            <w:r w:rsidRPr="00F4606C">
              <w:rPr>
                <w:rFonts w:cs="Arial"/>
              </w:rPr>
              <w:t>9.127</w:t>
            </w:r>
          </w:p>
        </w:tc>
        <w:tc>
          <w:tcPr>
            <w:tcW w:w="1012" w:type="pct"/>
            <w:tcBorders>
              <w:top w:val="single" w:sz="4" w:space="0" w:color="auto"/>
              <w:left w:val="nil"/>
              <w:bottom w:val="single" w:sz="4" w:space="0" w:color="auto"/>
              <w:right w:val="single" w:sz="4" w:space="0" w:color="auto"/>
            </w:tcBorders>
            <w:noWrap/>
            <w:vAlign w:val="center"/>
          </w:tcPr>
          <w:p w14:paraId="75DFEB8B" w14:textId="77777777" w:rsidR="00115458" w:rsidRPr="00F4606C" w:rsidRDefault="00115458" w:rsidP="00F4606C">
            <w:pPr>
              <w:spacing w:after="0" w:line="240" w:lineRule="auto"/>
              <w:jc w:val="center"/>
              <w:rPr>
                <w:rFonts w:cs="Arial"/>
              </w:rPr>
            </w:pPr>
            <w:r w:rsidRPr="00F4606C">
              <w:rPr>
                <w:rFonts w:cs="Arial"/>
              </w:rPr>
              <w:t>6.123</w:t>
            </w:r>
          </w:p>
        </w:tc>
      </w:tr>
      <w:tr w:rsidR="00115458" w:rsidRPr="00D42995" w14:paraId="6F9FEFF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A1C1B1C" w14:textId="77777777" w:rsidR="00115458" w:rsidRPr="00F4606C" w:rsidRDefault="00115458" w:rsidP="00F4606C">
            <w:pPr>
              <w:spacing w:after="0" w:line="240" w:lineRule="auto"/>
              <w:rPr>
                <w:rFonts w:cs="Arial"/>
              </w:rPr>
            </w:pPr>
            <w:r w:rsidRPr="00F4606C">
              <w:t>AMIT cost base net amount – excess</w:t>
            </w:r>
          </w:p>
        </w:tc>
        <w:tc>
          <w:tcPr>
            <w:tcW w:w="685" w:type="pct"/>
            <w:tcBorders>
              <w:top w:val="single" w:sz="4" w:space="0" w:color="auto"/>
              <w:left w:val="nil"/>
              <w:bottom w:val="single" w:sz="4" w:space="0" w:color="auto"/>
              <w:right w:val="single" w:sz="4" w:space="0" w:color="auto"/>
            </w:tcBorders>
            <w:vAlign w:val="center"/>
          </w:tcPr>
          <w:p w14:paraId="1348C74F" w14:textId="77777777" w:rsidR="00115458" w:rsidRPr="00F4606C" w:rsidRDefault="00115458" w:rsidP="00F4606C">
            <w:pPr>
              <w:spacing w:after="0" w:line="240" w:lineRule="auto"/>
              <w:jc w:val="center"/>
              <w:rPr>
                <w:rFonts w:cs="Arial"/>
              </w:rPr>
            </w:pPr>
            <w:r w:rsidRPr="00F4606C">
              <w:rPr>
                <w:rFonts w:cs="Arial"/>
              </w:rPr>
              <w:t>9.128</w:t>
            </w:r>
          </w:p>
        </w:tc>
        <w:tc>
          <w:tcPr>
            <w:tcW w:w="1012" w:type="pct"/>
            <w:tcBorders>
              <w:top w:val="single" w:sz="4" w:space="0" w:color="auto"/>
              <w:left w:val="nil"/>
              <w:bottom w:val="single" w:sz="4" w:space="0" w:color="auto"/>
              <w:right w:val="single" w:sz="4" w:space="0" w:color="auto"/>
            </w:tcBorders>
            <w:noWrap/>
            <w:vAlign w:val="center"/>
          </w:tcPr>
          <w:p w14:paraId="6A12D5C6" w14:textId="77777777" w:rsidR="00115458" w:rsidRPr="00F4606C" w:rsidRDefault="00115458" w:rsidP="00F4606C">
            <w:pPr>
              <w:spacing w:after="0" w:line="240" w:lineRule="auto"/>
              <w:jc w:val="center"/>
              <w:rPr>
                <w:rFonts w:cs="Arial"/>
              </w:rPr>
            </w:pPr>
            <w:r w:rsidRPr="00F4606C">
              <w:rPr>
                <w:rFonts w:cs="Arial"/>
              </w:rPr>
              <w:t>6.124</w:t>
            </w:r>
          </w:p>
        </w:tc>
      </w:tr>
      <w:tr w:rsidR="00115458" w:rsidRPr="00D42995" w14:paraId="6866DCCE"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5C67554" w14:textId="77777777" w:rsidR="00115458" w:rsidRPr="00F4606C" w:rsidRDefault="00115458" w:rsidP="00F4606C">
            <w:pPr>
              <w:spacing w:after="0" w:line="240" w:lineRule="auto"/>
              <w:rPr>
                <w:rFonts w:cs="Arial"/>
              </w:rPr>
            </w:pPr>
            <w:r w:rsidRPr="00F4606C">
              <w:t>AMIT cost base net amount – shortfall</w:t>
            </w:r>
          </w:p>
        </w:tc>
        <w:tc>
          <w:tcPr>
            <w:tcW w:w="685" w:type="pct"/>
            <w:tcBorders>
              <w:top w:val="single" w:sz="4" w:space="0" w:color="auto"/>
              <w:left w:val="nil"/>
              <w:bottom w:val="single" w:sz="4" w:space="0" w:color="auto"/>
              <w:right w:val="single" w:sz="4" w:space="0" w:color="auto"/>
            </w:tcBorders>
            <w:vAlign w:val="center"/>
          </w:tcPr>
          <w:p w14:paraId="09900F2E" w14:textId="77777777" w:rsidR="00115458" w:rsidRPr="00F4606C" w:rsidRDefault="00115458" w:rsidP="00F4606C">
            <w:pPr>
              <w:spacing w:after="0" w:line="240" w:lineRule="auto"/>
              <w:jc w:val="center"/>
              <w:rPr>
                <w:rFonts w:cs="Arial"/>
              </w:rPr>
            </w:pPr>
            <w:r w:rsidRPr="00F4606C">
              <w:rPr>
                <w:rFonts w:cs="Arial"/>
              </w:rPr>
              <w:t>9.129</w:t>
            </w:r>
          </w:p>
        </w:tc>
        <w:tc>
          <w:tcPr>
            <w:tcW w:w="1012" w:type="pct"/>
            <w:tcBorders>
              <w:top w:val="single" w:sz="4" w:space="0" w:color="auto"/>
              <w:left w:val="nil"/>
              <w:bottom w:val="single" w:sz="4" w:space="0" w:color="auto"/>
              <w:right w:val="single" w:sz="4" w:space="0" w:color="auto"/>
            </w:tcBorders>
            <w:noWrap/>
            <w:vAlign w:val="center"/>
          </w:tcPr>
          <w:p w14:paraId="76A30E41" w14:textId="77777777" w:rsidR="00115458" w:rsidRPr="00F4606C" w:rsidRDefault="00115458" w:rsidP="00F4606C">
            <w:pPr>
              <w:spacing w:after="0" w:line="240" w:lineRule="auto"/>
              <w:jc w:val="center"/>
              <w:rPr>
                <w:rFonts w:cs="Arial"/>
              </w:rPr>
            </w:pPr>
            <w:r w:rsidRPr="00F4606C">
              <w:rPr>
                <w:rFonts w:cs="Arial"/>
              </w:rPr>
              <w:t>6.125</w:t>
            </w:r>
          </w:p>
        </w:tc>
      </w:tr>
      <w:tr w:rsidR="00115458" w:rsidRPr="00D42995" w14:paraId="54D197C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D31BB27" w14:textId="77777777" w:rsidR="00115458" w:rsidRPr="00F4606C" w:rsidRDefault="00115458" w:rsidP="00F4606C">
            <w:pPr>
              <w:spacing w:after="0" w:line="240" w:lineRule="auto"/>
              <w:rPr>
                <w:rFonts w:cs="Arial"/>
              </w:rPr>
            </w:pPr>
            <w:r w:rsidRPr="00F4606C">
              <w:t>Other income</w:t>
            </w:r>
          </w:p>
        </w:tc>
        <w:tc>
          <w:tcPr>
            <w:tcW w:w="685" w:type="pct"/>
            <w:tcBorders>
              <w:top w:val="single" w:sz="4" w:space="0" w:color="auto"/>
              <w:left w:val="nil"/>
              <w:bottom w:val="single" w:sz="4" w:space="0" w:color="auto"/>
              <w:right w:val="single" w:sz="4" w:space="0" w:color="auto"/>
            </w:tcBorders>
            <w:vAlign w:val="center"/>
          </w:tcPr>
          <w:p w14:paraId="07E5ABBA" w14:textId="77777777" w:rsidR="00115458" w:rsidRPr="00F4606C" w:rsidRDefault="00115458" w:rsidP="00F4606C">
            <w:pPr>
              <w:spacing w:after="0" w:line="240" w:lineRule="auto"/>
              <w:jc w:val="center"/>
              <w:rPr>
                <w:rFonts w:cs="Arial"/>
              </w:rPr>
            </w:pPr>
            <w:r w:rsidRPr="00F4606C">
              <w:rPr>
                <w:rFonts w:cs="Arial"/>
              </w:rPr>
              <w:t>9.130</w:t>
            </w:r>
          </w:p>
        </w:tc>
        <w:tc>
          <w:tcPr>
            <w:tcW w:w="1012" w:type="pct"/>
            <w:tcBorders>
              <w:top w:val="single" w:sz="4" w:space="0" w:color="auto"/>
              <w:left w:val="nil"/>
              <w:bottom w:val="single" w:sz="4" w:space="0" w:color="auto"/>
              <w:right w:val="single" w:sz="4" w:space="0" w:color="auto"/>
            </w:tcBorders>
            <w:noWrap/>
            <w:vAlign w:val="center"/>
          </w:tcPr>
          <w:p w14:paraId="10F9A8E8" w14:textId="77777777" w:rsidR="00115458" w:rsidRPr="00F4606C" w:rsidRDefault="00115458" w:rsidP="00F4606C">
            <w:pPr>
              <w:spacing w:after="0" w:line="240" w:lineRule="auto"/>
              <w:jc w:val="center"/>
              <w:rPr>
                <w:rFonts w:cs="Arial"/>
              </w:rPr>
            </w:pPr>
            <w:r w:rsidRPr="00F4606C">
              <w:rPr>
                <w:rFonts w:cs="Arial"/>
              </w:rPr>
              <w:t>6.126</w:t>
            </w:r>
          </w:p>
        </w:tc>
      </w:tr>
      <w:tr w:rsidR="00115458" w:rsidRPr="00D42995" w14:paraId="02B2B79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7B9BDA3" w14:textId="77777777" w:rsidR="00115458" w:rsidRPr="00F4606C" w:rsidRDefault="00115458" w:rsidP="00F4606C">
            <w:pPr>
              <w:spacing w:after="0" w:line="240" w:lineRule="auto"/>
              <w:rPr>
                <w:rFonts w:cs="Arial"/>
              </w:rPr>
            </w:pPr>
            <w:r w:rsidRPr="00F4606C">
              <w:t>Name of AMIT class</w:t>
            </w:r>
          </w:p>
        </w:tc>
        <w:tc>
          <w:tcPr>
            <w:tcW w:w="685" w:type="pct"/>
            <w:tcBorders>
              <w:top w:val="single" w:sz="4" w:space="0" w:color="auto"/>
              <w:left w:val="nil"/>
              <w:bottom w:val="single" w:sz="4" w:space="0" w:color="auto"/>
              <w:right w:val="single" w:sz="4" w:space="0" w:color="auto"/>
            </w:tcBorders>
            <w:vAlign w:val="center"/>
          </w:tcPr>
          <w:p w14:paraId="7BACDD18" w14:textId="77777777" w:rsidR="00115458" w:rsidRPr="00F4606C" w:rsidRDefault="00115458" w:rsidP="00F4606C">
            <w:pPr>
              <w:spacing w:after="0" w:line="240" w:lineRule="auto"/>
              <w:jc w:val="center"/>
              <w:rPr>
                <w:rFonts w:cs="Arial"/>
              </w:rPr>
            </w:pPr>
            <w:hyperlink w:anchor="d7_127" w:history="1">
              <w:r w:rsidRPr="00F4606C">
                <w:rPr>
                  <w:rFonts w:cs="Arial"/>
                </w:rPr>
                <w:t>9.131</w:t>
              </w:r>
            </w:hyperlink>
          </w:p>
        </w:tc>
        <w:tc>
          <w:tcPr>
            <w:tcW w:w="1012" w:type="pct"/>
            <w:tcBorders>
              <w:top w:val="single" w:sz="4" w:space="0" w:color="auto"/>
              <w:left w:val="nil"/>
              <w:bottom w:val="single" w:sz="4" w:space="0" w:color="auto"/>
              <w:right w:val="single" w:sz="4" w:space="0" w:color="auto"/>
            </w:tcBorders>
            <w:noWrap/>
            <w:vAlign w:val="center"/>
          </w:tcPr>
          <w:p w14:paraId="31AADB7A" w14:textId="77777777" w:rsidR="00115458" w:rsidRPr="00F4606C" w:rsidRDefault="00115458" w:rsidP="00F4606C">
            <w:pPr>
              <w:spacing w:after="0" w:line="240" w:lineRule="auto"/>
              <w:jc w:val="center"/>
              <w:rPr>
                <w:rFonts w:cs="Arial"/>
              </w:rPr>
            </w:pPr>
            <w:r w:rsidRPr="00F4606C">
              <w:rPr>
                <w:rFonts w:cs="Arial"/>
              </w:rPr>
              <w:t>6.127</w:t>
            </w:r>
          </w:p>
        </w:tc>
      </w:tr>
      <w:tr w:rsidR="00115458" w:rsidRPr="00D42995" w14:paraId="08994234"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D3A7872" w14:textId="77777777" w:rsidR="00115458" w:rsidRPr="00F4606C" w:rsidRDefault="00115458" w:rsidP="00F4606C">
            <w:pPr>
              <w:spacing w:after="0" w:line="240" w:lineRule="auto"/>
              <w:rPr>
                <w:rFonts w:cs="Arial"/>
              </w:rPr>
            </w:pPr>
            <w:r w:rsidRPr="00F4606C">
              <w:rPr>
                <w:iCs/>
              </w:rPr>
              <w:t xml:space="preserve">Share of Foreign Resident Capital Gains Withholding credits </w:t>
            </w:r>
          </w:p>
        </w:tc>
        <w:tc>
          <w:tcPr>
            <w:tcW w:w="685" w:type="pct"/>
            <w:tcBorders>
              <w:top w:val="single" w:sz="4" w:space="0" w:color="auto"/>
              <w:left w:val="nil"/>
              <w:bottom w:val="single" w:sz="4" w:space="0" w:color="auto"/>
              <w:right w:val="single" w:sz="4" w:space="0" w:color="auto"/>
            </w:tcBorders>
            <w:vAlign w:val="center"/>
          </w:tcPr>
          <w:p w14:paraId="672B7DAA" w14:textId="77777777" w:rsidR="00115458" w:rsidRPr="00F4606C" w:rsidRDefault="00115458" w:rsidP="00F4606C">
            <w:pPr>
              <w:spacing w:after="0" w:line="240" w:lineRule="auto"/>
              <w:jc w:val="center"/>
              <w:rPr>
                <w:rFonts w:cs="Arial"/>
              </w:rPr>
            </w:pPr>
            <w:r w:rsidRPr="00F4606C">
              <w:rPr>
                <w:rFonts w:cs="Arial"/>
              </w:rPr>
              <w:t>9.132</w:t>
            </w:r>
          </w:p>
        </w:tc>
        <w:tc>
          <w:tcPr>
            <w:tcW w:w="1012" w:type="pct"/>
            <w:tcBorders>
              <w:top w:val="single" w:sz="4" w:space="0" w:color="auto"/>
              <w:left w:val="nil"/>
              <w:bottom w:val="single" w:sz="4" w:space="0" w:color="auto"/>
              <w:right w:val="single" w:sz="4" w:space="0" w:color="auto"/>
            </w:tcBorders>
            <w:noWrap/>
            <w:vAlign w:val="center"/>
          </w:tcPr>
          <w:p w14:paraId="0A80C1D8" w14:textId="77777777" w:rsidR="00115458" w:rsidRPr="00F4606C" w:rsidRDefault="00115458" w:rsidP="00F4606C">
            <w:pPr>
              <w:spacing w:after="0" w:line="240" w:lineRule="auto"/>
              <w:jc w:val="center"/>
              <w:rPr>
                <w:rFonts w:cs="Arial"/>
              </w:rPr>
            </w:pPr>
            <w:r w:rsidRPr="00F4606C">
              <w:rPr>
                <w:rFonts w:cs="Arial"/>
              </w:rPr>
              <w:t>6.128</w:t>
            </w:r>
          </w:p>
        </w:tc>
      </w:tr>
      <w:tr w:rsidR="00115458" w:rsidRPr="00D42995" w14:paraId="7604F5D7"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A8D8A59" w14:textId="77777777" w:rsidR="00115458" w:rsidRPr="00F4606C" w:rsidRDefault="00115458" w:rsidP="00F4606C">
            <w:pPr>
              <w:spacing w:after="0" w:line="240" w:lineRule="auto"/>
              <w:rPr>
                <w:rFonts w:cs="Arial"/>
              </w:rPr>
            </w:pPr>
            <w:r w:rsidRPr="00F4606C">
              <w:rPr>
                <w:iCs/>
              </w:rPr>
              <w:t>Share of Early Stage Investor tax offset</w:t>
            </w:r>
          </w:p>
        </w:tc>
        <w:tc>
          <w:tcPr>
            <w:tcW w:w="685" w:type="pct"/>
            <w:tcBorders>
              <w:top w:val="single" w:sz="4" w:space="0" w:color="auto"/>
              <w:left w:val="nil"/>
              <w:bottom w:val="single" w:sz="4" w:space="0" w:color="auto"/>
              <w:right w:val="single" w:sz="4" w:space="0" w:color="auto"/>
            </w:tcBorders>
            <w:vAlign w:val="center"/>
          </w:tcPr>
          <w:p w14:paraId="230160C9" w14:textId="77777777" w:rsidR="00115458" w:rsidRPr="00F4606C" w:rsidRDefault="00115458" w:rsidP="00F4606C">
            <w:pPr>
              <w:spacing w:after="0" w:line="240" w:lineRule="auto"/>
              <w:jc w:val="center"/>
              <w:rPr>
                <w:rFonts w:cs="Arial"/>
              </w:rPr>
            </w:pPr>
            <w:hyperlink w:anchor="d7_129" w:history="1">
              <w:r w:rsidRPr="00F4606C">
                <w:rPr>
                  <w:rFonts w:cs="Arial"/>
                </w:rPr>
                <w:t>9.133</w:t>
              </w:r>
            </w:hyperlink>
          </w:p>
        </w:tc>
        <w:tc>
          <w:tcPr>
            <w:tcW w:w="1012" w:type="pct"/>
            <w:tcBorders>
              <w:top w:val="single" w:sz="4" w:space="0" w:color="auto"/>
              <w:left w:val="nil"/>
              <w:bottom w:val="single" w:sz="4" w:space="0" w:color="auto"/>
              <w:right w:val="single" w:sz="4" w:space="0" w:color="auto"/>
            </w:tcBorders>
            <w:noWrap/>
            <w:vAlign w:val="center"/>
          </w:tcPr>
          <w:p w14:paraId="06EABA97" w14:textId="77777777" w:rsidR="00115458" w:rsidRPr="00F4606C" w:rsidRDefault="00115458" w:rsidP="00F4606C">
            <w:pPr>
              <w:spacing w:after="0" w:line="240" w:lineRule="auto"/>
              <w:jc w:val="center"/>
              <w:rPr>
                <w:rFonts w:cs="Arial"/>
              </w:rPr>
            </w:pPr>
            <w:r w:rsidRPr="00F4606C">
              <w:rPr>
                <w:rFonts w:cs="Arial"/>
              </w:rPr>
              <w:t>6.129</w:t>
            </w:r>
          </w:p>
        </w:tc>
      </w:tr>
      <w:tr w:rsidR="00115458" w:rsidRPr="00D42995" w14:paraId="2A751C5E"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75821C8" w14:textId="77777777" w:rsidR="00115458" w:rsidRPr="00F4606C" w:rsidRDefault="00115458" w:rsidP="00F4606C">
            <w:pPr>
              <w:spacing w:after="0" w:line="240" w:lineRule="auto"/>
              <w:rPr>
                <w:rFonts w:cs="Arial"/>
              </w:rPr>
            </w:pPr>
            <w:r w:rsidRPr="00F4606C">
              <w:rPr>
                <w:iCs/>
              </w:rPr>
              <w:t>Share of ESVCLP tax offset</w:t>
            </w:r>
            <w:r w:rsidRPr="00F4606C">
              <w:t>  </w:t>
            </w:r>
          </w:p>
        </w:tc>
        <w:tc>
          <w:tcPr>
            <w:tcW w:w="685" w:type="pct"/>
            <w:tcBorders>
              <w:top w:val="single" w:sz="4" w:space="0" w:color="auto"/>
              <w:left w:val="nil"/>
              <w:bottom w:val="single" w:sz="4" w:space="0" w:color="auto"/>
              <w:right w:val="single" w:sz="4" w:space="0" w:color="auto"/>
            </w:tcBorders>
            <w:vAlign w:val="center"/>
          </w:tcPr>
          <w:p w14:paraId="4B14C60E" w14:textId="77777777" w:rsidR="00115458" w:rsidRPr="00F4606C" w:rsidRDefault="00115458" w:rsidP="00F4606C">
            <w:pPr>
              <w:spacing w:after="0" w:line="240" w:lineRule="auto"/>
              <w:jc w:val="center"/>
              <w:rPr>
                <w:rFonts w:cs="Arial"/>
              </w:rPr>
            </w:pPr>
            <w:hyperlink w:anchor="d7_130" w:history="1">
              <w:r w:rsidRPr="00F4606C">
                <w:rPr>
                  <w:rFonts w:cs="Arial"/>
                </w:rPr>
                <w:t>9.134</w:t>
              </w:r>
            </w:hyperlink>
          </w:p>
        </w:tc>
        <w:tc>
          <w:tcPr>
            <w:tcW w:w="1012" w:type="pct"/>
            <w:tcBorders>
              <w:top w:val="single" w:sz="4" w:space="0" w:color="auto"/>
              <w:left w:val="nil"/>
              <w:bottom w:val="single" w:sz="4" w:space="0" w:color="auto"/>
              <w:right w:val="single" w:sz="4" w:space="0" w:color="auto"/>
            </w:tcBorders>
            <w:noWrap/>
            <w:vAlign w:val="center"/>
          </w:tcPr>
          <w:p w14:paraId="76FEDD1A" w14:textId="77777777" w:rsidR="00115458" w:rsidRPr="00F4606C" w:rsidRDefault="00115458" w:rsidP="00F4606C">
            <w:pPr>
              <w:spacing w:after="0" w:line="240" w:lineRule="auto"/>
              <w:jc w:val="center"/>
              <w:rPr>
                <w:rFonts w:cs="Arial"/>
              </w:rPr>
            </w:pPr>
            <w:r w:rsidRPr="00F4606C">
              <w:rPr>
                <w:rFonts w:cs="Arial"/>
              </w:rPr>
              <w:t>6.130</w:t>
            </w:r>
          </w:p>
        </w:tc>
      </w:tr>
      <w:tr w:rsidR="00115458" w:rsidRPr="00D42995" w14:paraId="59833863"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9CE079B" w14:textId="77777777" w:rsidR="00115458" w:rsidRPr="00F4606C" w:rsidRDefault="00115458" w:rsidP="00F4606C">
            <w:pPr>
              <w:spacing w:after="0" w:line="240" w:lineRule="auto"/>
              <w:rPr>
                <w:rFonts w:cs="Arial"/>
              </w:rPr>
            </w:pPr>
            <w:r w:rsidRPr="00F4606C">
              <w:rPr>
                <w:rFonts w:cs="Arial"/>
              </w:rPr>
              <w:t>Royalties</w:t>
            </w:r>
          </w:p>
        </w:tc>
        <w:tc>
          <w:tcPr>
            <w:tcW w:w="685" w:type="pct"/>
            <w:tcBorders>
              <w:top w:val="single" w:sz="4" w:space="0" w:color="auto"/>
              <w:left w:val="nil"/>
              <w:bottom w:val="single" w:sz="4" w:space="0" w:color="auto"/>
              <w:right w:val="single" w:sz="4" w:space="0" w:color="auto"/>
            </w:tcBorders>
            <w:vAlign w:val="center"/>
          </w:tcPr>
          <w:p w14:paraId="2006ADC3" w14:textId="77777777" w:rsidR="00115458" w:rsidRPr="00F4606C" w:rsidRDefault="00115458" w:rsidP="00F4606C">
            <w:pPr>
              <w:spacing w:after="0" w:line="240" w:lineRule="auto"/>
              <w:jc w:val="center"/>
              <w:rPr>
                <w:rFonts w:cs="Arial"/>
              </w:rPr>
            </w:pPr>
            <w:r w:rsidRPr="00F4606C">
              <w:rPr>
                <w:rFonts w:cs="Arial"/>
              </w:rPr>
              <w:t>9.135</w:t>
            </w:r>
          </w:p>
        </w:tc>
        <w:tc>
          <w:tcPr>
            <w:tcW w:w="1012" w:type="pct"/>
            <w:tcBorders>
              <w:top w:val="single" w:sz="4" w:space="0" w:color="auto"/>
              <w:left w:val="nil"/>
              <w:bottom w:val="single" w:sz="4" w:space="0" w:color="auto"/>
              <w:right w:val="single" w:sz="4" w:space="0" w:color="auto"/>
            </w:tcBorders>
            <w:noWrap/>
            <w:vAlign w:val="center"/>
          </w:tcPr>
          <w:p w14:paraId="3B44CD42" w14:textId="77777777" w:rsidR="00115458" w:rsidRPr="00F4606C" w:rsidRDefault="00115458" w:rsidP="00F4606C">
            <w:pPr>
              <w:spacing w:after="0" w:line="240" w:lineRule="auto"/>
              <w:jc w:val="center"/>
              <w:rPr>
                <w:rFonts w:cs="Arial"/>
              </w:rPr>
            </w:pPr>
            <w:r w:rsidRPr="00F4606C">
              <w:rPr>
                <w:rFonts w:cs="Arial"/>
              </w:rPr>
              <w:t>6.131</w:t>
            </w:r>
          </w:p>
        </w:tc>
      </w:tr>
      <w:tr w:rsidR="00115458" w:rsidRPr="00D42995" w14:paraId="6553D113"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A171EE2" w14:textId="77777777" w:rsidR="00115458" w:rsidRPr="00F4606C" w:rsidRDefault="00115458" w:rsidP="00F4606C">
            <w:pPr>
              <w:spacing w:after="0" w:line="240" w:lineRule="auto"/>
              <w:rPr>
                <w:rFonts w:cs="Arial"/>
              </w:rPr>
            </w:pPr>
            <w:r w:rsidRPr="00F4606C">
              <w:rPr>
                <w:rFonts w:cs="Arial"/>
              </w:rPr>
              <w:t>NCMI– Non-primary production</w:t>
            </w:r>
          </w:p>
        </w:tc>
        <w:tc>
          <w:tcPr>
            <w:tcW w:w="685" w:type="pct"/>
            <w:tcBorders>
              <w:top w:val="single" w:sz="4" w:space="0" w:color="auto"/>
              <w:left w:val="nil"/>
              <w:bottom w:val="single" w:sz="4" w:space="0" w:color="auto"/>
              <w:right w:val="single" w:sz="4" w:space="0" w:color="auto"/>
            </w:tcBorders>
            <w:vAlign w:val="center"/>
          </w:tcPr>
          <w:p w14:paraId="040893AE" w14:textId="77777777" w:rsidR="00115458" w:rsidRPr="00F4606C" w:rsidRDefault="00115458" w:rsidP="00F4606C">
            <w:pPr>
              <w:spacing w:after="0" w:line="240" w:lineRule="auto"/>
              <w:jc w:val="center"/>
              <w:rPr>
                <w:rFonts w:cs="Arial"/>
              </w:rPr>
            </w:pPr>
            <w:r w:rsidRPr="00F4606C">
              <w:rPr>
                <w:rFonts w:cs="Arial"/>
              </w:rPr>
              <w:t>9.136</w:t>
            </w:r>
          </w:p>
        </w:tc>
        <w:tc>
          <w:tcPr>
            <w:tcW w:w="1012" w:type="pct"/>
            <w:tcBorders>
              <w:top w:val="single" w:sz="4" w:space="0" w:color="auto"/>
              <w:left w:val="nil"/>
              <w:bottom w:val="single" w:sz="4" w:space="0" w:color="auto"/>
              <w:right w:val="single" w:sz="4" w:space="0" w:color="auto"/>
            </w:tcBorders>
            <w:noWrap/>
            <w:vAlign w:val="center"/>
          </w:tcPr>
          <w:p w14:paraId="581629F0" w14:textId="77777777" w:rsidR="00115458" w:rsidRPr="00F4606C" w:rsidRDefault="00115458" w:rsidP="00F4606C">
            <w:pPr>
              <w:spacing w:after="0" w:line="240" w:lineRule="auto"/>
              <w:jc w:val="center"/>
              <w:rPr>
                <w:rFonts w:cs="Arial"/>
              </w:rPr>
            </w:pPr>
            <w:r w:rsidRPr="00F4606C">
              <w:rPr>
                <w:rFonts w:cs="Arial"/>
              </w:rPr>
              <w:t>6.132</w:t>
            </w:r>
          </w:p>
        </w:tc>
      </w:tr>
      <w:tr w:rsidR="00115458" w:rsidRPr="00D42995" w14:paraId="4D186F9F"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B88AD87" w14:textId="77777777" w:rsidR="00115458" w:rsidRPr="00F4606C" w:rsidRDefault="00115458" w:rsidP="00F4606C">
            <w:pPr>
              <w:spacing w:after="0" w:line="240" w:lineRule="auto"/>
              <w:rPr>
                <w:rFonts w:cs="Arial"/>
              </w:rPr>
            </w:pPr>
            <w:r w:rsidRPr="00F4606C">
              <w:rPr>
                <w:rFonts w:cs="Arial"/>
              </w:rPr>
              <w:t>NCMI – Primary production</w:t>
            </w:r>
          </w:p>
        </w:tc>
        <w:tc>
          <w:tcPr>
            <w:tcW w:w="685" w:type="pct"/>
            <w:tcBorders>
              <w:top w:val="single" w:sz="4" w:space="0" w:color="auto"/>
              <w:left w:val="nil"/>
              <w:bottom w:val="single" w:sz="4" w:space="0" w:color="auto"/>
              <w:right w:val="single" w:sz="4" w:space="0" w:color="auto"/>
            </w:tcBorders>
            <w:vAlign w:val="center"/>
          </w:tcPr>
          <w:p w14:paraId="2575F5E7" w14:textId="77777777" w:rsidR="00115458" w:rsidRPr="00F4606C" w:rsidRDefault="00115458" w:rsidP="00F4606C">
            <w:pPr>
              <w:spacing w:after="0" w:line="240" w:lineRule="auto"/>
              <w:jc w:val="center"/>
              <w:rPr>
                <w:rFonts w:cs="Arial"/>
              </w:rPr>
            </w:pPr>
            <w:r w:rsidRPr="00F4606C">
              <w:rPr>
                <w:rFonts w:cs="Arial"/>
              </w:rPr>
              <w:t>9.137</w:t>
            </w:r>
          </w:p>
        </w:tc>
        <w:tc>
          <w:tcPr>
            <w:tcW w:w="1012" w:type="pct"/>
            <w:tcBorders>
              <w:top w:val="single" w:sz="4" w:space="0" w:color="auto"/>
              <w:left w:val="nil"/>
              <w:bottom w:val="single" w:sz="4" w:space="0" w:color="auto"/>
              <w:right w:val="single" w:sz="4" w:space="0" w:color="auto"/>
            </w:tcBorders>
            <w:noWrap/>
            <w:vAlign w:val="center"/>
          </w:tcPr>
          <w:p w14:paraId="39675AF0" w14:textId="77777777" w:rsidR="00115458" w:rsidRPr="00F4606C" w:rsidRDefault="00115458" w:rsidP="00F4606C">
            <w:pPr>
              <w:spacing w:after="0" w:line="240" w:lineRule="auto"/>
              <w:jc w:val="center"/>
              <w:rPr>
                <w:rFonts w:cs="Arial"/>
              </w:rPr>
            </w:pPr>
            <w:r w:rsidRPr="00F4606C">
              <w:rPr>
                <w:rFonts w:cs="Arial"/>
              </w:rPr>
              <w:t>6.133</w:t>
            </w:r>
          </w:p>
        </w:tc>
      </w:tr>
      <w:tr w:rsidR="00115458" w:rsidRPr="00D42995" w14:paraId="45B533D8"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D7EF6B6" w14:textId="77777777" w:rsidR="00115458" w:rsidRPr="00F4606C" w:rsidRDefault="00115458" w:rsidP="00F4606C">
            <w:pPr>
              <w:spacing w:after="0" w:line="240" w:lineRule="auto"/>
              <w:rPr>
                <w:rFonts w:cs="Arial"/>
              </w:rPr>
            </w:pPr>
            <w:r w:rsidRPr="00F4606C">
              <w:rPr>
                <w:rFonts w:cs="Arial"/>
              </w:rPr>
              <w:t>Excluded from NCMI – Non-primary production</w:t>
            </w:r>
          </w:p>
        </w:tc>
        <w:tc>
          <w:tcPr>
            <w:tcW w:w="685" w:type="pct"/>
            <w:tcBorders>
              <w:top w:val="single" w:sz="4" w:space="0" w:color="auto"/>
              <w:left w:val="nil"/>
              <w:bottom w:val="single" w:sz="4" w:space="0" w:color="auto"/>
              <w:right w:val="single" w:sz="4" w:space="0" w:color="auto"/>
            </w:tcBorders>
            <w:vAlign w:val="center"/>
          </w:tcPr>
          <w:p w14:paraId="4ACB76B0" w14:textId="77777777" w:rsidR="00115458" w:rsidRPr="00F4606C" w:rsidRDefault="00115458" w:rsidP="00F4606C">
            <w:pPr>
              <w:spacing w:after="0" w:line="240" w:lineRule="auto"/>
              <w:jc w:val="center"/>
              <w:rPr>
                <w:rFonts w:cs="Arial"/>
              </w:rPr>
            </w:pPr>
            <w:r w:rsidRPr="00F4606C">
              <w:rPr>
                <w:rFonts w:cs="Arial"/>
              </w:rPr>
              <w:t>9.138</w:t>
            </w:r>
          </w:p>
        </w:tc>
        <w:tc>
          <w:tcPr>
            <w:tcW w:w="1012" w:type="pct"/>
            <w:tcBorders>
              <w:top w:val="single" w:sz="4" w:space="0" w:color="auto"/>
              <w:left w:val="nil"/>
              <w:bottom w:val="single" w:sz="4" w:space="0" w:color="auto"/>
              <w:right w:val="single" w:sz="4" w:space="0" w:color="auto"/>
            </w:tcBorders>
            <w:noWrap/>
            <w:vAlign w:val="center"/>
          </w:tcPr>
          <w:p w14:paraId="7A951E38" w14:textId="77777777" w:rsidR="00115458" w:rsidRPr="00F4606C" w:rsidRDefault="00115458" w:rsidP="00F4606C">
            <w:pPr>
              <w:spacing w:after="0" w:line="240" w:lineRule="auto"/>
              <w:jc w:val="center"/>
              <w:rPr>
                <w:rFonts w:cs="Arial"/>
              </w:rPr>
            </w:pPr>
            <w:r w:rsidRPr="00F4606C">
              <w:rPr>
                <w:rFonts w:cs="Arial"/>
              </w:rPr>
              <w:t>6.134</w:t>
            </w:r>
          </w:p>
        </w:tc>
      </w:tr>
      <w:tr w:rsidR="00115458" w:rsidRPr="00D42995" w14:paraId="59759630"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392B5B7" w14:textId="77777777" w:rsidR="00115458" w:rsidRPr="00F4606C" w:rsidRDefault="00115458" w:rsidP="00F4606C">
            <w:pPr>
              <w:spacing w:after="0" w:line="240" w:lineRule="auto"/>
              <w:rPr>
                <w:rFonts w:cs="Arial"/>
              </w:rPr>
            </w:pPr>
            <w:r w:rsidRPr="00F4606C">
              <w:rPr>
                <w:rFonts w:cs="Arial"/>
              </w:rPr>
              <w:t>Excluded from NCMI – Primary production</w:t>
            </w:r>
          </w:p>
        </w:tc>
        <w:tc>
          <w:tcPr>
            <w:tcW w:w="685" w:type="pct"/>
            <w:tcBorders>
              <w:top w:val="single" w:sz="4" w:space="0" w:color="auto"/>
              <w:left w:val="nil"/>
              <w:bottom w:val="single" w:sz="4" w:space="0" w:color="auto"/>
              <w:right w:val="single" w:sz="4" w:space="0" w:color="auto"/>
            </w:tcBorders>
            <w:vAlign w:val="center"/>
          </w:tcPr>
          <w:p w14:paraId="3E521BED" w14:textId="77777777" w:rsidR="00115458" w:rsidRPr="00F4606C" w:rsidRDefault="00115458" w:rsidP="00F4606C">
            <w:pPr>
              <w:spacing w:after="0" w:line="240" w:lineRule="auto"/>
              <w:jc w:val="center"/>
              <w:rPr>
                <w:rFonts w:cs="Arial"/>
              </w:rPr>
            </w:pPr>
            <w:r w:rsidRPr="00F4606C">
              <w:rPr>
                <w:rFonts w:cs="Arial"/>
              </w:rPr>
              <w:t>9.139</w:t>
            </w:r>
          </w:p>
        </w:tc>
        <w:tc>
          <w:tcPr>
            <w:tcW w:w="1012" w:type="pct"/>
            <w:tcBorders>
              <w:top w:val="single" w:sz="4" w:space="0" w:color="auto"/>
              <w:left w:val="nil"/>
              <w:bottom w:val="single" w:sz="4" w:space="0" w:color="auto"/>
              <w:right w:val="single" w:sz="4" w:space="0" w:color="auto"/>
            </w:tcBorders>
            <w:noWrap/>
            <w:vAlign w:val="center"/>
          </w:tcPr>
          <w:p w14:paraId="6F0622E5" w14:textId="77777777" w:rsidR="00115458" w:rsidRPr="00F4606C" w:rsidRDefault="00115458" w:rsidP="00F4606C">
            <w:pPr>
              <w:spacing w:after="0" w:line="240" w:lineRule="auto"/>
              <w:jc w:val="center"/>
              <w:rPr>
                <w:rFonts w:cs="Arial"/>
              </w:rPr>
            </w:pPr>
            <w:r w:rsidRPr="00F4606C">
              <w:rPr>
                <w:rFonts w:cs="Arial"/>
              </w:rPr>
              <w:t>6.135</w:t>
            </w:r>
          </w:p>
        </w:tc>
      </w:tr>
      <w:tr w:rsidR="00115458" w:rsidRPr="00D42995" w14:paraId="44ACC9B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F0F97F7" w14:textId="77777777" w:rsidR="00115458" w:rsidRPr="00F4606C" w:rsidRDefault="00115458" w:rsidP="00F4606C">
            <w:pPr>
              <w:spacing w:after="0" w:line="240" w:lineRule="auto"/>
              <w:rPr>
                <w:rFonts w:cs="Arial"/>
              </w:rPr>
            </w:pPr>
            <w:r w:rsidRPr="00F4606C">
              <w:rPr>
                <w:rFonts w:cs="Arial"/>
              </w:rPr>
              <w:t>NCMI Capital Gains</w:t>
            </w:r>
          </w:p>
        </w:tc>
        <w:tc>
          <w:tcPr>
            <w:tcW w:w="685" w:type="pct"/>
            <w:tcBorders>
              <w:top w:val="single" w:sz="4" w:space="0" w:color="auto"/>
              <w:left w:val="nil"/>
              <w:bottom w:val="single" w:sz="4" w:space="0" w:color="auto"/>
              <w:right w:val="single" w:sz="4" w:space="0" w:color="auto"/>
            </w:tcBorders>
            <w:vAlign w:val="center"/>
          </w:tcPr>
          <w:p w14:paraId="6445A11D" w14:textId="77777777" w:rsidR="00115458" w:rsidRPr="00F4606C" w:rsidRDefault="00115458" w:rsidP="00F4606C">
            <w:pPr>
              <w:spacing w:after="0" w:line="240" w:lineRule="auto"/>
              <w:jc w:val="center"/>
              <w:rPr>
                <w:rFonts w:cs="Arial"/>
              </w:rPr>
            </w:pPr>
            <w:r w:rsidRPr="00F4606C">
              <w:rPr>
                <w:rFonts w:cs="Arial"/>
              </w:rPr>
              <w:t>9.140</w:t>
            </w:r>
          </w:p>
        </w:tc>
        <w:tc>
          <w:tcPr>
            <w:tcW w:w="1012" w:type="pct"/>
            <w:tcBorders>
              <w:top w:val="single" w:sz="4" w:space="0" w:color="auto"/>
              <w:left w:val="nil"/>
              <w:bottom w:val="single" w:sz="4" w:space="0" w:color="auto"/>
              <w:right w:val="single" w:sz="4" w:space="0" w:color="auto"/>
            </w:tcBorders>
            <w:noWrap/>
            <w:vAlign w:val="center"/>
          </w:tcPr>
          <w:p w14:paraId="5E42D330" w14:textId="77777777" w:rsidR="00115458" w:rsidRPr="00F4606C" w:rsidRDefault="00115458" w:rsidP="00F4606C">
            <w:pPr>
              <w:spacing w:after="0" w:line="240" w:lineRule="auto"/>
              <w:jc w:val="center"/>
              <w:rPr>
                <w:rFonts w:cs="Arial"/>
              </w:rPr>
            </w:pPr>
            <w:r w:rsidRPr="00F4606C">
              <w:rPr>
                <w:rFonts w:cs="Arial"/>
              </w:rPr>
              <w:t>6.136</w:t>
            </w:r>
          </w:p>
        </w:tc>
      </w:tr>
      <w:tr w:rsidR="00115458" w:rsidRPr="00D42995" w14:paraId="5C13BE3B" w14:textId="77777777" w:rsidTr="00E91920">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3C3D6FD" w14:textId="77777777" w:rsidR="00115458" w:rsidRPr="00F4606C" w:rsidRDefault="00115458" w:rsidP="00F4606C">
            <w:pPr>
              <w:spacing w:after="0" w:line="240" w:lineRule="auto"/>
              <w:rPr>
                <w:rFonts w:cs="Arial"/>
              </w:rPr>
            </w:pPr>
            <w:r w:rsidRPr="00F4606C">
              <w:rPr>
                <w:rFonts w:cs="Arial"/>
              </w:rPr>
              <w:t>Excluded from NCMI Capital Gains</w:t>
            </w:r>
          </w:p>
        </w:tc>
        <w:tc>
          <w:tcPr>
            <w:tcW w:w="685" w:type="pct"/>
            <w:tcBorders>
              <w:top w:val="single" w:sz="4" w:space="0" w:color="auto"/>
              <w:left w:val="nil"/>
              <w:bottom w:val="single" w:sz="4" w:space="0" w:color="auto"/>
              <w:right w:val="single" w:sz="4" w:space="0" w:color="auto"/>
            </w:tcBorders>
            <w:vAlign w:val="center"/>
          </w:tcPr>
          <w:p w14:paraId="7B1B6965" w14:textId="77777777" w:rsidR="00115458" w:rsidRPr="00F4606C" w:rsidRDefault="00115458" w:rsidP="00F4606C">
            <w:pPr>
              <w:spacing w:after="0" w:line="240" w:lineRule="auto"/>
              <w:jc w:val="center"/>
              <w:rPr>
                <w:rFonts w:cs="Arial"/>
              </w:rPr>
            </w:pPr>
            <w:r w:rsidRPr="00F4606C">
              <w:rPr>
                <w:rFonts w:cs="Arial"/>
              </w:rPr>
              <w:t>9.141</w:t>
            </w:r>
          </w:p>
        </w:tc>
        <w:tc>
          <w:tcPr>
            <w:tcW w:w="1012" w:type="pct"/>
            <w:tcBorders>
              <w:top w:val="single" w:sz="4" w:space="0" w:color="auto"/>
              <w:left w:val="nil"/>
              <w:bottom w:val="single" w:sz="4" w:space="0" w:color="auto"/>
              <w:right w:val="single" w:sz="4" w:space="0" w:color="auto"/>
            </w:tcBorders>
            <w:noWrap/>
            <w:vAlign w:val="center"/>
          </w:tcPr>
          <w:p w14:paraId="65A73E73" w14:textId="77777777" w:rsidR="00115458" w:rsidRPr="00F4606C" w:rsidRDefault="00115458" w:rsidP="00F4606C">
            <w:pPr>
              <w:spacing w:after="0" w:line="240" w:lineRule="auto"/>
              <w:jc w:val="center"/>
              <w:rPr>
                <w:rFonts w:cs="Arial"/>
              </w:rPr>
            </w:pPr>
            <w:r w:rsidRPr="00F4606C">
              <w:rPr>
                <w:rFonts w:cs="Arial"/>
              </w:rPr>
              <w:t>6.137</w:t>
            </w:r>
          </w:p>
        </w:tc>
      </w:tr>
      <w:tr w:rsidR="006A050E" w:rsidRPr="00D42995" w14:paraId="524A0E61" w14:textId="77777777" w:rsidTr="00330BF8">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CD2AF76" w14:textId="18B16E06" w:rsidR="00330BF8" w:rsidRPr="00F4606C" w:rsidRDefault="00E8067A" w:rsidP="00F4606C">
            <w:pPr>
              <w:spacing w:after="0" w:line="240" w:lineRule="auto"/>
              <w:rPr>
                <w:rFonts w:cs="Arial"/>
              </w:rPr>
            </w:pPr>
            <w:r w:rsidRPr="00E8067A">
              <w:rPr>
                <w:rFonts w:cs="Arial"/>
              </w:rPr>
              <w:t>BTR entity or payment recipient</w:t>
            </w:r>
          </w:p>
        </w:tc>
        <w:tc>
          <w:tcPr>
            <w:tcW w:w="685" w:type="pct"/>
            <w:tcBorders>
              <w:top w:val="single" w:sz="4" w:space="0" w:color="auto"/>
              <w:left w:val="nil"/>
              <w:bottom w:val="single" w:sz="4" w:space="0" w:color="auto"/>
              <w:right w:val="single" w:sz="4" w:space="0" w:color="auto"/>
            </w:tcBorders>
            <w:vAlign w:val="center"/>
          </w:tcPr>
          <w:p w14:paraId="49A222F9" w14:textId="0292B306" w:rsidR="00330BF8" w:rsidRPr="00F4606C" w:rsidRDefault="00E8067A" w:rsidP="00F4606C">
            <w:pPr>
              <w:spacing w:after="0" w:line="240" w:lineRule="auto"/>
              <w:jc w:val="center"/>
              <w:rPr>
                <w:rFonts w:cs="Arial"/>
              </w:rPr>
            </w:pPr>
            <w:r>
              <w:rPr>
                <w:rFonts w:cs="Arial"/>
              </w:rPr>
              <w:t>9.142</w:t>
            </w:r>
          </w:p>
        </w:tc>
        <w:tc>
          <w:tcPr>
            <w:tcW w:w="1012" w:type="pct"/>
            <w:tcBorders>
              <w:top w:val="single" w:sz="4" w:space="0" w:color="auto"/>
              <w:left w:val="nil"/>
              <w:bottom w:val="single" w:sz="4" w:space="0" w:color="auto"/>
              <w:right w:val="single" w:sz="4" w:space="0" w:color="auto"/>
            </w:tcBorders>
            <w:noWrap/>
            <w:vAlign w:val="center"/>
          </w:tcPr>
          <w:p w14:paraId="6C2493E1" w14:textId="5050E08F" w:rsidR="00330BF8" w:rsidRPr="00F4606C" w:rsidRDefault="00FB4491" w:rsidP="00F4606C">
            <w:pPr>
              <w:spacing w:after="0" w:line="240" w:lineRule="auto"/>
              <w:jc w:val="center"/>
              <w:rPr>
                <w:rFonts w:cs="Arial"/>
              </w:rPr>
            </w:pPr>
            <w:r>
              <w:rPr>
                <w:rFonts w:cs="Arial"/>
              </w:rPr>
              <w:t>6.138</w:t>
            </w:r>
          </w:p>
        </w:tc>
      </w:tr>
      <w:tr w:rsidR="006A050E" w:rsidRPr="00D42995" w14:paraId="35FD67CC" w14:textId="77777777" w:rsidTr="00330BF8">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B60D82F" w14:textId="40E238E9" w:rsidR="00330BF8" w:rsidRPr="00F4606C" w:rsidRDefault="005E1F31" w:rsidP="00F4606C">
            <w:pPr>
              <w:spacing w:after="0" w:line="240" w:lineRule="auto"/>
              <w:rPr>
                <w:rFonts w:cs="Arial"/>
              </w:rPr>
            </w:pPr>
            <w:r w:rsidRPr="005E1F31">
              <w:rPr>
                <w:rFonts w:cs="Arial"/>
              </w:rPr>
              <w:t>ATO BTR development ID</w:t>
            </w:r>
          </w:p>
        </w:tc>
        <w:tc>
          <w:tcPr>
            <w:tcW w:w="685" w:type="pct"/>
            <w:tcBorders>
              <w:top w:val="single" w:sz="4" w:space="0" w:color="auto"/>
              <w:left w:val="nil"/>
              <w:bottom w:val="single" w:sz="4" w:space="0" w:color="auto"/>
              <w:right w:val="single" w:sz="4" w:space="0" w:color="auto"/>
            </w:tcBorders>
            <w:vAlign w:val="center"/>
          </w:tcPr>
          <w:p w14:paraId="2D5269CD" w14:textId="3962B77B" w:rsidR="00330BF8" w:rsidRPr="00F4606C" w:rsidRDefault="005E1F31" w:rsidP="00F4606C">
            <w:pPr>
              <w:spacing w:after="0" w:line="240" w:lineRule="auto"/>
              <w:jc w:val="center"/>
              <w:rPr>
                <w:rFonts w:cs="Arial"/>
              </w:rPr>
            </w:pPr>
            <w:r>
              <w:rPr>
                <w:rFonts w:cs="Arial"/>
              </w:rPr>
              <w:t>9.143</w:t>
            </w:r>
          </w:p>
        </w:tc>
        <w:tc>
          <w:tcPr>
            <w:tcW w:w="1012" w:type="pct"/>
            <w:tcBorders>
              <w:top w:val="single" w:sz="4" w:space="0" w:color="auto"/>
              <w:left w:val="nil"/>
              <w:bottom w:val="single" w:sz="4" w:space="0" w:color="auto"/>
              <w:right w:val="single" w:sz="4" w:space="0" w:color="auto"/>
            </w:tcBorders>
            <w:noWrap/>
            <w:vAlign w:val="center"/>
          </w:tcPr>
          <w:p w14:paraId="4DB1B86F" w14:textId="62A89801" w:rsidR="00330BF8" w:rsidRPr="00F4606C" w:rsidRDefault="00FB4491" w:rsidP="00F4606C">
            <w:pPr>
              <w:spacing w:after="0" w:line="240" w:lineRule="auto"/>
              <w:jc w:val="center"/>
              <w:rPr>
                <w:rFonts w:cs="Arial"/>
              </w:rPr>
            </w:pPr>
            <w:r>
              <w:rPr>
                <w:rFonts w:cs="Arial"/>
              </w:rPr>
              <w:t>6.139</w:t>
            </w:r>
          </w:p>
        </w:tc>
      </w:tr>
      <w:tr w:rsidR="006A050E" w:rsidRPr="00D42995" w14:paraId="65E0B719" w14:textId="77777777" w:rsidTr="00330BF8">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0754336" w14:textId="4BAA18CD" w:rsidR="00330BF8" w:rsidRPr="00F4606C" w:rsidRDefault="004F6448" w:rsidP="00F4606C">
            <w:pPr>
              <w:spacing w:after="0" w:line="240" w:lineRule="auto"/>
              <w:rPr>
                <w:rFonts w:cs="Arial"/>
              </w:rPr>
            </w:pPr>
            <w:r w:rsidRPr="004F6448">
              <w:rPr>
                <w:rFonts w:cs="Arial"/>
              </w:rPr>
              <w:t>BTR excluded from NCMI – non primary production</w:t>
            </w:r>
          </w:p>
        </w:tc>
        <w:tc>
          <w:tcPr>
            <w:tcW w:w="685" w:type="pct"/>
            <w:tcBorders>
              <w:top w:val="single" w:sz="4" w:space="0" w:color="auto"/>
              <w:left w:val="nil"/>
              <w:bottom w:val="single" w:sz="4" w:space="0" w:color="auto"/>
              <w:right w:val="single" w:sz="4" w:space="0" w:color="auto"/>
            </w:tcBorders>
            <w:vAlign w:val="center"/>
          </w:tcPr>
          <w:p w14:paraId="7DA0387E" w14:textId="424605C6" w:rsidR="00330BF8" w:rsidRPr="00F4606C" w:rsidRDefault="004F6448" w:rsidP="00F4606C">
            <w:pPr>
              <w:spacing w:after="0" w:line="240" w:lineRule="auto"/>
              <w:jc w:val="center"/>
              <w:rPr>
                <w:rFonts w:cs="Arial"/>
              </w:rPr>
            </w:pPr>
            <w:r>
              <w:rPr>
                <w:rFonts w:cs="Arial"/>
              </w:rPr>
              <w:t>9.144</w:t>
            </w:r>
          </w:p>
        </w:tc>
        <w:tc>
          <w:tcPr>
            <w:tcW w:w="1012" w:type="pct"/>
            <w:tcBorders>
              <w:top w:val="single" w:sz="4" w:space="0" w:color="auto"/>
              <w:left w:val="nil"/>
              <w:bottom w:val="single" w:sz="4" w:space="0" w:color="auto"/>
              <w:right w:val="single" w:sz="4" w:space="0" w:color="auto"/>
            </w:tcBorders>
            <w:noWrap/>
            <w:vAlign w:val="center"/>
          </w:tcPr>
          <w:p w14:paraId="06A43DBA" w14:textId="28F98F0E" w:rsidR="00330BF8" w:rsidRPr="00F4606C" w:rsidRDefault="00FB4491" w:rsidP="00F4606C">
            <w:pPr>
              <w:spacing w:after="0" w:line="240" w:lineRule="auto"/>
              <w:jc w:val="center"/>
              <w:rPr>
                <w:rFonts w:cs="Arial"/>
              </w:rPr>
            </w:pPr>
            <w:r>
              <w:rPr>
                <w:rFonts w:cs="Arial"/>
              </w:rPr>
              <w:t>6.140</w:t>
            </w:r>
          </w:p>
        </w:tc>
      </w:tr>
      <w:tr w:rsidR="006A050E" w:rsidRPr="00D42995" w14:paraId="0F079DDD" w14:textId="77777777" w:rsidTr="00330BF8">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D1759F6" w14:textId="79223AAD" w:rsidR="00330BF8" w:rsidRPr="00F4606C" w:rsidRDefault="0049580D" w:rsidP="00F4606C">
            <w:pPr>
              <w:spacing w:after="0" w:line="240" w:lineRule="auto"/>
              <w:rPr>
                <w:rFonts w:cs="Arial"/>
              </w:rPr>
            </w:pPr>
            <w:r w:rsidRPr="0049580D">
              <w:rPr>
                <w:rFonts w:cs="Arial"/>
              </w:rPr>
              <w:t>BTR excluded from NCMI capital gains</w:t>
            </w:r>
          </w:p>
        </w:tc>
        <w:tc>
          <w:tcPr>
            <w:tcW w:w="685" w:type="pct"/>
            <w:tcBorders>
              <w:top w:val="single" w:sz="4" w:space="0" w:color="auto"/>
              <w:left w:val="nil"/>
              <w:bottom w:val="single" w:sz="4" w:space="0" w:color="auto"/>
              <w:right w:val="single" w:sz="4" w:space="0" w:color="auto"/>
            </w:tcBorders>
            <w:vAlign w:val="center"/>
          </w:tcPr>
          <w:p w14:paraId="03E334E5" w14:textId="00D57BF9" w:rsidR="00330BF8" w:rsidRPr="00F4606C" w:rsidRDefault="0049580D" w:rsidP="00F4606C">
            <w:pPr>
              <w:spacing w:after="0" w:line="240" w:lineRule="auto"/>
              <w:jc w:val="center"/>
              <w:rPr>
                <w:rFonts w:cs="Arial"/>
              </w:rPr>
            </w:pPr>
            <w:r>
              <w:rPr>
                <w:rFonts w:cs="Arial"/>
              </w:rPr>
              <w:t>9.145</w:t>
            </w:r>
          </w:p>
        </w:tc>
        <w:tc>
          <w:tcPr>
            <w:tcW w:w="1012" w:type="pct"/>
            <w:tcBorders>
              <w:top w:val="single" w:sz="4" w:space="0" w:color="auto"/>
              <w:left w:val="nil"/>
              <w:bottom w:val="single" w:sz="4" w:space="0" w:color="auto"/>
              <w:right w:val="single" w:sz="4" w:space="0" w:color="auto"/>
            </w:tcBorders>
            <w:noWrap/>
            <w:vAlign w:val="center"/>
          </w:tcPr>
          <w:p w14:paraId="3E70F8DA" w14:textId="2894EC2C" w:rsidR="00330BF8" w:rsidRPr="00F4606C" w:rsidRDefault="00FB4491" w:rsidP="00F4606C">
            <w:pPr>
              <w:spacing w:after="0" w:line="240" w:lineRule="auto"/>
              <w:jc w:val="center"/>
              <w:rPr>
                <w:rFonts w:cs="Arial"/>
              </w:rPr>
            </w:pPr>
            <w:r>
              <w:rPr>
                <w:rFonts w:cs="Arial"/>
              </w:rPr>
              <w:t>6.141</w:t>
            </w:r>
          </w:p>
        </w:tc>
      </w:tr>
      <w:tr w:rsidR="006A050E" w:rsidRPr="00D42995" w14:paraId="435ED308"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C0EB910" w14:textId="3071B2EC" w:rsidR="00330BF8" w:rsidRPr="00F4606C" w:rsidRDefault="000D1921" w:rsidP="00F4606C">
            <w:pPr>
              <w:spacing w:after="0" w:line="240" w:lineRule="auto"/>
              <w:rPr>
                <w:rFonts w:cs="Arial"/>
              </w:rPr>
            </w:pPr>
            <w:r w:rsidRPr="000D1921">
              <w:rPr>
                <w:rFonts w:cs="Arial"/>
              </w:rPr>
              <w:t>Active BTR withholding</w:t>
            </w:r>
          </w:p>
        </w:tc>
        <w:tc>
          <w:tcPr>
            <w:tcW w:w="685" w:type="pct"/>
            <w:tcBorders>
              <w:top w:val="single" w:sz="4" w:space="0" w:color="auto"/>
              <w:left w:val="nil"/>
              <w:bottom w:val="single" w:sz="4" w:space="0" w:color="auto"/>
              <w:right w:val="single" w:sz="4" w:space="0" w:color="auto"/>
            </w:tcBorders>
            <w:vAlign w:val="center"/>
          </w:tcPr>
          <w:p w14:paraId="3BDE7F97" w14:textId="58F40C8E" w:rsidR="00330BF8" w:rsidRPr="00F4606C" w:rsidRDefault="000D1921" w:rsidP="00F4606C">
            <w:pPr>
              <w:spacing w:after="0" w:line="240" w:lineRule="auto"/>
              <w:jc w:val="center"/>
              <w:rPr>
                <w:rFonts w:cs="Arial"/>
              </w:rPr>
            </w:pPr>
            <w:r>
              <w:rPr>
                <w:rFonts w:cs="Arial"/>
              </w:rPr>
              <w:t>9.146</w:t>
            </w:r>
          </w:p>
        </w:tc>
        <w:tc>
          <w:tcPr>
            <w:tcW w:w="1012" w:type="pct"/>
            <w:tcBorders>
              <w:top w:val="single" w:sz="4" w:space="0" w:color="auto"/>
              <w:left w:val="nil"/>
              <w:bottom w:val="single" w:sz="4" w:space="0" w:color="auto"/>
              <w:right w:val="single" w:sz="4" w:space="0" w:color="auto"/>
            </w:tcBorders>
            <w:noWrap/>
            <w:vAlign w:val="center"/>
          </w:tcPr>
          <w:p w14:paraId="61D1A975" w14:textId="3D2CFA19" w:rsidR="00330BF8" w:rsidRPr="00F4606C" w:rsidRDefault="00FB4491" w:rsidP="00F4606C">
            <w:pPr>
              <w:spacing w:after="0" w:line="240" w:lineRule="auto"/>
              <w:jc w:val="center"/>
              <w:rPr>
                <w:rFonts w:cs="Arial"/>
              </w:rPr>
            </w:pPr>
            <w:r>
              <w:rPr>
                <w:rFonts w:cs="Arial"/>
              </w:rPr>
              <w:t>6.142</w:t>
            </w:r>
          </w:p>
        </w:tc>
      </w:tr>
      <w:tr w:rsidR="00115458" w:rsidRPr="00D42995" w14:paraId="38FA790A"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C75D252" w14:textId="77777777" w:rsidR="00115458" w:rsidRPr="00F4606C" w:rsidRDefault="00115458" w:rsidP="00F4606C">
            <w:pPr>
              <w:spacing w:after="0" w:line="240" w:lineRule="auto"/>
              <w:rPr>
                <w:rFonts w:cs="Arial"/>
              </w:rPr>
            </w:pPr>
            <w:r w:rsidRPr="00F4606C">
              <w:rPr>
                <w:rFonts w:cs="Arial"/>
              </w:rPr>
              <w:t>Record identifier</w:t>
            </w:r>
          </w:p>
        </w:tc>
        <w:tc>
          <w:tcPr>
            <w:tcW w:w="685" w:type="pct"/>
            <w:tcBorders>
              <w:top w:val="single" w:sz="4" w:space="0" w:color="auto"/>
              <w:left w:val="nil"/>
              <w:bottom w:val="single" w:sz="4" w:space="0" w:color="auto"/>
              <w:right w:val="single" w:sz="4" w:space="0" w:color="auto"/>
            </w:tcBorders>
            <w:vAlign w:val="center"/>
          </w:tcPr>
          <w:p w14:paraId="4F127B6A" w14:textId="3E6267BB" w:rsidR="00115458" w:rsidRPr="00F4606C" w:rsidRDefault="001112BD" w:rsidP="00F4606C">
            <w:pPr>
              <w:spacing w:after="0" w:line="240" w:lineRule="auto"/>
              <w:jc w:val="center"/>
              <w:rPr>
                <w:rFonts w:cs="Arial"/>
              </w:rPr>
            </w:pPr>
            <w:r>
              <w:rPr>
                <w:rFonts w:cs="Arial"/>
              </w:rPr>
              <w:t>9.147</w:t>
            </w:r>
          </w:p>
        </w:tc>
        <w:tc>
          <w:tcPr>
            <w:tcW w:w="1012" w:type="pct"/>
            <w:tcBorders>
              <w:top w:val="single" w:sz="4" w:space="0" w:color="auto"/>
              <w:left w:val="nil"/>
              <w:bottom w:val="single" w:sz="4" w:space="0" w:color="auto"/>
              <w:right w:val="single" w:sz="4" w:space="0" w:color="auto"/>
            </w:tcBorders>
            <w:noWrap/>
            <w:vAlign w:val="center"/>
          </w:tcPr>
          <w:p w14:paraId="13157371"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5DA7EC5E"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C0236F1" w14:textId="77777777" w:rsidR="00115458" w:rsidRPr="00F4606C" w:rsidRDefault="00115458" w:rsidP="00F4606C">
            <w:pPr>
              <w:spacing w:after="0" w:line="240" w:lineRule="auto"/>
              <w:rPr>
                <w:rFonts w:cs="Arial"/>
              </w:rPr>
            </w:pPr>
            <w:r w:rsidRPr="00F4606C">
              <w:rPr>
                <w:rFonts w:cs="Arial"/>
              </w:rPr>
              <w:t>Sequence number of DFMDACCT record</w:t>
            </w:r>
          </w:p>
        </w:tc>
        <w:tc>
          <w:tcPr>
            <w:tcW w:w="685" w:type="pct"/>
            <w:tcBorders>
              <w:top w:val="single" w:sz="4" w:space="0" w:color="auto"/>
              <w:left w:val="nil"/>
              <w:bottom w:val="single" w:sz="4" w:space="0" w:color="auto"/>
              <w:right w:val="single" w:sz="4" w:space="0" w:color="auto"/>
            </w:tcBorders>
            <w:vAlign w:val="center"/>
          </w:tcPr>
          <w:p w14:paraId="7C02B23C" w14:textId="667BDF7B" w:rsidR="00115458" w:rsidRPr="00F4606C" w:rsidRDefault="001112BD" w:rsidP="00F4606C">
            <w:pPr>
              <w:spacing w:after="0" w:line="240" w:lineRule="auto"/>
              <w:jc w:val="center"/>
              <w:rPr>
                <w:rFonts w:cs="Arial"/>
              </w:rPr>
            </w:pPr>
            <w:r>
              <w:rPr>
                <w:rFonts w:cs="Arial"/>
              </w:rPr>
              <w:t>9.148</w:t>
            </w:r>
          </w:p>
        </w:tc>
        <w:tc>
          <w:tcPr>
            <w:tcW w:w="1012" w:type="pct"/>
            <w:tcBorders>
              <w:top w:val="single" w:sz="4" w:space="0" w:color="auto"/>
              <w:left w:val="nil"/>
              <w:bottom w:val="single" w:sz="4" w:space="0" w:color="auto"/>
              <w:right w:val="single" w:sz="4" w:space="0" w:color="auto"/>
            </w:tcBorders>
            <w:noWrap/>
            <w:vAlign w:val="center"/>
          </w:tcPr>
          <w:p w14:paraId="0E7C9D36"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4F3EB1D8"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E23C47E" w14:textId="77777777" w:rsidR="00115458" w:rsidRPr="00F4606C" w:rsidRDefault="00115458" w:rsidP="00F4606C">
            <w:pPr>
              <w:spacing w:after="0" w:line="240" w:lineRule="auto"/>
              <w:rPr>
                <w:rFonts w:cs="Arial"/>
              </w:rPr>
            </w:pPr>
            <w:r w:rsidRPr="00F4606C">
              <w:rPr>
                <w:rFonts w:cs="Arial"/>
              </w:rPr>
              <w:t>Sequence number of multiple DFMDACCT records</w:t>
            </w:r>
          </w:p>
        </w:tc>
        <w:tc>
          <w:tcPr>
            <w:tcW w:w="685" w:type="pct"/>
            <w:tcBorders>
              <w:top w:val="single" w:sz="4" w:space="0" w:color="auto"/>
              <w:left w:val="nil"/>
              <w:bottom w:val="single" w:sz="4" w:space="0" w:color="auto"/>
              <w:right w:val="single" w:sz="4" w:space="0" w:color="auto"/>
            </w:tcBorders>
            <w:vAlign w:val="center"/>
          </w:tcPr>
          <w:p w14:paraId="0D35D04C" w14:textId="1887EDBC" w:rsidR="00115458" w:rsidRPr="00F4606C" w:rsidRDefault="001112BD" w:rsidP="00F4606C">
            <w:pPr>
              <w:spacing w:after="0" w:line="240" w:lineRule="auto"/>
              <w:jc w:val="center"/>
              <w:rPr>
                <w:rFonts w:cs="Arial"/>
              </w:rPr>
            </w:pPr>
            <w:r>
              <w:t>9.149</w:t>
            </w:r>
          </w:p>
        </w:tc>
        <w:tc>
          <w:tcPr>
            <w:tcW w:w="1012" w:type="pct"/>
            <w:tcBorders>
              <w:top w:val="single" w:sz="4" w:space="0" w:color="auto"/>
              <w:left w:val="nil"/>
              <w:bottom w:val="single" w:sz="4" w:space="0" w:color="auto"/>
              <w:right w:val="single" w:sz="4" w:space="0" w:color="auto"/>
            </w:tcBorders>
            <w:noWrap/>
            <w:vAlign w:val="center"/>
          </w:tcPr>
          <w:p w14:paraId="6484A1C3"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69763E03"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3399CE9" w14:textId="77777777" w:rsidR="00115458" w:rsidRPr="00F4606C" w:rsidRDefault="00115458" w:rsidP="00F4606C">
            <w:pPr>
              <w:spacing w:after="0" w:line="240" w:lineRule="auto"/>
              <w:rPr>
                <w:rFonts w:cs="Arial"/>
              </w:rPr>
            </w:pPr>
            <w:r w:rsidRPr="00F4606C">
              <w:rPr>
                <w:rFonts w:cs="Arial"/>
              </w:rPr>
              <w:t>Personal identification number</w:t>
            </w:r>
          </w:p>
        </w:tc>
        <w:tc>
          <w:tcPr>
            <w:tcW w:w="685" w:type="pct"/>
            <w:tcBorders>
              <w:top w:val="single" w:sz="4" w:space="0" w:color="auto"/>
              <w:left w:val="nil"/>
              <w:bottom w:val="single" w:sz="4" w:space="0" w:color="auto"/>
              <w:right w:val="single" w:sz="4" w:space="0" w:color="auto"/>
            </w:tcBorders>
            <w:vAlign w:val="center"/>
          </w:tcPr>
          <w:p w14:paraId="444570A2" w14:textId="4617E119" w:rsidR="00115458" w:rsidRPr="00F4606C" w:rsidRDefault="001112BD" w:rsidP="00F4606C">
            <w:pPr>
              <w:spacing w:after="0" w:line="240" w:lineRule="auto"/>
              <w:jc w:val="center"/>
              <w:rPr>
                <w:rFonts w:cs="Arial"/>
              </w:rPr>
            </w:pPr>
            <w:r>
              <w:rPr>
                <w:rFonts w:cs="Arial"/>
              </w:rPr>
              <w:t>9.150</w:t>
            </w:r>
          </w:p>
        </w:tc>
        <w:tc>
          <w:tcPr>
            <w:tcW w:w="1012" w:type="pct"/>
            <w:tcBorders>
              <w:top w:val="single" w:sz="4" w:space="0" w:color="auto"/>
              <w:left w:val="nil"/>
              <w:bottom w:val="single" w:sz="4" w:space="0" w:color="auto"/>
              <w:right w:val="single" w:sz="4" w:space="0" w:color="auto"/>
            </w:tcBorders>
            <w:noWrap/>
            <w:vAlign w:val="center"/>
          </w:tcPr>
          <w:p w14:paraId="36FED676"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78982488"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835EE6D" w14:textId="77777777" w:rsidR="00115458" w:rsidRPr="00F4606C" w:rsidRDefault="00115458" w:rsidP="00F4606C">
            <w:pPr>
              <w:spacing w:after="0" w:line="240" w:lineRule="auto"/>
              <w:rPr>
                <w:rFonts w:cs="Arial"/>
              </w:rPr>
            </w:pPr>
            <w:r w:rsidRPr="00F4606C">
              <w:rPr>
                <w:rFonts w:cs="Arial"/>
              </w:rPr>
              <w:t>ANSZIC code</w:t>
            </w:r>
          </w:p>
        </w:tc>
        <w:tc>
          <w:tcPr>
            <w:tcW w:w="685" w:type="pct"/>
            <w:tcBorders>
              <w:top w:val="single" w:sz="4" w:space="0" w:color="auto"/>
              <w:left w:val="nil"/>
              <w:bottom w:val="single" w:sz="4" w:space="0" w:color="auto"/>
              <w:right w:val="single" w:sz="4" w:space="0" w:color="auto"/>
            </w:tcBorders>
            <w:vAlign w:val="center"/>
          </w:tcPr>
          <w:p w14:paraId="4808B6AC" w14:textId="1C7B0D55" w:rsidR="00115458" w:rsidRPr="00F4606C" w:rsidRDefault="001112BD" w:rsidP="00F4606C">
            <w:pPr>
              <w:spacing w:after="0" w:line="240" w:lineRule="auto"/>
              <w:jc w:val="center"/>
              <w:rPr>
                <w:rFonts w:cs="Arial"/>
              </w:rPr>
            </w:pPr>
            <w:r>
              <w:rPr>
                <w:rFonts w:cs="Arial"/>
              </w:rPr>
              <w:t>9.151</w:t>
            </w:r>
          </w:p>
        </w:tc>
        <w:tc>
          <w:tcPr>
            <w:tcW w:w="1012" w:type="pct"/>
            <w:tcBorders>
              <w:top w:val="single" w:sz="4" w:space="0" w:color="auto"/>
              <w:left w:val="nil"/>
              <w:bottom w:val="single" w:sz="4" w:space="0" w:color="auto"/>
              <w:right w:val="single" w:sz="4" w:space="0" w:color="auto"/>
            </w:tcBorders>
            <w:noWrap/>
            <w:vAlign w:val="center"/>
          </w:tcPr>
          <w:p w14:paraId="1154ADB1"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399A6060"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FBE6F50" w14:textId="77777777" w:rsidR="00115458" w:rsidRPr="00F4606C" w:rsidRDefault="00115458" w:rsidP="00F4606C">
            <w:pPr>
              <w:spacing w:after="0" w:line="240" w:lineRule="auto"/>
              <w:rPr>
                <w:rFonts w:cs="Arial"/>
              </w:rPr>
            </w:pPr>
            <w:r w:rsidRPr="00F4606C">
              <w:rPr>
                <w:rFonts w:cs="Arial"/>
              </w:rPr>
              <w:t xml:space="preserve">Amount of deductible deposit </w:t>
            </w:r>
          </w:p>
        </w:tc>
        <w:tc>
          <w:tcPr>
            <w:tcW w:w="685" w:type="pct"/>
            <w:tcBorders>
              <w:top w:val="single" w:sz="4" w:space="0" w:color="auto"/>
              <w:left w:val="nil"/>
              <w:bottom w:val="single" w:sz="4" w:space="0" w:color="auto"/>
              <w:right w:val="single" w:sz="4" w:space="0" w:color="auto"/>
            </w:tcBorders>
            <w:vAlign w:val="center"/>
          </w:tcPr>
          <w:p w14:paraId="47C13E48" w14:textId="4FFD8C4B" w:rsidR="00115458" w:rsidRPr="00F4606C" w:rsidRDefault="001112BD" w:rsidP="00F4606C">
            <w:pPr>
              <w:spacing w:after="0" w:line="240" w:lineRule="auto"/>
              <w:jc w:val="center"/>
              <w:rPr>
                <w:rFonts w:cs="Arial"/>
              </w:rPr>
            </w:pPr>
            <w:r>
              <w:rPr>
                <w:rFonts w:cs="Arial"/>
              </w:rPr>
              <w:t>9.152</w:t>
            </w:r>
          </w:p>
        </w:tc>
        <w:tc>
          <w:tcPr>
            <w:tcW w:w="1012" w:type="pct"/>
            <w:tcBorders>
              <w:top w:val="single" w:sz="4" w:space="0" w:color="auto"/>
              <w:left w:val="nil"/>
              <w:bottom w:val="single" w:sz="4" w:space="0" w:color="auto"/>
              <w:right w:val="single" w:sz="4" w:space="0" w:color="auto"/>
            </w:tcBorders>
            <w:noWrap/>
            <w:vAlign w:val="center"/>
          </w:tcPr>
          <w:p w14:paraId="5B7F317D"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07313CBA"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2702627" w14:textId="77777777" w:rsidR="00115458" w:rsidRPr="00F4606C" w:rsidRDefault="00115458" w:rsidP="00F4606C">
            <w:pPr>
              <w:spacing w:after="0" w:line="240" w:lineRule="auto"/>
              <w:rPr>
                <w:rFonts w:cs="Arial"/>
              </w:rPr>
            </w:pPr>
            <w:r w:rsidRPr="00F4606C">
              <w:rPr>
                <w:rFonts w:cs="Arial"/>
              </w:rPr>
              <w:t xml:space="preserve">Date of deductible deposit  </w:t>
            </w:r>
          </w:p>
        </w:tc>
        <w:tc>
          <w:tcPr>
            <w:tcW w:w="685" w:type="pct"/>
            <w:tcBorders>
              <w:top w:val="single" w:sz="4" w:space="0" w:color="auto"/>
              <w:left w:val="nil"/>
              <w:bottom w:val="single" w:sz="4" w:space="0" w:color="auto"/>
              <w:right w:val="single" w:sz="4" w:space="0" w:color="auto"/>
            </w:tcBorders>
            <w:vAlign w:val="center"/>
          </w:tcPr>
          <w:p w14:paraId="537499DB" w14:textId="170E91DF" w:rsidR="00115458" w:rsidRPr="00F4606C" w:rsidRDefault="001112BD" w:rsidP="00F4606C">
            <w:pPr>
              <w:spacing w:after="0" w:line="240" w:lineRule="auto"/>
              <w:jc w:val="center"/>
              <w:rPr>
                <w:rFonts w:cs="Arial"/>
              </w:rPr>
            </w:pPr>
            <w:r>
              <w:t>9.153</w:t>
            </w:r>
          </w:p>
        </w:tc>
        <w:tc>
          <w:tcPr>
            <w:tcW w:w="1012" w:type="pct"/>
            <w:tcBorders>
              <w:top w:val="single" w:sz="4" w:space="0" w:color="auto"/>
              <w:left w:val="nil"/>
              <w:bottom w:val="single" w:sz="4" w:space="0" w:color="auto"/>
              <w:right w:val="single" w:sz="4" w:space="0" w:color="auto"/>
            </w:tcBorders>
            <w:noWrap/>
            <w:vAlign w:val="center"/>
          </w:tcPr>
          <w:p w14:paraId="3B3F51C8"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72361DBA"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6F36199" w14:textId="77777777" w:rsidR="00115458" w:rsidRPr="00F4606C" w:rsidRDefault="00115458" w:rsidP="00F4606C">
            <w:pPr>
              <w:spacing w:after="0" w:line="240" w:lineRule="auto"/>
              <w:rPr>
                <w:rFonts w:cs="Arial"/>
              </w:rPr>
            </w:pPr>
            <w:r w:rsidRPr="00F4606C">
              <w:rPr>
                <w:rFonts w:cs="Arial"/>
              </w:rPr>
              <w:t xml:space="preserve">Date of original deductible deposit  </w:t>
            </w:r>
          </w:p>
        </w:tc>
        <w:tc>
          <w:tcPr>
            <w:tcW w:w="685" w:type="pct"/>
            <w:tcBorders>
              <w:top w:val="single" w:sz="4" w:space="0" w:color="auto"/>
              <w:left w:val="nil"/>
              <w:bottom w:val="single" w:sz="4" w:space="0" w:color="auto"/>
              <w:right w:val="single" w:sz="4" w:space="0" w:color="auto"/>
            </w:tcBorders>
            <w:vAlign w:val="center"/>
          </w:tcPr>
          <w:p w14:paraId="41F3DCA2" w14:textId="5DC7ABD3" w:rsidR="00115458" w:rsidRPr="00F4606C" w:rsidRDefault="004F157F" w:rsidP="00F4606C">
            <w:pPr>
              <w:spacing w:after="0" w:line="240" w:lineRule="auto"/>
              <w:jc w:val="center"/>
              <w:rPr>
                <w:rFonts w:cs="Arial"/>
              </w:rPr>
            </w:pPr>
            <w:r>
              <w:t>9.154</w:t>
            </w:r>
          </w:p>
        </w:tc>
        <w:tc>
          <w:tcPr>
            <w:tcW w:w="1012" w:type="pct"/>
            <w:tcBorders>
              <w:top w:val="single" w:sz="4" w:space="0" w:color="auto"/>
              <w:left w:val="nil"/>
              <w:bottom w:val="single" w:sz="4" w:space="0" w:color="auto"/>
              <w:right w:val="single" w:sz="4" w:space="0" w:color="auto"/>
            </w:tcBorders>
            <w:noWrap/>
            <w:vAlign w:val="center"/>
          </w:tcPr>
          <w:p w14:paraId="43641994"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5E970EAA"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11F560B" w14:textId="77777777" w:rsidR="00115458" w:rsidRPr="00F4606C" w:rsidRDefault="00115458" w:rsidP="00F4606C">
            <w:pPr>
              <w:spacing w:after="0" w:line="240" w:lineRule="auto"/>
              <w:rPr>
                <w:rFonts w:cs="Arial"/>
              </w:rPr>
            </w:pPr>
            <w:r w:rsidRPr="00F4606C">
              <w:rPr>
                <w:rFonts w:cs="Arial"/>
              </w:rPr>
              <w:t xml:space="preserve">Amount of repayment </w:t>
            </w:r>
          </w:p>
        </w:tc>
        <w:tc>
          <w:tcPr>
            <w:tcW w:w="685" w:type="pct"/>
            <w:tcBorders>
              <w:top w:val="single" w:sz="4" w:space="0" w:color="auto"/>
              <w:left w:val="nil"/>
              <w:bottom w:val="single" w:sz="4" w:space="0" w:color="auto"/>
              <w:right w:val="single" w:sz="4" w:space="0" w:color="auto"/>
            </w:tcBorders>
            <w:vAlign w:val="center"/>
          </w:tcPr>
          <w:p w14:paraId="4A34A602" w14:textId="085458CF" w:rsidR="00115458" w:rsidRPr="00F4606C" w:rsidRDefault="004F157F" w:rsidP="00F4606C">
            <w:pPr>
              <w:spacing w:after="0" w:line="240" w:lineRule="auto"/>
              <w:jc w:val="center"/>
              <w:rPr>
                <w:rFonts w:cs="Arial"/>
              </w:rPr>
            </w:pPr>
            <w:r>
              <w:t>9.155</w:t>
            </w:r>
          </w:p>
        </w:tc>
        <w:tc>
          <w:tcPr>
            <w:tcW w:w="1012" w:type="pct"/>
            <w:tcBorders>
              <w:top w:val="single" w:sz="4" w:space="0" w:color="auto"/>
              <w:left w:val="nil"/>
              <w:bottom w:val="single" w:sz="4" w:space="0" w:color="auto"/>
              <w:right w:val="single" w:sz="4" w:space="0" w:color="auto"/>
            </w:tcBorders>
            <w:noWrap/>
            <w:vAlign w:val="center"/>
          </w:tcPr>
          <w:p w14:paraId="60D1758A"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099EC108"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641A804C" w14:textId="77777777" w:rsidR="00115458" w:rsidRPr="00F4606C" w:rsidRDefault="00115458" w:rsidP="00F4606C">
            <w:pPr>
              <w:spacing w:after="0" w:line="240" w:lineRule="auto"/>
              <w:rPr>
                <w:rFonts w:cs="Arial"/>
              </w:rPr>
            </w:pPr>
            <w:r w:rsidRPr="00F4606C">
              <w:rPr>
                <w:rFonts w:cs="Arial"/>
              </w:rPr>
              <w:t>Date of repayment</w:t>
            </w:r>
          </w:p>
        </w:tc>
        <w:tc>
          <w:tcPr>
            <w:tcW w:w="685" w:type="pct"/>
            <w:tcBorders>
              <w:top w:val="single" w:sz="4" w:space="0" w:color="auto"/>
              <w:left w:val="nil"/>
              <w:bottom w:val="single" w:sz="4" w:space="0" w:color="auto"/>
              <w:right w:val="single" w:sz="4" w:space="0" w:color="auto"/>
            </w:tcBorders>
            <w:vAlign w:val="center"/>
          </w:tcPr>
          <w:p w14:paraId="67B8DD11" w14:textId="7019B6E4" w:rsidR="00115458" w:rsidRPr="00F4606C" w:rsidRDefault="004F157F" w:rsidP="00F4606C">
            <w:pPr>
              <w:spacing w:after="0" w:line="240" w:lineRule="auto"/>
              <w:jc w:val="center"/>
              <w:rPr>
                <w:rFonts w:cs="Arial"/>
              </w:rPr>
            </w:pPr>
            <w:r>
              <w:t>9.156</w:t>
            </w:r>
          </w:p>
        </w:tc>
        <w:tc>
          <w:tcPr>
            <w:tcW w:w="1012" w:type="pct"/>
            <w:tcBorders>
              <w:top w:val="single" w:sz="4" w:space="0" w:color="auto"/>
              <w:left w:val="nil"/>
              <w:bottom w:val="single" w:sz="4" w:space="0" w:color="auto"/>
              <w:right w:val="single" w:sz="4" w:space="0" w:color="auto"/>
            </w:tcBorders>
            <w:noWrap/>
            <w:vAlign w:val="center"/>
          </w:tcPr>
          <w:p w14:paraId="3A05BFE0"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5BBEB9A8"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2A5FFC6A" w14:textId="77777777" w:rsidR="00115458" w:rsidRPr="00F4606C" w:rsidRDefault="00115458" w:rsidP="00F4606C">
            <w:pPr>
              <w:spacing w:after="0" w:line="240" w:lineRule="auto"/>
              <w:rPr>
                <w:rFonts w:cs="Arial"/>
              </w:rPr>
            </w:pPr>
            <w:r w:rsidRPr="00F4606C">
              <w:rPr>
                <w:rFonts w:cs="Arial"/>
              </w:rPr>
              <w:t xml:space="preserve">Amount of transfer in </w:t>
            </w:r>
          </w:p>
        </w:tc>
        <w:tc>
          <w:tcPr>
            <w:tcW w:w="685" w:type="pct"/>
            <w:tcBorders>
              <w:top w:val="single" w:sz="4" w:space="0" w:color="auto"/>
              <w:left w:val="nil"/>
              <w:bottom w:val="single" w:sz="4" w:space="0" w:color="auto"/>
              <w:right w:val="single" w:sz="4" w:space="0" w:color="auto"/>
            </w:tcBorders>
            <w:vAlign w:val="center"/>
          </w:tcPr>
          <w:p w14:paraId="3F63444D" w14:textId="0EFA14CB" w:rsidR="00115458" w:rsidRPr="00F4606C" w:rsidRDefault="004F157F" w:rsidP="00F4606C">
            <w:pPr>
              <w:spacing w:after="0" w:line="240" w:lineRule="auto"/>
              <w:jc w:val="center"/>
              <w:rPr>
                <w:rFonts w:cs="Arial"/>
              </w:rPr>
            </w:pPr>
            <w:r>
              <w:t>9.157</w:t>
            </w:r>
          </w:p>
        </w:tc>
        <w:tc>
          <w:tcPr>
            <w:tcW w:w="1012" w:type="pct"/>
            <w:tcBorders>
              <w:top w:val="single" w:sz="4" w:space="0" w:color="auto"/>
              <w:left w:val="nil"/>
              <w:bottom w:val="single" w:sz="4" w:space="0" w:color="auto"/>
              <w:right w:val="single" w:sz="4" w:space="0" w:color="auto"/>
            </w:tcBorders>
            <w:noWrap/>
            <w:vAlign w:val="center"/>
          </w:tcPr>
          <w:p w14:paraId="5E4016FC"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1329E099"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3EE54264" w14:textId="77777777" w:rsidR="00115458" w:rsidRPr="00F4606C" w:rsidRDefault="00115458" w:rsidP="00F4606C">
            <w:pPr>
              <w:spacing w:after="0" w:line="240" w:lineRule="auto"/>
              <w:rPr>
                <w:rFonts w:cs="Arial"/>
              </w:rPr>
            </w:pPr>
            <w:r w:rsidRPr="00F4606C">
              <w:rPr>
                <w:rFonts w:cs="Arial"/>
              </w:rPr>
              <w:t xml:space="preserve">Date of transfer in </w:t>
            </w:r>
          </w:p>
        </w:tc>
        <w:tc>
          <w:tcPr>
            <w:tcW w:w="685" w:type="pct"/>
            <w:tcBorders>
              <w:top w:val="single" w:sz="4" w:space="0" w:color="auto"/>
              <w:left w:val="nil"/>
              <w:bottom w:val="single" w:sz="4" w:space="0" w:color="auto"/>
              <w:right w:val="single" w:sz="4" w:space="0" w:color="auto"/>
            </w:tcBorders>
            <w:vAlign w:val="center"/>
          </w:tcPr>
          <w:p w14:paraId="7C30C06E" w14:textId="2760B15F" w:rsidR="00115458" w:rsidRPr="00F4606C" w:rsidRDefault="004F157F" w:rsidP="00F4606C">
            <w:pPr>
              <w:spacing w:after="0" w:line="240" w:lineRule="auto"/>
              <w:jc w:val="center"/>
              <w:rPr>
                <w:rFonts w:cs="Arial"/>
              </w:rPr>
            </w:pPr>
            <w:r>
              <w:t>9.158</w:t>
            </w:r>
          </w:p>
        </w:tc>
        <w:tc>
          <w:tcPr>
            <w:tcW w:w="1012" w:type="pct"/>
            <w:tcBorders>
              <w:top w:val="single" w:sz="4" w:space="0" w:color="auto"/>
              <w:left w:val="nil"/>
              <w:bottom w:val="single" w:sz="4" w:space="0" w:color="auto"/>
              <w:right w:val="single" w:sz="4" w:space="0" w:color="auto"/>
            </w:tcBorders>
            <w:noWrap/>
            <w:vAlign w:val="center"/>
          </w:tcPr>
          <w:p w14:paraId="75532E73"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6C57FC36"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89A19EF" w14:textId="77777777" w:rsidR="00115458" w:rsidRPr="00F4606C" w:rsidRDefault="00115458" w:rsidP="00F4606C">
            <w:pPr>
              <w:spacing w:after="0" w:line="240" w:lineRule="auto"/>
              <w:rPr>
                <w:rFonts w:cs="Arial"/>
              </w:rPr>
            </w:pPr>
            <w:r w:rsidRPr="00F4606C">
              <w:rPr>
                <w:rFonts w:cs="Arial"/>
              </w:rPr>
              <w:t xml:space="preserve">Transferor BSB number </w:t>
            </w:r>
          </w:p>
        </w:tc>
        <w:tc>
          <w:tcPr>
            <w:tcW w:w="685" w:type="pct"/>
            <w:tcBorders>
              <w:top w:val="single" w:sz="4" w:space="0" w:color="auto"/>
              <w:left w:val="nil"/>
              <w:bottom w:val="single" w:sz="4" w:space="0" w:color="auto"/>
              <w:right w:val="single" w:sz="4" w:space="0" w:color="auto"/>
            </w:tcBorders>
            <w:vAlign w:val="center"/>
          </w:tcPr>
          <w:p w14:paraId="5AE1C32F" w14:textId="36D0AC1C" w:rsidR="00115458" w:rsidRPr="00F4606C" w:rsidRDefault="00AF37EF" w:rsidP="00F4606C">
            <w:pPr>
              <w:spacing w:after="0" w:line="240" w:lineRule="auto"/>
              <w:jc w:val="center"/>
              <w:rPr>
                <w:rFonts w:cs="Arial"/>
              </w:rPr>
            </w:pPr>
            <w:r>
              <w:t>9.15</w:t>
            </w:r>
            <w:r w:rsidR="00F32194">
              <w:t>9</w:t>
            </w:r>
          </w:p>
        </w:tc>
        <w:tc>
          <w:tcPr>
            <w:tcW w:w="1012" w:type="pct"/>
            <w:tcBorders>
              <w:top w:val="single" w:sz="4" w:space="0" w:color="auto"/>
              <w:left w:val="nil"/>
              <w:bottom w:val="single" w:sz="4" w:space="0" w:color="auto"/>
              <w:right w:val="single" w:sz="4" w:space="0" w:color="auto"/>
            </w:tcBorders>
            <w:noWrap/>
            <w:vAlign w:val="center"/>
          </w:tcPr>
          <w:p w14:paraId="2209C85A"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0A009100"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06738374" w14:textId="77777777" w:rsidR="00115458" w:rsidRPr="00F4606C" w:rsidRDefault="00115458" w:rsidP="00F4606C">
            <w:pPr>
              <w:spacing w:after="0" w:line="240" w:lineRule="auto"/>
              <w:rPr>
                <w:rFonts w:cs="Arial"/>
              </w:rPr>
            </w:pPr>
            <w:r w:rsidRPr="00F4606C">
              <w:rPr>
                <w:rFonts w:cs="Arial"/>
              </w:rPr>
              <w:t xml:space="preserve">Amount of transfer out </w:t>
            </w:r>
          </w:p>
        </w:tc>
        <w:tc>
          <w:tcPr>
            <w:tcW w:w="685" w:type="pct"/>
            <w:tcBorders>
              <w:top w:val="single" w:sz="4" w:space="0" w:color="auto"/>
              <w:left w:val="nil"/>
              <w:bottom w:val="single" w:sz="4" w:space="0" w:color="auto"/>
              <w:right w:val="single" w:sz="4" w:space="0" w:color="auto"/>
            </w:tcBorders>
            <w:vAlign w:val="center"/>
          </w:tcPr>
          <w:p w14:paraId="1886B8E8" w14:textId="4FA229E6" w:rsidR="00115458" w:rsidRPr="00F4606C" w:rsidRDefault="00F32194" w:rsidP="00F4606C">
            <w:pPr>
              <w:spacing w:after="0" w:line="240" w:lineRule="auto"/>
              <w:jc w:val="center"/>
              <w:rPr>
                <w:rFonts w:cs="Arial"/>
              </w:rPr>
            </w:pPr>
            <w:r>
              <w:t>9.160</w:t>
            </w:r>
          </w:p>
        </w:tc>
        <w:tc>
          <w:tcPr>
            <w:tcW w:w="1012" w:type="pct"/>
            <w:tcBorders>
              <w:top w:val="single" w:sz="4" w:space="0" w:color="auto"/>
              <w:left w:val="nil"/>
              <w:bottom w:val="single" w:sz="4" w:space="0" w:color="auto"/>
              <w:right w:val="single" w:sz="4" w:space="0" w:color="auto"/>
            </w:tcBorders>
            <w:noWrap/>
            <w:vAlign w:val="center"/>
          </w:tcPr>
          <w:p w14:paraId="037065DD"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6C9B5D01"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52C76BF0" w14:textId="77777777" w:rsidR="00115458" w:rsidRPr="00F4606C" w:rsidRDefault="00115458" w:rsidP="00F4606C">
            <w:pPr>
              <w:spacing w:after="0" w:line="240" w:lineRule="auto"/>
              <w:rPr>
                <w:rFonts w:cs="Arial"/>
              </w:rPr>
            </w:pPr>
            <w:r w:rsidRPr="00F4606C">
              <w:rPr>
                <w:rFonts w:cs="Arial"/>
              </w:rPr>
              <w:t xml:space="preserve">Date of transfer out </w:t>
            </w:r>
          </w:p>
        </w:tc>
        <w:tc>
          <w:tcPr>
            <w:tcW w:w="685" w:type="pct"/>
            <w:tcBorders>
              <w:top w:val="single" w:sz="4" w:space="0" w:color="auto"/>
              <w:left w:val="nil"/>
              <w:bottom w:val="single" w:sz="4" w:space="0" w:color="auto"/>
              <w:right w:val="single" w:sz="4" w:space="0" w:color="auto"/>
            </w:tcBorders>
            <w:vAlign w:val="center"/>
          </w:tcPr>
          <w:p w14:paraId="4784C635" w14:textId="24870172" w:rsidR="00115458" w:rsidRPr="00F4606C" w:rsidRDefault="00F32194" w:rsidP="00F4606C">
            <w:pPr>
              <w:spacing w:after="0" w:line="240" w:lineRule="auto"/>
              <w:jc w:val="center"/>
              <w:rPr>
                <w:rFonts w:cs="Arial"/>
              </w:rPr>
            </w:pPr>
            <w:r>
              <w:t>9.161</w:t>
            </w:r>
          </w:p>
        </w:tc>
        <w:tc>
          <w:tcPr>
            <w:tcW w:w="1012" w:type="pct"/>
            <w:tcBorders>
              <w:top w:val="single" w:sz="4" w:space="0" w:color="auto"/>
              <w:left w:val="nil"/>
              <w:bottom w:val="single" w:sz="4" w:space="0" w:color="auto"/>
              <w:right w:val="single" w:sz="4" w:space="0" w:color="auto"/>
            </w:tcBorders>
            <w:noWrap/>
            <w:vAlign w:val="center"/>
          </w:tcPr>
          <w:p w14:paraId="4BB4A7EF"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4E6F16A6"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F4BDFC2" w14:textId="77777777" w:rsidR="00115458" w:rsidRPr="00F4606C" w:rsidRDefault="00115458" w:rsidP="00F4606C">
            <w:pPr>
              <w:spacing w:after="0" w:line="240" w:lineRule="auto"/>
              <w:rPr>
                <w:rFonts w:cs="Arial"/>
              </w:rPr>
            </w:pPr>
            <w:r w:rsidRPr="00F4606C">
              <w:rPr>
                <w:rFonts w:cs="Arial"/>
              </w:rPr>
              <w:t xml:space="preserve">Transferee BSB number </w:t>
            </w:r>
          </w:p>
        </w:tc>
        <w:tc>
          <w:tcPr>
            <w:tcW w:w="685" w:type="pct"/>
            <w:tcBorders>
              <w:top w:val="single" w:sz="4" w:space="0" w:color="auto"/>
              <w:left w:val="nil"/>
              <w:bottom w:val="single" w:sz="4" w:space="0" w:color="auto"/>
              <w:right w:val="single" w:sz="4" w:space="0" w:color="auto"/>
            </w:tcBorders>
            <w:vAlign w:val="center"/>
          </w:tcPr>
          <w:p w14:paraId="3CD3DAA3" w14:textId="4E898588" w:rsidR="00115458" w:rsidRPr="00F4606C" w:rsidRDefault="00F32194" w:rsidP="00F4606C">
            <w:pPr>
              <w:spacing w:after="0" w:line="240" w:lineRule="auto"/>
              <w:jc w:val="center"/>
              <w:rPr>
                <w:rFonts w:cs="Arial"/>
              </w:rPr>
            </w:pPr>
            <w:r>
              <w:t>9.162</w:t>
            </w:r>
          </w:p>
        </w:tc>
        <w:tc>
          <w:tcPr>
            <w:tcW w:w="1012" w:type="pct"/>
            <w:tcBorders>
              <w:top w:val="single" w:sz="4" w:space="0" w:color="auto"/>
              <w:left w:val="nil"/>
              <w:bottom w:val="single" w:sz="4" w:space="0" w:color="auto"/>
              <w:right w:val="single" w:sz="4" w:space="0" w:color="auto"/>
            </w:tcBorders>
            <w:noWrap/>
            <w:vAlign w:val="center"/>
          </w:tcPr>
          <w:p w14:paraId="26776BCB"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7DAD0C86"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16C4B839" w14:textId="77777777" w:rsidR="00115458" w:rsidRPr="00F4606C" w:rsidRDefault="00115458" w:rsidP="00F4606C">
            <w:pPr>
              <w:spacing w:after="0" w:line="240" w:lineRule="auto"/>
              <w:rPr>
                <w:rFonts w:cs="Arial"/>
              </w:rPr>
            </w:pPr>
            <w:r w:rsidRPr="00F4606C">
              <w:rPr>
                <w:rFonts w:cs="Arial"/>
              </w:rPr>
              <w:t xml:space="preserve">TFN withholding tax deducted from repayments in the financial year </w:t>
            </w:r>
          </w:p>
        </w:tc>
        <w:tc>
          <w:tcPr>
            <w:tcW w:w="685" w:type="pct"/>
            <w:tcBorders>
              <w:top w:val="single" w:sz="4" w:space="0" w:color="auto"/>
              <w:left w:val="nil"/>
              <w:bottom w:val="single" w:sz="4" w:space="0" w:color="auto"/>
              <w:right w:val="single" w:sz="4" w:space="0" w:color="auto"/>
            </w:tcBorders>
            <w:vAlign w:val="center"/>
          </w:tcPr>
          <w:p w14:paraId="13DC14FD" w14:textId="1E80B55A" w:rsidR="00115458" w:rsidRPr="00F4606C" w:rsidRDefault="00F32194" w:rsidP="00F4606C">
            <w:pPr>
              <w:spacing w:after="0" w:line="240" w:lineRule="auto"/>
              <w:jc w:val="center"/>
              <w:rPr>
                <w:rFonts w:cs="Arial"/>
              </w:rPr>
            </w:pPr>
            <w:r>
              <w:rPr>
                <w:rFonts w:cs="Arial"/>
              </w:rPr>
              <w:t>9.1</w:t>
            </w:r>
            <w:r w:rsidR="003D577D">
              <w:rPr>
                <w:rFonts w:cs="Arial"/>
              </w:rPr>
              <w:t>63</w:t>
            </w:r>
          </w:p>
        </w:tc>
        <w:tc>
          <w:tcPr>
            <w:tcW w:w="1012" w:type="pct"/>
            <w:tcBorders>
              <w:top w:val="single" w:sz="4" w:space="0" w:color="auto"/>
              <w:left w:val="nil"/>
              <w:bottom w:val="single" w:sz="4" w:space="0" w:color="auto"/>
              <w:right w:val="single" w:sz="4" w:space="0" w:color="auto"/>
            </w:tcBorders>
            <w:noWrap/>
            <w:vAlign w:val="center"/>
          </w:tcPr>
          <w:p w14:paraId="7D1DDCD0"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290BFA54"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72C65F59" w14:textId="77777777" w:rsidR="00115458" w:rsidRPr="00F4606C" w:rsidRDefault="00115458" w:rsidP="00F4606C">
            <w:pPr>
              <w:spacing w:after="0" w:line="240" w:lineRule="auto"/>
              <w:rPr>
                <w:rFonts w:cs="Arial"/>
              </w:rPr>
            </w:pPr>
            <w:r w:rsidRPr="00F4606C">
              <w:rPr>
                <w:rFonts w:cs="Arial"/>
              </w:rPr>
              <w:t xml:space="preserve">Amount of closing balance </w:t>
            </w:r>
          </w:p>
        </w:tc>
        <w:tc>
          <w:tcPr>
            <w:tcW w:w="685" w:type="pct"/>
            <w:tcBorders>
              <w:top w:val="single" w:sz="4" w:space="0" w:color="auto"/>
              <w:left w:val="nil"/>
              <w:bottom w:val="single" w:sz="4" w:space="0" w:color="auto"/>
              <w:right w:val="single" w:sz="4" w:space="0" w:color="auto"/>
            </w:tcBorders>
            <w:vAlign w:val="center"/>
          </w:tcPr>
          <w:p w14:paraId="3F44BE1C" w14:textId="16EE560D" w:rsidR="00115458" w:rsidRPr="00F4606C" w:rsidRDefault="003D577D" w:rsidP="00F4606C">
            <w:pPr>
              <w:spacing w:after="0" w:line="240" w:lineRule="auto"/>
              <w:jc w:val="center"/>
              <w:rPr>
                <w:rFonts w:cs="Arial"/>
              </w:rPr>
            </w:pPr>
            <w:r>
              <w:t>9.164</w:t>
            </w:r>
          </w:p>
        </w:tc>
        <w:tc>
          <w:tcPr>
            <w:tcW w:w="1012" w:type="pct"/>
            <w:tcBorders>
              <w:top w:val="single" w:sz="4" w:space="0" w:color="auto"/>
              <w:left w:val="nil"/>
              <w:bottom w:val="single" w:sz="4" w:space="0" w:color="auto"/>
              <w:right w:val="single" w:sz="4" w:space="0" w:color="auto"/>
            </w:tcBorders>
            <w:noWrap/>
            <w:vAlign w:val="center"/>
          </w:tcPr>
          <w:p w14:paraId="4B3E1DD9" w14:textId="77777777" w:rsidR="00115458" w:rsidRPr="00F4606C" w:rsidRDefault="00115458" w:rsidP="00F4606C">
            <w:pPr>
              <w:spacing w:after="0" w:line="240" w:lineRule="auto"/>
              <w:jc w:val="center"/>
              <w:rPr>
                <w:rFonts w:cs="Arial"/>
              </w:rPr>
            </w:pPr>
            <w:r w:rsidRPr="00F4606C">
              <w:rPr>
                <w:rFonts w:cs="Arial"/>
              </w:rPr>
              <w:t>na</w:t>
            </w:r>
          </w:p>
        </w:tc>
      </w:tr>
      <w:tr w:rsidR="00115458" w:rsidRPr="00D42995" w14:paraId="4B342100" w14:textId="77777777" w:rsidTr="00EC0A5A">
        <w:trPr>
          <w:trHeight w:val="255"/>
        </w:trPr>
        <w:tc>
          <w:tcPr>
            <w:tcW w:w="3303" w:type="pct"/>
            <w:tcBorders>
              <w:top w:val="single" w:sz="4" w:space="0" w:color="auto"/>
              <w:left w:val="single" w:sz="4" w:space="0" w:color="auto"/>
              <w:bottom w:val="single" w:sz="4" w:space="0" w:color="auto"/>
              <w:right w:val="single" w:sz="4" w:space="0" w:color="auto"/>
            </w:tcBorders>
            <w:vAlign w:val="center"/>
          </w:tcPr>
          <w:p w14:paraId="4B8F42F4" w14:textId="77777777" w:rsidR="00115458" w:rsidRPr="00F4606C" w:rsidRDefault="00115458" w:rsidP="00F4606C">
            <w:pPr>
              <w:spacing w:after="0" w:line="240" w:lineRule="auto"/>
              <w:rPr>
                <w:rFonts w:cs="Arial"/>
              </w:rPr>
            </w:pPr>
            <w:r w:rsidRPr="00F4606C">
              <w:rPr>
                <w:rFonts w:cs="Arial"/>
              </w:rPr>
              <w:t xml:space="preserve">Interest offset account </w:t>
            </w:r>
          </w:p>
        </w:tc>
        <w:tc>
          <w:tcPr>
            <w:tcW w:w="685" w:type="pct"/>
            <w:tcBorders>
              <w:top w:val="single" w:sz="4" w:space="0" w:color="auto"/>
              <w:left w:val="nil"/>
              <w:bottom w:val="single" w:sz="4" w:space="0" w:color="auto"/>
              <w:right w:val="single" w:sz="4" w:space="0" w:color="auto"/>
            </w:tcBorders>
            <w:vAlign w:val="center"/>
          </w:tcPr>
          <w:p w14:paraId="52086DB2" w14:textId="1D3DEBDC" w:rsidR="00115458" w:rsidRPr="00F4606C" w:rsidRDefault="003D577D" w:rsidP="00F4606C">
            <w:pPr>
              <w:spacing w:after="0" w:line="240" w:lineRule="auto"/>
              <w:jc w:val="center"/>
              <w:rPr>
                <w:rFonts w:cs="Arial"/>
              </w:rPr>
            </w:pPr>
            <w:r>
              <w:rPr>
                <w:rFonts w:cs="Arial"/>
              </w:rPr>
              <w:t>9.165</w:t>
            </w:r>
          </w:p>
        </w:tc>
        <w:tc>
          <w:tcPr>
            <w:tcW w:w="1012" w:type="pct"/>
            <w:tcBorders>
              <w:top w:val="single" w:sz="4" w:space="0" w:color="auto"/>
              <w:left w:val="nil"/>
              <w:bottom w:val="single" w:sz="4" w:space="0" w:color="auto"/>
              <w:right w:val="single" w:sz="4" w:space="0" w:color="auto"/>
            </w:tcBorders>
            <w:noWrap/>
            <w:vAlign w:val="center"/>
          </w:tcPr>
          <w:p w14:paraId="28652473" w14:textId="77777777" w:rsidR="00115458" w:rsidRPr="00F4606C" w:rsidRDefault="00115458" w:rsidP="00F4606C">
            <w:pPr>
              <w:spacing w:after="0" w:line="240" w:lineRule="auto"/>
              <w:jc w:val="center"/>
              <w:rPr>
                <w:rFonts w:cs="Arial"/>
              </w:rPr>
            </w:pPr>
            <w:r w:rsidRPr="00F4606C">
              <w:rPr>
                <w:rFonts w:cs="Arial"/>
              </w:rPr>
              <w:t>na</w:t>
            </w:r>
          </w:p>
        </w:tc>
      </w:tr>
    </w:tbl>
    <w:p w14:paraId="29E2D2F2" w14:textId="77777777" w:rsidR="00115458" w:rsidRPr="00B35C0A" w:rsidRDefault="00115458" w:rsidP="00115458">
      <w:pPr>
        <w:rPr>
          <w:rFonts w:cs="Arial"/>
        </w:rPr>
      </w:pPr>
    </w:p>
    <w:p w14:paraId="41FA1DAD" w14:textId="77777777" w:rsidR="00CF51E5" w:rsidRDefault="00CF51E5">
      <w:pPr>
        <w:rPr>
          <w:rFonts w:asciiTheme="majorHAnsi" w:eastAsiaTheme="majorEastAsia" w:hAnsiTheme="majorHAnsi" w:cstheme="majorBidi"/>
          <w:b/>
          <w:color w:val="3844CA" w:themeColor="accent1"/>
          <w:spacing w:val="-4"/>
          <w:sz w:val="32"/>
          <w:szCs w:val="26"/>
        </w:rPr>
      </w:pPr>
      <w:bookmarkStart w:id="2017" w:name="AppendixB"/>
      <w:bookmarkStart w:id="2018" w:name="_Toc5193048"/>
      <w:r>
        <w:br w:type="page"/>
      </w:r>
    </w:p>
    <w:p w14:paraId="7DC34E80" w14:textId="145CAA33" w:rsidR="00115458" w:rsidRDefault="00115458" w:rsidP="00CF51E5">
      <w:pPr>
        <w:pStyle w:val="Heading2"/>
        <w:spacing w:before="240" w:line="240" w:lineRule="auto"/>
      </w:pPr>
      <w:bookmarkStart w:id="2019" w:name="_Toc232191394"/>
      <w:r w:rsidRPr="00B35C0A">
        <w:t>Appendix B</w:t>
      </w:r>
      <w:r>
        <w:t xml:space="preserve"> –</w:t>
      </w:r>
      <w:r w:rsidRPr="00B35C0A">
        <w:t xml:space="preserve"> </w:t>
      </w:r>
      <w:bookmarkEnd w:id="2017"/>
      <w:r w:rsidRPr="00B35C0A">
        <w:t>AIIR/ITR comparison</w:t>
      </w:r>
      <w:bookmarkEnd w:id="2018"/>
      <w:bookmarkEnd w:id="2019"/>
    </w:p>
    <w:p w14:paraId="48A7745E" w14:textId="5D4FA5A8" w:rsidR="00115458" w:rsidRPr="00944B5E" w:rsidRDefault="00115458" w:rsidP="00F4606C">
      <w:pPr>
        <w:spacing w:after="0" w:line="240" w:lineRule="auto"/>
        <w:rPr>
          <w:b/>
          <w:bCs/>
        </w:rPr>
      </w:pPr>
      <w:r w:rsidRPr="00944B5E">
        <w:rPr>
          <w:b/>
          <w:bCs/>
        </w:rPr>
        <w:t xml:space="preserve">This information is based on the </w:t>
      </w:r>
      <w:r w:rsidR="00B525B0">
        <w:rPr>
          <w:b/>
          <w:bCs/>
        </w:rPr>
        <w:t>2026</w:t>
      </w:r>
      <w:r w:rsidR="00B525B0" w:rsidRPr="00944B5E">
        <w:rPr>
          <w:b/>
          <w:bCs/>
        </w:rPr>
        <w:t xml:space="preserve"> </w:t>
      </w:r>
      <w:r w:rsidRPr="00944B5E">
        <w:rPr>
          <w:b/>
          <w:bCs/>
        </w:rPr>
        <w:t>Individual Tax Return.</w:t>
      </w:r>
    </w:p>
    <w:p w14:paraId="5B281B54" w14:textId="77777777" w:rsidR="00115458" w:rsidRPr="00F4606C" w:rsidRDefault="00115458" w:rsidP="00944B5E">
      <w:pPr>
        <w:pStyle w:val="Maintext"/>
        <w:rPr>
          <w:rFonts w:asciiTheme="minorHAnsi" w:hAnsiTheme="minorHAnsi"/>
          <w:sz w:val="20"/>
          <w:szCs w:val="20"/>
        </w:rPr>
      </w:pPr>
    </w:p>
    <w:p w14:paraId="2CAD55E9" w14:textId="55F1C5A1" w:rsidR="00115458" w:rsidRPr="00F4606C" w:rsidRDefault="00115458" w:rsidP="00944B5E">
      <w:pPr>
        <w:pStyle w:val="Maintext"/>
        <w:pBdr>
          <w:top w:val="single" w:sz="4" w:space="1" w:color="F9E04C"/>
          <w:left w:val="single" w:sz="4" w:space="4" w:color="F9E04C"/>
          <w:bottom w:val="single" w:sz="4" w:space="1" w:color="F9E04C"/>
          <w:right w:val="single" w:sz="4" w:space="4" w:color="F9E04C"/>
        </w:pBdr>
        <w:rPr>
          <w:rFonts w:asciiTheme="minorHAnsi" w:hAnsiTheme="minorHAnsi" w:cs="Arial"/>
          <w:sz w:val="20"/>
          <w:szCs w:val="20"/>
        </w:rPr>
      </w:pPr>
      <w:r w:rsidRPr="00F4606C">
        <w:rPr>
          <w:rFonts w:asciiTheme="minorHAnsi" w:hAnsiTheme="minorHAnsi" w:cs="Arial"/>
          <w:sz w:val="20"/>
          <w:szCs w:val="20"/>
        </w:rPr>
        <w:t>Pre-fill, in the following table, refers to the ITR</w:t>
      </w:r>
      <w:r w:rsidR="00CF51E5">
        <w:rPr>
          <w:rFonts w:asciiTheme="minorHAnsi" w:hAnsiTheme="minorHAnsi" w:cs="Arial"/>
          <w:sz w:val="20"/>
          <w:szCs w:val="20"/>
        </w:rPr>
        <w:t xml:space="preserve"> (myTax)</w:t>
      </w:r>
      <w:r w:rsidRPr="00F4606C">
        <w:rPr>
          <w:rFonts w:asciiTheme="minorHAnsi" w:hAnsiTheme="minorHAnsi" w:cs="Arial"/>
          <w:sz w:val="20"/>
          <w:szCs w:val="20"/>
        </w:rPr>
        <w:t xml:space="preserve"> and </w:t>
      </w:r>
      <w:r w:rsidR="00CF51E5">
        <w:rPr>
          <w:rFonts w:asciiTheme="minorHAnsi" w:hAnsiTheme="minorHAnsi" w:cs="Arial"/>
          <w:sz w:val="20"/>
          <w:szCs w:val="20"/>
        </w:rPr>
        <w:t xml:space="preserve">prefill available for tax agents </w:t>
      </w:r>
      <w:r w:rsidRPr="00F4606C">
        <w:rPr>
          <w:rFonts w:asciiTheme="minorHAnsi" w:hAnsiTheme="minorHAnsi" w:cs="Arial"/>
          <w:sz w:val="20"/>
          <w:szCs w:val="20"/>
        </w:rPr>
        <w:t xml:space="preserve">and is subject to certain conditions. This table does not show all the information that is pre-filled, only those relating to the AIIR. For more information on pre-filling go to </w:t>
      </w:r>
      <w:hyperlink r:id="rId49" w:history="1">
        <w:r w:rsidRPr="00F4606C">
          <w:rPr>
            <w:rStyle w:val="Hyperlink"/>
            <w:rFonts w:asciiTheme="minorHAnsi" w:hAnsiTheme="minorHAnsi" w:cs="Arial"/>
            <w:szCs w:val="20"/>
          </w:rPr>
          <w:t>ato.gov.au</w:t>
        </w:r>
      </w:hyperlink>
    </w:p>
    <w:p w14:paraId="10C590CE" w14:textId="77777777" w:rsidR="00115458" w:rsidRPr="00F4606C" w:rsidRDefault="00115458" w:rsidP="00944B5E">
      <w:pPr>
        <w:pStyle w:val="Maintext"/>
        <w:rPr>
          <w:rFonts w:asciiTheme="minorHAnsi" w:hAnsiTheme="minorHAnsi" w:cs="Arial"/>
          <w:sz w:val="20"/>
          <w:szCs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901"/>
        <w:gridCol w:w="1793"/>
        <w:gridCol w:w="1134"/>
        <w:gridCol w:w="709"/>
        <w:gridCol w:w="850"/>
        <w:gridCol w:w="3969"/>
      </w:tblGrid>
      <w:tr w:rsidR="00115458" w:rsidRPr="00944B5E" w14:paraId="3F5D1B17" w14:textId="77777777" w:rsidTr="000C1365">
        <w:trPr>
          <w:cantSplit/>
          <w:trHeight w:val="272"/>
          <w:tblHeader/>
        </w:trPr>
        <w:tc>
          <w:tcPr>
            <w:tcW w:w="3828" w:type="dxa"/>
            <w:gridSpan w:val="3"/>
            <w:shd w:val="clear" w:color="auto" w:fill="878EDF" w:themeFill="accent1" w:themeFillTint="99"/>
            <w:vAlign w:val="center"/>
          </w:tcPr>
          <w:p w14:paraId="0650FB6B" w14:textId="433765D5" w:rsidR="00115458" w:rsidRPr="00F4606C" w:rsidRDefault="00115458" w:rsidP="00F4606C">
            <w:pPr>
              <w:spacing w:after="0" w:line="240" w:lineRule="auto"/>
              <w:jc w:val="center"/>
              <w:rPr>
                <w:rFonts w:cs="Arial"/>
              </w:rPr>
            </w:pPr>
            <w:r w:rsidRPr="00F4606C">
              <w:rPr>
                <w:rFonts w:cs="Arial"/>
                <w:b/>
              </w:rPr>
              <w:t xml:space="preserve">AIIR </w:t>
            </w:r>
            <w:r w:rsidR="00B525B0" w:rsidRPr="00F4606C">
              <w:rPr>
                <w:rFonts w:cs="Arial"/>
                <w:b/>
              </w:rPr>
              <w:t>v</w:t>
            </w:r>
            <w:r w:rsidR="00B525B0">
              <w:rPr>
                <w:rFonts w:cs="Arial"/>
                <w:b/>
              </w:rPr>
              <w:t>14</w:t>
            </w:r>
            <w:r w:rsidR="00B525B0" w:rsidRPr="00F4606C">
              <w:rPr>
                <w:rFonts w:cs="Arial"/>
                <w:b/>
              </w:rPr>
              <w:t xml:space="preserve"> </w:t>
            </w:r>
            <w:r w:rsidR="001A06F2">
              <w:rPr>
                <w:rFonts w:cs="Arial"/>
                <w:b/>
              </w:rPr>
              <w:t>2026</w:t>
            </w:r>
          </w:p>
        </w:tc>
        <w:tc>
          <w:tcPr>
            <w:tcW w:w="709" w:type="dxa"/>
            <w:shd w:val="clear" w:color="auto" w:fill="878EDF" w:themeFill="accent1" w:themeFillTint="99"/>
          </w:tcPr>
          <w:p w14:paraId="6BC9DD68" w14:textId="77777777" w:rsidR="00115458" w:rsidRPr="00F4606C" w:rsidRDefault="00115458" w:rsidP="00F4606C">
            <w:pPr>
              <w:spacing w:after="0" w:line="240" w:lineRule="auto"/>
              <w:jc w:val="center"/>
              <w:rPr>
                <w:rFonts w:cs="Arial"/>
                <w:b/>
              </w:rPr>
            </w:pPr>
            <w:r w:rsidRPr="00F4606C">
              <w:rPr>
                <w:rFonts w:cs="Arial"/>
                <w:b/>
              </w:rPr>
              <w:t>Pre-filled</w:t>
            </w:r>
          </w:p>
        </w:tc>
        <w:tc>
          <w:tcPr>
            <w:tcW w:w="4819" w:type="dxa"/>
            <w:gridSpan w:val="2"/>
            <w:shd w:val="clear" w:color="auto" w:fill="878EDF" w:themeFill="accent1" w:themeFillTint="99"/>
            <w:vAlign w:val="center"/>
          </w:tcPr>
          <w:p w14:paraId="3A3FDF0F" w14:textId="6DA82015" w:rsidR="00115458" w:rsidRPr="00F4606C" w:rsidRDefault="00B525B0" w:rsidP="00F4606C">
            <w:pPr>
              <w:spacing w:after="0" w:line="240" w:lineRule="auto"/>
              <w:jc w:val="center"/>
              <w:rPr>
                <w:rFonts w:cs="Arial"/>
              </w:rPr>
            </w:pPr>
            <w:r>
              <w:rPr>
                <w:rFonts w:cs="Arial"/>
                <w:b/>
              </w:rPr>
              <w:t>2026</w:t>
            </w:r>
            <w:r w:rsidRPr="00F4606C">
              <w:rPr>
                <w:rFonts w:cs="Arial"/>
                <w:b/>
              </w:rPr>
              <w:t xml:space="preserve"> </w:t>
            </w:r>
            <w:r w:rsidR="00115458" w:rsidRPr="00F4606C">
              <w:rPr>
                <w:rFonts w:cs="Arial"/>
                <w:b/>
              </w:rPr>
              <w:t>ITR</w:t>
            </w:r>
          </w:p>
        </w:tc>
      </w:tr>
      <w:tr w:rsidR="00115458" w:rsidRPr="00944B5E" w14:paraId="2040AE48" w14:textId="77777777" w:rsidTr="000C1365">
        <w:trPr>
          <w:cantSplit/>
          <w:trHeight w:val="272"/>
          <w:tblHeader/>
        </w:trPr>
        <w:tc>
          <w:tcPr>
            <w:tcW w:w="901" w:type="dxa"/>
            <w:shd w:val="clear" w:color="auto" w:fill="878EDF" w:themeFill="accent1" w:themeFillTint="99"/>
            <w:vAlign w:val="center"/>
          </w:tcPr>
          <w:p w14:paraId="71E5169F" w14:textId="77777777" w:rsidR="00115458" w:rsidRPr="00F4606C" w:rsidRDefault="00115458" w:rsidP="00F4606C">
            <w:pPr>
              <w:spacing w:after="0" w:line="240" w:lineRule="auto"/>
              <w:jc w:val="center"/>
              <w:rPr>
                <w:rFonts w:cs="Arial"/>
              </w:rPr>
            </w:pPr>
            <w:r w:rsidRPr="00F4606C">
              <w:rPr>
                <w:rFonts w:cs="Arial"/>
                <w:b/>
              </w:rPr>
              <w:t>Ref No</w:t>
            </w:r>
          </w:p>
        </w:tc>
        <w:tc>
          <w:tcPr>
            <w:tcW w:w="1793" w:type="dxa"/>
            <w:shd w:val="clear" w:color="auto" w:fill="878EDF" w:themeFill="accent1" w:themeFillTint="99"/>
            <w:vAlign w:val="center"/>
          </w:tcPr>
          <w:p w14:paraId="7CA1C6B9" w14:textId="77777777" w:rsidR="00115458" w:rsidRPr="00F4606C" w:rsidRDefault="00115458" w:rsidP="00F4606C">
            <w:pPr>
              <w:spacing w:after="0" w:line="240" w:lineRule="auto"/>
              <w:jc w:val="center"/>
              <w:rPr>
                <w:rFonts w:cs="Arial"/>
              </w:rPr>
            </w:pPr>
            <w:r w:rsidRPr="00F4606C">
              <w:rPr>
                <w:rFonts w:cs="Arial"/>
                <w:b/>
              </w:rPr>
              <w:t>Field name</w:t>
            </w:r>
          </w:p>
        </w:tc>
        <w:tc>
          <w:tcPr>
            <w:tcW w:w="1134" w:type="dxa"/>
            <w:shd w:val="clear" w:color="auto" w:fill="878EDF" w:themeFill="accent1" w:themeFillTint="99"/>
            <w:vAlign w:val="center"/>
          </w:tcPr>
          <w:p w14:paraId="655195E0" w14:textId="77777777" w:rsidR="00115458" w:rsidRPr="00F4606C" w:rsidRDefault="00115458" w:rsidP="00F4606C">
            <w:pPr>
              <w:spacing w:after="0" w:line="240" w:lineRule="auto"/>
              <w:jc w:val="center"/>
              <w:rPr>
                <w:rFonts w:cs="Arial"/>
              </w:rPr>
            </w:pPr>
            <w:r w:rsidRPr="00F4606C">
              <w:rPr>
                <w:rFonts w:cs="Arial"/>
                <w:b/>
              </w:rPr>
              <w:t>Payment type</w:t>
            </w:r>
          </w:p>
        </w:tc>
        <w:tc>
          <w:tcPr>
            <w:tcW w:w="709" w:type="dxa"/>
            <w:shd w:val="clear" w:color="auto" w:fill="878EDF" w:themeFill="accent1" w:themeFillTint="99"/>
          </w:tcPr>
          <w:p w14:paraId="05EF9728" w14:textId="77777777" w:rsidR="00115458" w:rsidRPr="00F4606C" w:rsidRDefault="00115458" w:rsidP="00F4606C">
            <w:pPr>
              <w:spacing w:after="0" w:line="240" w:lineRule="auto"/>
              <w:jc w:val="center"/>
              <w:rPr>
                <w:rFonts w:cs="Arial"/>
                <w:b/>
              </w:rPr>
            </w:pPr>
            <w:r w:rsidRPr="00F4606C">
              <w:rPr>
                <w:rFonts w:cs="Arial"/>
                <w:b/>
              </w:rPr>
              <w:t>Y/N</w:t>
            </w:r>
          </w:p>
        </w:tc>
        <w:tc>
          <w:tcPr>
            <w:tcW w:w="850" w:type="dxa"/>
            <w:shd w:val="clear" w:color="auto" w:fill="878EDF" w:themeFill="accent1" w:themeFillTint="99"/>
            <w:vAlign w:val="center"/>
          </w:tcPr>
          <w:p w14:paraId="538698C5" w14:textId="77777777" w:rsidR="00115458" w:rsidRPr="00F4606C" w:rsidRDefault="00115458" w:rsidP="00F4606C">
            <w:pPr>
              <w:spacing w:after="0" w:line="240" w:lineRule="auto"/>
              <w:jc w:val="center"/>
              <w:rPr>
                <w:rFonts w:cs="Arial"/>
              </w:rPr>
            </w:pPr>
            <w:r w:rsidRPr="00F4606C">
              <w:rPr>
                <w:rFonts w:cs="Arial"/>
                <w:b/>
              </w:rPr>
              <w:t>Label</w:t>
            </w:r>
          </w:p>
        </w:tc>
        <w:tc>
          <w:tcPr>
            <w:tcW w:w="3969" w:type="dxa"/>
            <w:shd w:val="clear" w:color="auto" w:fill="878EDF" w:themeFill="accent1" w:themeFillTint="99"/>
            <w:vAlign w:val="center"/>
          </w:tcPr>
          <w:p w14:paraId="6D9FA317" w14:textId="77777777" w:rsidR="00115458" w:rsidRPr="00F4606C" w:rsidRDefault="00115458" w:rsidP="00F4606C">
            <w:pPr>
              <w:spacing w:after="0" w:line="240" w:lineRule="auto"/>
              <w:jc w:val="center"/>
              <w:rPr>
                <w:rFonts w:cs="Arial"/>
              </w:rPr>
            </w:pPr>
            <w:r w:rsidRPr="00F4606C">
              <w:rPr>
                <w:rFonts w:cs="Arial"/>
                <w:b/>
              </w:rPr>
              <w:t>Item name</w:t>
            </w:r>
          </w:p>
        </w:tc>
      </w:tr>
      <w:tr w:rsidR="00115458" w:rsidRPr="00944B5E" w14:paraId="1E580B6B" w14:textId="77777777" w:rsidTr="000C1365">
        <w:trPr>
          <w:cantSplit/>
          <w:trHeight w:val="272"/>
        </w:trPr>
        <w:tc>
          <w:tcPr>
            <w:tcW w:w="901" w:type="dxa"/>
            <w:vMerge w:val="restart"/>
            <w:vAlign w:val="center"/>
          </w:tcPr>
          <w:p w14:paraId="6C6ABC9F" w14:textId="77777777" w:rsidR="00115458" w:rsidRPr="00F4606C" w:rsidRDefault="00115458" w:rsidP="00F4606C">
            <w:pPr>
              <w:spacing w:after="0" w:line="240" w:lineRule="auto"/>
              <w:jc w:val="center"/>
              <w:rPr>
                <w:rFonts w:cs="Arial"/>
                <w:noProof/>
              </w:rPr>
            </w:pPr>
            <w:r w:rsidRPr="00F4606C">
              <w:rPr>
                <w:rFonts w:cs="Arial"/>
                <w:noProof/>
              </w:rPr>
              <w:t>9.74</w:t>
            </w:r>
          </w:p>
        </w:tc>
        <w:tc>
          <w:tcPr>
            <w:tcW w:w="1793" w:type="dxa"/>
            <w:vMerge w:val="restart"/>
            <w:vAlign w:val="center"/>
          </w:tcPr>
          <w:p w14:paraId="55D31001" w14:textId="77777777" w:rsidR="00115458" w:rsidRPr="00F4606C" w:rsidRDefault="00115458" w:rsidP="00F4606C">
            <w:pPr>
              <w:spacing w:after="0" w:line="240" w:lineRule="auto"/>
              <w:rPr>
                <w:rFonts w:cs="Arial"/>
              </w:rPr>
            </w:pPr>
            <w:r w:rsidRPr="00F4606C">
              <w:rPr>
                <w:rFonts w:cs="Arial"/>
              </w:rPr>
              <w:t>TFN withholding tax deducted (9.74 minus 9.75)</w:t>
            </w:r>
          </w:p>
        </w:tc>
        <w:tc>
          <w:tcPr>
            <w:tcW w:w="1134" w:type="dxa"/>
            <w:vAlign w:val="center"/>
          </w:tcPr>
          <w:p w14:paraId="1D19D41A" w14:textId="77777777" w:rsidR="00115458" w:rsidRPr="00F4606C" w:rsidRDefault="00115458" w:rsidP="00F4606C">
            <w:pPr>
              <w:spacing w:after="0" w:line="240" w:lineRule="auto"/>
              <w:rPr>
                <w:rFonts w:cs="Arial"/>
              </w:rPr>
            </w:pPr>
            <w:r w:rsidRPr="00F4606C">
              <w:rPr>
                <w:rFonts w:cs="Arial"/>
              </w:rPr>
              <w:t>INT, TDP, FMD</w:t>
            </w:r>
          </w:p>
        </w:tc>
        <w:tc>
          <w:tcPr>
            <w:tcW w:w="709" w:type="dxa"/>
            <w:vAlign w:val="center"/>
          </w:tcPr>
          <w:p w14:paraId="02EAA5D7"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7EE8EC03" w14:textId="77777777" w:rsidR="00115458" w:rsidRPr="00F4606C" w:rsidRDefault="00115458" w:rsidP="00F4606C">
            <w:pPr>
              <w:spacing w:after="0" w:line="240" w:lineRule="auto"/>
              <w:jc w:val="center"/>
              <w:rPr>
                <w:rFonts w:cs="Arial"/>
              </w:rPr>
            </w:pPr>
            <w:r w:rsidRPr="00F4606C">
              <w:rPr>
                <w:rFonts w:cs="Arial"/>
              </w:rPr>
              <w:t>10M</w:t>
            </w:r>
          </w:p>
        </w:tc>
        <w:tc>
          <w:tcPr>
            <w:tcW w:w="3969" w:type="dxa"/>
            <w:vAlign w:val="center"/>
          </w:tcPr>
          <w:p w14:paraId="48B33729" w14:textId="77777777" w:rsidR="00115458" w:rsidRPr="00F4606C" w:rsidRDefault="00115458" w:rsidP="00F4606C">
            <w:pPr>
              <w:spacing w:after="0" w:line="240" w:lineRule="auto"/>
              <w:rPr>
                <w:rFonts w:cs="Arial"/>
              </w:rPr>
            </w:pPr>
            <w:r w:rsidRPr="00F4606C">
              <w:rPr>
                <w:rFonts w:cs="Arial"/>
              </w:rPr>
              <w:t>TFN amounts withheld from gross interest</w:t>
            </w:r>
          </w:p>
        </w:tc>
      </w:tr>
      <w:tr w:rsidR="00115458" w:rsidRPr="00944B5E" w14:paraId="29AC17AF" w14:textId="77777777" w:rsidTr="000C1365">
        <w:trPr>
          <w:cantSplit/>
          <w:trHeight w:val="272"/>
        </w:trPr>
        <w:tc>
          <w:tcPr>
            <w:tcW w:w="901" w:type="dxa"/>
            <w:vMerge/>
            <w:vAlign w:val="center"/>
          </w:tcPr>
          <w:p w14:paraId="32BAD473" w14:textId="77777777" w:rsidR="00115458" w:rsidRPr="00F4606C" w:rsidRDefault="00115458" w:rsidP="00F4606C">
            <w:pPr>
              <w:spacing w:after="0" w:line="240" w:lineRule="auto"/>
              <w:jc w:val="center"/>
              <w:rPr>
                <w:rFonts w:cs="Arial"/>
                <w:noProof/>
              </w:rPr>
            </w:pPr>
          </w:p>
        </w:tc>
        <w:tc>
          <w:tcPr>
            <w:tcW w:w="1793" w:type="dxa"/>
            <w:vMerge/>
            <w:vAlign w:val="center"/>
          </w:tcPr>
          <w:p w14:paraId="44750BAE" w14:textId="77777777" w:rsidR="00115458" w:rsidRPr="00F4606C" w:rsidRDefault="00115458" w:rsidP="00F4606C">
            <w:pPr>
              <w:spacing w:after="0" w:line="240" w:lineRule="auto"/>
              <w:rPr>
                <w:rFonts w:cs="Arial"/>
              </w:rPr>
            </w:pPr>
          </w:p>
        </w:tc>
        <w:tc>
          <w:tcPr>
            <w:tcW w:w="1134" w:type="dxa"/>
            <w:vAlign w:val="center"/>
          </w:tcPr>
          <w:p w14:paraId="594DEC20" w14:textId="77777777" w:rsidR="00115458" w:rsidRPr="00F4606C" w:rsidRDefault="00115458" w:rsidP="00F4606C">
            <w:pPr>
              <w:spacing w:after="0" w:line="240" w:lineRule="auto"/>
              <w:rPr>
                <w:rFonts w:cs="Arial"/>
              </w:rPr>
            </w:pPr>
            <w:r w:rsidRPr="00F4606C">
              <w:rPr>
                <w:rFonts w:cs="Arial"/>
              </w:rPr>
              <w:t>DIV</w:t>
            </w:r>
          </w:p>
        </w:tc>
        <w:tc>
          <w:tcPr>
            <w:tcW w:w="709" w:type="dxa"/>
            <w:vAlign w:val="center"/>
          </w:tcPr>
          <w:p w14:paraId="1D686045"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4841E5F9" w14:textId="77777777" w:rsidR="00115458" w:rsidRPr="00F4606C" w:rsidRDefault="00115458" w:rsidP="00F4606C">
            <w:pPr>
              <w:spacing w:after="0" w:line="240" w:lineRule="auto"/>
              <w:jc w:val="center"/>
              <w:rPr>
                <w:rFonts w:cs="Arial"/>
              </w:rPr>
            </w:pPr>
            <w:r w:rsidRPr="00F4606C">
              <w:rPr>
                <w:rFonts w:cs="Arial"/>
              </w:rPr>
              <w:t>11V</w:t>
            </w:r>
          </w:p>
        </w:tc>
        <w:tc>
          <w:tcPr>
            <w:tcW w:w="3969" w:type="dxa"/>
            <w:vAlign w:val="center"/>
          </w:tcPr>
          <w:p w14:paraId="2320500F" w14:textId="77777777" w:rsidR="00115458" w:rsidRPr="00F4606C" w:rsidRDefault="00115458" w:rsidP="00F4606C">
            <w:pPr>
              <w:spacing w:after="0" w:line="240" w:lineRule="auto"/>
              <w:rPr>
                <w:rFonts w:cs="Arial"/>
              </w:rPr>
            </w:pPr>
            <w:r w:rsidRPr="00F4606C">
              <w:rPr>
                <w:rFonts w:cs="Arial"/>
              </w:rPr>
              <w:t>TFN amounts withheld from dividends</w:t>
            </w:r>
          </w:p>
        </w:tc>
      </w:tr>
      <w:tr w:rsidR="00115458" w:rsidRPr="00944B5E" w14:paraId="7D69A98B" w14:textId="77777777" w:rsidTr="000C1365">
        <w:trPr>
          <w:cantSplit/>
          <w:trHeight w:val="621"/>
        </w:trPr>
        <w:tc>
          <w:tcPr>
            <w:tcW w:w="901" w:type="dxa"/>
            <w:vMerge/>
            <w:vAlign w:val="center"/>
          </w:tcPr>
          <w:p w14:paraId="4A154BF2" w14:textId="77777777" w:rsidR="00115458" w:rsidRPr="00F4606C" w:rsidRDefault="00115458" w:rsidP="00F4606C">
            <w:pPr>
              <w:spacing w:after="0" w:line="240" w:lineRule="auto"/>
              <w:jc w:val="center"/>
              <w:rPr>
                <w:rFonts w:cs="Arial"/>
              </w:rPr>
            </w:pPr>
          </w:p>
        </w:tc>
        <w:tc>
          <w:tcPr>
            <w:tcW w:w="1793" w:type="dxa"/>
            <w:vMerge/>
            <w:vAlign w:val="center"/>
          </w:tcPr>
          <w:p w14:paraId="2E0F65AC" w14:textId="77777777" w:rsidR="00115458" w:rsidRPr="00F4606C" w:rsidRDefault="00115458" w:rsidP="00F4606C">
            <w:pPr>
              <w:spacing w:after="0" w:line="240" w:lineRule="auto"/>
              <w:rPr>
                <w:rFonts w:cs="Arial"/>
              </w:rPr>
            </w:pPr>
          </w:p>
        </w:tc>
        <w:tc>
          <w:tcPr>
            <w:tcW w:w="1134" w:type="dxa"/>
            <w:vAlign w:val="center"/>
          </w:tcPr>
          <w:p w14:paraId="1FBC3A66"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13191667"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447D1B80" w14:textId="77777777" w:rsidR="00115458" w:rsidRPr="00F4606C" w:rsidRDefault="00115458" w:rsidP="00F4606C">
            <w:pPr>
              <w:spacing w:after="0" w:line="240" w:lineRule="auto"/>
              <w:jc w:val="center"/>
              <w:rPr>
                <w:rFonts w:cs="Arial"/>
              </w:rPr>
            </w:pPr>
            <w:r w:rsidRPr="00F4606C">
              <w:rPr>
                <w:rFonts w:cs="Arial"/>
              </w:rPr>
              <w:t>13R</w:t>
            </w:r>
          </w:p>
        </w:tc>
        <w:tc>
          <w:tcPr>
            <w:tcW w:w="3969" w:type="dxa"/>
            <w:vAlign w:val="center"/>
          </w:tcPr>
          <w:p w14:paraId="0E94CC2E" w14:textId="77777777" w:rsidR="00115458" w:rsidRPr="00F4606C" w:rsidRDefault="00115458" w:rsidP="00F4606C">
            <w:pPr>
              <w:spacing w:after="0" w:line="240" w:lineRule="auto"/>
              <w:rPr>
                <w:rFonts w:cs="Arial"/>
              </w:rPr>
            </w:pPr>
            <w:r w:rsidRPr="00F4606C">
              <w:rPr>
                <w:rFonts w:cs="Arial"/>
              </w:rPr>
              <w:t>Share of credit for TFN amounts withheld from interest, dividends and unit trust distributions</w:t>
            </w:r>
          </w:p>
        </w:tc>
      </w:tr>
      <w:tr w:rsidR="00115458" w:rsidRPr="00944B5E" w14:paraId="6EB61F51" w14:textId="77777777" w:rsidTr="000C1365">
        <w:trPr>
          <w:cantSplit/>
          <w:trHeight w:val="272"/>
        </w:trPr>
        <w:tc>
          <w:tcPr>
            <w:tcW w:w="901" w:type="dxa"/>
            <w:tcBorders>
              <w:bottom w:val="single" w:sz="4" w:space="0" w:color="auto"/>
            </w:tcBorders>
            <w:vAlign w:val="center"/>
          </w:tcPr>
          <w:p w14:paraId="599A3979" w14:textId="77777777" w:rsidR="00115458" w:rsidRPr="00F4606C" w:rsidRDefault="00115458" w:rsidP="00F4606C">
            <w:pPr>
              <w:spacing w:after="0" w:line="240" w:lineRule="auto"/>
              <w:jc w:val="center"/>
              <w:rPr>
                <w:rFonts w:cs="Arial"/>
                <w:noProof/>
              </w:rPr>
            </w:pPr>
            <w:r w:rsidRPr="00F4606C">
              <w:rPr>
                <w:rFonts w:cs="Arial"/>
                <w:noProof/>
              </w:rPr>
              <w:t>9.75</w:t>
            </w:r>
          </w:p>
        </w:tc>
        <w:tc>
          <w:tcPr>
            <w:tcW w:w="1793" w:type="dxa"/>
            <w:tcBorders>
              <w:bottom w:val="single" w:sz="4" w:space="0" w:color="auto"/>
            </w:tcBorders>
            <w:vAlign w:val="center"/>
          </w:tcPr>
          <w:p w14:paraId="0C9BBA17" w14:textId="77777777" w:rsidR="00115458" w:rsidRPr="00F4606C" w:rsidRDefault="00115458" w:rsidP="00F4606C">
            <w:pPr>
              <w:spacing w:after="0" w:line="240" w:lineRule="auto"/>
              <w:rPr>
                <w:rFonts w:cs="Arial"/>
              </w:rPr>
            </w:pPr>
            <w:r w:rsidRPr="00F4606C">
              <w:rPr>
                <w:rFonts w:cs="Arial"/>
              </w:rPr>
              <w:t>TFN withholding tax refunded</w:t>
            </w:r>
          </w:p>
        </w:tc>
        <w:tc>
          <w:tcPr>
            <w:tcW w:w="1134" w:type="dxa"/>
            <w:tcBorders>
              <w:bottom w:val="single" w:sz="4" w:space="0" w:color="auto"/>
            </w:tcBorders>
            <w:vAlign w:val="center"/>
          </w:tcPr>
          <w:p w14:paraId="4D3EC3BF" w14:textId="77777777" w:rsidR="00115458" w:rsidRPr="00F4606C" w:rsidRDefault="00115458" w:rsidP="00F4606C">
            <w:pPr>
              <w:spacing w:after="0" w:line="240" w:lineRule="auto"/>
              <w:rPr>
                <w:rFonts w:cs="Arial"/>
                <w:lang w:val="fr-FR"/>
              </w:rPr>
            </w:pPr>
            <w:r w:rsidRPr="00F4606C">
              <w:rPr>
                <w:rFonts w:cs="Arial"/>
                <w:lang w:val="fr-FR"/>
              </w:rPr>
              <w:t xml:space="preserve">INT, TDP,  </w:t>
            </w:r>
          </w:p>
          <w:p w14:paraId="7BE8437C" w14:textId="77777777" w:rsidR="00115458" w:rsidRPr="00F4606C" w:rsidRDefault="00115458" w:rsidP="00F4606C">
            <w:pPr>
              <w:spacing w:after="0" w:line="240" w:lineRule="auto"/>
              <w:rPr>
                <w:rFonts w:cs="Arial"/>
                <w:lang w:val="fr-FR"/>
              </w:rPr>
            </w:pPr>
            <w:r w:rsidRPr="00F4606C">
              <w:rPr>
                <w:rFonts w:cs="Arial"/>
                <w:lang w:val="fr-FR"/>
              </w:rPr>
              <w:t xml:space="preserve">FMD, DIV, </w:t>
            </w:r>
          </w:p>
        </w:tc>
        <w:tc>
          <w:tcPr>
            <w:tcW w:w="709" w:type="dxa"/>
            <w:tcBorders>
              <w:bottom w:val="single" w:sz="4" w:space="0" w:color="auto"/>
            </w:tcBorders>
            <w:vAlign w:val="center"/>
          </w:tcPr>
          <w:p w14:paraId="1871E8BB"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64FA0B00" w14:textId="77777777" w:rsidR="00115458" w:rsidRPr="00F4606C" w:rsidRDefault="00115458" w:rsidP="00F4606C">
            <w:pPr>
              <w:spacing w:after="0" w:line="240" w:lineRule="auto"/>
              <w:jc w:val="center"/>
              <w:rPr>
                <w:rFonts w:cs="Arial"/>
                <w:lang w:val="fr-FR"/>
              </w:rPr>
            </w:pPr>
            <w:r w:rsidRPr="00F4606C">
              <w:rPr>
                <w:rFonts w:cs="Arial"/>
              </w:rPr>
              <w:t>13R</w:t>
            </w:r>
          </w:p>
        </w:tc>
        <w:tc>
          <w:tcPr>
            <w:tcW w:w="3969" w:type="dxa"/>
            <w:tcBorders>
              <w:bottom w:val="single" w:sz="4" w:space="0" w:color="auto"/>
            </w:tcBorders>
            <w:vAlign w:val="center"/>
          </w:tcPr>
          <w:p w14:paraId="6784DA43" w14:textId="77777777" w:rsidR="00115458" w:rsidRPr="00F4606C" w:rsidRDefault="00115458" w:rsidP="00F4606C">
            <w:pPr>
              <w:spacing w:after="0" w:line="240" w:lineRule="auto"/>
              <w:rPr>
                <w:rFonts w:cs="Arial"/>
              </w:rPr>
            </w:pPr>
            <w:r w:rsidRPr="00F4606C">
              <w:rPr>
                <w:rFonts w:cs="Arial"/>
              </w:rPr>
              <w:t>Share of credit for TFN amounts withheld from interest, dividends and unit trust distributions</w:t>
            </w:r>
          </w:p>
        </w:tc>
      </w:tr>
      <w:tr w:rsidR="00115458" w:rsidRPr="00944B5E" w14:paraId="15890AB1" w14:textId="77777777" w:rsidTr="000C1365">
        <w:trPr>
          <w:cantSplit/>
          <w:trHeight w:val="272"/>
        </w:trPr>
        <w:tc>
          <w:tcPr>
            <w:tcW w:w="901" w:type="dxa"/>
            <w:vAlign w:val="center"/>
          </w:tcPr>
          <w:p w14:paraId="5BDC649B" w14:textId="77777777" w:rsidR="00115458" w:rsidRPr="00F4606C" w:rsidRDefault="00115458" w:rsidP="00F4606C">
            <w:pPr>
              <w:spacing w:after="0" w:line="240" w:lineRule="auto"/>
              <w:jc w:val="center"/>
              <w:rPr>
                <w:rFonts w:cs="Arial"/>
              </w:rPr>
            </w:pPr>
            <w:r w:rsidRPr="00F4606C">
              <w:rPr>
                <w:rFonts w:cs="Arial"/>
                <w:noProof/>
              </w:rPr>
              <w:t>9.76</w:t>
            </w:r>
          </w:p>
        </w:tc>
        <w:tc>
          <w:tcPr>
            <w:tcW w:w="1793" w:type="dxa"/>
            <w:vAlign w:val="center"/>
          </w:tcPr>
          <w:p w14:paraId="310C63A7" w14:textId="77777777" w:rsidR="00115458" w:rsidRPr="00F4606C" w:rsidRDefault="00115458" w:rsidP="00F4606C">
            <w:pPr>
              <w:spacing w:after="0" w:line="240" w:lineRule="auto"/>
              <w:rPr>
                <w:rFonts w:cs="Arial"/>
              </w:rPr>
            </w:pPr>
            <w:r w:rsidRPr="00F4606C">
              <w:rPr>
                <w:rFonts w:cs="Arial"/>
              </w:rPr>
              <w:t>Non-resident withholding amount deducted</w:t>
            </w:r>
          </w:p>
        </w:tc>
        <w:tc>
          <w:tcPr>
            <w:tcW w:w="1134" w:type="dxa"/>
            <w:vAlign w:val="center"/>
          </w:tcPr>
          <w:p w14:paraId="4357D33C" w14:textId="77777777" w:rsidR="00115458" w:rsidRPr="00F4606C" w:rsidRDefault="00115458" w:rsidP="00F4606C">
            <w:pPr>
              <w:spacing w:after="0" w:line="240" w:lineRule="auto"/>
              <w:rPr>
                <w:rFonts w:cs="Arial"/>
              </w:rPr>
            </w:pPr>
            <w:r w:rsidRPr="00F4606C">
              <w:rPr>
                <w:rFonts w:cs="Arial"/>
              </w:rPr>
              <w:t>INT, DIV, TDP,</w:t>
            </w:r>
          </w:p>
          <w:p w14:paraId="1B4F8F46"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5638282D"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436A2595" w14:textId="0DFA1397" w:rsidR="00115458" w:rsidRPr="00F4606C" w:rsidRDefault="00115458" w:rsidP="00F4606C">
            <w:pPr>
              <w:spacing w:after="0" w:line="240" w:lineRule="auto"/>
              <w:jc w:val="center"/>
              <w:rPr>
                <w:rFonts w:cs="Arial"/>
              </w:rPr>
            </w:pPr>
          </w:p>
        </w:tc>
        <w:tc>
          <w:tcPr>
            <w:tcW w:w="3969" w:type="dxa"/>
            <w:vAlign w:val="center"/>
          </w:tcPr>
          <w:p w14:paraId="5A3099CC" w14:textId="397DD96E" w:rsidR="00115458" w:rsidRPr="00F4606C" w:rsidRDefault="00115458" w:rsidP="00F4606C">
            <w:pPr>
              <w:spacing w:after="0" w:line="240" w:lineRule="auto"/>
              <w:rPr>
                <w:rFonts w:cs="Arial"/>
              </w:rPr>
            </w:pPr>
          </w:p>
        </w:tc>
      </w:tr>
      <w:tr w:rsidR="00115458" w:rsidRPr="00944B5E" w14:paraId="67EE0E57" w14:textId="77777777" w:rsidTr="000C1365">
        <w:trPr>
          <w:cantSplit/>
          <w:trHeight w:val="272"/>
        </w:trPr>
        <w:tc>
          <w:tcPr>
            <w:tcW w:w="901" w:type="dxa"/>
            <w:vAlign w:val="center"/>
          </w:tcPr>
          <w:p w14:paraId="456BEB23" w14:textId="77777777" w:rsidR="00115458" w:rsidRPr="00F4606C" w:rsidRDefault="00115458" w:rsidP="00F4606C">
            <w:pPr>
              <w:spacing w:after="0" w:line="240" w:lineRule="auto"/>
              <w:jc w:val="center"/>
              <w:rPr>
                <w:rFonts w:cs="Arial"/>
                <w:noProof/>
              </w:rPr>
            </w:pPr>
            <w:r w:rsidRPr="00F4606C">
              <w:rPr>
                <w:rFonts w:cs="Arial"/>
                <w:noProof/>
              </w:rPr>
              <w:t>9.77</w:t>
            </w:r>
          </w:p>
        </w:tc>
        <w:tc>
          <w:tcPr>
            <w:tcW w:w="1793" w:type="dxa"/>
            <w:vAlign w:val="center"/>
          </w:tcPr>
          <w:p w14:paraId="58287874" w14:textId="77777777" w:rsidR="00115458" w:rsidRPr="00F4606C" w:rsidRDefault="00115458" w:rsidP="00F4606C">
            <w:pPr>
              <w:spacing w:after="0" w:line="240" w:lineRule="auto"/>
              <w:rPr>
                <w:rFonts w:cs="Arial"/>
              </w:rPr>
            </w:pPr>
            <w:r w:rsidRPr="00F4606C">
              <w:rPr>
                <w:rFonts w:cs="Arial"/>
              </w:rPr>
              <w:t>Non-Assessable Non-Exempt (NANE) Non-trust income</w:t>
            </w:r>
          </w:p>
        </w:tc>
        <w:tc>
          <w:tcPr>
            <w:tcW w:w="1134" w:type="dxa"/>
            <w:vAlign w:val="center"/>
          </w:tcPr>
          <w:p w14:paraId="23A1D2B5" w14:textId="77777777" w:rsidR="00115458" w:rsidRPr="00F4606C" w:rsidRDefault="00115458" w:rsidP="00F4606C">
            <w:pPr>
              <w:spacing w:after="0" w:line="240" w:lineRule="auto"/>
              <w:rPr>
                <w:rFonts w:cs="Arial"/>
              </w:rPr>
            </w:pPr>
            <w:r w:rsidRPr="00F4606C">
              <w:rPr>
                <w:rFonts w:cs="Arial"/>
              </w:rPr>
              <w:t>INT, DIV</w:t>
            </w:r>
          </w:p>
        </w:tc>
        <w:tc>
          <w:tcPr>
            <w:tcW w:w="709" w:type="dxa"/>
            <w:vAlign w:val="center"/>
          </w:tcPr>
          <w:p w14:paraId="121D380F"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05FC43D0" w14:textId="77777777" w:rsidR="00115458" w:rsidRPr="00F4606C" w:rsidRDefault="00115458" w:rsidP="00F4606C">
            <w:pPr>
              <w:spacing w:after="0" w:line="240" w:lineRule="auto"/>
              <w:jc w:val="center"/>
              <w:rPr>
                <w:rFonts w:cs="Arial"/>
              </w:rPr>
            </w:pPr>
          </w:p>
        </w:tc>
        <w:tc>
          <w:tcPr>
            <w:tcW w:w="3969" w:type="dxa"/>
            <w:vAlign w:val="center"/>
          </w:tcPr>
          <w:p w14:paraId="39C2240E" w14:textId="77777777" w:rsidR="00115458" w:rsidRPr="00F4606C" w:rsidRDefault="00115458" w:rsidP="00F4606C">
            <w:pPr>
              <w:spacing w:after="0" w:line="240" w:lineRule="auto"/>
              <w:rPr>
                <w:rFonts w:cs="Arial"/>
              </w:rPr>
            </w:pPr>
          </w:p>
        </w:tc>
      </w:tr>
      <w:tr w:rsidR="00115458" w:rsidRPr="00944B5E" w14:paraId="6FA53033" w14:textId="77777777" w:rsidTr="000C1365">
        <w:trPr>
          <w:cantSplit/>
          <w:trHeight w:val="272"/>
        </w:trPr>
        <w:tc>
          <w:tcPr>
            <w:tcW w:w="901" w:type="dxa"/>
            <w:vAlign w:val="center"/>
          </w:tcPr>
          <w:p w14:paraId="32A916F8" w14:textId="77777777" w:rsidR="00115458" w:rsidRPr="00F4606C" w:rsidRDefault="00115458" w:rsidP="00F4606C">
            <w:pPr>
              <w:spacing w:after="0" w:line="240" w:lineRule="auto"/>
              <w:jc w:val="center"/>
              <w:rPr>
                <w:rFonts w:cs="Arial"/>
              </w:rPr>
            </w:pPr>
            <w:r w:rsidRPr="00F4606C">
              <w:rPr>
                <w:rFonts w:cs="Arial"/>
                <w:noProof/>
              </w:rPr>
              <w:t>9.78</w:t>
            </w:r>
          </w:p>
        </w:tc>
        <w:tc>
          <w:tcPr>
            <w:tcW w:w="1793" w:type="dxa"/>
            <w:vAlign w:val="center"/>
          </w:tcPr>
          <w:p w14:paraId="1BE2E922" w14:textId="77777777" w:rsidR="00115458" w:rsidRPr="00F4606C" w:rsidRDefault="00115458" w:rsidP="00F4606C">
            <w:pPr>
              <w:spacing w:after="0" w:line="240" w:lineRule="auto"/>
              <w:rPr>
                <w:rFonts w:cs="Arial"/>
              </w:rPr>
            </w:pPr>
            <w:r w:rsidRPr="00F4606C">
              <w:rPr>
                <w:rFonts w:cs="Arial"/>
              </w:rPr>
              <w:t>Cash or non-cash value of an investment related betting chance prize</w:t>
            </w:r>
          </w:p>
        </w:tc>
        <w:tc>
          <w:tcPr>
            <w:tcW w:w="1134" w:type="dxa"/>
            <w:vAlign w:val="center"/>
          </w:tcPr>
          <w:p w14:paraId="6B168A4D" w14:textId="77777777" w:rsidR="00115458" w:rsidRPr="00F4606C" w:rsidRDefault="00115458" w:rsidP="00F4606C">
            <w:pPr>
              <w:spacing w:after="0" w:line="240" w:lineRule="auto"/>
              <w:rPr>
                <w:rFonts w:cs="Arial"/>
              </w:rPr>
            </w:pPr>
            <w:r w:rsidRPr="00F4606C">
              <w:rPr>
                <w:rFonts w:cs="Arial"/>
              </w:rPr>
              <w:t>IRB</w:t>
            </w:r>
          </w:p>
        </w:tc>
        <w:tc>
          <w:tcPr>
            <w:tcW w:w="709" w:type="dxa"/>
            <w:vAlign w:val="center"/>
          </w:tcPr>
          <w:p w14:paraId="5AC49AB7"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43704A4D" w14:textId="77777777" w:rsidR="00115458" w:rsidRPr="00F4606C" w:rsidRDefault="00115458" w:rsidP="00F4606C">
            <w:pPr>
              <w:spacing w:after="0" w:line="240" w:lineRule="auto"/>
              <w:jc w:val="center"/>
              <w:rPr>
                <w:rFonts w:cs="Arial"/>
              </w:rPr>
            </w:pPr>
          </w:p>
          <w:p w14:paraId="45DF546C" w14:textId="77777777" w:rsidR="00115458" w:rsidRPr="00F4606C" w:rsidRDefault="00115458" w:rsidP="00F4606C">
            <w:pPr>
              <w:spacing w:after="0" w:line="240" w:lineRule="auto"/>
              <w:jc w:val="center"/>
              <w:rPr>
                <w:rFonts w:cs="Arial"/>
              </w:rPr>
            </w:pPr>
            <w:r w:rsidRPr="00F4606C">
              <w:rPr>
                <w:rFonts w:cs="Arial"/>
              </w:rPr>
              <w:t>24V</w:t>
            </w:r>
          </w:p>
          <w:p w14:paraId="23B69505" w14:textId="77777777" w:rsidR="00115458" w:rsidRPr="00F4606C" w:rsidRDefault="00115458" w:rsidP="00F4606C">
            <w:pPr>
              <w:spacing w:after="0" w:line="240" w:lineRule="auto"/>
              <w:rPr>
                <w:rFonts w:cs="Arial"/>
              </w:rPr>
            </w:pPr>
          </w:p>
        </w:tc>
        <w:tc>
          <w:tcPr>
            <w:tcW w:w="3969" w:type="dxa"/>
            <w:vAlign w:val="center"/>
          </w:tcPr>
          <w:p w14:paraId="2E7F95DE" w14:textId="2D264190" w:rsidR="00115458" w:rsidRPr="00F4606C" w:rsidRDefault="00C72DED" w:rsidP="00F4606C">
            <w:pPr>
              <w:spacing w:after="0" w:line="240" w:lineRule="auto"/>
              <w:rPr>
                <w:rFonts w:cs="Arial"/>
              </w:rPr>
            </w:pPr>
            <w:r>
              <w:rPr>
                <w:rFonts w:cs="Arial"/>
              </w:rPr>
              <w:t xml:space="preserve">Other Income </w:t>
            </w:r>
          </w:p>
        </w:tc>
      </w:tr>
      <w:tr w:rsidR="00115458" w:rsidRPr="00944B5E" w14:paraId="0B7D4F92" w14:textId="77777777" w:rsidTr="000C1365">
        <w:trPr>
          <w:cantSplit/>
          <w:trHeight w:val="272"/>
        </w:trPr>
        <w:tc>
          <w:tcPr>
            <w:tcW w:w="901" w:type="dxa"/>
            <w:vMerge w:val="restart"/>
            <w:vAlign w:val="center"/>
          </w:tcPr>
          <w:p w14:paraId="2F370A77" w14:textId="77777777" w:rsidR="00115458" w:rsidRPr="00F4606C" w:rsidRDefault="00115458" w:rsidP="00F4606C">
            <w:pPr>
              <w:spacing w:after="0" w:line="240" w:lineRule="auto"/>
              <w:jc w:val="center"/>
              <w:rPr>
                <w:rFonts w:cs="Arial"/>
              </w:rPr>
            </w:pPr>
            <w:r w:rsidRPr="00F4606C">
              <w:rPr>
                <w:rFonts w:cs="Arial"/>
                <w:noProof/>
              </w:rPr>
              <w:t>9.79</w:t>
            </w:r>
          </w:p>
        </w:tc>
        <w:tc>
          <w:tcPr>
            <w:tcW w:w="1793" w:type="dxa"/>
            <w:vMerge w:val="restart"/>
            <w:vAlign w:val="center"/>
          </w:tcPr>
          <w:p w14:paraId="6D994D78" w14:textId="77777777" w:rsidR="00115458" w:rsidRPr="00F4606C" w:rsidRDefault="00115458" w:rsidP="00F4606C">
            <w:pPr>
              <w:spacing w:after="0" w:line="240" w:lineRule="auto"/>
              <w:rPr>
                <w:rFonts w:cs="Arial"/>
              </w:rPr>
            </w:pPr>
            <w:r w:rsidRPr="00F4606C">
              <w:rPr>
                <w:rFonts w:cs="Arial"/>
              </w:rPr>
              <w:t>Interest</w:t>
            </w:r>
          </w:p>
        </w:tc>
        <w:tc>
          <w:tcPr>
            <w:tcW w:w="1134" w:type="dxa"/>
            <w:vAlign w:val="center"/>
          </w:tcPr>
          <w:p w14:paraId="2D3DF76C" w14:textId="77777777" w:rsidR="00115458" w:rsidRPr="00F4606C" w:rsidRDefault="00115458" w:rsidP="00F4606C">
            <w:pPr>
              <w:spacing w:after="0" w:line="240" w:lineRule="auto"/>
              <w:rPr>
                <w:rFonts w:cs="Arial"/>
              </w:rPr>
            </w:pPr>
            <w:r w:rsidRPr="00F4606C">
              <w:rPr>
                <w:rFonts w:cs="Arial"/>
              </w:rPr>
              <w:t>INT, TDP, FMD</w:t>
            </w:r>
          </w:p>
        </w:tc>
        <w:tc>
          <w:tcPr>
            <w:tcW w:w="709" w:type="dxa"/>
            <w:vAlign w:val="center"/>
          </w:tcPr>
          <w:p w14:paraId="3D49A368" w14:textId="77777777" w:rsidR="00115458" w:rsidRPr="00F4606C" w:rsidRDefault="00115458" w:rsidP="00F4606C">
            <w:pPr>
              <w:spacing w:after="0" w:line="240" w:lineRule="auto"/>
              <w:jc w:val="center"/>
              <w:rPr>
                <w:rFonts w:cs="Arial"/>
                <w:lang w:val="fr-FR"/>
              </w:rPr>
            </w:pPr>
            <w:r w:rsidRPr="00F4606C">
              <w:rPr>
                <w:rFonts w:cs="Arial"/>
              </w:rPr>
              <w:t>Y</w:t>
            </w:r>
          </w:p>
        </w:tc>
        <w:tc>
          <w:tcPr>
            <w:tcW w:w="850" w:type="dxa"/>
            <w:vAlign w:val="center"/>
          </w:tcPr>
          <w:p w14:paraId="4D0E96F6" w14:textId="77777777" w:rsidR="00115458" w:rsidRPr="00F4606C" w:rsidRDefault="00115458" w:rsidP="00F4606C">
            <w:pPr>
              <w:spacing w:after="0" w:line="240" w:lineRule="auto"/>
              <w:jc w:val="center"/>
              <w:rPr>
                <w:rFonts w:cs="Arial"/>
                <w:lang w:val="fr-FR"/>
              </w:rPr>
            </w:pPr>
            <w:r w:rsidRPr="00F4606C">
              <w:rPr>
                <w:rFonts w:cs="Arial"/>
                <w:lang w:val="fr-FR"/>
              </w:rPr>
              <w:t>10L</w:t>
            </w:r>
          </w:p>
        </w:tc>
        <w:tc>
          <w:tcPr>
            <w:tcW w:w="3969" w:type="dxa"/>
            <w:vAlign w:val="center"/>
          </w:tcPr>
          <w:p w14:paraId="43C22E76" w14:textId="77777777" w:rsidR="00115458" w:rsidRPr="00F4606C" w:rsidRDefault="00115458" w:rsidP="00F4606C">
            <w:pPr>
              <w:spacing w:after="0" w:line="240" w:lineRule="auto"/>
              <w:rPr>
                <w:rFonts w:cs="Arial"/>
                <w:lang w:val="fr-FR"/>
              </w:rPr>
            </w:pPr>
            <w:r w:rsidRPr="00F4606C">
              <w:rPr>
                <w:rFonts w:cs="Arial"/>
                <w:lang w:val="fr-FR"/>
              </w:rPr>
              <w:t xml:space="preserve">Gross </w:t>
            </w:r>
            <w:r w:rsidRPr="00F4606C">
              <w:rPr>
                <w:rFonts w:cs="Arial"/>
              </w:rPr>
              <w:t>interest</w:t>
            </w:r>
          </w:p>
        </w:tc>
      </w:tr>
      <w:tr w:rsidR="00115458" w:rsidRPr="00944B5E" w14:paraId="41D728F4" w14:textId="77777777" w:rsidTr="000C1365">
        <w:trPr>
          <w:cantSplit/>
          <w:trHeight w:val="272"/>
        </w:trPr>
        <w:tc>
          <w:tcPr>
            <w:tcW w:w="901" w:type="dxa"/>
            <w:vMerge/>
            <w:vAlign w:val="center"/>
          </w:tcPr>
          <w:p w14:paraId="61623A53" w14:textId="77777777" w:rsidR="00115458" w:rsidRPr="00F4606C" w:rsidRDefault="00115458" w:rsidP="00F4606C">
            <w:pPr>
              <w:spacing w:after="0" w:line="240" w:lineRule="auto"/>
              <w:jc w:val="center"/>
              <w:rPr>
                <w:rFonts w:cs="Arial"/>
                <w:noProof/>
              </w:rPr>
            </w:pPr>
          </w:p>
        </w:tc>
        <w:tc>
          <w:tcPr>
            <w:tcW w:w="1793" w:type="dxa"/>
            <w:vMerge/>
            <w:vAlign w:val="center"/>
          </w:tcPr>
          <w:p w14:paraId="10647B64" w14:textId="77777777" w:rsidR="00115458" w:rsidRPr="00F4606C" w:rsidRDefault="00115458" w:rsidP="00F4606C">
            <w:pPr>
              <w:spacing w:after="0" w:line="240" w:lineRule="auto"/>
              <w:rPr>
                <w:rFonts w:cs="Arial"/>
              </w:rPr>
            </w:pPr>
          </w:p>
        </w:tc>
        <w:tc>
          <w:tcPr>
            <w:tcW w:w="1134" w:type="dxa"/>
            <w:vAlign w:val="center"/>
          </w:tcPr>
          <w:p w14:paraId="79DE5AC1" w14:textId="77777777" w:rsidR="00115458" w:rsidRPr="00F4606C" w:rsidRDefault="00115458" w:rsidP="00F4606C">
            <w:pPr>
              <w:spacing w:after="0" w:line="240" w:lineRule="auto"/>
              <w:rPr>
                <w:rFonts w:cs="Arial"/>
              </w:rPr>
            </w:pPr>
            <w:r w:rsidRPr="00F4606C">
              <w:rPr>
                <w:rFonts w:cs="Arial"/>
              </w:rPr>
              <w:t>DIS</w:t>
            </w:r>
          </w:p>
        </w:tc>
        <w:tc>
          <w:tcPr>
            <w:tcW w:w="709" w:type="dxa"/>
            <w:vAlign w:val="center"/>
          </w:tcPr>
          <w:p w14:paraId="624C9D7D" w14:textId="77777777" w:rsidR="00115458" w:rsidRPr="00F4606C" w:rsidRDefault="00115458" w:rsidP="00F4606C">
            <w:pPr>
              <w:spacing w:after="0" w:line="240" w:lineRule="auto"/>
              <w:jc w:val="center"/>
              <w:rPr>
                <w:rFonts w:cs="Arial"/>
                <w:lang w:val="fr-FR"/>
              </w:rPr>
            </w:pPr>
            <w:r w:rsidRPr="00F4606C">
              <w:rPr>
                <w:rFonts w:cs="Arial"/>
              </w:rPr>
              <w:t>N</w:t>
            </w:r>
          </w:p>
        </w:tc>
        <w:tc>
          <w:tcPr>
            <w:tcW w:w="850" w:type="dxa"/>
            <w:vAlign w:val="center"/>
          </w:tcPr>
          <w:p w14:paraId="3042BC86" w14:textId="77777777" w:rsidR="00115458" w:rsidRPr="00F4606C" w:rsidRDefault="00115458" w:rsidP="00F4606C">
            <w:pPr>
              <w:spacing w:after="0" w:line="240" w:lineRule="auto"/>
              <w:jc w:val="center"/>
              <w:rPr>
                <w:rFonts w:cs="Arial"/>
                <w:lang w:val="fr-FR"/>
              </w:rPr>
            </w:pPr>
          </w:p>
        </w:tc>
        <w:tc>
          <w:tcPr>
            <w:tcW w:w="3969" w:type="dxa"/>
            <w:vAlign w:val="center"/>
          </w:tcPr>
          <w:p w14:paraId="0B471AAD" w14:textId="77777777" w:rsidR="00115458" w:rsidRPr="00F4606C" w:rsidRDefault="00115458" w:rsidP="00F4606C">
            <w:pPr>
              <w:spacing w:after="0" w:line="240" w:lineRule="auto"/>
              <w:rPr>
                <w:rFonts w:cs="Arial"/>
                <w:lang w:val="fr-FR"/>
              </w:rPr>
            </w:pPr>
          </w:p>
        </w:tc>
      </w:tr>
      <w:tr w:rsidR="00115458" w:rsidRPr="00944B5E" w14:paraId="26DE013C" w14:textId="77777777" w:rsidTr="000C1365">
        <w:trPr>
          <w:cantSplit/>
          <w:trHeight w:val="272"/>
        </w:trPr>
        <w:tc>
          <w:tcPr>
            <w:tcW w:w="901" w:type="dxa"/>
            <w:vMerge/>
            <w:tcBorders>
              <w:bottom w:val="single" w:sz="4" w:space="0" w:color="auto"/>
            </w:tcBorders>
            <w:vAlign w:val="center"/>
          </w:tcPr>
          <w:p w14:paraId="764AE4C4"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vAlign w:val="center"/>
          </w:tcPr>
          <w:p w14:paraId="32372206" w14:textId="77777777" w:rsidR="00115458" w:rsidRPr="00F4606C" w:rsidRDefault="00115458" w:rsidP="00F4606C">
            <w:pPr>
              <w:spacing w:after="0" w:line="240" w:lineRule="auto"/>
              <w:rPr>
                <w:rFonts w:cs="Arial"/>
              </w:rPr>
            </w:pPr>
          </w:p>
        </w:tc>
        <w:tc>
          <w:tcPr>
            <w:tcW w:w="1134" w:type="dxa"/>
            <w:tcBorders>
              <w:bottom w:val="single" w:sz="4" w:space="0" w:color="auto"/>
            </w:tcBorders>
            <w:vAlign w:val="center"/>
          </w:tcPr>
          <w:p w14:paraId="08210C89"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76EA9AC4" w14:textId="77777777" w:rsidR="00115458" w:rsidRPr="00F4606C" w:rsidRDefault="00115458" w:rsidP="00F4606C">
            <w:pPr>
              <w:spacing w:after="0" w:line="240" w:lineRule="auto"/>
              <w:jc w:val="center"/>
              <w:rPr>
                <w:rFonts w:cs="Arial"/>
                <w:lang w:val="fr-FR"/>
              </w:rPr>
            </w:pPr>
            <w:r w:rsidRPr="00F4606C">
              <w:rPr>
                <w:rFonts w:cs="Arial"/>
              </w:rPr>
              <w:t>N</w:t>
            </w:r>
          </w:p>
        </w:tc>
        <w:tc>
          <w:tcPr>
            <w:tcW w:w="850" w:type="dxa"/>
            <w:tcBorders>
              <w:bottom w:val="single" w:sz="4" w:space="0" w:color="auto"/>
            </w:tcBorders>
            <w:vAlign w:val="center"/>
          </w:tcPr>
          <w:p w14:paraId="2140377C" w14:textId="77777777" w:rsidR="00115458" w:rsidRPr="00F4606C" w:rsidRDefault="00115458" w:rsidP="00F4606C">
            <w:pPr>
              <w:spacing w:after="0" w:line="240" w:lineRule="auto"/>
              <w:jc w:val="center"/>
              <w:rPr>
                <w:rFonts w:cs="Arial"/>
                <w:lang w:val="fr-FR"/>
              </w:rPr>
            </w:pPr>
          </w:p>
        </w:tc>
        <w:tc>
          <w:tcPr>
            <w:tcW w:w="3969" w:type="dxa"/>
            <w:tcBorders>
              <w:bottom w:val="single" w:sz="4" w:space="0" w:color="auto"/>
            </w:tcBorders>
            <w:vAlign w:val="center"/>
          </w:tcPr>
          <w:p w14:paraId="379D4147" w14:textId="77777777" w:rsidR="00115458" w:rsidRPr="00F4606C" w:rsidRDefault="00115458" w:rsidP="00F4606C">
            <w:pPr>
              <w:spacing w:after="0" w:line="240" w:lineRule="auto"/>
              <w:rPr>
                <w:rFonts w:cs="Arial"/>
              </w:rPr>
            </w:pPr>
            <w:r w:rsidRPr="00F4606C">
              <w:rPr>
                <w:rFonts w:cs="Arial"/>
              </w:rPr>
              <w:t>Not pre-filled directly but Included in at 9.85 and pre-filled at 13U</w:t>
            </w:r>
          </w:p>
        </w:tc>
      </w:tr>
      <w:tr w:rsidR="00115458" w:rsidRPr="00944B5E" w14:paraId="719E5DC3" w14:textId="77777777" w:rsidTr="000C1365">
        <w:trPr>
          <w:cantSplit/>
          <w:trHeight w:val="272"/>
        </w:trPr>
        <w:tc>
          <w:tcPr>
            <w:tcW w:w="901" w:type="dxa"/>
            <w:vMerge w:val="restart"/>
            <w:vAlign w:val="center"/>
          </w:tcPr>
          <w:p w14:paraId="2DE2165E" w14:textId="77777777" w:rsidR="00115458" w:rsidRPr="00F4606C" w:rsidRDefault="00115458" w:rsidP="00F4606C">
            <w:pPr>
              <w:spacing w:after="0" w:line="240" w:lineRule="auto"/>
              <w:jc w:val="center"/>
              <w:rPr>
                <w:rFonts w:cs="Arial"/>
              </w:rPr>
            </w:pPr>
            <w:r w:rsidRPr="00F4606C">
              <w:rPr>
                <w:rFonts w:cs="Arial"/>
                <w:noProof/>
              </w:rPr>
              <w:t>9.80</w:t>
            </w:r>
          </w:p>
        </w:tc>
        <w:tc>
          <w:tcPr>
            <w:tcW w:w="1793" w:type="dxa"/>
            <w:vMerge w:val="restart"/>
            <w:vAlign w:val="center"/>
          </w:tcPr>
          <w:p w14:paraId="5580D722" w14:textId="77777777" w:rsidR="00115458" w:rsidRPr="00F4606C" w:rsidRDefault="00115458" w:rsidP="00F4606C">
            <w:pPr>
              <w:spacing w:after="0" w:line="240" w:lineRule="auto"/>
              <w:rPr>
                <w:rFonts w:cs="Arial"/>
              </w:rPr>
            </w:pPr>
            <w:r w:rsidRPr="00F4606C">
              <w:rPr>
                <w:rFonts w:cs="Arial"/>
              </w:rPr>
              <w:t>Unfranked dividends not declared to be conduit foreign income</w:t>
            </w:r>
          </w:p>
        </w:tc>
        <w:tc>
          <w:tcPr>
            <w:tcW w:w="1134" w:type="dxa"/>
            <w:vAlign w:val="center"/>
          </w:tcPr>
          <w:p w14:paraId="4ACA1C07" w14:textId="77777777" w:rsidR="00115458" w:rsidRPr="00F4606C" w:rsidRDefault="00115458" w:rsidP="00F4606C">
            <w:pPr>
              <w:spacing w:after="0" w:line="240" w:lineRule="auto"/>
              <w:rPr>
                <w:rFonts w:cs="Arial"/>
              </w:rPr>
            </w:pPr>
            <w:r w:rsidRPr="00F4606C">
              <w:rPr>
                <w:rFonts w:cs="Arial"/>
              </w:rPr>
              <w:t>DIV</w:t>
            </w:r>
          </w:p>
        </w:tc>
        <w:tc>
          <w:tcPr>
            <w:tcW w:w="709" w:type="dxa"/>
            <w:vAlign w:val="center"/>
          </w:tcPr>
          <w:p w14:paraId="46A208DE"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513AFBB2" w14:textId="77777777" w:rsidR="00115458" w:rsidRPr="00F4606C" w:rsidRDefault="00115458" w:rsidP="00F4606C">
            <w:pPr>
              <w:spacing w:after="0" w:line="240" w:lineRule="auto"/>
              <w:jc w:val="center"/>
              <w:rPr>
                <w:rFonts w:cs="Arial"/>
              </w:rPr>
            </w:pPr>
            <w:r w:rsidRPr="00F4606C">
              <w:rPr>
                <w:rFonts w:cs="Arial"/>
              </w:rPr>
              <w:t>11S</w:t>
            </w:r>
          </w:p>
        </w:tc>
        <w:tc>
          <w:tcPr>
            <w:tcW w:w="3969" w:type="dxa"/>
            <w:vAlign w:val="center"/>
          </w:tcPr>
          <w:p w14:paraId="5ED6CDB4" w14:textId="77777777" w:rsidR="00115458" w:rsidRPr="00F4606C" w:rsidRDefault="00115458" w:rsidP="00F4606C">
            <w:pPr>
              <w:spacing w:after="0" w:line="240" w:lineRule="auto"/>
              <w:rPr>
                <w:rFonts w:cs="Arial"/>
              </w:rPr>
            </w:pPr>
            <w:r w:rsidRPr="00F4606C">
              <w:rPr>
                <w:rFonts w:cs="Arial"/>
              </w:rPr>
              <w:t>Unfranked amount</w:t>
            </w:r>
          </w:p>
        </w:tc>
      </w:tr>
      <w:tr w:rsidR="00115458" w:rsidRPr="00944B5E" w14:paraId="3246B341" w14:textId="77777777" w:rsidTr="000C1365">
        <w:trPr>
          <w:cantSplit/>
          <w:trHeight w:val="621"/>
        </w:trPr>
        <w:tc>
          <w:tcPr>
            <w:tcW w:w="901" w:type="dxa"/>
            <w:vMerge/>
            <w:vAlign w:val="center"/>
          </w:tcPr>
          <w:p w14:paraId="637FE6D7" w14:textId="77777777" w:rsidR="00115458" w:rsidRPr="00F4606C" w:rsidRDefault="00115458" w:rsidP="00F4606C">
            <w:pPr>
              <w:spacing w:after="0" w:line="240" w:lineRule="auto"/>
              <w:jc w:val="center"/>
              <w:rPr>
                <w:rFonts w:cs="Arial"/>
                <w:noProof/>
              </w:rPr>
            </w:pPr>
          </w:p>
        </w:tc>
        <w:tc>
          <w:tcPr>
            <w:tcW w:w="1793" w:type="dxa"/>
            <w:vMerge/>
            <w:vAlign w:val="center"/>
          </w:tcPr>
          <w:p w14:paraId="3CC7C09D" w14:textId="77777777" w:rsidR="00115458" w:rsidRPr="00F4606C" w:rsidRDefault="00115458" w:rsidP="00F4606C">
            <w:pPr>
              <w:spacing w:after="0" w:line="240" w:lineRule="auto"/>
              <w:rPr>
                <w:rFonts w:cs="Arial"/>
                <w:highlight w:val="yellow"/>
              </w:rPr>
            </w:pPr>
          </w:p>
        </w:tc>
        <w:tc>
          <w:tcPr>
            <w:tcW w:w="1134" w:type="dxa"/>
            <w:vAlign w:val="center"/>
          </w:tcPr>
          <w:p w14:paraId="56352033"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4F212436"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457703BC" w14:textId="77777777" w:rsidR="00115458" w:rsidRPr="00F4606C" w:rsidRDefault="00115458" w:rsidP="00F4606C">
            <w:pPr>
              <w:spacing w:after="0" w:line="240" w:lineRule="auto"/>
              <w:jc w:val="center"/>
              <w:rPr>
                <w:rFonts w:cs="Arial"/>
              </w:rPr>
            </w:pPr>
          </w:p>
        </w:tc>
        <w:tc>
          <w:tcPr>
            <w:tcW w:w="3969" w:type="dxa"/>
            <w:vAlign w:val="center"/>
          </w:tcPr>
          <w:p w14:paraId="01D70E28" w14:textId="1961276B" w:rsidR="00115458" w:rsidRPr="00F4606C" w:rsidRDefault="00115458" w:rsidP="00F4606C">
            <w:pPr>
              <w:spacing w:after="0" w:line="240" w:lineRule="auto"/>
              <w:rPr>
                <w:rFonts w:cs="Arial"/>
              </w:rPr>
            </w:pPr>
            <w:r w:rsidRPr="00F4606C">
              <w:rPr>
                <w:rFonts w:cs="Arial"/>
              </w:rPr>
              <w:t>Not pre-filled directly but included in 9.11</w:t>
            </w:r>
            <w:r w:rsidR="006105E7">
              <w:rPr>
                <w:rFonts w:cs="Arial"/>
              </w:rPr>
              <w:t>9</w:t>
            </w:r>
            <w:r w:rsidRPr="00F4606C">
              <w:rPr>
                <w:rFonts w:cs="Arial"/>
              </w:rPr>
              <w:t xml:space="preserve"> or 9.1</w:t>
            </w:r>
            <w:r w:rsidR="00711ED5">
              <w:rPr>
                <w:rFonts w:cs="Arial"/>
              </w:rPr>
              <w:t>20</w:t>
            </w:r>
            <w:r w:rsidRPr="00F4606C">
              <w:rPr>
                <w:rFonts w:cs="Arial"/>
              </w:rPr>
              <w:t xml:space="preserve"> and pre-filled at 13U or 13C respectively  </w:t>
            </w:r>
          </w:p>
        </w:tc>
      </w:tr>
      <w:tr w:rsidR="00115458" w:rsidRPr="00944B5E" w14:paraId="74F793D9" w14:textId="77777777" w:rsidTr="000C1365">
        <w:trPr>
          <w:cantSplit/>
          <w:trHeight w:val="272"/>
        </w:trPr>
        <w:tc>
          <w:tcPr>
            <w:tcW w:w="901" w:type="dxa"/>
            <w:vMerge w:val="restart"/>
            <w:vAlign w:val="center"/>
          </w:tcPr>
          <w:p w14:paraId="5D578A39" w14:textId="77777777" w:rsidR="00115458" w:rsidRPr="00F4606C" w:rsidRDefault="00115458" w:rsidP="00F4606C">
            <w:pPr>
              <w:spacing w:after="0" w:line="240" w:lineRule="auto"/>
              <w:jc w:val="center"/>
              <w:rPr>
                <w:rFonts w:cs="Arial"/>
              </w:rPr>
            </w:pPr>
            <w:r w:rsidRPr="00F4606C">
              <w:rPr>
                <w:rFonts w:cs="Arial"/>
                <w:noProof/>
              </w:rPr>
              <w:t>9.81</w:t>
            </w:r>
          </w:p>
        </w:tc>
        <w:tc>
          <w:tcPr>
            <w:tcW w:w="1793" w:type="dxa"/>
            <w:vMerge w:val="restart"/>
            <w:vAlign w:val="center"/>
          </w:tcPr>
          <w:p w14:paraId="025E93BD" w14:textId="77777777" w:rsidR="00115458" w:rsidRPr="00F4606C" w:rsidRDefault="00115458" w:rsidP="00F4606C">
            <w:pPr>
              <w:spacing w:after="0" w:line="240" w:lineRule="auto"/>
              <w:rPr>
                <w:rFonts w:cs="Arial"/>
              </w:rPr>
            </w:pPr>
            <w:r w:rsidRPr="00F4606C">
              <w:rPr>
                <w:rFonts w:cs="Arial"/>
              </w:rPr>
              <w:t>Unfranked dividends declared to be conduit foreign income</w:t>
            </w:r>
          </w:p>
        </w:tc>
        <w:tc>
          <w:tcPr>
            <w:tcW w:w="1134" w:type="dxa"/>
            <w:vAlign w:val="center"/>
          </w:tcPr>
          <w:p w14:paraId="015663C6" w14:textId="77777777" w:rsidR="00115458" w:rsidRPr="00F4606C" w:rsidRDefault="00115458" w:rsidP="00F4606C">
            <w:pPr>
              <w:spacing w:after="0" w:line="240" w:lineRule="auto"/>
              <w:rPr>
                <w:rFonts w:cs="Arial"/>
              </w:rPr>
            </w:pPr>
            <w:r w:rsidRPr="00F4606C">
              <w:rPr>
                <w:rFonts w:cs="Arial"/>
              </w:rPr>
              <w:t>DIV</w:t>
            </w:r>
          </w:p>
        </w:tc>
        <w:tc>
          <w:tcPr>
            <w:tcW w:w="709" w:type="dxa"/>
            <w:vAlign w:val="center"/>
          </w:tcPr>
          <w:p w14:paraId="6A3E598D"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74FE7704" w14:textId="77777777" w:rsidR="00115458" w:rsidRPr="00F4606C" w:rsidRDefault="00115458" w:rsidP="00F4606C">
            <w:pPr>
              <w:spacing w:after="0" w:line="240" w:lineRule="auto"/>
              <w:jc w:val="center"/>
              <w:rPr>
                <w:rFonts w:cs="Arial"/>
              </w:rPr>
            </w:pPr>
            <w:r w:rsidRPr="00F4606C">
              <w:rPr>
                <w:rFonts w:cs="Arial"/>
              </w:rPr>
              <w:t>11S</w:t>
            </w:r>
          </w:p>
        </w:tc>
        <w:tc>
          <w:tcPr>
            <w:tcW w:w="3969" w:type="dxa"/>
            <w:vAlign w:val="center"/>
          </w:tcPr>
          <w:p w14:paraId="6128CAC3" w14:textId="77777777" w:rsidR="00115458" w:rsidRPr="00F4606C" w:rsidRDefault="00115458" w:rsidP="00F4606C">
            <w:pPr>
              <w:spacing w:after="0" w:line="240" w:lineRule="auto"/>
              <w:rPr>
                <w:rFonts w:cs="Arial"/>
              </w:rPr>
            </w:pPr>
            <w:r w:rsidRPr="00F4606C">
              <w:rPr>
                <w:rFonts w:cs="Arial"/>
              </w:rPr>
              <w:t>Unfranked amount</w:t>
            </w:r>
          </w:p>
        </w:tc>
      </w:tr>
      <w:tr w:rsidR="00115458" w:rsidRPr="00944B5E" w14:paraId="0E83F782" w14:textId="77777777" w:rsidTr="000C1365">
        <w:trPr>
          <w:cantSplit/>
          <w:trHeight w:val="610"/>
        </w:trPr>
        <w:tc>
          <w:tcPr>
            <w:tcW w:w="901" w:type="dxa"/>
            <w:vMerge/>
            <w:vAlign w:val="center"/>
          </w:tcPr>
          <w:p w14:paraId="58EFD315" w14:textId="77777777" w:rsidR="00115458" w:rsidRPr="00F4606C" w:rsidRDefault="00115458" w:rsidP="00F4606C">
            <w:pPr>
              <w:spacing w:after="0" w:line="240" w:lineRule="auto"/>
              <w:jc w:val="center"/>
              <w:rPr>
                <w:rFonts w:cs="Arial"/>
                <w:noProof/>
              </w:rPr>
            </w:pPr>
          </w:p>
        </w:tc>
        <w:tc>
          <w:tcPr>
            <w:tcW w:w="1793" w:type="dxa"/>
            <w:vMerge/>
            <w:vAlign w:val="center"/>
          </w:tcPr>
          <w:p w14:paraId="0381B229" w14:textId="77777777" w:rsidR="00115458" w:rsidRPr="00F4606C" w:rsidRDefault="00115458" w:rsidP="00F4606C">
            <w:pPr>
              <w:spacing w:after="0" w:line="240" w:lineRule="auto"/>
              <w:rPr>
                <w:rFonts w:cs="Arial"/>
                <w:highlight w:val="yellow"/>
              </w:rPr>
            </w:pPr>
          </w:p>
        </w:tc>
        <w:tc>
          <w:tcPr>
            <w:tcW w:w="1134" w:type="dxa"/>
            <w:vAlign w:val="center"/>
          </w:tcPr>
          <w:p w14:paraId="219C8718"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0CF7600A"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092C1B94" w14:textId="77777777" w:rsidR="00115458" w:rsidRPr="00F4606C" w:rsidRDefault="00115458" w:rsidP="00F4606C">
            <w:pPr>
              <w:spacing w:after="0" w:line="240" w:lineRule="auto"/>
              <w:jc w:val="center"/>
              <w:rPr>
                <w:rFonts w:cs="Arial"/>
              </w:rPr>
            </w:pPr>
          </w:p>
        </w:tc>
        <w:tc>
          <w:tcPr>
            <w:tcW w:w="3969" w:type="dxa"/>
            <w:vAlign w:val="center"/>
          </w:tcPr>
          <w:p w14:paraId="7C2ABC3A" w14:textId="7BC6317E" w:rsidR="00115458" w:rsidRPr="00F4606C" w:rsidRDefault="00115458" w:rsidP="00F4606C">
            <w:pPr>
              <w:spacing w:after="0" w:line="240" w:lineRule="auto"/>
              <w:rPr>
                <w:rFonts w:cs="Arial"/>
              </w:rPr>
            </w:pPr>
            <w:r w:rsidRPr="00F4606C">
              <w:rPr>
                <w:rFonts w:cs="Arial"/>
              </w:rPr>
              <w:t>Not pre-filled directly but included in 9.11</w:t>
            </w:r>
            <w:r w:rsidR="002438C5">
              <w:rPr>
                <w:rFonts w:cs="Arial"/>
              </w:rPr>
              <w:t>9</w:t>
            </w:r>
            <w:r w:rsidRPr="00F4606C">
              <w:rPr>
                <w:rFonts w:cs="Arial"/>
              </w:rPr>
              <w:t xml:space="preserve"> and pre-filled at 13U</w:t>
            </w:r>
          </w:p>
        </w:tc>
      </w:tr>
      <w:tr w:rsidR="00115458" w:rsidRPr="00944B5E" w14:paraId="0EA399FD" w14:textId="77777777" w:rsidTr="000C1365">
        <w:trPr>
          <w:cantSplit/>
          <w:trHeight w:val="272"/>
        </w:trPr>
        <w:tc>
          <w:tcPr>
            <w:tcW w:w="901" w:type="dxa"/>
            <w:vMerge w:val="restart"/>
            <w:vAlign w:val="center"/>
          </w:tcPr>
          <w:p w14:paraId="77BAE235" w14:textId="77777777" w:rsidR="00115458" w:rsidRPr="00F4606C" w:rsidRDefault="00115458" w:rsidP="00F4606C">
            <w:pPr>
              <w:spacing w:after="0" w:line="240" w:lineRule="auto"/>
              <w:jc w:val="center"/>
              <w:rPr>
                <w:rFonts w:cs="Arial"/>
                <w:noProof/>
              </w:rPr>
            </w:pPr>
            <w:r w:rsidRPr="00F4606C">
              <w:rPr>
                <w:rFonts w:cs="Arial"/>
                <w:noProof/>
              </w:rPr>
              <w:t>9.82</w:t>
            </w:r>
          </w:p>
        </w:tc>
        <w:tc>
          <w:tcPr>
            <w:tcW w:w="1793" w:type="dxa"/>
            <w:vMerge w:val="restart"/>
            <w:vAlign w:val="center"/>
          </w:tcPr>
          <w:p w14:paraId="5784FCFE" w14:textId="77777777" w:rsidR="00115458" w:rsidRPr="00F4606C" w:rsidRDefault="00115458" w:rsidP="00F4606C">
            <w:pPr>
              <w:spacing w:after="0" w:line="240" w:lineRule="auto"/>
              <w:rPr>
                <w:rFonts w:cs="Arial"/>
              </w:rPr>
            </w:pPr>
            <w:r w:rsidRPr="00F4606C">
              <w:rPr>
                <w:rFonts w:cs="Arial"/>
              </w:rPr>
              <w:t>Franked dividends</w:t>
            </w:r>
          </w:p>
        </w:tc>
        <w:tc>
          <w:tcPr>
            <w:tcW w:w="1134" w:type="dxa"/>
            <w:vAlign w:val="center"/>
          </w:tcPr>
          <w:p w14:paraId="23EA924A" w14:textId="77777777" w:rsidR="00115458" w:rsidRPr="00F4606C" w:rsidRDefault="00115458" w:rsidP="00F4606C">
            <w:pPr>
              <w:spacing w:after="0" w:line="240" w:lineRule="auto"/>
              <w:rPr>
                <w:rFonts w:cs="Arial"/>
              </w:rPr>
            </w:pPr>
            <w:r w:rsidRPr="00F4606C">
              <w:rPr>
                <w:rFonts w:cs="Arial"/>
              </w:rPr>
              <w:t>DIV</w:t>
            </w:r>
          </w:p>
        </w:tc>
        <w:tc>
          <w:tcPr>
            <w:tcW w:w="709" w:type="dxa"/>
            <w:vAlign w:val="center"/>
          </w:tcPr>
          <w:p w14:paraId="78FAD794"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4A2D3988" w14:textId="77777777" w:rsidR="00115458" w:rsidRPr="00F4606C" w:rsidRDefault="00115458" w:rsidP="00F4606C">
            <w:pPr>
              <w:spacing w:after="0" w:line="240" w:lineRule="auto"/>
              <w:jc w:val="center"/>
              <w:rPr>
                <w:rFonts w:cs="Arial"/>
              </w:rPr>
            </w:pPr>
            <w:r w:rsidRPr="00F4606C">
              <w:rPr>
                <w:rFonts w:cs="Arial"/>
              </w:rPr>
              <w:t>11T</w:t>
            </w:r>
          </w:p>
        </w:tc>
        <w:tc>
          <w:tcPr>
            <w:tcW w:w="3969" w:type="dxa"/>
            <w:vAlign w:val="center"/>
          </w:tcPr>
          <w:p w14:paraId="4404FE7B" w14:textId="77777777" w:rsidR="00115458" w:rsidRPr="00F4606C" w:rsidRDefault="00115458" w:rsidP="00F4606C">
            <w:pPr>
              <w:spacing w:after="0" w:line="240" w:lineRule="auto"/>
              <w:rPr>
                <w:rFonts w:cs="Arial"/>
              </w:rPr>
            </w:pPr>
            <w:r w:rsidRPr="00F4606C">
              <w:rPr>
                <w:rFonts w:cs="Arial"/>
              </w:rPr>
              <w:t>Franked amount</w:t>
            </w:r>
          </w:p>
        </w:tc>
      </w:tr>
      <w:tr w:rsidR="00115458" w:rsidRPr="00944B5E" w14:paraId="1F00E1D7" w14:textId="77777777" w:rsidTr="000C1365">
        <w:trPr>
          <w:cantSplit/>
          <w:trHeight w:val="610"/>
        </w:trPr>
        <w:tc>
          <w:tcPr>
            <w:tcW w:w="901" w:type="dxa"/>
            <w:vMerge/>
            <w:vAlign w:val="center"/>
          </w:tcPr>
          <w:p w14:paraId="35574891" w14:textId="77777777" w:rsidR="00115458" w:rsidRPr="00F4606C" w:rsidRDefault="00115458" w:rsidP="00F4606C">
            <w:pPr>
              <w:spacing w:after="0" w:line="240" w:lineRule="auto"/>
              <w:jc w:val="center"/>
              <w:rPr>
                <w:rFonts w:cs="Arial"/>
                <w:noProof/>
              </w:rPr>
            </w:pPr>
          </w:p>
        </w:tc>
        <w:tc>
          <w:tcPr>
            <w:tcW w:w="1793" w:type="dxa"/>
            <w:vMerge/>
            <w:vAlign w:val="center"/>
          </w:tcPr>
          <w:p w14:paraId="7087AB5B" w14:textId="77777777" w:rsidR="00115458" w:rsidRPr="00F4606C" w:rsidRDefault="00115458" w:rsidP="00F4606C">
            <w:pPr>
              <w:spacing w:after="0" w:line="240" w:lineRule="auto"/>
              <w:rPr>
                <w:rFonts w:cs="Arial"/>
                <w:highlight w:val="yellow"/>
              </w:rPr>
            </w:pPr>
          </w:p>
        </w:tc>
        <w:tc>
          <w:tcPr>
            <w:tcW w:w="1134" w:type="dxa"/>
            <w:vAlign w:val="center"/>
          </w:tcPr>
          <w:p w14:paraId="1FC5A33E"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7C144BA0"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31A62B9E" w14:textId="77777777" w:rsidR="00115458" w:rsidRPr="00F4606C" w:rsidRDefault="00115458" w:rsidP="00F4606C">
            <w:pPr>
              <w:spacing w:after="0" w:line="240" w:lineRule="auto"/>
              <w:jc w:val="center"/>
              <w:rPr>
                <w:rFonts w:cs="Arial"/>
              </w:rPr>
            </w:pPr>
          </w:p>
        </w:tc>
        <w:tc>
          <w:tcPr>
            <w:tcW w:w="3969" w:type="dxa"/>
            <w:vAlign w:val="center"/>
          </w:tcPr>
          <w:p w14:paraId="4EE414DA" w14:textId="3FFE395A" w:rsidR="00115458" w:rsidRPr="00F4606C" w:rsidRDefault="00115458" w:rsidP="00F4606C">
            <w:pPr>
              <w:spacing w:after="0" w:line="240" w:lineRule="auto"/>
              <w:rPr>
                <w:rFonts w:cs="Arial"/>
              </w:rPr>
            </w:pPr>
            <w:r w:rsidRPr="00F4606C">
              <w:rPr>
                <w:rFonts w:cs="Arial"/>
              </w:rPr>
              <w:t>Not pre-filled directly but included in 9.1</w:t>
            </w:r>
            <w:r w:rsidR="00541970">
              <w:rPr>
                <w:rFonts w:cs="Arial"/>
              </w:rPr>
              <w:t>20</w:t>
            </w:r>
            <w:r w:rsidRPr="00F4606C">
              <w:rPr>
                <w:rFonts w:cs="Arial"/>
              </w:rPr>
              <w:t xml:space="preserve"> and pre-filled at 13C</w:t>
            </w:r>
          </w:p>
        </w:tc>
      </w:tr>
      <w:tr w:rsidR="00115458" w:rsidRPr="00944B5E" w14:paraId="7C2ABADA" w14:textId="77777777" w:rsidTr="000C1365">
        <w:trPr>
          <w:cantSplit/>
          <w:trHeight w:val="272"/>
        </w:trPr>
        <w:tc>
          <w:tcPr>
            <w:tcW w:w="901" w:type="dxa"/>
            <w:vMerge w:val="restart"/>
            <w:vAlign w:val="center"/>
          </w:tcPr>
          <w:p w14:paraId="7FE4A522" w14:textId="77777777" w:rsidR="00115458" w:rsidRPr="00F4606C" w:rsidRDefault="00115458" w:rsidP="00F4606C">
            <w:pPr>
              <w:spacing w:after="0" w:line="240" w:lineRule="auto"/>
              <w:jc w:val="center"/>
              <w:rPr>
                <w:rFonts w:cs="Arial"/>
                <w:noProof/>
              </w:rPr>
            </w:pPr>
            <w:r w:rsidRPr="00F4606C">
              <w:rPr>
                <w:rFonts w:cs="Arial"/>
                <w:noProof/>
              </w:rPr>
              <w:t>9.83</w:t>
            </w:r>
          </w:p>
        </w:tc>
        <w:tc>
          <w:tcPr>
            <w:tcW w:w="1793" w:type="dxa"/>
            <w:vMerge w:val="restart"/>
            <w:vAlign w:val="center"/>
          </w:tcPr>
          <w:p w14:paraId="019FF3C1" w14:textId="77777777" w:rsidR="00115458" w:rsidRPr="00F4606C" w:rsidRDefault="00115458" w:rsidP="00F4606C">
            <w:pPr>
              <w:spacing w:after="0" w:line="240" w:lineRule="auto"/>
              <w:rPr>
                <w:rFonts w:cs="Arial"/>
                <w:highlight w:val="yellow"/>
              </w:rPr>
            </w:pPr>
            <w:r w:rsidRPr="00F4606C">
              <w:rPr>
                <w:rFonts w:cs="Arial"/>
              </w:rPr>
              <w:t>Franking credit</w:t>
            </w:r>
          </w:p>
        </w:tc>
        <w:tc>
          <w:tcPr>
            <w:tcW w:w="1134" w:type="dxa"/>
            <w:vAlign w:val="center"/>
          </w:tcPr>
          <w:p w14:paraId="7056E3E4" w14:textId="77777777" w:rsidR="00115458" w:rsidRPr="00F4606C" w:rsidRDefault="00115458" w:rsidP="00F4606C">
            <w:pPr>
              <w:spacing w:after="0" w:line="240" w:lineRule="auto"/>
              <w:rPr>
                <w:rFonts w:cs="Arial"/>
              </w:rPr>
            </w:pPr>
            <w:r w:rsidRPr="00F4606C">
              <w:rPr>
                <w:rFonts w:cs="Arial"/>
              </w:rPr>
              <w:t>DIV</w:t>
            </w:r>
          </w:p>
        </w:tc>
        <w:tc>
          <w:tcPr>
            <w:tcW w:w="709" w:type="dxa"/>
            <w:vAlign w:val="center"/>
          </w:tcPr>
          <w:p w14:paraId="5071852F"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2E0F3BE9" w14:textId="77777777" w:rsidR="00115458" w:rsidRPr="00F4606C" w:rsidRDefault="00115458" w:rsidP="00F4606C">
            <w:pPr>
              <w:spacing w:after="0" w:line="240" w:lineRule="auto"/>
              <w:jc w:val="center"/>
              <w:rPr>
                <w:rFonts w:cs="Arial"/>
              </w:rPr>
            </w:pPr>
            <w:r w:rsidRPr="00F4606C">
              <w:rPr>
                <w:rFonts w:cs="Arial"/>
              </w:rPr>
              <w:t>11U</w:t>
            </w:r>
          </w:p>
        </w:tc>
        <w:tc>
          <w:tcPr>
            <w:tcW w:w="3969" w:type="dxa"/>
            <w:vAlign w:val="center"/>
          </w:tcPr>
          <w:p w14:paraId="197A1956" w14:textId="77777777" w:rsidR="00115458" w:rsidRPr="00F4606C" w:rsidRDefault="00115458" w:rsidP="00F4606C">
            <w:pPr>
              <w:spacing w:after="0" w:line="240" w:lineRule="auto"/>
              <w:rPr>
                <w:rFonts w:cs="Arial"/>
              </w:rPr>
            </w:pPr>
            <w:r w:rsidRPr="00F4606C">
              <w:rPr>
                <w:rFonts w:cs="Arial"/>
              </w:rPr>
              <w:t>Franking credit</w:t>
            </w:r>
          </w:p>
        </w:tc>
      </w:tr>
      <w:tr w:rsidR="00115458" w:rsidRPr="00944B5E" w14:paraId="42CC7DF7" w14:textId="77777777" w:rsidTr="000C1365">
        <w:trPr>
          <w:cantSplit/>
          <w:trHeight w:val="272"/>
        </w:trPr>
        <w:tc>
          <w:tcPr>
            <w:tcW w:w="901" w:type="dxa"/>
            <w:vMerge/>
            <w:tcBorders>
              <w:bottom w:val="single" w:sz="4" w:space="0" w:color="auto"/>
            </w:tcBorders>
            <w:vAlign w:val="center"/>
          </w:tcPr>
          <w:p w14:paraId="0E4F2965"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vAlign w:val="center"/>
          </w:tcPr>
          <w:p w14:paraId="0DF3C643" w14:textId="77777777" w:rsidR="00115458" w:rsidRPr="00F4606C" w:rsidRDefault="00115458" w:rsidP="00F4606C">
            <w:pPr>
              <w:spacing w:after="0" w:line="240" w:lineRule="auto"/>
              <w:rPr>
                <w:rFonts w:cs="Arial"/>
                <w:highlight w:val="yellow"/>
              </w:rPr>
            </w:pPr>
          </w:p>
        </w:tc>
        <w:tc>
          <w:tcPr>
            <w:tcW w:w="1134" w:type="dxa"/>
            <w:tcBorders>
              <w:bottom w:val="single" w:sz="4" w:space="0" w:color="auto"/>
            </w:tcBorders>
            <w:vAlign w:val="center"/>
          </w:tcPr>
          <w:p w14:paraId="5C099F27"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782B7873"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36B8D973" w14:textId="77777777" w:rsidR="00115458" w:rsidRPr="00F4606C" w:rsidRDefault="00115458" w:rsidP="00F4606C">
            <w:pPr>
              <w:spacing w:after="0" w:line="240" w:lineRule="auto"/>
              <w:jc w:val="center"/>
              <w:rPr>
                <w:rFonts w:cs="Arial"/>
              </w:rPr>
            </w:pPr>
            <w:r w:rsidRPr="00F4606C">
              <w:rPr>
                <w:rFonts w:cs="Arial"/>
              </w:rPr>
              <w:t>13Q</w:t>
            </w:r>
          </w:p>
        </w:tc>
        <w:tc>
          <w:tcPr>
            <w:tcW w:w="3969" w:type="dxa"/>
            <w:tcBorders>
              <w:bottom w:val="single" w:sz="4" w:space="0" w:color="auto"/>
            </w:tcBorders>
            <w:vAlign w:val="center"/>
          </w:tcPr>
          <w:p w14:paraId="6C7AEC6A" w14:textId="77777777" w:rsidR="00115458" w:rsidRPr="00F4606C" w:rsidRDefault="00115458" w:rsidP="00F4606C">
            <w:pPr>
              <w:spacing w:after="0" w:line="240" w:lineRule="auto"/>
              <w:rPr>
                <w:rFonts w:cs="Arial"/>
              </w:rPr>
            </w:pPr>
            <w:r w:rsidRPr="00F4606C">
              <w:rPr>
                <w:rFonts w:cs="Arial"/>
              </w:rPr>
              <w:t xml:space="preserve">Share of franking credit from franked dividends  </w:t>
            </w:r>
          </w:p>
        </w:tc>
      </w:tr>
      <w:tr w:rsidR="00115458" w:rsidRPr="00944B5E" w14:paraId="4F1D8D1E" w14:textId="77777777" w:rsidTr="000C1365">
        <w:trPr>
          <w:cantSplit/>
          <w:trHeight w:val="610"/>
        </w:trPr>
        <w:tc>
          <w:tcPr>
            <w:tcW w:w="901" w:type="dxa"/>
            <w:vAlign w:val="center"/>
          </w:tcPr>
          <w:p w14:paraId="3A095674" w14:textId="77777777" w:rsidR="00115458" w:rsidRPr="00F4606C" w:rsidRDefault="00115458" w:rsidP="00F4606C">
            <w:pPr>
              <w:spacing w:after="0" w:line="240" w:lineRule="auto"/>
              <w:jc w:val="center"/>
              <w:rPr>
                <w:rFonts w:cs="Arial"/>
                <w:noProof/>
              </w:rPr>
            </w:pPr>
            <w:r w:rsidRPr="00F4606C">
              <w:rPr>
                <w:rFonts w:cs="Arial"/>
                <w:noProof/>
              </w:rPr>
              <w:t>9.84</w:t>
            </w:r>
          </w:p>
        </w:tc>
        <w:tc>
          <w:tcPr>
            <w:tcW w:w="1793" w:type="dxa"/>
            <w:vAlign w:val="center"/>
          </w:tcPr>
          <w:p w14:paraId="1346854C" w14:textId="77777777" w:rsidR="00115458" w:rsidRPr="00F4606C" w:rsidRDefault="00115458" w:rsidP="00F4606C">
            <w:pPr>
              <w:spacing w:after="0" w:line="240" w:lineRule="auto"/>
              <w:rPr>
                <w:rFonts w:cs="Arial"/>
              </w:rPr>
            </w:pPr>
            <w:r w:rsidRPr="00F4606C">
              <w:rPr>
                <w:rFonts w:cs="Arial"/>
              </w:rPr>
              <w:t>Other taxable Australian income</w:t>
            </w:r>
          </w:p>
        </w:tc>
        <w:tc>
          <w:tcPr>
            <w:tcW w:w="1134" w:type="dxa"/>
            <w:vAlign w:val="center"/>
          </w:tcPr>
          <w:p w14:paraId="13747055"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7506176F" w14:textId="77777777" w:rsidR="00115458" w:rsidRPr="00F4606C" w:rsidRDefault="00115458" w:rsidP="00F4606C">
            <w:pPr>
              <w:spacing w:after="0" w:line="240" w:lineRule="auto"/>
              <w:jc w:val="center"/>
              <w:rPr>
                <w:rFonts w:cs="Arial"/>
              </w:rPr>
            </w:pPr>
            <w:r w:rsidRPr="00F4606C">
              <w:rPr>
                <w:rFonts w:cs="Arial"/>
              </w:rPr>
              <w:t>N</w:t>
            </w:r>
          </w:p>
        </w:tc>
        <w:tc>
          <w:tcPr>
            <w:tcW w:w="850" w:type="dxa"/>
          </w:tcPr>
          <w:p w14:paraId="05BE0420" w14:textId="77777777" w:rsidR="00115458" w:rsidRPr="00F4606C" w:rsidRDefault="00115458" w:rsidP="00F4606C">
            <w:pPr>
              <w:spacing w:after="0" w:line="240" w:lineRule="auto"/>
              <w:rPr>
                <w:rFonts w:cs="Arial"/>
              </w:rPr>
            </w:pPr>
          </w:p>
        </w:tc>
        <w:tc>
          <w:tcPr>
            <w:tcW w:w="3969" w:type="dxa"/>
          </w:tcPr>
          <w:p w14:paraId="65B0EA68"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4F665719" w14:textId="77777777" w:rsidTr="000C1365">
        <w:trPr>
          <w:cantSplit/>
          <w:trHeight w:val="621"/>
        </w:trPr>
        <w:tc>
          <w:tcPr>
            <w:tcW w:w="901" w:type="dxa"/>
            <w:vAlign w:val="center"/>
          </w:tcPr>
          <w:p w14:paraId="3BBBA2F9" w14:textId="77777777" w:rsidR="00115458" w:rsidRPr="00F4606C" w:rsidRDefault="00115458" w:rsidP="00F4606C">
            <w:pPr>
              <w:spacing w:after="0" w:line="240" w:lineRule="auto"/>
              <w:jc w:val="center"/>
              <w:rPr>
                <w:rFonts w:cs="Arial"/>
                <w:noProof/>
              </w:rPr>
            </w:pPr>
            <w:r w:rsidRPr="00F4606C">
              <w:rPr>
                <w:rFonts w:cs="Arial"/>
                <w:noProof/>
              </w:rPr>
              <w:t>9.85</w:t>
            </w:r>
          </w:p>
        </w:tc>
        <w:tc>
          <w:tcPr>
            <w:tcW w:w="1793" w:type="dxa"/>
            <w:vAlign w:val="center"/>
          </w:tcPr>
          <w:p w14:paraId="2867F397" w14:textId="77777777" w:rsidR="00115458" w:rsidRPr="00F4606C" w:rsidRDefault="00115458" w:rsidP="00F4606C">
            <w:pPr>
              <w:spacing w:after="0" w:line="240" w:lineRule="auto"/>
              <w:rPr>
                <w:rFonts w:cs="Arial"/>
              </w:rPr>
            </w:pPr>
            <w:r w:rsidRPr="00F4606C">
              <w:rPr>
                <w:rFonts w:cs="Arial"/>
              </w:rPr>
              <w:t xml:space="preserve">Non-primary production income </w:t>
            </w:r>
          </w:p>
        </w:tc>
        <w:tc>
          <w:tcPr>
            <w:tcW w:w="1134" w:type="dxa"/>
            <w:vAlign w:val="center"/>
          </w:tcPr>
          <w:p w14:paraId="36F8A61F"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7C09CAED"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1EBAD3DF" w14:textId="77777777" w:rsidR="00115458" w:rsidRPr="00F4606C" w:rsidRDefault="00115458" w:rsidP="00F4606C">
            <w:pPr>
              <w:spacing w:after="0" w:line="240" w:lineRule="auto"/>
              <w:jc w:val="center"/>
              <w:rPr>
                <w:rFonts w:cs="Arial"/>
              </w:rPr>
            </w:pPr>
            <w:r w:rsidRPr="00F4606C">
              <w:rPr>
                <w:rFonts w:cs="Arial"/>
              </w:rPr>
              <w:t>13U</w:t>
            </w:r>
          </w:p>
        </w:tc>
        <w:tc>
          <w:tcPr>
            <w:tcW w:w="3969" w:type="dxa"/>
            <w:vAlign w:val="center"/>
          </w:tcPr>
          <w:p w14:paraId="005EC98A" w14:textId="77777777" w:rsidR="00115458" w:rsidRPr="00F4606C" w:rsidRDefault="00115458" w:rsidP="00F4606C">
            <w:pPr>
              <w:spacing w:after="0" w:line="240" w:lineRule="auto"/>
              <w:rPr>
                <w:rFonts w:cs="Arial"/>
              </w:rPr>
            </w:pPr>
            <w:r w:rsidRPr="00F4606C">
              <w:rPr>
                <w:rFonts w:cs="Arial"/>
              </w:rPr>
              <w:t>Share of net income from trusts less capital gains, foreign income and franked distributions</w:t>
            </w:r>
          </w:p>
        </w:tc>
      </w:tr>
      <w:tr w:rsidR="00115458" w:rsidRPr="00944B5E" w14:paraId="5C061728" w14:textId="77777777" w:rsidTr="000C1365">
        <w:trPr>
          <w:cantSplit/>
          <w:trHeight w:val="272"/>
        </w:trPr>
        <w:tc>
          <w:tcPr>
            <w:tcW w:w="901" w:type="dxa"/>
            <w:vAlign w:val="center"/>
          </w:tcPr>
          <w:p w14:paraId="24283B1E" w14:textId="77777777" w:rsidR="00115458" w:rsidRPr="00F4606C" w:rsidRDefault="00115458" w:rsidP="00F4606C">
            <w:pPr>
              <w:spacing w:after="0" w:line="240" w:lineRule="auto"/>
              <w:jc w:val="center"/>
              <w:rPr>
                <w:rFonts w:cs="Arial"/>
                <w:noProof/>
              </w:rPr>
            </w:pPr>
            <w:r w:rsidRPr="00F4606C">
              <w:rPr>
                <w:rFonts w:cs="Arial"/>
                <w:noProof/>
              </w:rPr>
              <w:t>9.86</w:t>
            </w:r>
          </w:p>
        </w:tc>
        <w:tc>
          <w:tcPr>
            <w:tcW w:w="1793" w:type="dxa"/>
            <w:vAlign w:val="center"/>
          </w:tcPr>
          <w:p w14:paraId="3670B861" w14:textId="77777777" w:rsidR="00115458" w:rsidRPr="00F4606C" w:rsidRDefault="00115458" w:rsidP="00F4606C">
            <w:pPr>
              <w:spacing w:after="0" w:line="240" w:lineRule="auto"/>
              <w:rPr>
                <w:rFonts w:cs="Arial"/>
              </w:rPr>
            </w:pPr>
            <w:r w:rsidRPr="00F4606C">
              <w:rPr>
                <w:rFonts w:cs="Arial"/>
              </w:rPr>
              <w:t>Deductions relating to non-primary production distributions</w:t>
            </w:r>
          </w:p>
        </w:tc>
        <w:tc>
          <w:tcPr>
            <w:tcW w:w="1134" w:type="dxa"/>
            <w:vAlign w:val="center"/>
          </w:tcPr>
          <w:p w14:paraId="1D5E29D9"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40781DAF"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5B1790B9" w14:textId="77777777" w:rsidR="00115458" w:rsidRPr="00F4606C" w:rsidRDefault="00115458" w:rsidP="00F4606C">
            <w:pPr>
              <w:spacing w:after="0" w:line="240" w:lineRule="auto"/>
              <w:jc w:val="center"/>
              <w:rPr>
                <w:rFonts w:cs="Arial"/>
              </w:rPr>
            </w:pPr>
            <w:r w:rsidRPr="00F4606C">
              <w:rPr>
                <w:rFonts w:cs="Arial"/>
              </w:rPr>
              <w:t>13Y</w:t>
            </w:r>
          </w:p>
        </w:tc>
        <w:tc>
          <w:tcPr>
            <w:tcW w:w="3969" w:type="dxa"/>
            <w:vAlign w:val="center"/>
          </w:tcPr>
          <w:p w14:paraId="3217F45B" w14:textId="77777777" w:rsidR="00115458" w:rsidRPr="00F4606C" w:rsidRDefault="00115458" w:rsidP="00F4606C">
            <w:pPr>
              <w:spacing w:after="0" w:line="240" w:lineRule="auto"/>
              <w:rPr>
                <w:rFonts w:cs="Arial"/>
              </w:rPr>
            </w:pPr>
            <w:r w:rsidRPr="00F4606C">
              <w:rPr>
                <w:rFonts w:cs="Arial"/>
              </w:rPr>
              <w:t>Other deductions relating to amounts shown at O, U and C</w:t>
            </w:r>
          </w:p>
        </w:tc>
      </w:tr>
      <w:tr w:rsidR="00115458" w:rsidRPr="00944B5E" w14:paraId="1B206006" w14:textId="77777777" w:rsidTr="000C1365">
        <w:trPr>
          <w:cantSplit/>
          <w:trHeight w:val="621"/>
        </w:trPr>
        <w:tc>
          <w:tcPr>
            <w:tcW w:w="901" w:type="dxa"/>
            <w:vAlign w:val="center"/>
          </w:tcPr>
          <w:p w14:paraId="70B33A09" w14:textId="77777777" w:rsidR="00115458" w:rsidRPr="00F4606C" w:rsidRDefault="00115458" w:rsidP="00F4606C">
            <w:pPr>
              <w:spacing w:after="0" w:line="240" w:lineRule="auto"/>
              <w:jc w:val="center"/>
              <w:rPr>
                <w:rFonts w:cs="Arial"/>
              </w:rPr>
            </w:pPr>
            <w:r w:rsidRPr="00F4606C">
              <w:rPr>
                <w:rFonts w:cs="Arial"/>
                <w:noProof/>
              </w:rPr>
              <w:t>9.87</w:t>
            </w:r>
          </w:p>
        </w:tc>
        <w:tc>
          <w:tcPr>
            <w:tcW w:w="1793" w:type="dxa"/>
            <w:vAlign w:val="center"/>
          </w:tcPr>
          <w:p w14:paraId="26C669AD" w14:textId="77777777" w:rsidR="00115458" w:rsidRPr="00F4606C" w:rsidRDefault="00115458" w:rsidP="00F4606C">
            <w:pPr>
              <w:spacing w:after="0" w:line="240" w:lineRule="auto"/>
              <w:rPr>
                <w:rFonts w:cs="Arial"/>
              </w:rPr>
            </w:pPr>
            <w:r w:rsidRPr="00F4606C">
              <w:rPr>
                <w:rFonts w:cs="Arial"/>
              </w:rPr>
              <w:t>CGT concession amount or AMIT CGT gross up amount</w:t>
            </w:r>
          </w:p>
        </w:tc>
        <w:tc>
          <w:tcPr>
            <w:tcW w:w="1134" w:type="dxa"/>
            <w:vAlign w:val="center"/>
          </w:tcPr>
          <w:p w14:paraId="24D0D5CF"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7AA7365F" w14:textId="77777777" w:rsidR="00115458" w:rsidRPr="00F4606C" w:rsidRDefault="00115458" w:rsidP="00F4606C">
            <w:pPr>
              <w:spacing w:after="0" w:line="240" w:lineRule="auto"/>
              <w:jc w:val="center"/>
              <w:rPr>
                <w:rFonts w:cs="Arial"/>
              </w:rPr>
            </w:pPr>
            <w:r w:rsidRPr="00F4606C">
              <w:rPr>
                <w:rFonts w:cs="Arial"/>
              </w:rPr>
              <w:t>N</w:t>
            </w:r>
          </w:p>
          <w:p w14:paraId="7BDDC1FC" w14:textId="77777777" w:rsidR="00115458" w:rsidRPr="00F4606C" w:rsidRDefault="00115458" w:rsidP="00F4606C">
            <w:pPr>
              <w:spacing w:after="0" w:line="240" w:lineRule="auto"/>
              <w:jc w:val="center"/>
              <w:rPr>
                <w:rFonts w:cs="Arial"/>
              </w:rPr>
            </w:pPr>
          </w:p>
        </w:tc>
        <w:tc>
          <w:tcPr>
            <w:tcW w:w="850" w:type="dxa"/>
            <w:vAlign w:val="center"/>
          </w:tcPr>
          <w:p w14:paraId="0567DAE9" w14:textId="77777777" w:rsidR="00115458" w:rsidRPr="00F4606C" w:rsidRDefault="00115458" w:rsidP="00F4606C">
            <w:pPr>
              <w:spacing w:after="0" w:line="240" w:lineRule="auto"/>
              <w:jc w:val="center"/>
              <w:rPr>
                <w:rFonts w:cs="Arial"/>
              </w:rPr>
            </w:pPr>
          </w:p>
        </w:tc>
        <w:tc>
          <w:tcPr>
            <w:tcW w:w="3969" w:type="dxa"/>
            <w:vAlign w:val="center"/>
          </w:tcPr>
          <w:p w14:paraId="7C45C195" w14:textId="77777777" w:rsidR="00115458" w:rsidRPr="00F4606C" w:rsidRDefault="00115458" w:rsidP="00F4606C">
            <w:pPr>
              <w:spacing w:after="0" w:line="240" w:lineRule="auto"/>
              <w:rPr>
                <w:rFonts w:cs="Arial"/>
              </w:rPr>
            </w:pPr>
          </w:p>
        </w:tc>
      </w:tr>
      <w:tr w:rsidR="00115458" w:rsidRPr="00944B5E" w14:paraId="22EDAB25" w14:textId="77777777" w:rsidTr="000C1365">
        <w:trPr>
          <w:cantSplit/>
          <w:trHeight w:val="379"/>
        </w:trPr>
        <w:tc>
          <w:tcPr>
            <w:tcW w:w="901" w:type="dxa"/>
            <w:vAlign w:val="center"/>
          </w:tcPr>
          <w:p w14:paraId="4410996D" w14:textId="77777777" w:rsidR="00115458" w:rsidRPr="00F4606C" w:rsidRDefault="00115458" w:rsidP="00F4606C">
            <w:pPr>
              <w:spacing w:after="0" w:line="240" w:lineRule="auto"/>
              <w:jc w:val="center"/>
              <w:rPr>
                <w:rFonts w:cs="Arial"/>
                <w:b/>
              </w:rPr>
            </w:pPr>
            <w:r w:rsidRPr="00F4606C">
              <w:rPr>
                <w:rFonts w:cs="Arial"/>
                <w:noProof/>
              </w:rPr>
              <w:t>9.88</w:t>
            </w:r>
          </w:p>
        </w:tc>
        <w:tc>
          <w:tcPr>
            <w:tcW w:w="1793" w:type="dxa"/>
            <w:vAlign w:val="center"/>
          </w:tcPr>
          <w:p w14:paraId="4BDABCDE" w14:textId="77777777" w:rsidR="00115458" w:rsidRPr="00F4606C" w:rsidRDefault="00115458" w:rsidP="00F4606C">
            <w:pPr>
              <w:spacing w:after="0" w:line="240" w:lineRule="auto"/>
              <w:rPr>
                <w:rFonts w:cs="Arial"/>
              </w:rPr>
            </w:pPr>
            <w:r w:rsidRPr="00F4606C">
              <w:rPr>
                <w:rFonts w:cs="Arial"/>
              </w:rPr>
              <w:t>Net capital gain</w:t>
            </w:r>
          </w:p>
        </w:tc>
        <w:tc>
          <w:tcPr>
            <w:tcW w:w="1134" w:type="dxa"/>
            <w:vAlign w:val="center"/>
          </w:tcPr>
          <w:p w14:paraId="218C7B6C"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2567B1DB"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161EED50" w14:textId="77777777" w:rsidR="00115458" w:rsidRPr="00F4606C" w:rsidRDefault="00115458" w:rsidP="00F4606C">
            <w:pPr>
              <w:spacing w:after="0" w:line="240" w:lineRule="auto"/>
              <w:jc w:val="center"/>
              <w:rPr>
                <w:rFonts w:cs="Arial"/>
              </w:rPr>
            </w:pPr>
            <w:r w:rsidRPr="00F4606C">
              <w:rPr>
                <w:rFonts w:cs="Arial"/>
              </w:rPr>
              <w:t>18A</w:t>
            </w:r>
          </w:p>
        </w:tc>
        <w:tc>
          <w:tcPr>
            <w:tcW w:w="3969" w:type="dxa"/>
            <w:vAlign w:val="center"/>
          </w:tcPr>
          <w:p w14:paraId="3B82C5DE" w14:textId="77777777" w:rsidR="00115458" w:rsidRPr="00F4606C" w:rsidRDefault="00115458" w:rsidP="00F4606C">
            <w:pPr>
              <w:spacing w:after="0" w:line="240" w:lineRule="auto"/>
              <w:rPr>
                <w:rFonts w:cs="Arial"/>
              </w:rPr>
            </w:pPr>
            <w:r w:rsidRPr="00F4606C">
              <w:rPr>
                <w:rFonts w:cs="Arial"/>
              </w:rPr>
              <w:t>Net capital gain</w:t>
            </w:r>
          </w:p>
        </w:tc>
      </w:tr>
      <w:tr w:rsidR="00115458" w:rsidRPr="00944B5E" w14:paraId="40D06203" w14:textId="77777777" w:rsidTr="000C1365">
        <w:trPr>
          <w:cantSplit/>
          <w:trHeight w:val="610"/>
        </w:trPr>
        <w:tc>
          <w:tcPr>
            <w:tcW w:w="901" w:type="dxa"/>
            <w:vAlign w:val="center"/>
          </w:tcPr>
          <w:p w14:paraId="12CB6796" w14:textId="77777777" w:rsidR="00115458" w:rsidRPr="00F4606C" w:rsidRDefault="00115458" w:rsidP="00F4606C">
            <w:pPr>
              <w:spacing w:after="0" w:line="240" w:lineRule="auto"/>
              <w:jc w:val="center"/>
              <w:rPr>
                <w:rFonts w:cs="Arial"/>
                <w:b/>
              </w:rPr>
            </w:pPr>
            <w:r w:rsidRPr="00F4606C">
              <w:rPr>
                <w:rFonts w:cs="Arial"/>
                <w:noProof/>
              </w:rPr>
              <w:t>9.89</w:t>
            </w:r>
          </w:p>
        </w:tc>
        <w:tc>
          <w:tcPr>
            <w:tcW w:w="1793" w:type="dxa"/>
            <w:vAlign w:val="center"/>
          </w:tcPr>
          <w:p w14:paraId="2051A15D" w14:textId="77777777" w:rsidR="00115458" w:rsidRPr="00F4606C" w:rsidRDefault="00115458" w:rsidP="00F4606C">
            <w:pPr>
              <w:spacing w:after="0" w:line="240" w:lineRule="auto"/>
              <w:rPr>
                <w:rFonts w:cs="Arial"/>
              </w:rPr>
            </w:pPr>
            <w:r w:rsidRPr="00F4606C">
              <w:rPr>
                <w:rFonts w:cs="Arial"/>
              </w:rPr>
              <w:t>Total current year capital gains</w:t>
            </w:r>
          </w:p>
        </w:tc>
        <w:tc>
          <w:tcPr>
            <w:tcW w:w="1134" w:type="dxa"/>
            <w:vAlign w:val="center"/>
          </w:tcPr>
          <w:p w14:paraId="76A82547"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2BAB1359"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5D120F3A" w14:textId="77777777" w:rsidR="00115458" w:rsidRPr="00F4606C" w:rsidRDefault="00115458" w:rsidP="00F4606C">
            <w:pPr>
              <w:spacing w:after="0" w:line="240" w:lineRule="auto"/>
              <w:jc w:val="center"/>
              <w:rPr>
                <w:rFonts w:cs="Arial"/>
              </w:rPr>
            </w:pPr>
            <w:r w:rsidRPr="00F4606C">
              <w:rPr>
                <w:rFonts w:cs="Arial"/>
              </w:rPr>
              <w:t>18H</w:t>
            </w:r>
          </w:p>
        </w:tc>
        <w:tc>
          <w:tcPr>
            <w:tcW w:w="3969" w:type="dxa"/>
            <w:vAlign w:val="center"/>
          </w:tcPr>
          <w:p w14:paraId="18DF125E" w14:textId="77777777" w:rsidR="00115458" w:rsidRPr="00F4606C" w:rsidRDefault="00115458" w:rsidP="00F4606C">
            <w:pPr>
              <w:spacing w:after="0" w:line="240" w:lineRule="auto"/>
              <w:rPr>
                <w:rFonts w:cs="Arial"/>
              </w:rPr>
            </w:pPr>
            <w:r w:rsidRPr="00F4606C">
              <w:rPr>
                <w:rFonts w:cs="Arial"/>
              </w:rPr>
              <w:t>Total current year capital gains</w:t>
            </w:r>
          </w:p>
        </w:tc>
      </w:tr>
      <w:tr w:rsidR="00115458" w:rsidRPr="00944B5E" w14:paraId="2FEAB53C" w14:textId="77777777" w:rsidTr="000C1365">
        <w:trPr>
          <w:cantSplit/>
          <w:trHeight w:val="272"/>
        </w:trPr>
        <w:tc>
          <w:tcPr>
            <w:tcW w:w="901" w:type="dxa"/>
            <w:tcBorders>
              <w:bottom w:val="single" w:sz="4" w:space="0" w:color="auto"/>
            </w:tcBorders>
            <w:vAlign w:val="center"/>
          </w:tcPr>
          <w:p w14:paraId="154CD9F8" w14:textId="77777777" w:rsidR="00115458" w:rsidRPr="00F4606C" w:rsidRDefault="00115458" w:rsidP="00F4606C">
            <w:pPr>
              <w:spacing w:after="0" w:line="240" w:lineRule="auto"/>
              <w:jc w:val="center"/>
              <w:rPr>
                <w:rFonts w:cs="Arial"/>
                <w:b/>
              </w:rPr>
            </w:pPr>
            <w:r w:rsidRPr="00F4606C">
              <w:rPr>
                <w:rFonts w:cs="Arial"/>
                <w:noProof/>
              </w:rPr>
              <w:t>9.90</w:t>
            </w:r>
          </w:p>
        </w:tc>
        <w:tc>
          <w:tcPr>
            <w:tcW w:w="1793" w:type="dxa"/>
            <w:tcBorders>
              <w:bottom w:val="single" w:sz="4" w:space="0" w:color="auto"/>
            </w:tcBorders>
            <w:vAlign w:val="center"/>
          </w:tcPr>
          <w:p w14:paraId="4052C082" w14:textId="77777777" w:rsidR="00115458" w:rsidRPr="00F4606C" w:rsidRDefault="00115458" w:rsidP="00F4606C">
            <w:pPr>
              <w:spacing w:after="0" w:line="240" w:lineRule="auto"/>
              <w:rPr>
                <w:rFonts w:cs="Arial"/>
              </w:rPr>
            </w:pPr>
            <w:r w:rsidRPr="00F4606C">
              <w:rPr>
                <w:rFonts w:cs="Arial"/>
              </w:rPr>
              <w:t>Taxable foreign capital gains</w:t>
            </w:r>
          </w:p>
        </w:tc>
        <w:tc>
          <w:tcPr>
            <w:tcW w:w="1134" w:type="dxa"/>
            <w:tcBorders>
              <w:bottom w:val="single" w:sz="4" w:space="0" w:color="auto"/>
            </w:tcBorders>
            <w:vAlign w:val="center"/>
          </w:tcPr>
          <w:p w14:paraId="41B004A8"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18AF7B2C"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1F150E2B"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05CD5088" w14:textId="6422B63E" w:rsidR="00115458" w:rsidRPr="00F4606C" w:rsidRDefault="00115458" w:rsidP="00F4606C">
            <w:pPr>
              <w:spacing w:after="0" w:line="240" w:lineRule="auto"/>
              <w:rPr>
                <w:rFonts w:cs="Arial"/>
              </w:rPr>
            </w:pPr>
            <w:r w:rsidRPr="00F4606C">
              <w:rPr>
                <w:rFonts w:cs="Arial"/>
              </w:rPr>
              <w:t>Not pre-filled directly but included in 9.123 or 9.124 or 9.125 or 9.126 and pre-filled at 18A</w:t>
            </w:r>
            <w:r w:rsidR="00AD32BD">
              <w:rPr>
                <w:rFonts w:cs="Arial"/>
              </w:rPr>
              <w:t xml:space="preserve"> via </w:t>
            </w:r>
            <w:r w:rsidR="000A3B4C">
              <w:rPr>
                <w:rFonts w:cs="Arial"/>
              </w:rPr>
              <w:t>9.88</w:t>
            </w:r>
          </w:p>
          <w:p w14:paraId="30971AC5" w14:textId="77777777" w:rsidR="00115458" w:rsidRPr="00F4606C" w:rsidRDefault="00115458" w:rsidP="00F4606C">
            <w:pPr>
              <w:spacing w:after="0" w:line="240" w:lineRule="auto"/>
              <w:rPr>
                <w:rFonts w:cs="Arial"/>
              </w:rPr>
            </w:pPr>
          </w:p>
        </w:tc>
      </w:tr>
      <w:tr w:rsidR="00115458" w:rsidRPr="00944B5E" w14:paraId="0AC001B5" w14:textId="77777777" w:rsidTr="000C1365">
        <w:trPr>
          <w:cantSplit/>
          <w:trHeight w:val="272"/>
        </w:trPr>
        <w:tc>
          <w:tcPr>
            <w:tcW w:w="901" w:type="dxa"/>
            <w:vMerge w:val="restart"/>
            <w:vAlign w:val="center"/>
          </w:tcPr>
          <w:p w14:paraId="5A378514" w14:textId="77777777" w:rsidR="00115458" w:rsidRPr="00F4606C" w:rsidRDefault="00115458" w:rsidP="00F4606C">
            <w:pPr>
              <w:spacing w:after="0" w:line="240" w:lineRule="auto"/>
              <w:jc w:val="center"/>
              <w:rPr>
                <w:rFonts w:cs="Arial"/>
                <w:b/>
              </w:rPr>
            </w:pPr>
            <w:r w:rsidRPr="00F4606C">
              <w:rPr>
                <w:rFonts w:cs="Arial"/>
                <w:noProof/>
              </w:rPr>
              <w:t>9.91</w:t>
            </w:r>
          </w:p>
        </w:tc>
        <w:tc>
          <w:tcPr>
            <w:tcW w:w="1793" w:type="dxa"/>
            <w:vMerge w:val="restart"/>
            <w:vAlign w:val="center"/>
          </w:tcPr>
          <w:p w14:paraId="1EF938A5" w14:textId="77777777" w:rsidR="00115458" w:rsidRPr="00F4606C" w:rsidRDefault="00115458" w:rsidP="00F4606C">
            <w:pPr>
              <w:spacing w:after="0" w:line="240" w:lineRule="auto"/>
              <w:rPr>
                <w:rFonts w:cs="Arial"/>
              </w:rPr>
            </w:pPr>
            <w:r w:rsidRPr="00F4606C">
              <w:rPr>
                <w:rFonts w:cs="Arial"/>
              </w:rPr>
              <w:t>Assessable foreign source income</w:t>
            </w:r>
          </w:p>
        </w:tc>
        <w:tc>
          <w:tcPr>
            <w:tcW w:w="1134" w:type="dxa"/>
            <w:vAlign w:val="center"/>
          </w:tcPr>
          <w:p w14:paraId="59FEC664" w14:textId="77777777" w:rsidR="00115458" w:rsidRPr="00F4606C" w:rsidRDefault="00115458" w:rsidP="00F4606C">
            <w:pPr>
              <w:spacing w:after="0" w:line="240" w:lineRule="auto"/>
              <w:rPr>
                <w:rFonts w:cs="Arial"/>
              </w:rPr>
            </w:pPr>
            <w:r w:rsidRPr="00F4606C">
              <w:rPr>
                <w:rFonts w:cs="Arial"/>
              </w:rPr>
              <w:t>FSI</w:t>
            </w:r>
          </w:p>
        </w:tc>
        <w:tc>
          <w:tcPr>
            <w:tcW w:w="709" w:type="dxa"/>
            <w:vAlign w:val="center"/>
          </w:tcPr>
          <w:p w14:paraId="1E0DC9DD" w14:textId="77777777" w:rsidR="00115458" w:rsidRPr="00F4606C" w:rsidRDefault="00115458" w:rsidP="00F4606C">
            <w:pPr>
              <w:spacing w:after="0" w:line="240" w:lineRule="auto"/>
              <w:jc w:val="center"/>
              <w:rPr>
                <w:rFonts w:cs="Arial"/>
              </w:rPr>
            </w:pPr>
          </w:p>
          <w:p w14:paraId="1205ED78" w14:textId="77777777" w:rsidR="00115458" w:rsidRPr="00F4606C" w:rsidRDefault="00115458" w:rsidP="00F4606C">
            <w:pPr>
              <w:spacing w:after="0" w:line="240" w:lineRule="auto"/>
              <w:jc w:val="center"/>
              <w:rPr>
                <w:rFonts w:cs="Arial"/>
              </w:rPr>
            </w:pPr>
            <w:r w:rsidRPr="00F4606C">
              <w:rPr>
                <w:rFonts w:cs="Arial"/>
              </w:rPr>
              <w:t>Y*</w:t>
            </w:r>
          </w:p>
          <w:p w14:paraId="0873C154" w14:textId="77777777" w:rsidR="00115458" w:rsidRPr="00F4606C" w:rsidRDefault="00115458" w:rsidP="00F4606C">
            <w:pPr>
              <w:spacing w:after="0" w:line="240" w:lineRule="auto"/>
              <w:jc w:val="center"/>
              <w:rPr>
                <w:rFonts w:cs="Arial"/>
              </w:rPr>
            </w:pPr>
          </w:p>
        </w:tc>
        <w:tc>
          <w:tcPr>
            <w:tcW w:w="850" w:type="dxa"/>
            <w:vMerge w:val="restart"/>
            <w:vAlign w:val="center"/>
          </w:tcPr>
          <w:p w14:paraId="5BCC77D9" w14:textId="77777777" w:rsidR="00115458" w:rsidRPr="00F4606C" w:rsidRDefault="00115458" w:rsidP="00F4606C">
            <w:pPr>
              <w:spacing w:after="0" w:line="240" w:lineRule="auto"/>
              <w:jc w:val="center"/>
              <w:rPr>
                <w:rFonts w:cs="Arial"/>
              </w:rPr>
            </w:pPr>
            <w:r w:rsidRPr="00F4606C">
              <w:rPr>
                <w:rFonts w:cs="Arial"/>
              </w:rPr>
              <w:t>20E</w:t>
            </w:r>
          </w:p>
        </w:tc>
        <w:tc>
          <w:tcPr>
            <w:tcW w:w="3969" w:type="dxa"/>
            <w:vMerge w:val="restart"/>
            <w:vAlign w:val="center"/>
          </w:tcPr>
          <w:p w14:paraId="4E1EB2D9" w14:textId="77777777" w:rsidR="00115458" w:rsidRPr="00F4606C" w:rsidRDefault="00115458" w:rsidP="00F4606C">
            <w:pPr>
              <w:spacing w:after="0" w:line="240" w:lineRule="auto"/>
              <w:rPr>
                <w:rFonts w:cs="Arial"/>
              </w:rPr>
            </w:pPr>
            <w:r w:rsidRPr="00F4606C">
              <w:rPr>
                <w:rFonts w:cs="Arial"/>
              </w:rPr>
              <w:t>Assessable foreign source income</w:t>
            </w:r>
          </w:p>
        </w:tc>
      </w:tr>
      <w:tr w:rsidR="00115458" w:rsidRPr="00944B5E" w14:paraId="103053EB" w14:textId="77777777" w:rsidTr="000C1365">
        <w:trPr>
          <w:cantSplit/>
          <w:trHeight w:val="272"/>
        </w:trPr>
        <w:tc>
          <w:tcPr>
            <w:tcW w:w="901" w:type="dxa"/>
            <w:vMerge/>
            <w:vAlign w:val="center"/>
          </w:tcPr>
          <w:p w14:paraId="030E2C30" w14:textId="77777777" w:rsidR="00115458" w:rsidRPr="00F4606C" w:rsidRDefault="00115458" w:rsidP="00F4606C">
            <w:pPr>
              <w:spacing w:after="0" w:line="240" w:lineRule="auto"/>
              <w:jc w:val="center"/>
              <w:rPr>
                <w:rFonts w:cs="Arial"/>
                <w:noProof/>
              </w:rPr>
            </w:pPr>
          </w:p>
        </w:tc>
        <w:tc>
          <w:tcPr>
            <w:tcW w:w="1793" w:type="dxa"/>
            <w:vMerge/>
            <w:vAlign w:val="center"/>
          </w:tcPr>
          <w:p w14:paraId="51C1E017" w14:textId="77777777" w:rsidR="00115458" w:rsidRPr="00F4606C" w:rsidRDefault="00115458" w:rsidP="00F4606C">
            <w:pPr>
              <w:spacing w:after="0" w:line="240" w:lineRule="auto"/>
              <w:rPr>
                <w:rFonts w:cs="Arial"/>
              </w:rPr>
            </w:pPr>
          </w:p>
        </w:tc>
        <w:tc>
          <w:tcPr>
            <w:tcW w:w="1134" w:type="dxa"/>
            <w:vAlign w:val="center"/>
          </w:tcPr>
          <w:p w14:paraId="15BEA41C"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4DAA70CE"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vAlign w:val="center"/>
          </w:tcPr>
          <w:p w14:paraId="1EB6763D" w14:textId="77777777" w:rsidR="00115458" w:rsidRPr="00F4606C" w:rsidRDefault="00115458" w:rsidP="00F4606C">
            <w:pPr>
              <w:spacing w:after="0" w:line="240" w:lineRule="auto"/>
              <w:jc w:val="center"/>
              <w:rPr>
                <w:rFonts w:cs="Arial"/>
              </w:rPr>
            </w:pPr>
          </w:p>
        </w:tc>
        <w:tc>
          <w:tcPr>
            <w:tcW w:w="3969" w:type="dxa"/>
            <w:vMerge/>
            <w:vAlign w:val="center"/>
          </w:tcPr>
          <w:p w14:paraId="58E2CF1C" w14:textId="77777777" w:rsidR="00115458" w:rsidRPr="00F4606C" w:rsidRDefault="00115458" w:rsidP="00F4606C">
            <w:pPr>
              <w:spacing w:after="0" w:line="240" w:lineRule="auto"/>
              <w:rPr>
                <w:rFonts w:cs="Arial"/>
              </w:rPr>
            </w:pPr>
          </w:p>
        </w:tc>
      </w:tr>
      <w:tr w:rsidR="00115458" w:rsidRPr="00944B5E" w14:paraId="5F390B66" w14:textId="77777777" w:rsidTr="000C1365">
        <w:trPr>
          <w:cantSplit/>
          <w:trHeight w:val="272"/>
        </w:trPr>
        <w:tc>
          <w:tcPr>
            <w:tcW w:w="901" w:type="dxa"/>
            <w:vMerge w:val="restart"/>
            <w:vAlign w:val="center"/>
          </w:tcPr>
          <w:p w14:paraId="291023AE" w14:textId="77777777" w:rsidR="00115458" w:rsidRPr="00F4606C" w:rsidRDefault="00115458" w:rsidP="00F4606C">
            <w:pPr>
              <w:spacing w:after="0" w:line="240" w:lineRule="auto"/>
              <w:jc w:val="center"/>
              <w:rPr>
                <w:rFonts w:cs="Arial"/>
                <w:b/>
              </w:rPr>
            </w:pPr>
            <w:r w:rsidRPr="00F4606C">
              <w:rPr>
                <w:rFonts w:cs="Arial"/>
                <w:noProof/>
              </w:rPr>
              <w:t>9.92</w:t>
            </w:r>
          </w:p>
        </w:tc>
        <w:tc>
          <w:tcPr>
            <w:tcW w:w="1793" w:type="dxa"/>
            <w:vMerge w:val="restart"/>
            <w:vAlign w:val="center"/>
          </w:tcPr>
          <w:p w14:paraId="6B35A4B9" w14:textId="77777777" w:rsidR="00115458" w:rsidRPr="00F4606C" w:rsidRDefault="00115458" w:rsidP="00F4606C">
            <w:pPr>
              <w:spacing w:after="0" w:line="240" w:lineRule="auto"/>
              <w:rPr>
                <w:rFonts w:cs="Arial"/>
              </w:rPr>
            </w:pPr>
            <w:r w:rsidRPr="00F4606C">
              <w:rPr>
                <w:rFonts w:cs="Arial"/>
              </w:rPr>
              <w:t>Other net foreign source income</w:t>
            </w:r>
          </w:p>
        </w:tc>
        <w:tc>
          <w:tcPr>
            <w:tcW w:w="1134" w:type="dxa"/>
            <w:vAlign w:val="center"/>
          </w:tcPr>
          <w:p w14:paraId="03FD373C" w14:textId="77777777" w:rsidR="00115458" w:rsidRPr="00F4606C" w:rsidRDefault="00115458" w:rsidP="00F4606C">
            <w:pPr>
              <w:spacing w:after="0" w:line="240" w:lineRule="auto"/>
              <w:rPr>
                <w:rFonts w:cs="Arial"/>
              </w:rPr>
            </w:pPr>
            <w:r w:rsidRPr="00F4606C">
              <w:rPr>
                <w:rFonts w:cs="Arial"/>
              </w:rPr>
              <w:t>FSI</w:t>
            </w:r>
          </w:p>
        </w:tc>
        <w:tc>
          <w:tcPr>
            <w:tcW w:w="709" w:type="dxa"/>
            <w:vAlign w:val="center"/>
          </w:tcPr>
          <w:p w14:paraId="243CAD2C"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val="restart"/>
            <w:vAlign w:val="center"/>
          </w:tcPr>
          <w:p w14:paraId="46CC498D" w14:textId="77777777" w:rsidR="00115458" w:rsidRPr="00F4606C" w:rsidRDefault="00115458" w:rsidP="00F4606C">
            <w:pPr>
              <w:spacing w:after="0" w:line="240" w:lineRule="auto"/>
              <w:jc w:val="center"/>
              <w:rPr>
                <w:rFonts w:cs="Arial"/>
              </w:rPr>
            </w:pPr>
            <w:r w:rsidRPr="00F4606C">
              <w:rPr>
                <w:rFonts w:cs="Arial"/>
              </w:rPr>
              <w:t>20M</w:t>
            </w:r>
          </w:p>
        </w:tc>
        <w:tc>
          <w:tcPr>
            <w:tcW w:w="3969" w:type="dxa"/>
            <w:vMerge w:val="restart"/>
            <w:vAlign w:val="center"/>
          </w:tcPr>
          <w:p w14:paraId="262E7486" w14:textId="77777777" w:rsidR="00115458" w:rsidRPr="00F4606C" w:rsidRDefault="00115458" w:rsidP="00F4606C">
            <w:pPr>
              <w:spacing w:after="0" w:line="240" w:lineRule="auto"/>
              <w:rPr>
                <w:rFonts w:cs="Arial"/>
              </w:rPr>
            </w:pPr>
            <w:r w:rsidRPr="00F4606C">
              <w:rPr>
                <w:rFonts w:cs="Arial"/>
              </w:rPr>
              <w:t>Other net foreign source income</w:t>
            </w:r>
          </w:p>
        </w:tc>
      </w:tr>
      <w:tr w:rsidR="00115458" w:rsidRPr="00944B5E" w14:paraId="7B0491C5" w14:textId="77777777" w:rsidTr="000C1365">
        <w:trPr>
          <w:cantSplit/>
          <w:trHeight w:val="272"/>
        </w:trPr>
        <w:tc>
          <w:tcPr>
            <w:tcW w:w="901" w:type="dxa"/>
            <w:vMerge/>
            <w:tcBorders>
              <w:bottom w:val="single" w:sz="4" w:space="0" w:color="auto"/>
            </w:tcBorders>
            <w:vAlign w:val="center"/>
          </w:tcPr>
          <w:p w14:paraId="2A773647"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vAlign w:val="center"/>
          </w:tcPr>
          <w:p w14:paraId="3A69FCB0" w14:textId="77777777" w:rsidR="00115458" w:rsidRPr="00F4606C" w:rsidRDefault="00115458" w:rsidP="00F4606C">
            <w:pPr>
              <w:spacing w:after="0" w:line="240" w:lineRule="auto"/>
              <w:rPr>
                <w:rFonts w:cs="Arial"/>
              </w:rPr>
            </w:pPr>
          </w:p>
        </w:tc>
        <w:tc>
          <w:tcPr>
            <w:tcW w:w="1134" w:type="dxa"/>
            <w:tcBorders>
              <w:bottom w:val="single" w:sz="4" w:space="0" w:color="auto"/>
            </w:tcBorders>
            <w:vAlign w:val="center"/>
          </w:tcPr>
          <w:p w14:paraId="0F0FBCF0" w14:textId="77777777" w:rsidR="00115458" w:rsidRPr="00F4606C" w:rsidRDefault="00115458" w:rsidP="00F4606C">
            <w:pPr>
              <w:spacing w:after="0" w:line="240" w:lineRule="auto"/>
              <w:rPr>
                <w:rFonts w:cs="Arial"/>
              </w:rPr>
            </w:pPr>
            <w:r w:rsidRPr="00F4606C">
              <w:rPr>
                <w:rFonts w:cs="Arial"/>
              </w:rPr>
              <w:t>UTD,AMT</w:t>
            </w:r>
          </w:p>
        </w:tc>
        <w:tc>
          <w:tcPr>
            <w:tcW w:w="709" w:type="dxa"/>
            <w:tcBorders>
              <w:bottom w:val="single" w:sz="4" w:space="0" w:color="auto"/>
            </w:tcBorders>
            <w:vAlign w:val="center"/>
          </w:tcPr>
          <w:p w14:paraId="69D00439"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tcBorders>
              <w:bottom w:val="single" w:sz="4" w:space="0" w:color="auto"/>
            </w:tcBorders>
            <w:vAlign w:val="center"/>
          </w:tcPr>
          <w:p w14:paraId="6C3EF205" w14:textId="77777777" w:rsidR="00115458" w:rsidRPr="00F4606C" w:rsidRDefault="00115458" w:rsidP="00F4606C">
            <w:pPr>
              <w:spacing w:after="0" w:line="240" w:lineRule="auto"/>
              <w:jc w:val="center"/>
              <w:rPr>
                <w:rFonts w:cs="Arial"/>
              </w:rPr>
            </w:pPr>
          </w:p>
        </w:tc>
        <w:tc>
          <w:tcPr>
            <w:tcW w:w="3969" w:type="dxa"/>
            <w:vMerge/>
            <w:tcBorders>
              <w:bottom w:val="single" w:sz="4" w:space="0" w:color="auto"/>
            </w:tcBorders>
            <w:vAlign w:val="center"/>
          </w:tcPr>
          <w:p w14:paraId="45D7988F" w14:textId="77777777" w:rsidR="00115458" w:rsidRPr="00F4606C" w:rsidRDefault="00115458" w:rsidP="00F4606C">
            <w:pPr>
              <w:spacing w:after="0" w:line="240" w:lineRule="auto"/>
              <w:rPr>
                <w:rFonts w:cs="Arial"/>
              </w:rPr>
            </w:pPr>
          </w:p>
        </w:tc>
      </w:tr>
      <w:tr w:rsidR="00115458" w:rsidRPr="00944B5E" w14:paraId="09DD79B5" w14:textId="77777777" w:rsidTr="000C1365">
        <w:trPr>
          <w:cantSplit/>
          <w:trHeight w:val="272"/>
        </w:trPr>
        <w:tc>
          <w:tcPr>
            <w:tcW w:w="901" w:type="dxa"/>
            <w:vMerge w:val="restart"/>
            <w:vAlign w:val="center"/>
          </w:tcPr>
          <w:p w14:paraId="79591B03" w14:textId="77777777" w:rsidR="00115458" w:rsidRPr="00F4606C" w:rsidRDefault="00115458" w:rsidP="00F4606C">
            <w:pPr>
              <w:spacing w:after="0" w:line="240" w:lineRule="auto"/>
              <w:jc w:val="center"/>
              <w:rPr>
                <w:rFonts w:cs="Arial"/>
                <w:noProof/>
              </w:rPr>
            </w:pPr>
            <w:r w:rsidRPr="00F4606C">
              <w:rPr>
                <w:rFonts w:cs="Arial"/>
                <w:noProof/>
              </w:rPr>
              <w:t>9.93</w:t>
            </w:r>
          </w:p>
        </w:tc>
        <w:tc>
          <w:tcPr>
            <w:tcW w:w="1793" w:type="dxa"/>
            <w:vMerge w:val="restart"/>
            <w:vAlign w:val="center"/>
          </w:tcPr>
          <w:p w14:paraId="6A6E4A62" w14:textId="77777777" w:rsidR="00115458" w:rsidRPr="00F4606C" w:rsidRDefault="00115458" w:rsidP="00F4606C">
            <w:pPr>
              <w:spacing w:after="0" w:line="240" w:lineRule="auto"/>
              <w:rPr>
                <w:rFonts w:cs="Arial"/>
              </w:rPr>
            </w:pPr>
            <w:r w:rsidRPr="00F4606C">
              <w:rPr>
                <w:rFonts w:cs="Arial"/>
              </w:rPr>
              <w:t>Foreign income tax offset</w:t>
            </w:r>
          </w:p>
        </w:tc>
        <w:tc>
          <w:tcPr>
            <w:tcW w:w="1134" w:type="dxa"/>
            <w:tcBorders>
              <w:bottom w:val="single" w:sz="4" w:space="0" w:color="auto"/>
            </w:tcBorders>
            <w:vAlign w:val="center"/>
          </w:tcPr>
          <w:p w14:paraId="24287B07" w14:textId="77777777" w:rsidR="00115458" w:rsidRPr="00F4606C" w:rsidRDefault="00115458" w:rsidP="00F4606C">
            <w:pPr>
              <w:spacing w:after="0" w:line="240" w:lineRule="auto"/>
              <w:rPr>
                <w:rFonts w:cs="Arial"/>
              </w:rPr>
            </w:pPr>
            <w:r w:rsidRPr="00F4606C">
              <w:rPr>
                <w:rFonts w:cs="Arial"/>
              </w:rPr>
              <w:t>FSI</w:t>
            </w:r>
          </w:p>
        </w:tc>
        <w:tc>
          <w:tcPr>
            <w:tcW w:w="709" w:type="dxa"/>
            <w:vAlign w:val="center"/>
          </w:tcPr>
          <w:p w14:paraId="400484D3"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val="restart"/>
            <w:vAlign w:val="center"/>
          </w:tcPr>
          <w:p w14:paraId="08685EDC" w14:textId="77777777" w:rsidR="00115458" w:rsidRPr="00F4606C" w:rsidRDefault="00115458" w:rsidP="00F4606C">
            <w:pPr>
              <w:spacing w:after="0" w:line="240" w:lineRule="auto"/>
              <w:jc w:val="center"/>
              <w:rPr>
                <w:rFonts w:cs="Arial"/>
              </w:rPr>
            </w:pPr>
            <w:r w:rsidRPr="00F4606C">
              <w:rPr>
                <w:rFonts w:cs="Arial"/>
              </w:rPr>
              <w:t>20O</w:t>
            </w:r>
          </w:p>
        </w:tc>
        <w:tc>
          <w:tcPr>
            <w:tcW w:w="3969" w:type="dxa"/>
            <w:vMerge w:val="restart"/>
            <w:vAlign w:val="center"/>
          </w:tcPr>
          <w:p w14:paraId="270BC6FC" w14:textId="77777777" w:rsidR="00115458" w:rsidRPr="00F4606C" w:rsidRDefault="00115458" w:rsidP="00F4606C">
            <w:pPr>
              <w:spacing w:after="0" w:line="240" w:lineRule="auto"/>
              <w:rPr>
                <w:rFonts w:cs="Arial"/>
              </w:rPr>
            </w:pPr>
            <w:r w:rsidRPr="00F4606C">
              <w:rPr>
                <w:rFonts w:cs="Arial"/>
              </w:rPr>
              <w:t>Foreign income tax offset</w:t>
            </w:r>
          </w:p>
        </w:tc>
      </w:tr>
      <w:tr w:rsidR="00115458" w:rsidRPr="00944B5E" w14:paraId="612CBFAC" w14:textId="77777777" w:rsidTr="000C1365">
        <w:trPr>
          <w:cantSplit/>
          <w:trHeight w:val="356"/>
        </w:trPr>
        <w:tc>
          <w:tcPr>
            <w:tcW w:w="901" w:type="dxa"/>
            <w:vMerge/>
            <w:tcBorders>
              <w:bottom w:val="single" w:sz="4" w:space="0" w:color="auto"/>
            </w:tcBorders>
            <w:vAlign w:val="center"/>
          </w:tcPr>
          <w:p w14:paraId="1092C529"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vAlign w:val="center"/>
          </w:tcPr>
          <w:p w14:paraId="69A27668" w14:textId="77777777" w:rsidR="00115458" w:rsidRPr="00F4606C" w:rsidRDefault="00115458" w:rsidP="00F4606C">
            <w:pPr>
              <w:spacing w:after="0" w:line="240" w:lineRule="auto"/>
              <w:rPr>
                <w:rFonts w:cs="Arial"/>
              </w:rPr>
            </w:pPr>
          </w:p>
        </w:tc>
        <w:tc>
          <w:tcPr>
            <w:tcW w:w="1134" w:type="dxa"/>
            <w:tcBorders>
              <w:bottom w:val="single" w:sz="4" w:space="0" w:color="auto"/>
            </w:tcBorders>
            <w:vAlign w:val="center"/>
          </w:tcPr>
          <w:p w14:paraId="18A55CAF"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tcPr>
          <w:p w14:paraId="1AE16471"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tcBorders>
              <w:bottom w:val="single" w:sz="4" w:space="0" w:color="auto"/>
            </w:tcBorders>
            <w:vAlign w:val="center"/>
          </w:tcPr>
          <w:p w14:paraId="53D705BC" w14:textId="77777777" w:rsidR="00115458" w:rsidRPr="00F4606C" w:rsidRDefault="00115458" w:rsidP="00F4606C">
            <w:pPr>
              <w:spacing w:after="0" w:line="240" w:lineRule="auto"/>
              <w:jc w:val="center"/>
              <w:rPr>
                <w:rFonts w:cs="Arial"/>
              </w:rPr>
            </w:pPr>
          </w:p>
        </w:tc>
        <w:tc>
          <w:tcPr>
            <w:tcW w:w="3969" w:type="dxa"/>
            <w:vMerge/>
            <w:tcBorders>
              <w:bottom w:val="single" w:sz="4" w:space="0" w:color="auto"/>
            </w:tcBorders>
            <w:vAlign w:val="center"/>
          </w:tcPr>
          <w:p w14:paraId="7B03F075" w14:textId="77777777" w:rsidR="00115458" w:rsidRPr="00F4606C" w:rsidRDefault="00115458" w:rsidP="00F4606C">
            <w:pPr>
              <w:spacing w:after="0" w:line="240" w:lineRule="auto"/>
              <w:rPr>
                <w:rFonts w:cs="Arial"/>
              </w:rPr>
            </w:pPr>
          </w:p>
        </w:tc>
      </w:tr>
      <w:tr w:rsidR="00115458" w:rsidRPr="00944B5E" w14:paraId="3BCD0141" w14:textId="77777777" w:rsidTr="000C1365">
        <w:trPr>
          <w:cantSplit/>
          <w:trHeight w:val="272"/>
        </w:trPr>
        <w:tc>
          <w:tcPr>
            <w:tcW w:w="901" w:type="dxa"/>
            <w:vMerge w:val="restart"/>
            <w:vAlign w:val="center"/>
          </w:tcPr>
          <w:p w14:paraId="0CC21D67" w14:textId="77777777" w:rsidR="00115458" w:rsidRPr="00F4606C" w:rsidRDefault="00115458" w:rsidP="00F4606C">
            <w:pPr>
              <w:spacing w:after="0" w:line="240" w:lineRule="auto"/>
              <w:jc w:val="center"/>
              <w:rPr>
                <w:rFonts w:cs="Arial"/>
                <w:b/>
              </w:rPr>
            </w:pPr>
            <w:r w:rsidRPr="00F4606C">
              <w:rPr>
                <w:rFonts w:cs="Arial"/>
                <w:noProof/>
              </w:rPr>
              <w:t>9.94</w:t>
            </w:r>
          </w:p>
        </w:tc>
        <w:tc>
          <w:tcPr>
            <w:tcW w:w="1793" w:type="dxa"/>
            <w:vMerge w:val="restart"/>
            <w:vAlign w:val="center"/>
          </w:tcPr>
          <w:p w14:paraId="0DEEABD2" w14:textId="77777777" w:rsidR="00115458" w:rsidRPr="00F4606C" w:rsidRDefault="00115458" w:rsidP="00F4606C">
            <w:pPr>
              <w:spacing w:after="0" w:line="240" w:lineRule="auto"/>
              <w:rPr>
                <w:rFonts w:cs="Arial"/>
              </w:rPr>
            </w:pPr>
            <w:r w:rsidRPr="00F4606C">
              <w:rPr>
                <w:rFonts w:cs="Arial"/>
              </w:rPr>
              <w:t>Australian franking credits from a New Zealand franking company</w:t>
            </w:r>
          </w:p>
        </w:tc>
        <w:tc>
          <w:tcPr>
            <w:tcW w:w="1134" w:type="dxa"/>
            <w:vAlign w:val="center"/>
          </w:tcPr>
          <w:p w14:paraId="184261FF" w14:textId="77777777" w:rsidR="00115458" w:rsidRPr="00F4606C" w:rsidRDefault="00115458" w:rsidP="00F4606C">
            <w:pPr>
              <w:spacing w:after="0" w:line="240" w:lineRule="auto"/>
              <w:rPr>
                <w:rFonts w:cs="Arial"/>
              </w:rPr>
            </w:pPr>
            <w:r w:rsidRPr="00F4606C">
              <w:rPr>
                <w:rFonts w:cs="Arial"/>
              </w:rPr>
              <w:t>FSI</w:t>
            </w:r>
          </w:p>
        </w:tc>
        <w:tc>
          <w:tcPr>
            <w:tcW w:w="709" w:type="dxa"/>
          </w:tcPr>
          <w:p w14:paraId="45B62AC9"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val="restart"/>
            <w:vAlign w:val="center"/>
          </w:tcPr>
          <w:p w14:paraId="78942EDE" w14:textId="77777777" w:rsidR="00115458" w:rsidRPr="00F4606C" w:rsidRDefault="00115458" w:rsidP="00F4606C">
            <w:pPr>
              <w:spacing w:after="0" w:line="240" w:lineRule="auto"/>
              <w:rPr>
                <w:rFonts w:cs="Arial"/>
              </w:rPr>
            </w:pPr>
            <w:r w:rsidRPr="00F4606C">
              <w:rPr>
                <w:rFonts w:cs="Arial"/>
              </w:rPr>
              <w:t xml:space="preserve">  20F</w:t>
            </w:r>
          </w:p>
        </w:tc>
        <w:tc>
          <w:tcPr>
            <w:tcW w:w="3969" w:type="dxa"/>
            <w:vMerge w:val="restart"/>
            <w:vAlign w:val="center"/>
          </w:tcPr>
          <w:p w14:paraId="67D6F049" w14:textId="77777777" w:rsidR="00115458" w:rsidRPr="00F4606C" w:rsidRDefault="00115458" w:rsidP="00F4606C">
            <w:pPr>
              <w:spacing w:after="0" w:line="240" w:lineRule="auto"/>
              <w:rPr>
                <w:rFonts w:cs="Arial"/>
              </w:rPr>
            </w:pPr>
            <w:r w:rsidRPr="00F4606C">
              <w:rPr>
                <w:rFonts w:cs="Arial"/>
              </w:rPr>
              <w:t>Australian franking credits from a New Zealand franking company</w:t>
            </w:r>
          </w:p>
        </w:tc>
      </w:tr>
      <w:tr w:rsidR="00115458" w:rsidRPr="00944B5E" w14:paraId="54EBA9C5" w14:textId="77777777" w:rsidTr="000C1365">
        <w:trPr>
          <w:cantSplit/>
          <w:trHeight w:val="272"/>
        </w:trPr>
        <w:tc>
          <w:tcPr>
            <w:tcW w:w="901" w:type="dxa"/>
            <w:vMerge/>
            <w:tcBorders>
              <w:bottom w:val="single" w:sz="4" w:space="0" w:color="auto"/>
            </w:tcBorders>
            <w:vAlign w:val="center"/>
          </w:tcPr>
          <w:p w14:paraId="42B5E132"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vAlign w:val="center"/>
          </w:tcPr>
          <w:p w14:paraId="568D190C" w14:textId="77777777" w:rsidR="00115458" w:rsidRPr="00F4606C" w:rsidRDefault="00115458" w:rsidP="00F4606C">
            <w:pPr>
              <w:spacing w:after="0" w:line="240" w:lineRule="auto"/>
              <w:rPr>
                <w:rFonts w:cs="Arial"/>
              </w:rPr>
            </w:pPr>
          </w:p>
        </w:tc>
        <w:tc>
          <w:tcPr>
            <w:tcW w:w="1134" w:type="dxa"/>
            <w:tcBorders>
              <w:bottom w:val="single" w:sz="4" w:space="0" w:color="auto"/>
            </w:tcBorders>
            <w:vAlign w:val="center"/>
          </w:tcPr>
          <w:p w14:paraId="7E06D20C"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tcPr>
          <w:p w14:paraId="66B51DC1" w14:textId="77777777" w:rsidR="00115458" w:rsidRPr="00F4606C" w:rsidRDefault="00115458" w:rsidP="00F4606C">
            <w:pPr>
              <w:spacing w:after="0" w:line="240" w:lineRule="auto"/>
              <w:jc w:val="center"/>
              <w:rPr>
                <w:rFonts w:cs="Arial"/>
              </w:rPr>
            </w:pPr>
            <w:r w:rsidRPr="00F4606C">
              <w:rPr>
                <w:rFonts w:cs="Arial"/>
              </w:rPr>
              <w:t>Y</w:t>
            </w:r>
          </w:p>
        </w:tc>
        <w:tc>
          <w:tcPr>
            <w:tcW w:w="850" w:type="dxa"/>
            <w:vMerge/>
            <w:tcBorders>
              <w:bottom w:val="single" w:sz="4" w:space="0" w:color="auto"/>
            </w:tcBorders>
            <w:vAlign w:val="center"/>
          </w:tcPr>
          <w:p w14:paraId="4D4357A5" w14:textId="77777777" w:rsidR="00115458" w:rsidRPr="00F4606C" w:rsidRDefault="00115458" w:rsidP="00F4606C">
            <w:pPr>
              <w:spacing w:after="0" w:line="240" w:lineRule="auto"/>
              <w:jc w:val="center"/>
              <w:rPr>
                <w:rFonts w:cs="Arial"/>
              </w:rPr>
            </w:pPr>
          </w:p>
        </w:tc>
        <w:tc>
          <w:tcPr>
            <w:tcW w:w="3969" w:type="dxa"/>
            <w:vMerge/>
            <w:tcBorders>
              <w:bottom w:val="single" w:sz="4" w:space="0" w:color="auto"/>
            </w:tcBorders>
            <w:vAlign w:val="center"/>
          </w:tcPr>
          <w:p w14:paraId="2B862950" w14:textId="77777777" w:rsidR="00115458" w:rsidRPr="00F4606C" w:rsidRDefault="00115458" w:rsidP="00F4606C">
            <w:pPr>
              <w:spacing w:after="0" w:line="240" w:lineRule="auto"/>
              <w:rPr>
                <w:rFonts w:cs="Arial"/>
              </w:rPr>
            </w:pPr>
          </w:p>
        </w:tc>
      </w:tr>
      <w:tr w:rsidR="00115458" w:rsidRPr="00944B5E" w14:paraId="53033CD7" w14:textId="77777777" w:rsidTr="000C1365">
        <w:trPr>
          <w:cantSplit/>
          <w:trHeight w:val="272"/>
        </w:trPr>
        <w:tc>
          <w:tcPr>
            <w:tcW w:w="901" w:type="dxa"/>
            <w:vAlign w:val="center"/>
          </w:tcPr>
          <w:p w14:paraId="6FDCBDE2" w14:textId="77777777" w:rsidR="00115458" w:rsidRPr="00F4606C" w:rsidRDefault="00115458" w:rsidP="00F4606C">
            <w:pPr>
              <w:spacing w:after="0" w:line="240" w:lineRule="auto"/>
              <w:jc w:val="center"/>
              <w:rPr>
                <w:rFonts w:cs="Arial"/>
                <w:noProof/>
              </w:rPr>
            </w:pPr>
            <w:r w:rsidRPr="00F4606C">
              <w:rPr>
                <w:rFonts w:cs="Arial"/>
                <w:noProof/>
              </w:rPr>
              <w:t>9.95</w:t>
            </w:r>
          </w:p>
        </w:tc>
        <w:tc>
          <w:tcPr>
            <w:tcW w:w="1793" w:type="dxa"/>
            <w:vAlign w:val="center"/>
          </w:tcPr>
          <w:p w14:paraId="026D86B5" w14:textId="77777777" w:rsidR="00115458" w:rsidRPr="00F4606C" w:rsidRDefault="00115458" w:rsidP="00F4606C">
            <w:pPr>
              <w:spacing w:after="0" w:line="240" w:lineRule="auto"/>
              <w:rPr>
                <w:rFonts w:cs="Arial"/>
              </w:rPr>
            </w:pPr>
            <w:r w:rsidRPr="00F4606C">
              <w:rPr>
                <w:rFonts w:cs="Arial"/>
              </w:rPr>
              <w:t>Net exempt income</w:t>
            </w:r>
          </w:p>
        </w:tc>
        <w:tc>
          <w:tcPr>
            <w:tcW w:w="1134" w:type="dxa"/>
            <w:vAlign w:val="center"/>
          </w:tcPr>
          <w:p w14:paraId="3ED58E1E" w14:textId="77777777" w:rsidR="00115458" w:rsidRPr="00F4606C" w:rsidRDefault="00115458" w:rsidP="00F4606C">
            <w:pPr>
              <w:spacing w:after="0" w:line="240" w:lineRule="auto"/>
              <w:rPr>
                <w:rFonts w:cs="Arial"/>
              </w:rPr>
            </w:pPr>
            <w:r w:rsidRPr="00F4606C">
              <w:rPr>
                <w:rFonts w:cs="Arial"/>
              </w:rPr>
              <w:t>UTD, AMT</w:t>
            </w:r>
          </w:p>
        </w:tc>
        <w:tc>
          <w:tcPr>
            <w:tcW w:w="709" w:type="dxa"/>
          </w:tcPr>
          <w:p w14:paraId="21B9EFDE"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7533CF64" w14:textId="77777777" w:rsidR="00115458" w:rsidRPr="00F4606C" w:rsidRDefault="00115458" w:rsidP="00F4606C">
            <w:pPr>
              <w:spacing w:after="0" w:line="240" w:lineRule="auto"/>
              <w:jc w:val="center"/>
              <w:rPr>
                <w:rFonts w:cs="Arial"/>
              </w:rPr>
            </w:pPr>
          </w:p>
        </w:tc>
        <w:tc>
          <w:tcPr>
            <w:tcW w:w="3969" w:type="dxa"/>
            <w:vAlign w:val="center"/>
          </w:tcPr>
          <w:p w14:paraId="5FA834EC" w14:textId="77777777" w:rsidR="00115458" w:rsidRPr="00F4606C" w:rsidRDefault="00115458" w:rsidP="00F4606C">
            <w:pPr>
              <w:spacing w:after="0" w:line="240" w:lineRule="auto"/>
              <w:rPr>
                <w:rFonts w:cs="Arial"/>
              </w:rPr>
            </w:pPr>
          </w:p>
        </w:tc>
      </w:tr>
      <w:tr w:rsidR="00115458" w:rsidRPr="00944B5E" w14:paraId="60D4B3C1" w14:textId="77777777" w:rsidTr="000C1365">
        <w:trPr>
          <w:cantSplit/>
          <w:trHeight w:val="272"/>
        </w:trPr>
        <w:tc>
          <w:tcPr>
            <w:tcW w:w="901" w:type="dxa"/>
            <w:vAlign w:val="center"/>
          </w:tcPr>
          <w:p w14:paraId="3E41EEA7" w14:textId="77777777" w:rsidR="00115458" w:rsidRPr="00F4606C" w:rsidRDefault="00115458" w:rsidP="00F4606C">
            <w:pPr>
              <w:spacing w:after="0" w:line="240" w:lineRule="auto"/>
              <w:jc w:val="center"/>
              <w:rPr>
                <w:rFonts w:cs="Arial"/>
                <w:noProof/>
              </w:rPr>
            </w:pPr>
            <w:r w:rsidRPr="00F4606C">
              <w:rPr>
                <w:rFonts w:cs="Arial"/>
                <w:noProof/>
              </w:rPr>
              <w:t>9.96</w:t>
            </w:r>
          </w:p>
        </w:tc>
        <w:tc>
          <w:tcPr>
            <w:tcW w:w="1793" w:type="dxa"/>
            <w:vAlign w:val="center"/>
          </w:tcPr>
          <w:p w14:paraId="026D61C0" w14:textId="77777777" w:rsidR="00115458" w:rsidRPr="00F4606C" w:rsidRDefault="00115458" w:rsidP="00F4606C">
            <w:pPr>
              <w:spacing w:after="0" w:line="240" w:lineRule="auto"/>
              <w:rPr>
                <w:rFonts w:cs="Arial"/>
              </w:rPr>
            </w:pPr>
            <w:r w:rsidRPr="00F4606C">
              <w:rPr>
                <w:rFonts w:cs="Arial"/>
              </w:rPr>
              <w:t>Tax-free amounts</w:t>
            </w:r>
          </w:p>
        </w:tc>
        <w:tc>
          <w:tcPr>
            <w:tcW w:w="1134" w:type="dxa"/>
            <w:vAlign w:val="center"/>
          </w:tcPr>
          <w:p w14:paraId="394BB780" w14:textId="77777777" w:rsidR="00115458" w:rsidRPr="00F4606C" w:rsidRDefault="00115458" w:rsidP="00F4606C">
            <w:pPr>
              <w:spacing w:after="0" w:line="240" w:lineRule="auto"/>
              <w:rPr>
                <w:rFonts w:cs="Arial"/>
              </w:rPr>
            </w:pPr>
            <w:r w:rsidRPr="00F4606C">
              <w:rPr>
                <w:rFonts w:cs="Arial"/>
              </w:rPr>
              <w:t>UTD</w:t>
            </w:r>
          </w:p>
        </w:tc>
        <w:tc>
          <w:tcPr>
            <w:tcW w:w="709" w:type="dxa"/>
          </w:tcPr>
          <w:p w14:paraId="28CB7E8C"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21C2918F" w14:textId="77777777" w:rsidR="00115458" w:rsidRPr="00F4606C" w:rsidRDefault="00115458" w:rsidP="00F4606C">
            <w:pPr>
              <w:spacing w:after="0" w:line="240" w:lineRule="auto"/>
              <w:jc w:val="center"/>
              <w:rPr>
                <w:rFonts w:cs="Arial"/>
              </w:rPr>
            </w:pPr>
          </w:p>
        </w:tc>
        <w:tc>
          <w:tcPr>
            <w:tcW w:w="3969" w:type="dxa"/>
            <w:vAlign w:val="center"/>
          </w:tcPr>
          <w:p w14:paraId="4056E67A" w14:textId="77777777" w:rsidR="00115458" w:rsidRPr="00F4606C" w:rsidRDefault="00115458" w:rsidP="00F4606C">
            <w:pPr>
              <w:spacing w:after="0" w:line="240" w:lineRule="auto"/>
              <w:rPr>
                <w:rFonts w:cs="Arial"/>
              </w:rPr>
            </w:pPr>
          </w:p>
        </w:tc>
      </w:tr>
      <w:tr w:rsidR="00115458" w:rsidRPr="00944B5E" w14:paraId="263573E5" w14:textId="77777777" w:rsidTr="000C1365">
        <w:trPr>
          <w:cantSplit/>
          <w:trHeight w:val="272"/>
        </w:trPr>
        <w:tc>
          <w:tcPr>
            <w:tcW w:w="901" w:type="dxa"/>
            <w:vAlign w:val="center"/>
          </w:tcPr>
          <w:p w14:paraId="5B00E05B" w14:textId="77777777" w:rsidR="00115458" w:rsidRPr="00F4606C" w:rsidRDefault="00115458" w:rsidP="00F4606C">
            <w:pPr>
              <w:spacing w:after="0" w:line="240" w:lineRule="auto"/>
              <w:jc w:val="center"/>
              <w:rPr>
                <w:rFonts w:cs="Arial"/>
                <w:noProof/>
              </w:rPr>
            </w:pPr>
            <w:r w:rsidRPr="00F4606C">
              <w:rPr>
                <w:rFonts w:cs="Arial"/>
                <w:noProof/>
              </w:rPr>
              <w:t>9.97</w:t>
            </w:r>
          </w:p>
        </w:tc>
        <w:tc>
          <w:tcPr>
            <w:tcW w:w="1793" w:type="dxa"/>
            <w:vAlign w:val="center"/>
          </w:tcPr>
          <w:p w14:paraId="4BABFCD1" w14:textId="77777777" w:rsidR="00115458" w:rsidRPr="00F4606C" w:rsidRDefault="00115458" w:rsidP="00F4606C">
            <w:pPr>
              <w:spacing w:after="0" w:line="240" w:lineRule="auto"/>
              <w:rPr>
                <w:rFonts w:cs="Arial"/>
              </w:rPr>
            </w:pPr>
            <w:r w:rsidRPr="00F4606C">
              <w:rPr>
                <w:rFonts w:cs="Arial"/>
              </w:rPr>
              <w:t>Tax-deferred amounts</w:t>
            </w:r>
          </w:p>
        </w:tc>
        <w:tc>
          <w:tcPr>
            <w:tcW w:w="1134" w:type="dxa"/>
            <w:vAlign w:val="center"/>
          </w:tcPr>
          <w:p w14:paraId="200EBE23" w14:textId="77777777" w:rsidR="00115458" w:rsidRPr="00F4606C" w:rsidRDefault="00115458" w:rsidP="00F4606C">
            <w:pPr>
              <w:spacing w:after="0" w:line="240" w:lineRule="auto"/>
              <w:rPr>
                <w:rFonts w:cs="Arial"/>
              </w:rPr>
            </w:pPr>
            <w:r w:rsidRPr="00F4606C">
              <w:rPr>
                <w:rFonts w:cs="Arial"/>
              </w:rPr>
              <w:t>UTD</w:t>
            </w:r>
          </w:p>
        </w:tc>
        <w:tc>
          <w:tcPr>
            <w:tcW w:w="709" w:type="dxa"/>
          </w:tcPr>
          <w:p w14:paraId="70A100E1" w14:textId="77777777" w:rsidR="00115458" w:rsidRPr="00F4606C" w:rsidDel="00397E32" w:rsidRDefault="00115458" w:rsidP="00F4606C">
            <w:pPr>
              <w:spacing w:after="0" w:line="240" w:lineRule="auto"/>
              <w:jc w:val="center"/>
              <w:rPr>
                <w:rFonts w:cs="Arial"/>
              </w:rPr>
            </w:pPr>
            <w:r w:rsidRPr="00F4606C">
              <w:rPr>
                <w:rFonts w:cs="Arial"/>
              </w:rPr>
              <w:t>N</w:t>
            </w:r>
          </w:p>
        </w:tc>
        <w:tc>
          <w:tcPr>
            <w:tcW w:w="850" w:type="dxa"/>
            <w:vAlign w:val="center"/>
          </w:tcPr>
          <w:p w14:paraId="6BABB278" w14:textId="77777777" w:rsidR="00115458" w:rsidRPr="00F4606C" w:rsidRDefault="00115458" w:rsidP="00F4606C">
            <w:pPr>
              <w:spacing w:after="0" w:line="240" w:lineRule="auto"/>
              <w:jc w:val="center"/>
              <w:rPr>
                <w:rFonts w:cs="Arial"/>
              </w:rPr>
            </w:pPr>
          </w:p>
        </w:tc>
        <w:tc>
          <w:tcPr>
            <w:tcW w:w="3969" w:type="dxa"/>
            <w:vAlign w:val="center"/>
          </w:tcPr>
          <w:p w14:paraId="34EA93D0" w14:textId="77777777" w:rsidR="00115458" w:rsidRPr="00F4606C" w:rsidDel="000114F1" w:rsidRDefault="00115458" w:rsidP="00F4606C">
            <w:pPr>
              <w:spacing w:after="0" w:line="240" w:lineRule="auto"/>
              <w:rPr>
                <w:rFonts w:cs="Arial"/>
              </w:rPr>
            </w:pPr>
          </w:p>
        </w:tc>
      </w:tr>
      <w:tr w:rsidR="00115458" w:rsidRPr="00944B5E" w14:paraId="04063E8A" w14:textId="77777777" w:rsidTr="000C1365">
        <w:trPr>
          <w:cantSplit/>
          <w:trHeight w:val="272"/>
        </w:trPr>
        <w:tc>
          <w:tcPr>
            <w:tcW w:w="901" w:type="dxa"/>
            <w:vAlign w:val="center"/>
          </w:tcPr>
          <w:p w14:paraId="6BABF028" w14:textId="77777777" w:rsidR="00115458" w:rsidRPr="00F4606C" w:rsidRDefault="00115458" w:rsidP="00F4606C">
            <w:pPr>
              <w:spacing w:after="0" w:line="240" w:lineRule="auto"/>
              <w:jc w:val="center"/>
              <w:rPr>
                <w:rFonts w:cs="Arial"/>
                <w:b/>
              </w:rPr>
            </w:pPr>
            <w:r w:rsidRPr="00F4606C">
              <w:rPr>
                <w:rFonts w:cs="Arial"/>
                <w:noProof/>
              </w:rPr>
              <w:t>9.98</w:t>
            </w:r>
          </w:p>
        </w:tc>
        <w:tc>
          <w:tcPr>
            <w:tcW w:w="1793" w:type="dxa"/>
            <w:vAlign w:val="center"/>
          </w:tcPr>
          <w:p w14:paraId="3E2911D0" w14:textId="77777777" w:rsidR="00115458" w:rsidRPr="00F4606C" w:rsidRDefault="00115458" w:rsidP="00F4606C">
            <w:pPr>
              <w:spacing w:after="0" w:line="240" w:lineRule="auto"/>
              <w:rPr>
                <w:rFonts w:cs="Arial"/>
              </w:rPr>
            </w:pPr>
            <w:r w:rsidRPr="00F4606C">
              <w:rPr>
                <w:rFonts w:cs="Arial"/>
              </w:rPr>
              <w:t>Other allowable trust deductions</w:t>
            </w:r>
          </w:p>
        </w:tc>
        <w:tc>
          <w:tcPr>
            <w:tcW w:w="1134" w:type="dxa"/>
            <w:vAlign w:val="center"/>
          </w:tcPr>
          <w:p w14:paraId="489D25F7" w14:textId="77777777" w:rsidR="00115458" w:rsidRPr="00F4606C" w:rsidRDefault="00115458" w:rsidP="00F4606C">
            <w:pPr>
              <w:spacing w:after="0" w:line="240" w:lineRule="auto"/>
              <w:rPr>
                <w:rFonts w:cs="Arial"/>
              </w:rPr>
            </w:pPr>
            <w:r w:rsidRPr="00F4606C">
              <w:rPr>
                <w:rFonts w:cs="Arial"/>
              </w:rPr>
              <w:t>UTD</w:t>
            </w:r>
          </w:p>
        </w:tc>
        <w:tc>
          <w:tcPr>
            <w:tcW w:w="709" w:type="dxa"/>
          </w:tcPr>
          <w:p w14:paraId="4FC6408F"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03A780E6" w14:textId="77777777" w:rsidR="00115458" w:rsidRPr="00F4606C" w:rsidRDefault="00115458" w:rsidP="00F4606C">
            <w:pPr>
              <w:spacing w:after="0" w:line="240" w:lineRule="auto"/>
              <w:jc w:val="center"/>
              <w:rPr>
                <w:rFonts w:cs="Arial"/>
              </w:rPr>
            </w:pPr>
          </w:p>
        </w:tc>
        <w:tc>
          <w:tcPr>
            <w:tcW w:w="3969" w:type="dxa"/>
            <w:vAlign w:val="center"/>
          </w:tcPr>
          <w:p w14:paraId="4C08ADF4"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7D4EAC54" w14:textId="77777777" w:rsidTr="000C1365">
        <w:trPr>
          <w:cantSplit/>
          <w:trHeight w:val="272"/>
        </w:trPr>
        <w:tc>
          <w:tcPr>
            <w:tcW w:w="901" w:type="dxa"/>
            <w:tcBorders>
              <w:bottom w:val="single" w:sz="4" w:space="0" w:color="auto"/>
            </w:tcBorders>
            <w:vAlign w:val="center"/>
          </w:tcPr>
          <w:p w14:paraId="7E99DFE3" w14:textId="77777777" w:rsidR="00115458" w:rsidRPr="00F4606C" w:rsidRDefault="00115458" w:rsidP="00F4606C">
            <w:pPr>
              <w:spacing w:after="0" w:line="240" w:lineRule="auto"/>
              <w:jc w:val="center"/>
              <w:rPr>
                <w:rFonts w:cs="Arial"/>
                <w:b/>
              </w:rPr>
            </w:pPr>
            <w:r w:rsidRPr="00F4606C">
              <w:rPr>
                <w:rFonts w:cs="Arial"/>
                <w:noProof/>
              </w:rPr>
              <w:t>9.99</w:t>
            </w:r>
          </w:p>
        </w:tc>
        <w:tc>
          <w:tcPr>
            <w:tcW w:w="1793" w:type="dxa"/>
            <w:tcBorders>
              <w:bottom w:val="single" w:sz="4" w:space="0" w:color="auto"/>
            </w:tcBorders>
            <w:vAlign w:val="center"/>
          </w:tcPr>
          <w:p w14:paraId="702F0AA9" w14:textId="77777777" w:rsidR="00115458" w:rsidRPr="00F4606C" w:rsidRDefault="00115458" w:rsidP="00F4606C">
            <w:pPr>
              <w:spacing w:after="0" w:line="240" w:lineRule="auto"/>
              <w:rPr>
                <w:rFonts w:cs="Arial"/>
              </w:rPr>
            </w:pPr>
            <w:r w:rsidRPr="00F4606C">
              <w:rPr>
                <w:rFonts w:cs="Arial"/>
              </w:rPr>
              <w:t>Share of credit for amounts withheld from foreign resident withholding</w:t>
            </w:r>
          </w:p>
        </w:tc>
        <w:tc>
          <w:tcPr>
            <w:tcW w:w="1134" w:type="dxa"/>
            <w:tcBorders>
              <w:bottom w:val="single" w:sz="4" w:space="0" w:color="auto"/>
            </w:tcBorders>
            <w:vAlign w:val="center"/>
          </w:tcPr>
          <w:p w14:paraId="57B8F7B2"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tcPr>
          <w:p w14:paraId="6E033CB5" w14:textId="77777777" w:rsidR="00115458" w:rsidRPr="00F4606C" w:rsidRDefault="00115458" w:rsidP="00F4606C">
            <w:pPr>
              <w:spacing w:after="0" w:line="240" w:lineRule="auto"/>
              <w:jc w:val="center"/>
              <w:rPr>
                <w:rFonts w:cs="Arial"/>
              </w:rPr>
            </w:pPr>
          </w:p>
          <w:p w14:paraId="0D3CCBD1"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7063BF4E" w14:textId="77777777" w:rsidR="00115458" w:rsidRPr="00F4606C" w:rsidRDefault="00115458" w:rsidP="00F4606C">
            <w:pPr>
              <w:spacing w:after="0" w:line="240" w:lineRule="auto"/>
              <w:jc w:val="center"/>
              <w:rPr>
                <w:rFonts w:cs="Arial"/>
              </w:rPr>
            </w:pPr>
            <w:r w:rsidRPr="00F4606C">
              <w:rPr>
                <w:rFonts w:cs="Arial"/>
              </w:rPr>
              <w:t>13A</w:t>
            </w:r>
          </w:p>
        </w:tc>
        <w:tc>
          <w:tcPr>
            <w:tcW w:w="3969" w:type="dxa"/>
            <w:tcBorders>
              <w:bottom w:val="single" w:sz="4" w:space="0" w:color="auto"/>
            </w:tcBorders>
            <w:vAlign w:val="center"/>
          </w:tcPr>
          <w:p w14:paraId="3DAEFDE2" w14:textId="77777777" w:rsidR="00115458" w:rsidRPr="00F4606C" w:rsidRDefault="00115458" w:rsidP="00F4606C">
            <w:pPr>
              <w:spacing w:after="0" w:line="240" w:lineRule="auto"/>
              <w:rPr>
                <w:rFonts w:cs="Arial"/>
              </w:rPr>
            </w:pPr>
            <w:r w:rsidRPr="00F4606C">
              <w:rPr>
                <w:rFonts w:cs="Arial"/>
              </w:rPr>
              <w:t>Share of credit for foreign resident withholding amounts</w:t>
            </w:r>
          </w:p>
        </w:tc>
      </w:tr>
      <w:tr w:rsidR="00115458" w:rsidRPr="00944B5E" w14:paraId="18A8F24D" w14:textId="77777777" w:rsidTr="000C1365">
        <w:trPr>
          <w:cantSplit/>
          <w:trHeight w:val="272"/>
        </w:trPr>
        <w:tc>
          <w:tcPr>
            <w:tcW w:w="901" w:type="dxa"/>
            <w:vAlign w:val="center"/>
          </w:tcPr>
          <w:p w14:paraId="4E35FB91" w14:textId="77777777" w:rsidR="00115458" w:rsidRPr="00F4606C" w:rsidRDefault="00115458" w:rsidP="00F4606C">
            <w:pPr>
              <w:spacing w:after="0" w:line="240" w:lineRule="auto"/>
              <w:jc w:val="center"/>
              <w:rPr>
                <w:rFonts w:cs="Arial"/>
                <w:b/>
              </w:rPr>
            </w:pPr>
            <w:r w:rsidRPr="00F4606C">
              <w:rPr>
                <w:rFonts w:cs="Arial"/>
                <w:noProof/>
              </w:rPr>
              <w:t>9.100</w:t>
            </w:r>
          </w:p>
        </w:tc>
        <w:tc>
          <w:tcPr>
            <w:tcW w:w="1793" w:type="dxa"/>
            <w:vAlign w:val="center"/>
          </w:tcPr>
          <w:p w14:paraId="0800B6A2" w14:textId="77777777" w:rsidR="00115458" w:rsidRPr="00F4606C" w:rsidRDefault="00115458" w:rsidP="00F4606C">
            <w:pPr>
              <w:spacing w:after="0" w:line="240" w:lineRule="auto"/>
              <w:rPr>
                <w:rFonts w:cs="Arial"/>
              </w:rPr>
            </w:pPr>
            <w:r w:rsidRPr="00F4606C">
              <w:rPr>
                <w:rFonts w:cs="Arial"/>
              </w:rPr>
              <w:t>Share of credit for tax paid by trustee</w:t>
            </w:r>
          </w:p>
        </w:tc>
        <w:tc>
          <w:tcPr>
            <w:tcW w:w="1134" w:type="dxa"/>
            <w:vAlign w:val="center"/>
          </w:tcPr>
          <w:p w14:paraId="1E6B06DF"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0AF35E53"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35764A4E" w14:textId="77777777" w:rsidR="00115458" w:rsidRPr="00F4606C" w:rsidRDefault="00115458" w:rsidP="00F4606C">
            <w:pPr>
              <w:spacing w:after="0" w:line="240" w:lineRule="auto"/>
              <w:jc w:val="center"/>
              <w:rPr>
                <w:rFonts w:cs="Arial"/>
              </w:rPr>
            </w:pPr>
            <w:r w:rsidRPr="00F4606C">
              <w:rPr>
                <w:rFonts w:cs="Arial"/>
              </w:rPr>
              <w:t>13S</w:t>
            </w:r>
          </w:p>
        </w:tc>
        <w:tc>
          <w:tcPr>
            <w:tcW w:w="3969" w:type="dxa"/>
            <w:vAlign w:val="center"/>
          </w:tcPr>
          <w:p w14:paraId="160D5600" w14:textId="77777777" w:rsidR="00115458" w:rsidRPr="00F4606C" w:rsidRDefault="00115458" w:rsidP="00F4606C">
            <w:pPr>
              <w:spacing w:after="0" w:line="240" w:lineRule="auto"/>
              <w:rPr>
                <w:rFonts w:cs="Arial"/>
              </w:rPr>
            </w:pPr>
            <w:r w:rsidRPr="00F4606C">
              <w:rPr>
                <w:rFonts w:cs="Arial"/>
              </w:rPr>
              <w:t>Share of credit for tax paid by trustee</w:t>
            </w:r>
          </w:p>
        </w:tc>
      </w:tr>
      <w:tr w:rsidR="00115458" w:rsidRPr="00944B5E" w14:paraId="382C767B" w14:textId="77777777" w:rsidTr="000C1365">
        <w:trPr>
          <w:cantSplit/>
          <w:trHeight w:val="272"/>
        </w:trPr>
        <w:tc>
          <w:tcPr>
            <w:tcW w:w="901" w:type="dxa"/>
            <w:tcBorders>
              <w:bottom w:val="single" w:sz="4" w:space="0" w:color="auto"/>
            </w:tcBorders>
            <w:vAlign w:val="center"/>
          </w:tcPr>
          <w:p w14:paraId="24644592" w14:textId="77777777" w:rsidR="00115458" w:rsidRPr="00F4606C" w:rsidRDefault="00115458" w:rsidP="00F4606C">
            <w:pPr>
              <w:spacing w:after="0" w:line="240" w:lineRule="auto"/>
              <w:jc w:val="center"/>
              <w:rPr>
                <w:rFonts w:cs="Arial"/>
                <w:b/>
              </w:rPr>
            </w:pPr>
            <w:r w:rsidRPr="00F4606C">
              <w:rPr>
                <w:rFonts w:cs="Arial"/>
                <w:noProof/>
              </w:rPr>
              <w:t>9.101</w:t>
            </w:r>
          </w:p>
        </w:tc>
        <w:tc>
          <w:tcPr>
            <w:tcW w:w="1793" w:type="dxa"/>
            <w:tcBorders>
              <w:bottom w:val="single" w:sz="4" w:space="0" w:color="auto"/>
            </w:tcBorders>
            <w:vAlign w:val="center"/>
          </w:tcPr>
          <w:p w14:paraId="35CDC476" w14:textId="77777777" w:rsidR="00115458" w:rsidRPr="00F4606C" w:rsidRDefault="00115458" w:rsidP="00F4606C">
            <w:pPr>
              <w:spacing w:after="0" w:line="240" w:lineRule="auto"/>
              <w:rPr>
                <w:rFonts w:cs="Arial"/>
              </w:rPr>
            </w:pPr>
            <w:r w:rsidRPr="00F4606C">
              <w:rPr>
                <w:rFonts w:cs="Arial"/>
              </w:rPr>
              <w:t>Non-resident beneficiary ss98(3) or non-resident member ss276-105(2)(a) or (b) assessable amounts</w:t>
            </w:r>
          </w:p>
        </w:tc>
        <w:tc>
          <w:tcPr>
            <w:tcW w:w="1134" w:type="dxa"/>
            <w:tcBorders>
              <w:bottom w:val="single" w:sz="4" w:space="0" w:color="auto"/>
            </w:tcBorders>
            <w:vAlign w:val="center"/>
          </w:tcPr>
          <w:p w14:paraId="31F6B537"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tcPr>
          <w:p w14:paraId="6092CA5B" w14:textId="77777777" w:rsidR="00115458" w:rsidRPr="00F4606C" w:rsidRDefault="00115458" w:rsidP="00F4606C">
            <w:pPr>
              <w:spacing w:after="0" w:line="240" w:lineRule="auto"/>
              <w:jc w:val="center"/>
              <w:rPr>
                <w:rFonts w:cs="Arial"/>
              </w:rPr>
            </w:pPr>
          </w:p>
          <w:p w14:paraId="7A69FAEB" w14:textId="77777777" w:rsidR="00115458" w:rsidRPr="00F4606C" w:rsidRDefault="00115458" w:rsidP="00F4606C">
            <w:pPr>
              <w:spacing w:after="0" w:line="240" w:lineRule="auto"/>
              <w:jc w:val="center"/>
              <w:rPr>
                <w:rFonts w:cs="Arial"/>
              </w:rPr>
            </w:pPr>
          </w:p>
          <w:p w14:paraId="4ECBFEDC"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02FD1092"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417171ED" w14:textId="77777777" w:rsidR="00115458" w:rsidRPr="00F4606C" w:rsidRDefault="00115458" w:rsidP="00F4606C">
            <w:pPr>
              <w:spacing w:after="0" w:line="240" w:lineRule="auto"/>
              <w:rPr>
                <w:rFonts w:cs="Arial"/>
              </w:rPr>
            </w:pPr>
          </w:p>
        </w:tc>
      </w:tr>
      <w:tr w:rsidR="00115458" w:rsidRPr="00944B5E" w14:paraId="014080E2" w14:textId="77777777" w:rsidTr="000C1365">
        <w:trPr>
          <w:cantSplit/>
          <w:trHeight w:val="272"/>
        </w:trPr>
        <w:tc>
          <w:tcPr>
            <w:tcW w:w="901" w:type="dxa"/>
            <w:vAlign w:val="center"/>
          </w:tcPr>
          <w:p w14:paraId="1CCA0DF3" w14:textId="77777777" w:rsidR="00115458" w:rsidRPr="00F4606C" w:rsidRDefault="00115458" w:rsidP="00F4606C">
            <w:pPr>
              <w:spacing w:after="0" w:line="240" w:lineRule="auto"/>
              <w:jc w:val="center"/>
              <w:rPr>
                <w:rFonts w:cs="Arial"/>
                <w:b/>
              </w:rPr>
            </w:pPr>
            <w:r w:rsidRPr="00F4606C">
              <w:rPr>
                <w:rFonts w:cs="Arial"/>
                <w:noProof/>
              </w:rPr>
              <w:t>9.102</w:t>
            </w:r>
          </w:p>
        </w:tc>
        <w:tc>
          <w:tcPr>
            <w:tcW w:w="1793" w:type="dxa"/>
            <w:vAlign w:val="center"/>
          </w:tcPr>
          <w:p w14:paraId="0E85DEC6" w14:textId="77777777" w:rsidR="00115458" w:rsidRPr="00F4606C" w:rsidRDefault="00115458" w:rsidP="00F4606C">
            <w:pPr>
              <w:spacing w:after="0" w:line="240" w:lineRule="auto"/>
              <w:rPr>
                <w:rFonts w:cs="Arial"/>
              </w:rPr>
            </w:pPr>
            <w:r w:rsidRPr="00F4606C">
              <w:rPr>
                <w:rFonts w:cs="Arial"/>
              </w:rPr>
              <w:t>Non-resident beneficiary ss98(4) or non-resident member ss276-105(2)(c) assessable amounts</w:t>
            </w:r>
          </w:p>
        </w:tc>
        <w:tc>
          <w:tcPr>
            <w:tcW w:w="1134" w:type="dxa"/>
            <w:vAlign w:val="center"/>
          </w:tcPr>
          <w:p w14:paraId="40C00DF3" w14:textId="77777777" w:rsidR="00115458" w:rsidRPr="00F4606C" w:rsidRDefault="00115458" w:rsidP="00F4606C">
            <w:pPr>
              <w:spacing w:after="0" w:line="240" w:lineRule="auto"/>
              <w:rPr>
                <w:rFonts w:cs="Arial"/>
              </w:rPr>
            </w:pPr>
            <w:r w:rsidRPr="00F4606C">
              <w:rPr>
                <w:rFonts w:cs="Arial"/>
              </w:rPr>
              <w:t>UTD, AMT</w:t>
            </w:r>
          </w:p>
        </w:tc>
        <w:tc>
          <w:tcPr>
            <w:tcW w:w="709" w:type="dxa"/>
          </w:tcPr>
          <w:p w14:paraId="22E3E9B6" w14:textId="77777777" w:rsidR="00115458" w:rsidRPr="00F4606C" w:rsidRDefault="00115458" w:rsidP="00F4606C">
            <w:pPr>
              <w:spacing w:after="0" w:line="240" w:lineRule="auto"/>
              <w:jc w:val="center"/>
              <w:rPr>
                <w:rFonts w:cs="Arial"/>
              </w:rPr>
            </w:pPr>
          </w:p>
          <w:p w14:paraId="1C89BB11" w14:textId="77777777" w:rsidR="00115458" w:rsidRPr="00F4606C" w:rsidRDefault="00115458" w:rsidP="00F4606C">
            <w:pPr>
              <w:spacing w:after="0" w:line="240" w:lineRule="auto"/>
              <w:jc w:val="center"/>
              <w:rPr>
                <w:rFonts w:cs="Arial"/>
              </w:rPr>
            </w:pPr>
          </w:p>
          <w:p w14:paraId="6ADA4DBF"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53E578AB" w14:textId="77777777" w:rsidR="00115458" w:rsidRPr="00F4606C" w:rsidRDefault="00115458" w:rsidP="00F4606C">
            <w:pPr>
              <w:spacing w:after="0" w:line="240" w:lineRule="auto"/>
              <w:jc w:val="center"/>
              <w:rPr>
                <w:rFonts w:cs="Arial"/>
              </w:rPr>
            </w:pPr>
          </w:p>
        </w:tc>
        <w:tc>
          <w:tcPr>
            <w:tcW w:w="3969" w:type="dxa"/>
            <w:vAlign w:val="center"/>
          </w:tcPr>
          <w:p w14:paraId="255321B2" w14:textId="77777777" w:rsidR="00115458" w:rsidRPr="00F4606C" w:rsidRDefault="00115458" w:rsidP="00F4606C">
            <w:pPr>
              <w:spacing w:after="0" w:line="240" w:lineRule="auto"/>
              <w:rPr>
                <w:rFonts w:cs="Arial"/>
              </w:rPr>
            </w:pPr>
          </w:p>
        </w:tc>
      </w:tr>
      <w:tr w:rsidR="00115458" w:rsidRPr="00944B5E" w14:paraId="1BDA82C8" w14:textId="77777777" w:rsidTr="000C1365">
        <w:trPr>
          <w:cantSplit/>
          <w:trHeight w:val="272"/>
        </w:trPr>
        <w:tc>
          <w:tcPr>
            <w:tcW w:w="901" w:type="dxa"/>
            <w:tcBorders>
              <w:bottom w:val="single" w:sz="4" w:space="0" w:color="auto"/>
            </w:tcBorders>
            <w:vAlign w:val="center"/>
          </w:tcPr>
          <w:p w14:paraId="229D2210" w14:textId="77777777" w:rsidR="00115458" w:rsidRPr="00F4606C" w:rsidRDefault="00115458" w:rsidP="00F4606C">
            <w:pPr>
              <w:spacing w:after="0" w:line="240" w:lineRule="auto"/>
              <w:jc w:val="center"/>
              <w:rPr>
                <w:rFonts w:cs="Arial"/>
                <w:b/>
              </w:rPr>
            </w:pPr>
            <w:r w:rsidRPr="00F4606C">
              <w:rPr>
                <w:rFonts w:cs="Arial"/>
                <w:noProof/>
              </w:rPr>
              <w:t>9.105</w:t>
            </w:r>
          </w:p>
        </w:tc>
        <w:tc>
          <w:tcPr>
            <w:tcW w:w="1793" w:type="dxa"/>
            <w:tcBorders>
              <w:bottom w:val="single" w:sz="4" w:space="0" w:color="auto"/>
            </w:tcBorders>
            <w:vAlign w:val="center"/>
          </w:tcPr>
          <w:p w14:paraId="01308FFE" w14:textId="77777777" w:rsidR="00115458" w:rsidRPr="00F4606C" w:rsidRDefault="00115458" w:rsidP="00F4606C">
            <w:pPr>
              <w:spacing w:after="0" w:line="240" w:lineRule="auto"/>
              <w:rPr>
                <w:rFonts w:cs="Arial"/>
              </w:rPr>
            </w:pPr>
            <w:r w:rsidRPr="00F4606C">
              <w:rPr>
                <w:rFonts w:cs="Arial"/>
              </w:rPr>
              <w:t>Managed investment trust fund payments</w:t>
            </w:r>
          </w:p>
        </w:tc>
        <w:tc>
          <w:tcPr>
            <w:tcW w:w="1134" w:type="dxa"/>
            <w:tcBorders>
              <w:bottom w:val="single" w:sz="4" w:space="0" w:color="auto"/>
            </w:tcBorders>
            <w:vAlign w:val="center"/>
          </w:tcPr>
          <w:p w14:paraId="3F10A986"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7D445C3F"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4293D36C"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3C22BDDC" w14:textId="77777777" w:rsidR="00115458" w:rsidRPr="00F4606C" w:rsidRDefault="00115458" w:rsidP="00F4606C">
            <w:pPr>
              <w:spacing w:after="0" w:line="240" w:lineRule="auto"/>
              <w:rPr>
                <w:rFonts w:cs="Arial"/>
              </w:rPr>
            </w:pPr>
          </w:p>
        </w:tc>
      </w:tr>
      <w:tr w:rsidR="00115458" w:rsidRPr="00944B5E" w14:paraId="0E180361" w14:textId="77777777" w:rsidTr="000C1365">
        <w:trPr>
          <w:cantSplit/>
          <w:trHeight w:val="272"/>
        </w:trPr>
        <w:tc>
          <w:tcPr>
            <w:tcW w:w="901" w:type="dxa"/>
            <w:tcBorders>
              <w:bottom w:val="single" w:sz="4" w:space="0" w:color="auto"/>
            </w:tcBorders>
            <w:vAlign w:val="center"/>
          </w:tcPr>
          <w:p w14:paraId="28D7EEAD" w14:textId="77777777" w:rsidR="00115458" w:rsidRPr="00F4606C" w:rsidRDefault="00115458" w:rsidP="00F4606C">
            <w:pPr>
              <w:spacing w:after="0" w:line="240" w:lineRule="auto"/>
              <w:jc w:val="center"/>
              <w:rPr>
                <w:rFonts w:cs="Arial"/>
                <w:b/>
              </w:rPr>
            </w:pPr>
            <w:r w:rsidRPr="00F4606C">
              <w:rPr>
                <w:rFonts w:cs="Arial"/>
                <w:noProof/>
              </w:rPr>
              <w:t>9.106</w:t>
            </w:r>
          </w:p>
        </w:tc>
        <w:tc>
          <w:tcPr>
            <w:tcW w:w="1793" w:type="dxa"/>
            <w:tcBorders>
              <w:bottom w:val="single" w:sz="4" w:space="0" w:color="auto"/>
            </w:tcBorders>
            <w:vAlign w:val="center"/>
          </w:tcPr>
          <w:p w14:paraId="7EEC2947" w14:textId="77777777" w:rsidR="00115458" w:rsidRPr="00F4606C" w:rsidRDefault="00115458" w:rsidP="00F4606C">
            <w:pPr>
              <w:spacing w:after="0" w:line="240" w:lineRule="auto"/>
              <w:rPr>
                <w:rFonts w:cs="Arial"/>
              </w:rPr>
            </w:pPr>
            <w:r w:rsidRPr="00F4606C">
              <w:rPr>
                <w:rFonts w:cs="Arial"/>
              </w:rPr>
              <w:t>Amounts withheld from managed investment trust fund payments</w:t>
            </w:r>
          </w:p>
        </w:tc>
        <w:tc>
          <w:tcPr>
            <w:tcW w:w="1134" w:type="dxa"/>
            <w:tcBorders>
              <w:bottom w:val="single" w:sz="4" w:space="0" w:color="auto"/>
            </w:tcBorders>
            <w:vAlign w:val="center"/>
          </w:tcPr>
          <w:p w14:paraId="44F87F1B"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0C310175"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4F11A664"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73292FB4" w14:textId="77777777" w:rsidR="00115458" w:rsidRPr="00F4606C" w:rsidRDefault="00115458" w:rsidP="00F4606C">
            <w:pPr>
              <w:spacing w:after="0" w:line="240" w:lineRule="auto"/>
              <w:rPr>
                <w:rFonts w:cs="Arial"/>
              </w:rPr>
            </w:pPr>
          </w:p>
        </w:tc>
      </w:tr>
      <w:tr w:rsidR="00115458" w:rsidRPr="00944B5E" w14:paraId="0144087D" w14:textId="77777777" w:rsidTr="000C1365">
        <w:trPr>
          <w:cantSplit/>
          <w:trHeight w:val="272"/>
        </w:trPr>
        <w:tc>
          <w:tcPr>
            <w:tcW w:w="901" w:type="dxa"/>
            <w:tcBorders>
              <w:bottom w:val="single" w:sz="4" w:space="0" w:color="auto"/>
            </w:tcBorders>
            <w:vAlign w:val="center"/>
          </w:tcPr>
          <w:p w14:paraId="4A4664CC" w14:textId="77777777" w:rsidR="00115458" w:rsidRPr="00F4606C" w:rsidRDefault="00115458" w:rsidP="00F4606C">
            <w:pPr>
              <w:spacing w:after="0" w:line="240" w:lineRule="auto"/>
              <w:jc w:val="center"/>
              <w:rPr>
                <w:rFonts w:cs="Arial"/>
                <w:noProof/>
              </w:rPr>
            </w:pPr>
            <w:r w:rsidRPr="00F4606C">
              <w:rPr>
                <w:rFonts w:cs="Arial"/>
                <w:noProof/>
              </w:rPr>
              <w:t>9.107</w:t>
            </w:r>
          </w:p>
        </w:tc>
        <w:tc>
          <w:tcPr>
            <w:tcW w:w="1793" w:type="dxa"/>
            <w:tcBorders>
              <w:bottom w:val="single" w:sz="4" w:space="0" w:color="auto"/>
            </w:tcBorders>
            <w:vAlign w:val="center"/>
          </w:tcPr>
          <w:p w14:paraId="0995C7AB" w14:textId="77777777" w:rsidR="00115458" w:rsidRPr="00F4606C" w:rsidRDefault="00115458" w:rsidP="00F4606C">
            <w:pPr>
              <w:spacing w:after="0" w:line="240" w:lineRule="auto"/>
              <w:rPr>
                <w:rFonts w:cs="Arial"/>
              </w:rPr>
            </w:pPr>
            <w:r w:rsidRPr="00F4606C">
              <w:t>Exploration credits</w:t>
            </w:r>
          </w:p>
        </w:tc>
        <w:tc>
          <w:tcPr>
            <w:tcW w:w="1134" w:type="dxa"/>
            <w:tcBorders>
              <w:bottom w:val="single" w:sz="4" w:space="0" w:color="auto"/>
            </w:tcBorders>
            <w:vAlign w:val="center"/>
          </w:tcPr>
          <w:p w14:paraId="5219B1A1" w14:textId="77777777" w:rsidR="00115458" w:rsidRPr="00F4606C" w:rsidRDefault="00115458" w:rsidP="00F4606C">
            <w:pPr>
              <w:spacing w:after="0" w:line="240" w:lineRule="auto"/>
              <w:rPr>
                <w:rFonts w:cs="Arial"/>
              </w:rPr>
            </w:pPr>
            <w:r w:rsidRPr="00F4606C">
              <w:rPr>
                <w:rFonts w:cs="Arial"/>
              </w:rPr>
              <w:t>DIV, UTD, AMT</w:t>
            </w:r>
          </w:p>
        </w:tc>
        <w:tc>
          <w:tcPr>
            <w:tcW w:w="709" w:type="dxa"/>
            <w:tcBorders>
              <w:bottom w:val="single" w:sz="4" w:space="0" w:color="auto"/>
            </w:tcBorders>
            <w:vAlign w:val="center"/>
          </w:tcPr>
          <w:p w14:paraId="3EC04468" w14:textId="34F0ED03" w:rsidR="00115458" w:rsidRPr="00F4606C" w:rsidRDefault="007C17B4" w:rsidP="00F4606C">
            <w:pPr>
              <w:spacing w:after="0" w:line="240" w:lineRule="auto"/>
              <w:jc w:val="center"/>
              <w:rPr>
                <w:rFonts w:cs="Arial"/>
              </w:rPr>
            </w:pPr>
            <w:r>
              <w:rPr>
                <w:rFonts w:cs="Arial"/>
              </w:rPr>
              <w:t>N</w:t>
            </w:r>
          </w:p>
        </w:tc>
        <w:tc>
          <w:tcPr>
            <w:tcW w:w="850" w:type="dxa"/>
            <w:tcBorders>
              <w:bottom w:val="single" w:sz="4" w:space="0" w:color="auto"/>
            </w:tcBorders>
            <w:vAlign w:val="center"/>
          </w:tcPr>
          <w:p w14:paraId="710D183A" w14:textId="2A920B13"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1E677018" w14:textId="753ECB24" w:rsidR="00115458" w:rsidRPr="00F4606C" w:rsidRDefault="00115458" w:rsidP="00F4606C">
            <w:pPr>
              <w:spacing w:after="0" w:line="240" w:lineRule="auto"/>
              <w:rPr>
                <w:rFonts w:cs="Arial"/>
              </w:rPr>
            </w:pPr>
          </w:p>
        </w:tc>
      </w:tr>
      <w:tr w:rsidR="00115458" w:rsidRPr="00944B5E" w14:paraId="582D0DEF" w14:textId="77777777" w:rsidTr="000C1365">
        <w:trPr>
          <w:cantSplit/>
          <w:trHeight w:val="272"/>
        </w:trPr>
        <w:tc>
          <w:tcPr>
            <w:tcW w:w="901" w:type="dxa"/>
            <w:vMerge w:val="restart"/>
            <w:vAlign w:val="center"/>
          </w:tcPr>
          <w:p w14:paraId="2A0646A1" w14:textId="77777777" w:rsidR="00115458" w:rsidRPr="00F4606C" w:rsidRDefault="00115458" w:rsidP="00F4606C">
            <w:pPr>
              <w:spacing w:after="0" w:line="240" w:lineRule="auto"/>
              <w:jc w:val="center"/>
              <w:rPr>
                <w:rFonts w:cs="Arial"/>
                <w:noProof/>
              </w:rPr>
            </w:pPr>
            <w:r w:rsidRPr="00F4606C">
              <w:rPr>
                <w:rFonts w:cs="Arial"/>
                <w:noProof/>
              </w:rPr>
              <w:t>9.108</w:t>
            </w:r>
          </w:p>
        </w:tc>
        <w:tc>
          <w:tcPr>
            <w:tcW w:w="1793" w:type="dxa"/>
            <w:vMerge w:val="restart"/>
          </w:tcPr>
          <w:p w14:paraId="4DD05033" w14:textId="77777777" w:rsidR="00115458" w:rsidRPr="00F4606C" w:rsidRDefault="00115458" w:rsidP="00F4606C">
            <w:pPr>
              <w:spacing w:after="0" w:line="240" w:lineRule="auto"/>
              <w:rPr>
                <w:rFonts w:cs="Arial"/>
              </w:rPr>
            </w:pPr>
            <w:r w:rsidRPr="00F4606C">
              <w:rPr>
                <w:rFonts w:cs="Arial"/>
              </w:rPr>
              <w:t>Listed investment company capital gain deduction</w:t>
            </w:r>
          </w:p>
        </w:tc>
        <w:tc>
          <w:tcPr>
            <w:tcW w:w="1134" w:type="dxa"/>
            <w:tcBorders>
              <w:bottom w:val="single" w:sz="4" w:space="0" w:color="auto"/>
            </w:tcBorders>
            <w:vAlign w:val="center"/>
          </w:tcPr>
          <w:p w14:paraId="4BA1A555" w14:textId="77777777" w:rsidR="00115458" w:rsidRPr="00F4606C" w:rsidRDefault="00115458" w:rsidP="00F4606C">
            <w:pPr>
              <w:spacing w:after="0" w:line="240" w:lineRule="auto"/>
              <w:rPr>
                <w:rFonts w:cs="Arial"/>
              </w:rPr>
            </w:pPr>
            <w:r w:rsidRPr="00F4606C">
              <w:rPr>
                <w:rFonts w:cs="Arial"/>
              </w:rPr>
              <w:t>DIV</w:t>
            </w:r>
          </w:p>
        </w:tc>
        <w:tc>
          <w:tcPr>
            <w:tcW w:w="709" w:type="dxa"/>
            <w:tcBorders>
              <w:bottom w:val="single" w:sz="4" w:space="0" w:color="auto"/>
            </w:tcBorders>
            <w:vAlign w:val="center"/>
          </w:tcPr>
          <w:p w14:paraId="13508626"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1337123C" w14:textId="77777777" w:rsidR="00115458" w:rsidRPr="00F4606C" w:rsidRDefault="00115458" w:rsidP="00F4606C">
            <w:pPr>
              <w:spacing w:after="0" w:line="240" w:lineRule="auto"/>
              <w:jc w:val="center"/>
              <w:rPr>
                <w:rFonts w:cs="Arial"/>
              </w:rPr>
            </w:pPr>
            <w:r w:rsidRPr="00F4606C">
              <w:rPr>
                <w:rFonts w:cs="Arial"/>
              </w:rPr>
              <w:t>D8</w:t>
            </w:r>
          </w:p>
        </w:tc>
        <w:tc>
          <w:tcPr>
            <w:tcW w:w="3969" w:type="dxa"/>
            <w:tcBorders>
              <w:bottom w:val="single" w:sz="4" w:space="0" w:color="auto"/>
            </w:tcBorders>
            <w:vAlign w:val="center"/>
          </w:tcPr>
          <w:p w14:paraId="42C344A4" w14:textId="77777777" w:rsidR="00115458" w:rsidRPr="00F4606C" w:rsidRDefault="00115458" w:rsidP="00F4606C">
            <w:pPr>
              <w:spacing w:after="0" w:line="240" w:lineRule="auto"/>
              <w:rPr>
                <w:rFonts w:cs="Arial"/>
              </w:rPr>
            </w:pPr>
            <w:r w:rsidRPr="00F4606C">
              <w:rPr>
                <w:rFonts w:cs="Arial"/>
              </w:rPr>
              <w:t>Dividend deductions</w:t>
            </w:r>
          </w:p>
        </w:tc>
      </w:tr>
      <w:tr w:rsidR="00115458" w:rsidRPr="00944B5E" w14:paraId="1F8E0FFF" w14:textId="77777777" w:rsidTr="000C1365">
        <w:trPr>
          <w:cantSplit/>
          <w:trHeight w:val="272"/>
        </w:trPr>
        <w:tc>
          <w:tcPr>
            <w:tcW w:w="901" w:type="dxa"/>
            <w:vMerge/>
            <w:tcBorders>
              <w:bottom w:val="single" w:sz="4" w:space="0" w:color="auto"/>
            </w:tcBorders>
            <w:vAlign w:val="center"/>
          </w:tcPr>
          <w:p w14:paraId="537C792B" w14:textId="77777777" w:rsidR="00115458" w:rsidRPr="00F4606C" w:rsidRDefault="00115458" w:rsidP="00F4606C">
            <w:pPr>
              <w:spacing w:after="0" w:line="240" w:lineRule="auto"/>
              <w:jc w:val="center"/>
              <w:rPr>
                <w:rFonts w:cs="Arial"/>
                <w:noProof/>
              </w:rPr>
            </w:pPr>
          </w:p>
        </w:tc>
        <w:tc>
          <w:tcPr>
            <w:tcW w:w="1793" w:type="dxa"/>
            <w:vMerge/>
            <w:tcBorders>
              <w:bottom w:val="single" w:sz="4" w:space="0" w:color="auto"/>
            </w:tcBorders>
          </w:tcPr>
          <w:p w14:paraId="69413D50" w14:textId="77777777" w:rsidR="00115458" w:rsidRPr="00F4606C" w:rsidRDefault="00115458" w:rsidP="00F4606C">
            <w:pPr>
              <w:spacing w:after="0" w:line="240" w:lineRule="auto"/>
            </w:pPr>
          </w:p>
        </w:tc>
        <w:tc>
          <w:tcPr>
            <w:tcW w:w="1134" w:type="dxa"/>
            <w:tcBorders>
              <w:bottom w:val="single" w:sz="4" w:space="0" w:color="auto"/>
            </w:tcBorders>
            <w:vAlign w:val="center"/>
          </w:tcPr>
          <w:p w14:paraId="06DA05F9"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7523E81D"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7D8C8563"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12E613B0"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4FC561D8" w14:textId="77777777" w:rsidTr="000C1365">
        <w:trPr>
          <w:cantSplit/>
          <w:trHeight w:val="272"/>
        </w:trPr>
        <w:tc>
          <w:tcPr>
            <w:tcW w:w="901" w:type="dxa"/>
            <w:tcBorders>
              <w:bottom w:val="single" w:sz="4" w:space="0" w:color="auto"/>
            </w:tcBorders>
            <w:vAlign w:val="center"/>
          </w:tcPr>
          <w:p w14:paraId="280860F0" w14:textId="77777777" w:rsidR="00115458" w:rsidRPr="00F4606C" w:rsidRDefault="00115458" w:rsidP="00F4606C">
            <w:pPr>
              <w:spacing w:after="0" w:line="240" w:lineRule="auto"/>
              <w:jc w:val="center"/>
              <w:rPr>
                <w:rFonts w:cs="Arial"/>
                <w:b/>
              </w:rPr>
            </w:pPr>
            <w:r w:rsidRPr="00F4606C">
              <w:rPr>
                <w:rFonts w:cs="Arial"/>
                <w:noProof/>
              </w:rPr>
              <w:t>9.112</w:t>
            </w:r>
          </w:p>
        </w:tc>
        <w:tc>
          <w:tcPr>
            <w:tcW w:w="1793" w:type="dxa"/>
            <w:tcBorders>
              <w:bottom w:val="single" w:sz="4" w:space="0" w:color="auto"/>
            </w:tcBorders>
            <w:vAlign w:val="center"/>
          </w:tcPr>
          <w:p w14:paraId="647B8C9C" w14:textId="77777777" w:rsidR="00115458" w:rsidRPr="00F4606C" w:rsidRDefault="00115458" w:rsidP="00F4606C">
            <w:pPr>
              <w:spacing w:after="0" w:line="240" w:lineRule="auto"/>
              <w:rPr>
                <w:rFonts w:cs="Arial"/>
              </w:rPr>
            </w:pPr>
            <w:r w:rsidRPr="00F4606C">
              <w:rPr>
                <w:rFonts w:cs="Arial"/>
              </w:rPr>
              <w:t>Share of National rental affordability scheme tax offset</w:t>
            </w:r>
          </w:p>
        </w:tc>
        <w:tc>
          <w:tcPr>
            <w:tcW w:w="1134" w:type="dxa"/>
            <w:tcBorders>
              <w:bottom w:val="single" w:sz="4" w:space="0" w:color="auto"/>
            </w:tcBorders>
            <w:vAlign w:val="center"/>
          </w:tcPr>
          <w:p w14:paraId="72CE2A10"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6A30AF81"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68C9E644" w14:textId="77777777" w:rsidR="00115458" w:rsidRPr="00F4606C" w:rsidRDefault="00115458" w:rsidP="00F4606C">
            <w:pPr>
              <w:spacing w:after="0" w:line="240" w:lineRule="auto"/>
              <w:jc w:val="center"/>
              <w:rPr>
                <w:rFonts w:cs="Arial"/>
              </w:rPr>
            </w:pPr>
            <w:r w:rsidRPr="00F4606C">
              <w:rPr>
                <w:rFonts w:cs="Arial"/>
              </w:rPr>
              <w:t>13B</w:t>
            </w:r>
          </w:p>
        </w:tc>
        <w:tc>
          <w:tcPr>
            <w:tcW w:w="3969" w:type="dxa"/>
            <w:tcBorders>
              <w:bottom w:val="single" w:sz="4" w:space="0" w:color="auto"/>
            </w:tcBorders>
            <w:vAlign w:val="center"/>
          </w:tcPr>
          <w:p w14:paraId="2493A8F4" w14:textId="77777777" w:rsidR="00115458" w:rsidRPr="00F4606C" w:rsidRDefault="00115458" w:rsidP="00F4606C">
            <w:pPr>
              <w:spacing w:after="0" w:line="240" w:lineRule="auto"/>
              <w:rPr>
                <w:rFonts w:cs="Arial"/>
              </w:rPr>
            </w:pPr>
            <w:r w:rsidRPr="00F4606C">
              <w:rPr>
                <w:rFonts w:cs="Arial"/>
              </w:rPr>
              <w:t>Share of National rental affordability scheme tax offset</w:t>
            </w:r>
          </w:p>
        </w:tc>
      </w:tr>
      <w:tr w:rsidR="00115458" w:rsidRPr="00944B5E" w14:paraId="32F7320C" w14:textId="77777777" w:rsidTr="000C1365">
        <w:trPr>
          <w:cantSplit/>
          <w:trHeight w:val="272"/>
        </w:trPr>
        <w:tc>
          <w:tcPr>
            <w:tcW w:w="901" w:type="dxa"/>
            <w:vAlign w:val="center"/>
          </w:tcPr>
          <w:p w14:paraId="62478710" w14:textId="77777777" w:rsidR="00115458" w:rsidRPr="00F4606C" w:rsidRDefault="00115458" w:rsidP="00F4606C">
            <w:pPr>
              <w:spacing w:after="0" w:line="240" w:lineRule="auto"/>
              <w:jc w:val="center"/>
              <w:rPr>
                <w:rFonts w:cs="Arial"/>
                <w:b/>
              </w:rPr>
            </w:pPr>
            <w:r w:rsidRPr="00F4606C">
              <w:rPr>
                <w:rFonts w:cs="Arial"/>
                <w:noProof/>
              </w:rPr>
              <w:t>9.113</w:t>
            </w:r>
          </w:p>
        </w:tc>
        <w:tc>
          <w:tcPr>
            <w:tcW w:w="1793" w:type="dxa"/>
            <w:vAlign w:val="center"/>
          </w:tcPr>
          <w:p w14:paraId="6D156AB8" w14:textId="77777777" w:rsidR="00115458" w:rsidRPr="00F4606C" w:rsidRDefault="00115458" w:rsidP="00F4606C">
            <w:pPr>
              <w:spacing w:after="0" w:line="240" w:lineRule="auto"/>
              <w:rPr>
                <w:rFonts w:cs="Arial"/>
              </w:rPr>
            </w:pPr>
            <w:r w:rsidRPr="00F4606C">
              <w:rPr>
                <w:rFonts w:cs="Arial"/>
              </w:rPr>
              <w:t>Primary production income</w:t>
            </w:r>
          </w:p>
        </w:tc>
        <w:tc>
          <w:tcPr>
            <w:tcW w:w="1134" w:type="dxa"/>
            <w:vAlign w:val="center"/>
          </w:tcPr>
          <w:p w14:paraId="69AC02FC"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06FB7E5A"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792AFF62" w14:textId="77777777" w:rsidR="00115458" w:rsidRPr="00F4606C" w:rsidRDefault="00115458" w:rsidP="00F4606C">
            <w:pPr>
              <w:spacing w:after="0" w:line="240" w:lineRule="auto"/>
              <w:jc w:val="center"/>
              <w:rPr>
                <w:rFonts w:cs="Arial"/>
              </w:rPr>
            </w:pPr>
            <w:r w:rsidRPr="00F4606C">
              <w:rPr>
                <w:rFonts w:cs="Arial"/>
              </w:rPr>
              <w:t>13L</w:t>
            </w:r>
          </w:p>
        </w:tc>
        <w:tc>
          <w:tcPr>
            <w:tcW w:w="3969" w:type="dxa"/>
            <w:vAlign w:val="center"/>
          </w:tcPr>
          <w:p w14:paraId="019457C1" w14:textId="77777777" w:rsidR="00115458" w:rsidRPr="00F4606C" w:rsidRDefault="00115458" w:rsidP="00F4606C">
            <w:pPr>
              <w:spacing w:after="0" w:line="240" w:lineRule="auto"/>
              <w:rPr>
                <w:rFonts w:cs="Arial"/>
              </w:rPr>
            </w:pPr>
            <w:r w:rsidRPr="00F4606C">
              <w:rPr>
                <w:rFonts w:cs="Arial"/>
              </w:rPr>
              <w:t>Share of net income from trusts</w:t>
            </w:r>
          </w:p>
        </w:tc>
      </w:tr>
      <w:tr w:rsidR="00115458" w:rsidRPr="00944B5E" w14:paraId="540BBDDD" w14:textId="77777777" w:rsidTr="000C1365">
        <w:trPr>
          <w:cantSplit/>
          <w:trHeight w:val="272"/>
        </w:trPr>
        <w:tc>
          <w:tcPr>
            <w:tcW w:w="901" w:type="dxa"/>
            <w:tcBorders>
              <w:bottom w:val="single" w:sz="4" w:space="0" w:color="auto"/>
            </w:tcBorders>
            <w:vAlign w:val="center"/>
          </w:tcPr>
          <w:p w14:paraId="5047D345" w14:textId="77777777" w:rsidR="00115458" w:rsidRPr="00F4606C" w:rsidRDefault="00115458" w:rsidP="00F4606C">
            <w:pPr>
              <w:spacing w:after="0" w:line="240" w:lineRule="auto"/>
              <w:jc w:val="center"/>
              <w:rPr>
                <w:rFonts w:cs="Arial"/>
                <w:b/>
              </w:rPr>
            </w:pPr>
            <w:r w:rsidRPr="00F4606C">
              <w:rPr>
                <w:rFonts w:cs="Arial"/>
                <w:noProof/>
              </w:rPr>
              <w:t>9.114</w:t>
            </w:r>
          </w:p>
        </w:tc>
        <w:tc>
          <w:tcPr>
            <w:tcW w:w="1793" w:type="dxa"/>
            <w:tcBorders>
              <w:bottom w:val="single" w:sz="4" w:space="0" w:color="auto"/>
            </w:tcBorders>
            <w:vAlign w:val="center"/>
          </w:tcPr>
          <w:p w14:paraId="6E80EC65" w14:textId="77777777" w:rsidR="00115458" w:rsidRPr="00F4606C" w:rsidRDefault="00115458" w:rsidP="00F4606C">
            <w:pPr>
              <w:spacing w:after="0" w:line="240" w:lineRule="auto"/>
              <w:rPr>
                <w:rFonts w:cs="Arial"/>
              </w:rPr>
            </w:pPr>
            <w:r w:rsidRPr="00F4606C">
              <w:rPr>
                <w:rFonts w:cs="Arial"/>
              </w:rPr>
              <w:t>Share of credit for tax withheld where ABN not quoted</w:t>
            </w:r>
          </w:p>
        </w:tc>
        <w:tc>
          <w:tcPr>
            <w:tcW w:w="1134" w:type="dxa"/>
            <w:tcBorders>
              <w:bottom w:val="single" w:sz="4" w:space="0" w:color="auto"/>
            </w:tcBorders>
            <w:vAlign w:val="center"/>
          </w:tcPr>
          <w:p w14:paraId="62F9DD9E"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26B7EB37"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78C75746" w14:textId="77777777" w:rsidR="00115458" w:rsidRPr="00F4606C" w:rsidRDefault="00115458" w:rsidP="00F4606C">
            <w:pPr>
              <w:spacing w:after="0" w:line="240" w:lineRule="auto"/>
              <w:jc w:val="center"/>
              <w:rPr>
                <w:rFonts w:cs="Arial"/>
              </w:rPr>
            </w:pPr>
            <w:r w:rsidRPr="00F4606C">
              <w:rPr>
                <w:rFonts w:cs="Arial"/>
              </w:rPr>
              <w:t>13P</w:t>
            </w:r>
          </w:p>
        </w:tc>
        <w:tc>
          <w:tcPr>
            <w:tcW w:w="3969" w:type="dxa"/>
            <w:tcBorders>
              <w:bottom w:val="single" w:sz="4" w:space="0" w:color="auto"/>
            </w:tcBorders>
            <w:vAlign w:val="center"/>
          </w:tcPr>
          <w:p w14:paraId="126BFE69" w14:textId="77777777" w:rsidR="00115458" w:rsidRPr="00F4606C" w:rsidRDefault="00115458" w:rsidP="00F4606C">
            <w:pPr>
              <w:spacing w:after="0" w:line="240" w:lineRule="auto"/>
              <w:rPr>
                <w:rFonts w:cs="Arial"/>
              </w:rPr>
            </w:pPr>
            <w:r w:rsidRPr="00F4606C">
              <w:rPr>
                <w:rFonts w:cs="Arial"/>
              </w:rPr>
              <w:t>Share of credit for tax withheld where ABN not quoted</w:t>
            </w:r>
          </w:p>
        </w:tc>
      </w:tr>
      <w:tr w:rsidR="00115458" w:rsidRPr="00944B5E" w14:paraId="69C71265" w14:textId="77777777" w:rsidTr="000C1365">
        <w:trPr>
          <w:cantSplit/>
          <w:trHeight w:val="272"/>
        </w:trPr>
        <w:tc>
          <w:tcPr>
            <w:tcW w:w="901" w:type="dxa"/>
            <w:vAlign w:val="center"/>
          </w:tcPr>
          <w:p w14:paraId="617F9835" w14:textId="77777777" w:rsidR="00115458" w:rsidRPr="00F4606C" w:rsidRDefault="00115458" w:rsidP="00F4606C">
            <w:pPr>
              <w:spacing w:after="0" w:line="240" w:lineRule="auto"/>
              <w:jc w:val="center"/>
              <w:rPr>
                <w:rFonts w:cs="Arial"/>
                <w:b/>
              </w:rPr>
            </w:pPr>
            <w:r w:rsidRPr="00F4606C">
              <w:rPr>
                <w:rFonts w:cs="Arial"/>
                <w:noProof/>
              </w:rPr>
              <w:t>9.115</w:t>
            </w:r>
          </w:p>
        </w:tc>
        <w:tc>
          <w:tcPr>
            <w:tcW w:w="1793" w:type="dxa"/>
            <w:vAlign w:val="center"/>
          </w:tcPr>
          <w:p w14:paraId="76FF09AF" w14:textId="77777777" w:rsidR="00115458" w:rsidRPr="00F4606C" w:rsidRDefault="00115458" w:rsidP="00F4606C">
            <w:pPr>
              <w:spacing w:after="0" w:line="240" w:lineRule="auto"/>
              <w:rPr>
                <w:rFonts w:cs="Arial"/>
              </w:rPr>
            </w:pPr>
            <w:r w:rsidRPr="00F4606C">
              <w:rPr>
                <w:rFonts w:cs="Arial"/>
              </w:rPr>
              <w:t>Deductions relating to distribution of primary production income</w:t>
            </w:r>
          </w:p>
        </w:tc>
        <w:tc>
          <w:tcPr>
            <w:tcW w:w="1134" w:type="dxa"/>
            <w:vAlign w:val="center"/>
          </w:tcPr>
          <w:p w14:paraId="31237603"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3873193F"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329C5CA8" w14:textId="77777777" w:rsidR="00115458" w:rsidRPr="00F4606C" w:rsidRDefault="00115458" w:rsidP="00F4606C">
            <w:pPr>
              <w:spacing w:after="0" w:line="240" w:lineRule="auto"/>
              <w:jc w:val="center"/>
              <w:rPr>
                <w:rFonts w:cs="Arial"/>
              </w:rPr>
            </w:pPr>
            <w:r w:rsidRPr="00F4606C">
              <w:rPr>
                <w:rFonts w:cs="Arial"/>
              </w:rPr>
              <w:t>13X</w:t>
            </w:r>
          </w:p>
        </w:tc>
        <w:tc>
          <w:tcPr>
            <w:tcW w:w="3969" w:type="dxa"/>
            <w:vAlign w:val="center"/>
          </w:tcPr>
          <w:p w14:paraId="339B598C" w14:textId="77777777" w:rsidR="00115458" w:rsidRPr="00F4606C" w:rsidRDefault="00115458" w:rsidP="00F4606C">
            <w:pPr>
              <w:spacing w:after="0" w:line="240" w:lineRule="auto"/>
              <w:rPr>
                <w:rFonts w:cs="Arial"/>
              </w:rPr>
            </w:pPr>
            <w:r w:rsidRPr="00F4606C">
              <w:rPr>
                <w:rFonts w:cs="Arial"/>
              </w:rPr>
              <w:t>Other deductions relating to amounts shown at N and L</w:t>
            </w:r>
          </w:p>
        </w:tc>
      </w:tr>
      <w:tr w:rsidR="00115458" w:rsidRPr="00944B5E" w14:paraId="5199C301" w14:textId="77777777" w:rsidTr="000C1365">
        <w:trPr>
          <w:cantSplit/>
          <w:trHeight w:val="272"/>
        </w:trPr>
        <w:tc>
          <w:tcPr>
            <w:tcW w:w="901" w:type="dxa"/>
            <w:tcBorders>
              <w:bottom w:val="single" w:sz="4" w:space="0" w:color="auto"/>
            </w:tcBorders>
            <w:vAlign w:val="center"/>
          </w:tcPr>
          <w:p w14:paraId="151991EC" w14:textId="77777777" w:rsidR="00115458" w:rsidRPr="00F4606C" w:rsidRDefault="00115458" w:rsidP="00F4606C">
            <w:pPr>
              <w:spacing w:after="0" w:line="240" w:lineRule="auto"/>
              <w:jc w:val="center"/>
              <w:rPr>
                <w:rFonts w:cs="Arial"/>
                <w:b/>
              </w:rPr>
            </w:pPr>
            <w:r w:rsidRPr="00F4606C">
              <w:rPr>
                <w:rFonts w:cs="Arial"/>
                <w:noProof/>
              </w:rPr>
              <w:t>9.116</w:t>
            </w:r>
          </w:p>
        </w:tc>
        <w:tc>
          <w:tcPr>
            <w:tcW w:w="1793" w:type="dxa"/>
            <w:tcBorders>
              <w:bottom w:val="single" w:sz="4" w:space="0" w:color="auto"/>
            </w:tcBorders>
            <w:vAlign w:val="center"/>
          </w:tcPr>
          <w:p w14:paraId="10FFCD6C" w14:textId="77777777" w:rsidR="00115458" w:rsidRPr="00F4606C" w:rsidRDefault="00115458" w:rsidP="00F4606C">
            <w:pPr>
              <w:spacing w:after="0" w:line="240" w:lineRule="auto"/>
              <w:rPr>
                <w:rFonts w:cs="Arial"/>
              </w:rPr>
            </w:pPr>
            <w:r w:rsidRPr="00F4606C">
              <w:rPr>
                <w:rFonts w:cs="Arial"/>
              </w:rPr>
              <w:t>Transferor trust income</w:t>
            </w:r>
          </w:p>
        </w:tc>
        <w:tc>
          <w:tcPr>
            <w:tcW w:w="1134" w:type="dxa"/>
            <w:tcBorders>
              <w:bottom w:val="single" w:sz="4" w:space="0" w:color="auto"/>
            </w:tcBorders>
            <w:vAlign w:val="center"/>
          </w:tcPr>
          <w:p w14:paraId="40787509"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682EBB13"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63CBBBD1" w14:textId="77777777" w:rsidR="00115458" w:rsidRPr="00F4606C" w:rsidRDefault="00115458" w:rsidP="00F4606C">
            <w:pPr>
              <w:spacing w:after="0" w:line="240" w:lineRule="auto"/>
              <w:jc w:val="center"/>
              <w:rPr>
                <w:rFonts w:cs="Arial"/>
              </w:rPr>
            </w:pPr>
            <w:r w:rsidRPr="00F4606C">
              <w:rPr>
                <w:rFonts w:cs="Arial"/>
              </w:rPr>
              <w:t>19B</w:t>
            </w:r>
          </w:p>
        </w:tc>
        <w:tc>
          <w:tcPr>
            <w:tcW w:w="3969" w:type="dxa"/>
            <w:tcBorders>
              <w:bottom w:val="single" w:sz="4" w:space="0" w:color="auto"/>
            </w:tcBorders>
            <w:vAlign w:val="center"/>
          </w:tcPr>
          <w:p w14:paraId="19F11AB1" w14:textId="77777777" w:rsidR="00115458" w:rsidRPr="00F4606C" w:rsidRDefault="00115458" w:rsidP="00F4606C">
            <w:pPr>
              <w:spacing w:after="0" w:line="240" w:lineRule="auto"/>
              <w:rPr>
                <w:rFonts w:cs="Arial"/>
              </w:rPr>
            </w:pPr>
            <w:r w:rsidRPr="00F4606C">
              <w:rPr>
                <w:rFonts w:cs="Arial"/>
              </w:rPr>
              <w:t>Transferor trust income</w:t>
            </w:r>
          </w:p>
        </w:tc>
      </w:tr>
      <w:tr w:rsidR="00115458" w:rsidRPr="00944B5E" w14:paraId="25A1B44D" w14:textId="77777777" w:rsidTr="000C1365">
        <w:trPr>
          <w:cantSplit/>
          <w:trHeight w:val="272"/>
        </w:trPr>
        <w:tc>
          <w:tcPr>
            <w:tcW w:w="901" w:type="dxa"/>
            <w:tcBorders>
              <w:bottom w:val="single" w:sz="4" w:space="0" w:color="auto"/>
            </w:tcBorders>
            <w:vAlign w:val="center"/>
          </w:tcPr>
          <w:p w14:paraId="12DADAE0" w14:textId="77777777" w:rsidR="00115458" w:rsidRPr="00F4606C" w:rsidRDefault="00115458" w:rsidP="00F4606C">
            <w:pPr>
              <w:spacing w:after="0" w:line="240" w:lineRule="auto"/>
              <w:jc w:val="center"/>
              <w:rPr>
                <w:rFonts w:cs="Arial"/>
                <w:b/>
              </w:rPr>
            </w:pPr>
            <w:r w:rsidRPr="00F4606C">
              <w:rPr>
                <w:rFonts w:cs="Arial"/>
                <w:noProof/>
              </w:rPr>
              <w:t>9.117</w:t>
            </w:r>
          </w:p>
        </w:tc>
        <w:tc>
          <w:tcPr>
            <w:tcW w:w="1793" w:type="dxa"/>
            <w:tcBorders>
              <w:bottom w:val="single" w:sz="4" w:space="0" w:color="auto"/>
            </w:tcBorders>
            <w:vAlign w:val="center"/>
          </w:tcPr>
          <w:p w14:paraId="710B9139" w14:textId="77777777" w:rsidR="00115458" w:rsidRPr="00F4606C" w:rsidRDefault="00115458" w:rsidP="00F4606C">
            <w:pPr>
              <w:spacing w:after="0" w:line="240" w:lineRule="auto"/>
              <w:rPr>
                <w:rFonts w:cs="Arial"/>
              </w:rPr>
            </w:pPr>
            <w:r w:rsidRPr="00F4606C">
              <w:rPr>
                <w:rFonts w:cs="Arial"/>
              </w:rPr>
              <w:t>CFC income</w:t>
            </w:r>
          </w:p>
        </w:tc>
        <w:tc>
          <w:tcPr>
            <w:tcW w:w="1134" w:type="dxa"/>
            <w:tcBorders>
              <w:bottom w:val="single" w:sz="4" w:space="0" w:color="auto"/>
            </w:tcBorders>
            <w:vAlign w:val="center"/>
          </w:tcPr>
          <w:p w14:paraId="63CF2D58"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1E0B69B4"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36E2E4F9" w14:textId="77777777" w:rsidR="00115458" w:rsidRPr="00F4606C" w:rsidRDefault="00115458" w:rsidP="00F4606C">
            <w:pPr>
              <w:spacing w:after="0" w:line="240" w:lineRule="auto"/>
              <w:jc w:val="center"/>
              <w:rPr>
                <w:rFonts w:cs="Arial"/>
              </w:rPr>
            </w:pPr>
            <w:r w:rsidRPr="00F4606C">
              <w:rPr>
                <w:rFonts w:cs="Arial"/>
              </w:rPr>
              <w:t>19K</w:t>
            </w:r>
          </w:p>
        </w:tc>
        <w:tc>
          <w:tcPr>
            <w:tcW w:w="3969" w:type="dxa"/>
            <w:tcBorders>
              <w:bottom w:val="single" w:sz="4" w:space="0" w:color="auto"/>
            </w:tcBorders>
            <w:vAlign w:val="center"/>
          </w:tcPr>
          <w:p w14:paraId="39770258" w14:textId="77777777" w:rsidR="00115458" w:rsidRPr="00F4606C" w:rsidRDefault="00115458" w:rsidP="00F4606C">
            <w:pPr>
              <w:spacing w:after="0" w:line="240" w:lineRule="auto"/>
              <w:rPr>
                <w:rFonts w:cs="Arial"/>
              </w:rPr>
            </w:pPr>
            <w:r w:rsidRPr="00F4606C">
              <w:rPr>
                <w:rFonts w:cs="Arial"/>
              </w:rPr>
              <w:t>CFC income</w:t>
            </w:r>
          </w:p>
        </w:tc>
      </w:tr>
      <w:tr w:rsidR="00115458" w:rsidRPr="00944B5E" w14:paraId="38754B4E" w14:textId="77777777" w:rsidTr="000C1365">
        <w:trPr>
          <w:cantSplit/>
          <w:trHeight w:val="272"/>
        </w:trPr>
        <w:tc>
          <w:tcPr>
            <w:tcW w:w="901" w:type="dxa"/>
            <w:vAlign w:val="center"/>
          </w:tcPr>
          <w:p w14:paraId="478EA8A4" w14:textId="77777777" w:rsidR="00115458" w:rsidRPr="00F4606C" w:rsidRDefault="00115458" w:rsidP="00F4606C">
            <w:pPr>
              <w:spacing w:after="0" w:line="240" w:lineRule="auto"/>
              <w:jc w:val="center"/>
              <w:rPr>
                <w:rFonts w:cs="Arial"/>
                <w:b/>
              </w:rPr>
            </w:pPr>
            <w:r w:rsidRPr="00F4606C">
              <w:rPr>
                <w:rFonts w:cs="Arial"/>
                <w:noProof/>
              </w:rPr>
              <w:t>9.118</w:t>
            </w:r>
          </w:p>
        </w:tc>
        <w:tc>
          <w:tcPr>
            <w:tcW w:w="1793" w:type="dxa"/>
            <w:vAlign w:val="center"/>
          </w:tcPr>
          <w:p w14:paraId="46E87E09" w14:textId="77777777" w:rsidR="00115458" w:rsidRPr="00F4606C" w:rsidRDefault="00115458" w:rsidP="00F4606C">
            <w:pPr>
              <w:spacing w:after="0" w:line="240" w:lineRule="auto"/>
              <w:rPr>
                <w:rFonts w:cs="Arial"/>
              </w:rPr>
            </w:pPr>
            <w:r w:rsidRPr="00F4606C">
              <w:rPr>
                <w:rFonts w:cs="Arial"/>
              </w:rPr>
              <w:t>Net foreign rent</w:t>
            </w:r>
          </w:p>
        </w:tc>
        <w:tc>
          <w:tcPr>
            <w:tcW w:w="1134" w:type="dxa"/>
            <w:vAlign w:val="center"/>
          </w:tcPr>
          <w:p w14:paraId="6037ECAB"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5C7F4E4F"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1AEC2603" w14:textId="77777777" w:rsidR="00115458" w:rsidRPr="00F4606C" w:rsidRDefault="00115458" w:rsidP="00F4606C">
            <w:pPr>
              <w:spacing w:after="0" w:line="240" w:lineRule="auto"/>
              <w:jc w:val="center"/>
              <w:rPr>
                <w:rFonts w:cs="Arial"/>
              </w:rPr>
            </w:pPr>
            <w:r w:rsidRPr="00F4606C">
              <w:rPr>
                <w:rFonts w:cs="Arial"/>
              </w:rPr>
              <w:t>20R</w:t>
            </w:r>
          </w:p>
        </w:tc>
        <w:tc>
          <w:tcPr>
            <w:tcW w:w="3969" w:type="dxa"/>
            <w:vAlign w:val="center"/>
          </w:tcPr>
          <w:p w14:paraId="707AF77C" w14:textId="77777777" w:rsidR="00115458" w:rsidRPr="00F4606C" w:rsidRDefault="00115458" w:rsidP="00F4606C">
            <w:pPr>
              <w:spacing w:after="0" w:line="240" w:lineRule="auto"/>
              <w:rPr>
                <w:rFonts w:cs="Arial"/>
              </w:rPr>
            </w:pPr>
            <w:r w:rsidRPr="00F4606C">
              <w:rPr>
                <w:rFonts w:cs="Arial"/>
              </w:rPr>
              <w:t>Net foreign rent</w:t>
            </w:r>
          </w:p>
        </w:tc>
      </w:tr>
      <w:tr w:rsidR="00115458" w:rsidRPr="00944B5E" w14:paraId="33A9FE2A" w14:textId="77777777" w:rsidTr="000C1365">
        <w:trPr>
          <w:cantSplit/>
          <w:trHeight w:val="272"/>
        </w:trPr>
        <w:tc>
          <w:tcPr>
            <w:tcW w:w="901" w:type="dxa"/>
            <w:tcBorders>
              <w:bottom w:val="single" w:sz="4" w:space="0" w:color="auto"/>
            </w:tcBorders>
            <w:vAlign w:val="center"/>
          </w:tcPr>
          <w:p w14:paraId="06D6C189" w14:textId="77777777" w:rsidR="00115458" w:rsidRPr="00F4606C" w:rsidRDefault="00115458" w:rsidP="00F4606C">
            <w:pPr>
              <w:spacing w:after="0" w:line="240" w:lineRule="auto"/>
              <w:jc w:val="center"/>
              <w:rPr>
                <w:rFonts w:cs="Arial"/>
              </w:rPr>
            </w:pPr>
            <w:r w:rsidRPr="00F4606C">
              <w:rPr>
                <w:rFonts w:cs="Arial"/>
              </w:rPr>
              <w:t>9.119</w:t>
            </w:r>
          </w:p>
        </w:tc>
        <w:tc>
          <w:tcPr>
            <w:tcW w:w="1793" w:type="dxa"/>
            <w:tcBorders>
              <w:bottom w:val="single" w:sz="4" w:space="0" w:color="auto"/>
            </w:tcBorders>
            <w:vAlign w:val="center"/>
          </w:tcPr>
          <w:p w14:paraId="77CB6235" w14:textId="77777777" w:rsidR="00115458" w:rsidRPr="00F4606C" w:rsidRDefault="00115458" w:rsidP="00F4606C">
            <w:pPr>
              <w:spacing w:after="0" w:line="240" w:lineRule="auto"/>
              <w:rPr>
                <w:rFonts w:cs="Arial"/>
              </w:rPr>
            </w:pPr>
            <w:r w:rsidRPr="00F4606C">
              <w:rPr>
                <w:rFonts w:cs="Arial"/>
              </w:rPr>
              <w:t>Unfranked distributions from trusts</w:t>
            </w:r>
          </w:p>
        </w:tc>
        <w:tc>
          <w:tcPr>
            <w:tcW w:w="1134" w:type="dxa"/>
            <w:tcBorders>
              <w:bottom w:val="single" w:sz="4" w:space="0" w:color="auto"/>
            </w:tcBorders>
            <w:vAlign w:val="center"/>
          </w:tcPr>
          <w:p w14:paraId="5083895C"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61395CDF"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70ACB7AB"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2D0F011A"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0C817B4F" w14:textId="77777777" w:rsidTr="000C1365">
        <w:trPr>
          <w:cantSplit/>
          <w:trHeight w:val="272"/>
        </w:trPr>
        <w:tc>
          <w:tcPr>
            <w:tcW w:w="901" w:type="dxa"/>
            <w:vAlign w:val="center"/>
          </w:tcPr>
          <w:p w14:paraId="1B88622F" w14:textId="77777777" w:rsidR="00115458" w:rsidRPr="00F4606C" w:rsidRDefault="00115458" w:rsidP="00F4606C">
            <w:pPr>
              <w:spacing w:after="0" w:line="240" w:lineRule="auto"/>
              <w:jc w:val="center"/>
              <w:rPr>
                <w:rFonts w:cs="Arial"/>
              </w:rPr>
            </w:pPr>
            <w:r w:rsidRPr="00F4606C">
              <w:rPr>
                <w:rFonts w:cs="Arial"/>
              </w:rPr>
              <w:t>9.120</w:t>
            </w:r>
          </w:p>
        </w:tc>
        <w:tc>
          <w:tcPr>
            <w:tcW w:w="1793" w:type="dxa"/>
            <w:vAlign w:val="center"/>
          </w:tcPr>
          <w:p w14:paraId="5A2B5F24" w14:textId="77777777" w:rsidR="00115458" w:rsidRPr="00F4606C" w:rsidRDefault="00115458" w:rsidP="00F4606C">
            <w:pPr>
              <w:spacing w:after="0" w:line="240" w:lineRule="auto"/>
              <w:rPr>
                <w:rFonts w:cs="Arial"/>
              </w:rPr>
            </w:pPr>
            <w:r w:rsidRPr="00F4606C">
              <w:rPr>
                <w:rFonts w:cs="Arial"/>
              </w:rPr>
              <w:t>Franked distributions from trusts</w:t>
            </w:r>
          </w:p>
        </w:tc>
        <w:tc>
          <w:tcPr>
            <w:tcW w:w="1134" w:type="dxa"/>
            <w:vAlign w:val="center"/>
          </w:tcPr>
          <w:p w14:paraId="4CEDDF83" w14:textId="77777777" w:rsidR="00115458" w:rsidRPr="00F4606C" w:rsidRDefault="00115458" w:rsidP="00F4606C">
            <w:pPr>
              <w:spacing w:after="0" w:line="240" w:lineRule="auto"/>
              <w:rPr>
                <w:rFonts w:cs="Arial"/>
              </w:rPr>
            </w:pPr>
            <w:r w:rsidRPr="00F4606C">
              <w:rPr>
                <w:rFonts w:cs="Arial"/>
              </w:rPr>
              <w:t>UTD, AMT</w:t>
            </w:r>
          </w:p>
        </w:tc>
        <w:tc>
          <w:tcPr>
            <w:tcW w:w="709" w:type="dxa"/>
            <w:vAlign w:val="center"/>
          </w:tcPr>
          <w:p w14:paraId="5CA492F5"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30A6B033" w14:textId="77777777" w:rsidR="00115458" w:rsidRPr="00F4606C" w:rsidRDefault="00115458" w:rsidP="00F4606C">
            <w:pPr>
              <w:spacing w:after="0" w:line="240" w:lineRule="auto"/>
              <w:jc w:val="center"/>
              <w:rPr>
                <w:rFonts w:cs="Arial"/>
              </w:rPr>
            </w:pPr>
            <w:r w:rsidRPr="00F4606C">
              <w:rPr>
                <w:rFonts w:cs="Arial"/>
              </w:rPr>
              <w:t>13C</w:t>
            </w:r>
          </w:p>
        </w:tc>
        <w:tc>
          <w:tcPr>
            <w:tcW w:w="3969" w:type="dxa"/>
            <w:vAlign w:val="center"/>
          </w:tcPr>
          <w:p w14:paraId="05C25D49" w14:textId="77777777" w:rsidR="00115458" w:rsidRPr="00F4606C" w:rsidRDefault="00115458" w:rsidP="00F4606C">
            <w:pPr>
              <w:spacing w:after="0" w:line="240" w:lineRule="auto"/>
              <w:rPr>
                <w:rFonts w:cs="Arial"/>
              </w:rPr>
            </w:pPr>
            <w:r w:rsidRPr="00F4606C">
              <w:rPr>
                <w:rFonts w:cs="Arial"/>
              </w:rPr>
              <w:t xml:space="preserve">Franked distributions from trusts </w:t>
            </w:r>
          </w:p>
        </w:tc>
      </w:tr>
      <w:tr w:rsidR="00115458" w:rsidRPr="00944B5E" w14:paraId="04EFA76C" w14:textId="77777777" w:rsidTr="000C1365">
        <w:trPr>
          <w:cantSplit/>
          <w:trHeight w:val="272"/>
        </w:trPr>
        <w:tc>
          <w:tcPr>
            <w:tcW w:w="901" w:type="dxa"/>
            <w:tcBorders>
              <w:bottom w:val="single" w:sz="4" w:space="0" w:color="auto"/>
            </w:tcBorders>
            <w:vAlign w:val="center"/>
          </w:tcPr>
          <w:p w14:paraId="5E644B9B" w14:textId="77777777" w:rsidR="00115458" w:rsidRPr="00F4606C" w:rsidRDefault="00115458" w:rsidP="00F4606C">
            <w:pPr>
              <w:spacing w:after="0" w:line="240" w:lineRule="auto"/>
              <w:jc w:val="center"/>
              <w:rPr>
                <w:rFonts w:cs="Arial"/>
                <w:b/>
              </w:rPr>
            </w:pPr>
            <w:hyperlink w:anchor="d7_117" w:history="1">
              <w:r w:rsidRPr="00F4606C">
                <w:rPr>
                  <w:noProof/>
                </w:rPr>
                <w:t>9.121</w:t>
              </w:r>
            </w:hyperlink>
          </w:p>
        </w:tc>
        <w:tc>
          <w:tcPr>
            <w:tcW w:w="1793" w:type="dxa"/>
            <w:tcBorders>
              <w:bottom w:val="single" w:sz="4" w:space="0" w:color="auto"/>
            </w:tcBorders>
            <w:vAlign w:val="center"/>
          </w:tcPr>
          <w:p w14:paraId="48B56535" w14:textId="77777777" w:rsidR="00115458" w:rsidRPr="00F4606C" w:rsidRDefault="00115458" w:rsidP="00F4606C">
            <w:pPr>
              <w:spacing w:after="0" w:line="240" w:lineRule="auto"/>
              <w:rPr>
                <w:rFonts w:cs="Arial"/>
              </w:rPr>
            </w:pPr>
            <w:r w:rsidRPr="00F4606C">
              <w:t>Gross cash distribution</w:t>
            </w:r>
          </w:p>
        </w:tc>
        <w:tc>
          <w:tcPr>
            <w:tcW w:w="1134" w:type="dxa"/>
            <w:tcBorders>
              <w:bottom w:val="single" w:sz="4" w:space="0" w:color="auto"/>
            </w:tcBorders>
            <w:vAlign w:val="center"/>
          </w:tcPr>
          <w:p w14:paraId="71F86B4E"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6239935C"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55D70C5C"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3601FA64" w14:textId="77777777" w:rsidR="00115458" w:rsidRPr="00F4606C" w:rsidRDefault="00115458" w:rsidP="00F4606C">
            <w:pPr>
              <w:spacing w:after="0" w:line="240" w:lineRule="auto"/>
              <w:rPr>
                <w:rFonts w:cs="Arial"/>
              </w:rPr>
            </w:pPr>
          </w:p>
        </w:tc>
      </w:tr>
      <w:tr w:rsidR="00115458" w:rsidRPr="00944B5E" w14:paraId="470533F1" w14:textId="77777777" w:rsidTr="000C1365">
        <w:trPr>
          <w:cantSplit/>
          <w:trHeight w:val="272"/>
        </w:trPr>
        <w:tc>
          <w:tcPr>
            <w:tcW w:w="901" w:type="dxa"/>
            <w:tcBorders>
              <w:bottom w:val="single" w:sz="4" w:space="0" w:color="auto"/>
            </w:tcBorders>
            <w:vAlign w:val="center"/>
          </w:tcPr>
          <w:p w14:paraId="78F68C95" w14:textId="77777777" w:rsidR="00115458" w:rsidRPr="00F4606C" w:rsidRDefault="00115458" w:rsidP="00F4606C">
            <w:pPr>
              <w:spacing w:after="0" w:line="240" w:lineRule="auto"/>
              <w:jc w:val="center"/>
              <w:rPr>
                <w:rFonts w:cs="Arial"/>
                <w:b/>
              </w:rPr>
            </w:pPr>
            <w:hyperlink w:anchor="d7_118" w:history="1">
              <w:r w:rsidRPr="00F4606C">
                <w:rPr>
                  <w:noProof/>
                </w:rPr>
                <w:t>9.122</w:t>
              </w:r>
            </w:hyperlink>
          </w:p>
        </w:tc>
        <w:tc>
          <w:tcPr>
            <w:tcW w:w="1793" w:type="dxa"/>
            <w:tcBorders>
              <w:bottom w:val="single" w:sz="4" w:space="0" w:color="auto"/>
            </w:tcBorders>
          </w:tcPr>
          <w:p w14:paraId="257C32BB" w14:textId="77777777" w:rsidR="00115458" w:rsidRPr="00F4606C" w:rsidRDefault="00115458" w:rsidP="00F4606C">
            <w:pPr>
              <w:spacing w:after="0" w:line="240" w:lineRule="auto"/>
              <w:rPr>
                <w:rFonts w:cs="Arial"/>
              </w:rPr>
            </w:pPr>
            <w:r w:rsidRPr="00F4606C">
              <w:t>Interest exempt from withholding</w:t>
            </w:r>
          </w:p>
        </w:tc>
        <w:tc>
          <w:tcPr>
            <w:tcW w:w="1134" w:type="dxa"/>
            <w:tcBorders>
              <w:bottom w:val="single" w:sz="4" w:space="0" w:color="auto"/>
            </w:tcBorders>
            <w:vAlign w:val="center"/>
          </w:tcPr>
          <w:p w14:paraId="28B2FA7D"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75405CFB"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413C05A4"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36B1332E"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41F1A80B" w14:textId="77777777" w:rsidTr="000C1365">
        <w:trPr>
          <w:cantSplit/>
          <w:trHeight w:val="716"/>
        </w:trPr>
        <w:tc>
          <w:tcPr>
            <w:tcW w:w="901" w:type="dxa"/>
            <w:vAlign w:val="center"/>
          </w:tcPr>
          <w:p w14:paraId="2DA6824A" w14:textId="77777777" w:rsidR="00115458" w:rsidRPr="00F4606C" w:rsidRDefault="00115458" w:rsidP="00F4606C">
            <w:pPr>
              <w:spacing w:after="0" w:line="240" w:lineRule="auto"/>
              <w:jc w:val="center"/>
              <w:rPr>
                <w:rFonts w:cs="Arial"/>
                <w:b/>
              </w:rPr>
            </w:pPr>
            <w:hyperlink w:anchor="d7_119" w:history="1">
              <w:r w:rsidRPr="00F4606C">
                <w:rPr>
                  <w:noProof/>
                </w:rPr>
                <w:t>9.123</w:t>
              </w:r>
            </w:hyperlink>
          </w:p>
        </w:tc>
        <w:tc>
          <w:tcPr>
            <w:tcW w:w="1793" w:type="dxa"/>
            <w:vAlign w:val="center"/>
          </w:tcPr>
          <w:p w14:paraId="67E10D46" w14:textId="77777777" w:rsidR="00115458" w:rsidRPr="00F4606C" w:rsidRDefault="00115458" w:rsidP="00F4606C">
            <w:pPr>
              <w:spacing w:after="0" w:line="240" w:lineRule="auto"/>
              <w:rPr>
                <w:rFonts w:cs="Arial"/>
              </w:rPr>
            </w:pPr>
            <w:r w:rsidRPr="00F4606C">
              <w:t>Capital Gains discount method – Taxable Australian property</w:t>
            </w:r>
          </w:p>
        </w:tc>
        <w:tc>
          <w:tcPr>
            <w:tcW w:w="1134" w:type="dxa"/>
            <w:vAlign w:val="center"/>
          </w:tcPr>
          <w:p w14:paraId="3FC71FB4" w14:textId="77777777" w:rsidR="00115458" w:rsidRPr="00F4606C" w:rsidRDefault="00115458" w:rsidP="00F4606C">
            <w:pPr>
              <w:spacing w:after="0" w:line="240" w:lineRule="auto"/>
              <w:rPr>
                <w:rFonts w:cs="Arial"/>
              </w:rPr>
            </w:pPr>
            <w:r w:rsidRPr="00F4606C">
              <w:t>UTD, AMT</w:t>
            </w:r>
          </w:p>
        </w:tc>
        <w:tc>
          <w:tcPr>
            <w:tcW w:w="709" w:type="dxa"/>
            <w:vAlign w:val="center"/>
          </w:tcPr>
          <w:p w14:paraId="55181E19"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19477987" w14:textId="77777777" w:rsidR="00115458" w:rsidRPr="00F4606C" w:rsidRDefault="00115458" w:rsidP="00F4606C">
            <w:pPr>
              <w:spacing w:after="0" w:line="240" w:lineRule="auto"/>
              <w:jc w:val="center"/>
              <w:rPr>
                <w:rFonts w:cs="Arial"/>
              </w:rPr>
            </w:pPr>
          </w:p>
        </w:tc>
        <w:tc>
          <w:tcPr>
            <w:tcW w:w="3969" w:type="dxa"/>
            <w:vAlign w:val="center"/>
          </w:tcPr>
          <w:p w14:paraId="660DFEB7"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1B56C30D" w14:textId="77777777" w:rsidTr="000C1365">
        <w:trPr>
          <w:cantSplit/>
          <w:trHeight w:val="948"/>
        </w:trPr>
        <w:tc>
          <w:tcPr>
            <w:tcW w:w="901" w:type="dxa"/>
            <w:vAlign w:val="center"/>
          </w:tcPr>
          <w:p w14:paraId="6EC8879C" w14:textId="77777777" w:rsidR="00115458" w:rsidRPr="00F4606C" w:rsidRDefault="00115458" w:rsidP="00F4606C">
            <w:pPr>
              <w:spacing w:after="0" w:line="240" w:lineRule="auto"/>
              <w:jc w:val="center"/>
              <w:rPr>
                <w:rFonts w:cs="Arial"/>
                <w:b/>
              </w:rPr>
            </w:pPr>
            <w:hyperlink w:anchor="d7_120" w:history="1">
              <w:r w:rsidRPr="00F4606C">
                <w:rPr>
                  <w:noProof/>
                </w:rPr>
                <w:t>9.124</w:t>
              </w:r>
            </w:hyperlink>
          </w:p>
        </w:tc>
        <w:tc>
          <w:tcPr>
            <w:tcW w:w="1793" w:type="dxa"/>
            <w:vAlign w:val="center"/>
          </w:tcPr>
          <w:p w14:paraId="1E074ECE" w14:textId="77777777" w:rsidR="00115458" w:rsidRPr="00F4606C" w:rsidRDefault="00115458" w:rsidP="00F4606C">
            <w:pPr>
              <w:spacing w:after="0" w:line="240" w:lineRule="auto"/>
              <w:rPr>
                <w:rFonts w:cs="Arial"/>
              </w:rPr>
            </w:pPr>
            <w:r w:rsidRPr="00F4606C">
              <w:t>Capital Gains discount method – Non-Taxable Australian property</w:t>
            </w:r>
          </w:p>
        </w:tc>
        <w:tc>
          <w:tcPr>
            <w:tcW w:w="1134" w:type="dxa"/>
            <w:vAlign w:val="center"/>
          </w:tcPr>
          <w:p w14:paraId="1966F44E" w14:textId="77777777" w:rsidR="00115458" w:rsidRPr="00F4606C" w:rsidRDefault="00115458" w:rsidP="00F4606C">
            <w:pPr>
              <w:spacing w:after="0" w:line="240" w:lineRule="auto"/>
              <w:rPr>
                <w:rFonts w:cs="Arial"/>
              </w:rPr>
            </w:pPr>
            <w:r w:rsidRPr="00F4606C">
              <w:t>UTD, AMT</w:t>
            </w:r>
          </w:p>
        </w:tc>
        <w:tc>
          <w:tcPr>
            <w:tcW w:w="709" w:type="dxa"/>
            <w:vAlign w:val="center"/>
          </w:tcPr>
          <w:p w14:paraId="1DB7020B"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10D63232" w14:textId="77777777" w:rsidR="00115458" w:rsidRPr="00F4606C" w:rsidRDefault="00115458" w:rsidP="00F4606C">
            <w:pPr>
              <w:spacing w:after="0" w:line="240" w:lineRule="auto"/>
              <w:jc w:val="center"/>
              <w:rPr>
                <w:rFonts w:cs="Arial"/>
              </w:rPr>
            </w:pPr>
          </w:p>
        </w:tc>
        <w:tc>
          <w:tcPr>
            <w:tcW w:w="3969" w:type="dxa"/>
            <w:vAlign w:val="center"/>
          </w:tcPr>
          <w:p w14:paraId="0450659C" w14:textId="64D30349"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22E29AD" w14:textId="77777777" w:rsidTr="000C1365">
        <w:trPr>
          <w:cantSplit/>
          <w:trHeight w:val="272"/>
        </w:trPr>
        <w:tc>
          <w:tcPr>
            <w:tcW w:w="901" w:type="dxa"/>
            <w:tcBorders>
              <w:bottom w:val="single" w:sz="4" w:space="0" w:color="auto"/>
            </w:tcBorders>
            <w:vAlign w:val="center"/>
          </w:tcPr>
          <w:p w14:paraId="6A859818" w14:textId="77777777" w:rsidR="00115458" w:rsidRPr="00F4606C" w:rsidRDefault="00115458" w:rsidP="00F4606C">
            <w:pPr>
              <w:spacing w:after="0" w:line="240" w:lineRule="auto"/>
              <w:jc w:val="center"/>
              <w:rPr>
                <w:rFonts w:cs="Arial"/>
                <w:b/>
              </w:rPr>
            </w:pPr>
            <w:hyperlink w:anchor="d7_121" w:history="1">
              <w:r w:rsidRPr="00F4606C">
                <w:rPr>
                  <w:noProof/>
                </w:rPr>
                <w:t>9.125</w:t>
              </w:r>
            </w:hyperlink>
          </w:p>
        </w:tc>
        <w:tc>
          <w:tcPr>
            <w:tcW w:w="1793" w:type="dxa"/>
            <w:tcBorders>
              <w:bottom w:val="single" w:sz="4" w:space="0" w:color="auto"/>
            </w:tcBorders>
          </w:tcPr>
          <w:p w14:paraId="2228D0C6" w14:textId="77777777" w:rsidR="00115458" w:rsidRPr="00F4606C" w:rsidRDefault="00115458" w:rsidP="00F4606C">
            <w:pPr>
              <w:spacing w:after="0" w:line="240" w:lineRule="auto"/>
              <w:rPr>
                <w:rFonts w:cs="Arial"/>
              </w:rPr>
            </w:pPr>
            <w:r w:rsidRPr="00F4606C">
              <w:t>Capital gains other – Taxable Australian property</w:t>
            </w:r>
          </w:p>
        </w:tc>
        <w:tc>
          <w:tcPr>
            <w:tcW w:w="1134" w:type="dxa"/>
            <w:tcBorders>
              <w:bottom w:val="single" w:sz="4" w:space="0" w:color="auto"/>
            </w:tcBorders>
            <w:vAlign w:val="center"/>
          </w:tcPr>
          <w:p w14:paraId="12DDFFAB" w14:textId="77777777" w:rsidR="00115458" w:rsidRPr="00F4606C" w:rsidRDefault="00115458" w:rsidP="00F4606C">
            <w:pPr>
              <w:spacing w:after="0" w:line="240" w:lineRule="auto"/>
              <w:rPr>
                <w:rFonts w:cs="Arial"/>
              </w:rPr>
            </w:pPr>
            <w:r w:rsidRPr="00F4606C">
              <w:t>UTD, AMT</w:t>
            </w:r>
          </w:p>
        </w:tc>
        <w:tc>
          <w:tcPr>
            <w:tcW w:w="709" w:type="dxa"/>
            <w:tcBorders>
              <w:bottom w:val="single" w:sz="4" w:space="0" w:color="auto"/>
            </w:tcBorders>
            <w:vAlign w:val="center"/>
          </w:tcPr>
          <w:p w14:paraId="69A5FE63"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201D0FCE"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15F424A2" w14:textId="0E31F944"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74C9236E" w14:textId="77777777" w:rsidTr="000C1365">
        <w:trPr>
          <w:cantSplit/>
          <w:trHeight w:val="272"/>
        </w:trPr>
        <w:tc>
          <w:tcPr>
            <w:tcW w:w="901" w:type="dxa"/>
            <w:tcBorders>
              <w:bottom w:val="single" w:sz="4" w:space="0" w:color="auto"/>
            </w:tcBorders>
            <w:vAlign w:val="center"/>
          </w:tcPr>
          <w:p w14:paraId="5001AEFC" w14:textId="77777777" w:rsidR="00115458" w:rsidRPr="00F4606C" w:rsidRDefault="00115458" w:rsidP="00F4606C">
            <w:pPr>
              <w:spacing w:after="0" w:line="240" w:lineRule="auto"/>
              <w:jc w:val="center"/>
              <w:rPr>
                <w:rFonts w:cs="Arial"/>
                <w:b/>
              </w:rPr>
            </w:pPr>
            <w:hyperlink w:anchor="d7_122" w:history="1">
              <w:r w:rsidRPr="00F4606C">
                <w:rPr>
                  <w:noProof/>
                </w:rPr>
                <w:t>9.126</w:t>
              </w:r>
            </w:hyperlink>
          </w:p>
        </w:tc>
        <w:tc>
          <w:tcPr>
            <w:tcW w:w="1793" w:type="dxa"/>
            <w:tcBorders>
              <w:bottom w:val="single" w:sz="4" w:space="0" w:color="auto"/>
            </w:tcBorders>
          </w:tcPr>
          <w:p w14:paraId="6BA2CAEB" w14:textId="77777777" w:rsidR="00115458" w:rsidRPr="00F4606C" w:rsidRDefault="00115458" w:rsidP="00F4606C">
            <w:pPr>
              <w:spacing w:after="0" w:line="240" w:lineRule="auto"/>
              <w:rPr>
                <w:rFonts w:cs="Arial"/>
              </w:rPr>
            </w:pPr>
            <w:r w:rsidRPr="00F4606C">
              <w:t>Capital gains other – Non-Taxable Australian property</w:t>
            </w:r>
          </w:p>
        </w:tc>
        <w:tc>
          <w:tcPr>
            <w:tcW w:w="1134" w:type="dxa"/>
            <w:tcBorders>
              <w:bottom w:val="single" w:sz="4" w:space="0" w:color="auto"/>
            </w:tcBorders>
            <w:vAlign w:val="center"/>
          </w:tcPr>
          <w:p w14:paraId="5F4F7D40" w14:textId="77777777" w:rsidR="00115458" w:rsidRPr="00F4606C" w:rsidRDefault="00115458" w:rsidP="00F4606C">
            <w:pPr>
              <w:spacing w:after="0" w:line="240" w:lineRule="auto"/>
              <w:rPr>
                <w:rFonts w:cs="Arial"/>
              </w:rPr>
            </w:pPr>
            <w:r w:rsidRPr="00F4606C">
              <w:t>UTD, AMT</w:t>
            </w:r>
          </w:p>
        </w:tc>
        <w:tc>
          <w:tcPr>
            <w:tcW w:w="709" w:type="dxa"/>
            <w:tcBorders>
              <w:bottom w:val="single" w:sz="4" w:space="0" w:color="auto"/>
            </w:tcBorders>
            <w:vAlign w:val="center"/>
          </w:tcPr>
          <w:p w14:paraId="0784DF0A"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0F6D2D7F"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6A7710B7" w14:textId="2E344ED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F758852" w14:textId="77777777" w:rsidTr="000C1365">
        <w:trPr>
          <w:cantSplit/>
          <w:trHeight w:val="272"/>
        </w:trPr>
        <w:tc>
          <w:tcPr>
            <w:tcW w:w="901" w:type="dxa"/>
            <w:tcBorders>
              <w:bottom w:val="single" w:sz="4" w:space="0" w:color="auto"/>
            </w:tcBorders>
            <w:vAlign w:val="center"/>
          </w:tcPr>
          <w:p w14:paraId="636122D4" w14:textId="77777777" w:rsidR="00115458" w:rsidRPr="00F4606C" w:rsidRDefault="00115458" w:rsidP="00F4606C">
            <w:pPr>
              <w:spacing w:after="0" w:line="240" w:lineRule="auto"/>
              <w:jc w:val="center"/>
              <w:rPr>
                <w:rFonts w:cs="Arial"/>
                <w:b/>
              </w:rPr>
            </w:pPr>
            <w:hyperlink w:anchor="d7_123" w:history="1">
              <w:r w:rsidRPr="00F4606C">
                <w:rPr>
                  <w:noProof/>
                </w:rPr>
                <w:t>9.127</w:t>
              </w:r>
            </w:hyperlink>
          </w:p>
        </w:tc>
        <w:tc>
          <w:tcPr>
            <w:tcW w:w="1793" w:type="dxa"/>
            <w:tcBorders>
              <w:bottom w:val="single" w:sz="4" w:space="0" w:color="auto"/>
            </w:tcBorders>
          </w:tcPr>
          <w:p w14:paraId="20820033" w14:textId="77777777" w:rsidR="00115458" w:rsidRPr="00F4606C" w:rsidRDefault="00115458" w:rsidP="00F4606C">
            <w:pPr>
              <w:spacing w:after="0" w:line="240" w:lineRule="auto"/>
              <w:rPr>
                <w:rFonts w:cs="Arial"/>
              </w:rPr>
            </w:pPr>
            <w:r w:rsidRPr="00F4606C">
              <w:t>Non-assessable non-exempt amount</w:t>
            </w:r>
          </w:p>
        </w:tc>
        <w:tc>
          <w:tcPr>
            <w:tcW w:w="1134" w:type="dxa"/>
            <w:tcBorders>
              <w:bottom w:val="single" w:sz="4" w:space="0" w:color="auto"/>
            </w:tcBorders>
            <w:vAlign w:val="center"/>
          </w:tcPr>
          <w:p w14:paraId="364E6E8F"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79F4291B"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26D9E3C0"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tcPr>
          <w:p w14:paraId="100308CE"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18520A5F" w14:textId="77777777" w:rsidTr="000C1365">
        <w:trPr>
          <w:cantSplit/>
          <w:trHeight w:val="272"/>
        </w:trPr>
        <w:tc>
          <w:tcPr>
            <w:tcW w:w="901" w:type="dxa"/>
            <w:tcBorders>
              <w:bottom w:val="single" w:sz="4" w:space="0" w:color="auto"/>
            </w:tcBorders>
            <w:vAlign w:val="center"/>
          </w:tcPr>
          <w:p w14:paraId="3AFBA88D" w14:textId="77777777" w:rsidR="00115458" w:rsidRPr="00F4606C" w:rsidRDefault="00115458" w:rsidP="00F4606C">
            <w:pPr>
              <w:spacing w:after="0" w:line="240" w:lineRule="auto"/>
              <w:jc w:val="center"/>
              <w:rPr>
                <w:rFonts w:cs="Arial"/>
                <w:b/>
              </w:rPr>
            </w:pPr>
            <w:hyperlink w:anchor="d7_124" w:history="1">
              <w:r w:rsidRPr="00F4606C">
                <w:rPr>
                  <w:noProof/>
                </w:rPr>
                <w:t>9.128</w:t>
              </w:r>
            </w:hyperlink>
          </w:p>
        </w:tc>
        <w:tc>
          <w:tcPr>
            <w:tcW w:w="1793" w:type="dxa"/>
            <w:tcBorders>
              <w:bottom w:val="single" w:sz="4" w:space="0" w:color="auto"/>
            </w:tcBorders>
          </w:tcPr>
          <w:p w14:paraId="637DFF3D" w14:textId="77777777" w:rsidR="00115458" w:rsidRPr="00F4606C" w:rsidRDefault="00115458" w:rsidP="00F4606C">
            <w:pPr>
              <w:spacing w:after="0" w:line="240" w:lineRule="auto"/>
              <w:rPr>
                <w:rFonts w:cs="Arial"/>
              </w:rPr>
            </w:pPr>
            <w:r w:rsidRPr="00F4606C">
              <w:t>AMIT cost base net amount – excess</w:t>
            </w:r>
          </w:p>
        </w:tc>
        <w:tc>
          <w:tcPr>
            <w:tcW w:w="1134" w:type="dxa"/>
            <w:tcBorders>
              <w:bottom w:val="single" w:sz="4" w:space="0" w:color="auto"/>
            </w:tcBorders>
            <w:vAlign w:val="center"/>
          </w:tcPr>
          <w:p w14:paraId="73B5B514" w14:textId="77777777" w:rsidR="00115458" w:rsidRPr="00F4606C" w:rsidRDefault="00115458" w:rsidP="00F4606C">
            <w:pPr>
              <w:spacing w:after="0" w:line="240" w:lineRule="auto"/>
              <w:rPr>
                <w:rFonts w:cs="Arial"/>
              </w:rPr>
            </w:pPr>
            <w:r w:rsidRPr="00F4606C">
              <w:rPr>
                <w:rFonts w:cs="Arial"/>
              </w:rPr>
              <w:t>AMT</w:t>
            </w:r>
          </w:p>
        </w:tc>
        <w:tc>
          <w:tcPr>
            <w:tcW w:w="709" w:type="dxa"/>
            <w:tcBorders>
              <w:bottom w:val="single" w:sz="4" w:space="0" w:color="auto"/>
            </w:tcBorders>
            <w:vAlign w:val="center"/>
          </w:tcPr>
          <w:p w14:paraId="1CF0AC04"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5803D0B8"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tcPr>
          <w:p w14:paraId="256B16AF"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4B49D254" w14:textId="77777777" w:rsidTr="000C1365">
        <w:trPr>
          <w:cantSplit/>
          <w:trHeight w:val="272"/>
        </w:trPr>
        <w:tc>
          <w:tcPr>
            <w:tcW w:w="901" w:type="dxa"/>
            <w:tcBorders>
              <w:bottom w:val="single" w:sz="4" w:space="0" w:color="auto"/>
            </w:tcBorders>
            <w:vAlign w:val="center"/>
          </w:tcPr>
          <w:p w14:paraId="1E64AD57" w14:textId="77777777" w:rsidR="00115458" w:rsidRPr="00F4606C" w:rsidRDefault="00115458" w:rsidP="00F4606C">
            <w:pPr>
              <w:spacing w:after="0" w:line="240" w:lineRule="auto"/>
              <w:jc w:val="center"/>
              <w:rPr>
                <w:rFonts w:cs="Arial"/>
                <w:b/>
              </w:rPr>
            </w:pPr>
            <w:hyperlink w:anchor="d7_125" w:history="1">
              <w:r w:rsidRPr="00F4606C">
                <w:rPr>
                  <w:noProof/>
                </w:rPr>
                <w:t>9.129</w:t>
              </w:r>
            </w:hyperlink>
          </w:p>
        </w:tc>
        <w:tc>
          <w:tcPr>
            <w:tcW w:w="1793" w:type="dxa"/>
            <w:tcBorders>
              <w:bottom w:val="single" w:sz="4" w:space="0" w:color="auto"/>
            </w:tcBorders>
          </w:tcPr>
          <w:p w14:paraId="175A9962" w14:textId="77777777" w:rsidR="00115458" w:rsidRPr="00F4606C" w:rsidRDefault="00115458" w:rsidP="00F4606C">
            <w:pPr>
              <w:spacing w:after="0" w:line="240" w:lineRule="auto"/>
              <w:rPr>
                <w:rFonts w:cs="Arial"/>
              </w:rPr>
            </w:pPr>
            <w:r w:rsidRPr="00F4606C">
              <w:t>AMIT cost base net amount – shortfall</w:t>
            </w:r>
          </w:p>
        </w:tc>
        <w:tc>
          <w:tcPr>
            <w:tcW w:w="1134" w:type="dxa"/>
            <w:tcBorders>
              <w:bottom w:val="single" w:sz="4" w:space="0" w:color="auto"/>
            </w:tcBorders>
            <w:vAlign w:val="center"/>
          </w:tcPr>
          <w:p w14:paraId="09BAEF9D" w14:textId="77777777" w:rsidR="00115458" w:rsidRPr="00F4606C" w:rsidRDefault="00115458" w:rsidP="00F4606C">
            <w:pPr>
              <w:spacing w:after="0" w:line="240" w:lineRule="auto"/>
              <w:rPr>
                <w:rFonts w:cs="Arial"/>
              </w:rPr>
            </w:pPr>
            <w:r w:rsidRPr="00F4606C">
              <w:rPr>
                <w:rFonts w:cs="Arial"/>
              </w:rPr>
              <w:t>AMT</w:t>
            </w:r>
          </w:p>
        </w:tc>
        <w:tc>
          <w:tcPr>
            <w:tcW w:w="709" w:type="dxa"/>
            <w:tcBorders>
              <w:bottom w:val="single" w:sz="4" w:space="0" w:color="auto"/>
            </w:tcBorders>
            <w:vAlign w:val="center"/>
          </w:tcPr>
          <w:p w14:paraId="6387178D"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509F5AEE"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tcPr>
          <w:p w14:paraId="0C704D15"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6D10992B" w14:textId="77777777" w:rsidTr="000C1365">
        <w:trPr>
          <w:cantSplit/>
          <w:trHeight w:val="272"/>
        </w:trPr>
        <w:tc>
          <w:tcPr>
            <w:tcW w:w="901" w:type="dxa"/>
            <w:tcBorders>
              <w:bottom w:val="single" w:sz="4" w:space="0" w:color="auto"/>
            </w:tcBorders>
            <w:vAlign w:val="center"/>
          </w:tcPr>
          <w:p w14:paraId="6A16C717" w14:textId="77777777" w:rsidR="00115458" w:rsidRPr="00F4606C" w:rsidRDefault="00115458" w:rsidP="00F4606C">
            <w:pPr>
              <w:spacing w:after="0" w:line="240" w:lineRule="auto"/>
              <w:jc w:val="center"/>
              <w:rPr>
                <w:noProof/>
              </w:rPr>
            </w:pPr>
            <w:hyperlink w:anchor="d7_126" w:history="1">
              <w:r w:rsidRPr="00F4606C">
                <w:rPr>
                  <w:noProof/>
                </w:rPr>
                <w:t>9.130</w:t>
              </w:r>
            </w:hyperlink>
          </w:p>
        </w:tc>
        <w:tc>
          <w:tcPr>
            <w:tcW w:w="1793" w:type="dxa"/>
            <w:tcBorders>
              <w:bottom w:val="single" w:sz="4" w:space="0" w:color="auto"/>
            </w:tcBorders>
            <w:vAlign w:val="center"/>
          </w:tcPr>
          <w:p w14:paraId="06E0B0C0" w14:textId="77777777" w:rsidR="00115458" w:rsidRPr="00F4606C" w:rsidRDefault="00115458" w:rsidP="00F4606C">
            <w:pPr>
              <w:spacing w:after="0" w:line="240" w:lineRule="auto"/>
              <w:rPr>
                <w:rFonts w:cs="Arial"/>
              </w:rPr>
            </w:pPr>
            <w:r w:rsidRPr="00F4606C">
              <w:t>Other income</w:t>
            </w:r>
          </w:p>
        </w:tc>
        <w:tc>
          <w:tcPr>
            <w:tcW w:w="1134" w:type="dxa"/>
            <w:tcBorders>
              <w:bottom w:val="single" w:sz="4" w:space="0" w:color="auto"/>
            </w:tcBorders>
            <w:vAlign w:val="center"/>
          </w:tcPr>
          <w:p w14:paraId="74E95EBC"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37E439D9"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498C14DF" w14:textId="77777777" w:rsidR="00115458" w:rsidRPr="00F4606C" w:rsidRDefault="00115458" w:rsidP="00F4606C">
            <w:pPr>
              <w:spacing w:after="0" w:line="240" w:lineRule="auto"/>
              <w:jc w:val="center"/>
              <w:rPr>
                <w:rFonts w:cs="Arial"/>
              </w:rPr>
            </w:pPr>
            <w:r w:rsidRPr="00F4606C">
              <w:rPr>
                <w:rFonts w:cs="Arial"/>
              </w:rPr>
              <w:t>24V</w:t>
            </w:r>
          </w:p>
        </w:tc>
        <w:tc>
          <w:tcPr>
            <w:tcW w:w="3969" w:type="dxa"/>
            <w:tcBorders>
              <w:bottom w:val="single" w:sz="4" w:space="0" w:color="auto"/>
            </w:tcBorders>
            <w:vAlign w:val="center"/>
          </w:tcPr>
          <w:p w14:paraId="1E097D17" w14:textId="77777777" w:rsidR="00115458" w:rsidRPr="00F4606C" w:rsidRDefault="00115458" w:rsidP="00F4606C">
            <w:pPr>
              <w:spacing w:after="0" w:line="240" w:lineRule="auto"/>
              <w:rPr>
                <w:rFonts w:cs="Arial"/>
              </w:rPr>
            </w:pPr>
            <w:r w:rsidRPr="00F4606C">
              <w:t>Other income</w:t>
            </w:r>
          </w:p>
        </w:tc>
      </w:tr>
      <w:tr w:rsidR="00115458" w:rsidRPr="00944B5E" w14:paraId="6652D744" w14:textId="77777777" w:rsidTr="000C1365">
        <w:trPr>
          <w:cantSplit/>
          <w:trHeight w:val="272"/>
        </w:trPr>
        <w:tc>
          <w:tcPr>
            <w:tcW w:w="901" w:type="dxa"/>
            <w:tcBorders>
              <w:bottom w:val="single" w:sz="4" w:space="0" w:color="auto"/>
            </w:tcBorders>
            <w:vAlign w:val="center"/>
          </w:tcPr>
          <w:p w14:paraId="30D10134" w14:textId="77777777" w:rsidR="00115458" w:rsidRPr="00F4606C" w:rsidRDefault="00115458" w:rsidP="00F4606C">
            <w:pPr>
              <w:spacing w:after="0" w:line="240" w:lineRule="auto"/>
              <w:jc w:val="center"/>
              <w:rPr>
                <w:noProof/>
              </w:rPr>
            </w:pPr>
            <w:hyperlink w:anchor="d7_127" w:history="1">
              <w:r w:rsidRPr="00F4606C">
                <w:rPr>
                  <w:noProof/>
                </w:rPr>
                <w:t>9.131</w:t>
              </w:r>
            </w:hyperlink>
          </w:p>
        </w:tc>
        <w:tc>
          <w:tcPr>
            <w:tcW w:w="1793" w:type="dxa"/>
            <w:tcBorders>
              <w:bottom w:val="single" w:sz="4" w:space="0" w:color="auto"/>
            </w:tcBorders>
            <w:vAlign w:val="center"/>
          </w:tcPr>
          <w:p w14:paraId="5D280806" w14:textId="77777777" w:rsidR="00115458" w:rsidRPr="00F4606C" w:rsidRDefault="00115458" w:rsidP="00F4606C">
            <w:pPr>
              <w:spacing w:after="0" w:line="240" w:lineRule="auto"/>
            </w:pPr>
            <w:r w:rsidRPr="00F4606C">
              <w:t>Name of AMIT class</w:t>
            </w:r>
          </w:p>
        </w:tc>
        <w:tc>
          <w:tcPr>
            <w:tcW w:w="1134" w:type="dxa"/>
            <w:tcBorders>
              <w:bottom w:val="single" w:sz="4" w:space="0" w:color="auto"/>
            </w:tcBorders>
            <w:vAlign w:val="center"/>
          </w:tcPr>
          <w:p w14:paraId="63C8A9BD" w14:textId="77777777" w:rsidR="00115458" w:rsidRPr="00F4606C" w:rsidRDefault="00115458" w:rsidP="00F4606C">
            <w:pPr>
              <w:spacing w:after="0" w:line="240" w:lineRule="auto"/>
              <w:rPr>
                <w:rFonts w:cs="Arial"/>
              </w:rPr>
            </w:pPr>
            <w:r w:rsidRPr="00F4606C">
              <w:rPr>
                <w:rFonts w:cs="Arial"/>
              </w:rPr>
              <w:t>AMT</w:t>
            </w:r>
          </w:p>
        </w:tc>
        <w:tc>
          <w:tcPr>
            <w:tcW w:w="709" w:type="dxa"/>
            <w:tcBorders>
              <w:bottom w:val="single" w:sz="4" w:space="0" w:color="auto"/>
            </w:tcBorders>
            <w:vAlign w:val="center"/>
          </w:tcPr>
          <w:p w14:paraId="2424B684"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2F7AAD49" w14:textId="77777777" w:rsidR="00115458" w:rsidRPr="00F4606C" w:rsidRDefault="00115458" w:rsidP="00F4606C">
            <w:pPr>
              <w:spacing w:after="0" w:line="240" w:lineRule="auto"/>
              <w:rPr>
                <w:rFonts w:cs="Arial"/>
              </w:rPr>
            </w:pPr>
          </w:p>
        </w:tc>
        <w:tc>
          <w:tcPr>
            <w:tcW w:w="3969" w:type="dxa"/>
            <w:tcBorders>
              <w:bottom w:val="single" w:sz="4" w:space="0" w:color="auto"/>
            </w:tcBorders>
            <w:vAlign w:val="center"/>
          </w:tcPr>
          <w:p w14:paraId="1056A05D" w14:textId="77777777" w:rsidR="00115458" w:rsidRPr="00F4606C" w:rsidRDefault="00115458" w:rsidP="00F4606C">
            <w:pPr>
              <w:spacing w:after="0" w:line="240" w:lineRule="auto"/>
              <w:rPr>
                <w:rFonts w:cs="Arial"/>
              </w:rPr>
            </w:pPr>
          </w:p>
        </w:tc>
      </w:tr>
      <w:tr w:rsidR="00115458" w:rsidRPr="00944B5E" w14:paraId="7247B1AA" w14:textId="77777777" w:rsidTr="000C1365">
        <w:trPr>
          <w:cantSplit/>
          <w:trHeight w:val="272"/>
        </w:trPr>
        <w:tc>
          <w:tcPr>
            <w:tcW w:w="901" w:type="dxa"/>
            <w:tcBorders>
              <w:bottom w:val="single" w:sz="4" w:space="0" w:color="auto"/>
            </w:tcBorders>
            <w:vAlign w:val="center"/>
          </w:tcPr>
          <w:p w14:paraId="1319307C" w14:textId="77777777" w:rsidR="00115458" w:rsidRPr="00F4606C" w:rsidRDefault="00115458" w:rsidP="00F4606C">
            <w:pPr>
              <w:spacing w:after="0" w:line="240" w:lineRule="auto"/>
              <w:jc w:val="center"/>
              <w:rPr>
                <w:rFonts w:cs="Arial"/>
                <w:b/>
              </w:rPr>
            </w:pPr>
            <w:hyperlink w:anchor="d7_128" w:history="1">
              <w:r w:rsidRPr="00F4606C">
                <w:rPr>
                  <w:noProof/>
                </w:rPr>
                <w:t>9.132</w:t>
              </w:r>
            </w:hyperlink>
          </w:p>
        </w:tc>
        <w:tc>
          <w:tcPr>
            <w:tcW w:w="1793" w:type="dxa"/>
            <w:tcBorders>
              <w:bottom w:val="single" w:sz="4" w:space="0" w:color="auto"/>
            </w:tcBorders>
          </w:tcPr>
          <w:p w14:paraId="4865C449" w14:textId="77777777" w:rsidR="00115458" w:rsidRPr="00F4606C" w:rsidRDefault="00115458" w:rsidP="00F4606C">
            <w:pPr>
              <w:spacing w:after="0" w:line="240" w:lineRule="auto"/>
              <w:rPr>
                <w:rFonts w:cs="Arial"/>
              </w:rPr>
            </w:pPr>
            <w:r w:rsidRPr="00F4606C">
              <w:rPr>
                <w:iCs/>
              </w:rPr>
              <w:t>Share of Foreign Resident Capital Gains Withholding credits</w:t>
            </w:r>
          </w:p>
        </w:tc>
        <w:tc>
          <w:tcPr>
            <w:tcW w:w="1134" w:type="dxa"/>
            <w:tcBorders>
              <w:bottom w:val="single" w:sz="4" w:space="0" w:color="auto"/>
            </w:tcBorders>
            <w:vAlign w:val="center"/>
          </w:tcPr>
          <w:p w14:paraId="03280A0D"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32164CEC"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1C91B60E" w14:textId="77777777" w:rsidR="00115458" w:rsidRPr="00F4606C" w:rsidRDefault="00115458" w:rsidP="00F4606C">
            <w:pPr>
              <w:spacing w:after="0" w:line="240" w:lineRule="auto"/>
              <w:jc w:val="center"/>
              <w:rPr>
                <w:rFonts w:cs="Arial"/>
              </w:rPr>
            </w:pPr>
            <w:r w:rsidRPr="00F4606C">
              <w:rPr>
                <w:rFonts w:cs="Arial"/>
              </w:rPr>
              <w:t>18X</w:t>
            </w:r>
          </w:p>
        </w:tc>
        <w:tc>
          <w:tcPr>
            <w:tcW w:w="3969" w:type="dxa"/>
            <w:tcBorders>
              <w:bottom w:val="single" w:sz="4" w:space="0" w:color="auto"/>
            </w:tcBorders>
            <w:vAlign w:val="center"/>
          </w:tcPr>
          <w:p w14:paraId="1D020A09" w14:textId="71C7744B" w:rsidR="00115458" w:rsidRPr="00F4606C" w:rsidRDefault="00115458" w:rsidP="00F4606C">
            <w:pPr>
              <w:spacing w:after="0" w:line="240" w:lineRule="auto"/>
              <w:rPr>
                <w:rFonts w:cs="Arial"/>
              </w:rPr>
            </w:pPr>
            <w:r w:rsidRPr="00F4606C">
              <w:rPr>
                <w:rFonts w:cs="Arial"/>
              </w:rPr>
              <w:t>Credit for  foreign resident capital gains withholding amounts</w:t>
            </w:r>
          </w:p>
        </w:tc>
      </w:tr>
      <w:tr w:rsidR="00115458" w:rsidRPr="00944B5E" w14:paraId="07080EFC" w14:textId="77777777" w:rsidTr="000C1365">
        <w:trPr>
          <w:cantSplit/>
          <w:trHeight w:val="272"/>
        </w:trPr>
        <w:tc>
          <w:tcPr>
            <w:tcW w:w="901" w:type="dxa"/>
            <w:tcBorders>
              <w:bottom w:val="single" w:sz="4" w:space="0" w:color="auto"/>
            </w:tcBorders>
            <w:vAlign w:val="center"/>
          </w:tcPr>
          <w:p w14:paraId="4377C204" w14:textId="77777777" w:rsidR="00115458" w:rsidRPr="00F4606C" w:rsidRDefault="00115458" w:rsidP="00F4606C">
            <w:pPr>
              <w:spacing w:after="0" w:line="240" w:lineRule="auto"/>
              <w:jc w:val="center"/>
              <w:rPr>
                <w:rFonts w:cs="Arial"/>
                <w:b/>
              </w:rPr>
            </w:pPr>
            <w:hyperlink w:anchor="d7_129" w:history="1">
              <w:r w:rsidRPr="00F4606C">
                <w:rPr>
                  <w:noProof/>
                </w:rPr>
                <w:t>9.133</w:t>
              </w:r>
            </w:hyperlink>
          </w:p>
        </w:tc>
        <w:tc>
          <w:tcPr>
            <w:tcW w:w="1793" w:type="dxa"/>
            <w:tcBorders>
              <w:bottom w:val="single" w:sz="4" w:space="0" w:color="auto"/>
            </w:tcBorders>
          </w:tcPr>
          <w:p w14:paraId="645AE5A6" w14:textId="77777777" w:rsidR="00115458" w:rsidRPr="00F4606C" w:rsidRDefault="00115458" w:rsidP="00F4606C">
            <w:pPr>
              <w:spacing w:after="0" w:line="240" w:lineRule="auto"/>
              <w:rPr>
                <w:rFonts w:cs="Arial"/>
              </w:rPr>
            </w:pPr>
            <w:r w:rsidRPr="00F4606C">
              <w:rPr>
                <w:iCs/>
              </w:rPr>
              <w:t>Share of Early Stage Investor tax offset</w:t>
            </w:r>
          </w:p>
        </w:tc>
        <w:tc>
          <w:tcPr>
            <w:tcW w:w="1134" w:type="dxa"/>
            <w:tcBorders>
              <w:bottom w:val="single" w:sz="4" w:space="0" w:color="auto"/>
            </w:tcBorders>
            <w:vAlign w:val="center"/>
          </w:tcPr>
          <w:p w14:paraId="0E28F51D"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54500AE9"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1DBF8163" w14:textId="133A5C71" w:rsidR="00115458" w:rsidRPr="00F4606C" w:rsidRDefault="00447D4A" w:rsidP="00F4606C">
            <w:pPr>
              <w:spacing w:after="0" w:line="240" w:lineRule="auto"/>
              <w:jc w:val="center"/>
              <w:rPr>
                <w:rFonts w:cs="Arial"/>
              </w:rPr>
            </w:pPr>
            <w:r>
              <w:rPr>
                <w:rFonts w:cs="Arial"/>
              </w:rPr>
              <w:t>T8L</w:t>
            </w:r>
          </w:p>
        </w:tc>
        <w:tc>
          <w:tcPr>
            <w:tcW w:w="3969" w:type="dxa"/>
            <w:tcBorders>
              <w:bottom w:val="single" w:sz="4" w:space="0" w:color="auto"/>
            </w:tcBorders>
            <w:vAlign w:val="center"/>
          </w:tcPr>
          <w:p w14:paraId="56D3664A" w14:textId="1519417A" w:rsidR="00115458" w:rsidRPr="00F4606C" w:rsidRDefault="00115458" w:rsidP="00F4606C">
            <w:pPr>
              <w:spacing w:after="0" w:line="240" w:lineRule="auto"/>
              <w:rPr>
                <w:rFonts w:cs="Arial"/>
              </w:rPr>
            </w:pPr>
            <w:r w:rsidRPr="00F4606C">
              <w:rPr>
                <w:iCs/>
              </w:rPr>
              <w:t>Early Stage Investor – Current year tax offset</w:t>
            </w:r>
          </w:p>
        </w:tc>
      </w:tr>
      <w:tr w:rsidR="00115458" w:rsidRPr="00944B5E" w14:paraId="02FCBDE6" w14:textId="77777777" w:rsidTr="000C1365">
        <w:trPr>
          <w:cantSplit/>
          <w:trHeight w:val="272"/>
        </w:trPr>
        <w:tc>
          <w:tcPr>
            <w:tcW w:w="901" w:type="dxa"/>
            <w:tcBorders>
              <w:bottom w:val="single" w:sz="4" w:space="0" w:color="auto"/>
            </w:tcBorders>
            <w:vAlign w:val="center"/>
          </w:tcPr>
          <w:p w14:paraId="5B3394D0" w14:textId="77777777" w:rsidR="00115458" w:rsidRPr="00F4606C" w:rsidRDefault="00115458" w:rsidP="00F4606C">
            <w:pPr>
              <w:spacing w:after="0" w:line="240" w:lineRule="auto"/>
              <w:jc w:val="center"/>
              <w:rPr>
                <w:rFonts w:cs="Arial"/>
                <w:b/>
              </w:rPr>
            </w:pPr>
            <w:hyperlink w:anchor="d7_130" w:history="1">
              <w:r w:rsidRPr="00F4606C">
                <w:rPr>
                  <w:noProof/>
                </w:rPr>
                <w:t>9.134</w:t>
              </w:r>
            </w:hyperlink>
          </w:p>
        </w:tc>
        <w:tc>
          <w:tcPr>
            <w:tcW w:w="1793" w:type="dxa"/>
            <w:tcBorders>
              <w:bottom w:val="single" w:sz="4" w:space="0" w:color="auto"/>
            </w:tcBorders>
          </w:tcPr>
          <w:p w14:paraId="64E0E366" w14:textId="77777777" w:rsidR="00115458" w:rsidRPr="00F4606C" w:rsidRDefault="00115458" w:rsidP="00F4606C">
            <w:pPr>
              <w:spacing w:after="0" w:line="240" w:lineRule="auto"/>
              <w:rPr>
                <w:rFonts w:cs="Arial"/>
              </w:rPr>
            </w:pPr>
            <w:r w:rsidRPr="00F4606C">
              <w:rPr>
                <w:iCs/>
              </w:rPr>
              <w:t>Share of ESVCLP tax offset</w:t>
            </w:r>
            <w:r w:rsidRPr="00F4606C">
              <w:t>  </w:t>
            </w:r>
          </w:p>
        </w:tc>
        <w:tc>
          <w:tcPr>
            <w:tcW w:w="1134" w:type="dxa"/>
            <w:tcBorders>
              <w:bottom w:val="single" w:sz="4" w:space="0" w:color="auto"/>
            </w:tcBorders>
            <w:vAlign w:val="center"/>
          </w:tcPr>
          <w:p w14:paraId="2280B937"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3F4E41CE"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383F58F9" w14:textId="1656BA7E" w:rsidR="00115458" w:rsidRPr="00F4606C" w:rsidRDefault="00447D4A" w:rsidP="00F4606C">
            <w:pPr>
              <w:spacing w:after="0" w:line="240" w:lineRule="auto"/>
              <w:jc w:val="center"/>
              <w:rPr>
                <w:rFonts w:cs="Arial"/>
              </w:rPr>
            </w:pPr>
            <w:r>
              <w:rPr>
                <w:rFonts w:cs="Arial"/>
              </w:rPr>
              <w:t>T7K</w:t>
            </w:r>
          </w:p>
        </w:tc>
        <w:tc>
          <w:tcPr>
            <w:tcW w:w="3969" w:type="dxa"/>
            <w:tcBorders>
              <w:bottom w:val="single" w:sz="4" w:space="0" w:color="auto"/>
            </w:tcBorders>
            <w:vAlign w:val="center"/>
          </w:tcPr>
          <w:p w14:paraId="714519D4" w14:textId="04F1AC6E" w:rsidR="00115458" w:rsidRPr="00F4606C" w:rsidRDefault="00115458" w:rsidP="00F4606C">
            <w:pPr>
              <w:spacing w:after="0" w:line="240" w:lineRule="auto"/>
              <w:rPr>
                <w:rFonts w:cs="Arial"/>
              </w:rPr>
            </w:pPr>
            <w:r w:rsidRPr="00F4606C">
              <w:rPr>
                <w:iCs/>
              </w:rPr>
              <w:t>Early stage venture capital limited partnership</w:t>
            </w:r>
            <w:r w:rsidRPr="00F4606C">
              <w:t xml:space="preserve"> – Current year tax offset</w:t>
            </w:r>
          </w:p>
        </w:tc>
      </w:tr>
      <w:tr w:rsidR="00115458" w:rsidRPr="00944B5E" w14:paraId="41B617CD" w14:textId="77777777" w:rsidTr="000C1365">
        <w:trPr>
          <w:cantSplit/>
          <w:trHeight w:val="272"/>
        </w:trPr>
        <w:tc>
          <w:tcPr>
            <w:tcW w:w="901" w:type="dxa"/>
            <w:tcBorders>
              <w:bottom w:val="single" w:sz="4" w:space="0" w:color="auto"/>
            </w:tcBorders>
            <w:vAlign w:val="center"/>
          </w:tcPr>
          <w:p w14:paraId="350DD8FA" w14:textId="77777777" w:rsidR="00115458" w:rsidRPr="00F4606C" w:rsidRDefault="00115458" w:rsidP="00F4606C">
            <w:pPr>
              <w:spacing w:after="0" w:line="240" w:lineRule="auto"/>
              <w:jc w:val="center"/>
              <w:rPr>
                <w:rFonts w:cs="Arial"/>
              </w:rPr>
            </w:pPr>
            <w:r w:rsidRPr="00F4606C">
              <w:rPr>
                <w:rFonts w:cs="Arial"/>
              </w:rPr>
              <w:t>9.135</w:t>
            </w:r>
          </w:p>
        </w:tc>
        <w:tc>
          <w:tcPr>
            <w:tcW w:w="1793" w:type="dxa"/>
            <w:tcBorders>
              <w:bottom w:val="single" w:sz="4" w:space="0" w:color="auto"/>
            </w:tcBorders>
            <w:vAlign w:val="center"/>
          </w:tcPr>
          <w:p w14:paraId="6F49C00B" w14:textId="77777777" w:rsidR="00115458" w:rsidRPr="00F4606C" w:rsidRDefault="00115458" w:rsidP="00F4606C">
            <w:pPr>
              <w:spacing w:after="0" w:line="240" w:lineRule="auto"/>
              <w:rPr>
                <w:rFonts w:cs="Arial"/>
              </w:rPr>
            </w:pPr>
            <w:r w:rsidRPr="00F4606C">
              <w:rPr>
                <w:rFonts w:cs="Arial"/>
              </w:rPr>
              <w:t>Royalties</w:t>
            </w:r>
          </w:p>
        </w:tc>
        <w:tc>
          <w:tcPr>
            <w:tcW w:w="1134" w:type="dxa"/>
            <w:tcBorders>
              <w:bottom w:val="single" w:sz="4" w:space="0" w:color="auto"/>
            </w:tcBorders>
            <w:vAlign w:val="center"/>
          </w:tcPr>
          <w:p w14:paraId="7B5952F0"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2CCFC596"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39DBE3D5"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43C04223" w14:textId="77777777" w:rsidR="00115458" w:rsidRPr="00F4606C" w:rsidRDefault="00115458" w:rsidP="00F4606C">
            <w:pPr>
              <w:spacing w:after="0" w:line="240" w:lineRule="auto"/>
              <w:rPr>
                <w:rFonts w:cs="Arial"/>
              </w:rPr>
            </w:pPr>
          </w:p>
        </w:tc>
      </w:tr>
      <w:tr w:rsidR="00115458" w:rsidRPr="00944B5E" w14:paraId="6D66FBEB" w14:textId="77777777" w:rsidTr="000C1365">
        <w:trPr>
          <w:cantSplit/>
          <w:trHeight w:val="272"/>
        </w:trPr>
        <w:tc>
          <w:tcPr>
            <w:tcW w:w="901" w:type="dxa"/>
            <w:tcBorders>
              <w:bottom w:val="single" w:sz="4" w:space="0" w:color="auto"/>
            </w:tcBorders>
            <w:vAlign w:val="center"/>
          </w:tcPr>
          <w:p w14:paraId="01BBDA36" w14:textId="77777777" w:rsidR="00115458" w:rsidRPr="00F4606C" w:rsidRDefault="00115458" w:rsidP="00F4606C">
            <w:pPr>
              <w:spacing w:after="0" w:line="240" w:lineRule="auto"/>
              <w:jc w:val="center"/>
              <w:rPr>
                <w:rFonts w:cs="Arial"/>
              </w:rPr>
            </w:pPr>
            <w:r w:rsidRPr="00F4606C">
              <w:rPr>
                <w:rFonts w:cs="Arial"/>
              </w:rPr>
              <w:t>9.136</w:t>
            </w:r>
          </w:p>
        </w:tc>
        <w:tc>
          <w:tcPr>
            <w:tcW w:w="1793" w:type="dxa"/>
            <w:tcBorders>
              <w:bottom w:val="single" w:sz="4" w:space="0" w:color="auto"/>
            </w:tcBorders>
            <w:vAlign w:val="center"/>
          </w:tcPr>
          <w:p w14:paraId="1EAEE8B7" w14:textId="77777777" w:rsidR="00115458" w:rsidRPr="00F4606C" w:rsidRDefault="00115458" w:rsidP="00F4606C">
            <w:pPr>
              <w:spacing w:after="0" w:line="240" w:lineRule="auto"/>
              <w:rPr>
                <w:rFonts w:cs="Arial"/>
              </w:rPr>
            </w:pPr>
            <w:r w:rsidRPr="00F4606C">
              <w:rPr>
                <w:rFonts w:cs="Arial"/>
              </w:rPr>
              <w:t>NCMI – Non-primary production</w:t>
            </w:r>
          </w:p>
        </w:tc>
        <w:tc>
          <w:tcPr>
            <w:tcW w:w="1134" w:type="dxa"/>
            <w:tcBorders>
              <w:bottom w:val="single" w:sz="4" w:space="0" w:color="auto"/>
            </w:tcBorders>
            <w:vAlign w:val="center"/>
          </w:tcPr>
          <w:p w14:paraId="37227692"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402B9176"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62782E36"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3791BF5C"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72A59067" w14:textId="77777777" w:rsidTr="000C1365">
        <w:trPr>
          <w:cantSplit/>
          <w:trHeight w:val="272"/>
        </w:trPr>
        <w:tc>
          <w:tcPr>
            <w:tcW w:w="901" w:type="dxa"/>
            <w:tcBorders>
              <w:bottom w:val="single" w:sz="4" w:space="0" w:color="auto"/>
            </w:tcBorders>
            <w:vAlign w:val="center"/>
          </w:tcPr>
          <w:p w14:paraId="22DB5BDC" w14:textId="5FAFDA91" w:rsidR="00115458" w:rsidRPr="00F4606C" w:rsidRDefault="00115458" w:rsidP="00F4606C">
            <w:pPr>
              <w:spacing w:after="0" w:line="240" w:lineRule="auto"/>
              <w:jc w:val="center"/>
              <w:rPr>
                <w:rFonts w:cs="Arial"/>
              </w:rPr>
            </w:pPr>
            <w:r w:rsidRPr="00F4606C">
              <w:rPr>
                <w:rFonts w:cs="Arial"/>
              </w:rPr>
              <w:t>9.137</w:t>
            </w:r>
          </w:p>
        </w:tc>
        <w:tc>
          <w:tcPr>
            <w:tcW w:w="1793" w:type="dxa"/>
            <w:tcBorders>
              <w:bottom w:val="single" w:sz="4" w:space="0" w:color="auto"/>
            </w:tcBorders>
            <w:vAlign w:val="center"/>
          </w:tcPr>
          <w:p w14:paraId="545FD991" w14:textId="77777777" w:rsidR="00115458" w:rsidRPr="00F4606C" w:rsidRDefault="00115458" w:rsidP="00F4606C">
            <w:pPr>
              <w:spacing w:after="0" w:line="240" w:lineRule="auto"/>
              <w:rPr>
                <w:rFonts w:cs="Arial"/>
              </w:rPr>
            </w:pPr>
            <w:r w:rsidRPr="00F4606C">
              <w:rPr>
                <w:rFonts w:cs="Arial"/>
              </w:rPr>
              <w:t>NCMI – Primary production</w:t>
            </w:r>
          </w:p>
        </w:tc>
        <w:tc>
          <w:tcPr>
            <w:tcW w:w="1134" w:type="dxa"/>
            <w:tcBorders>
              <w:bottom w:val="single" w:sz="4" w:space="0" w:color="auto"/>
            </w:tcBorders>
            <w:vAlign w:val="center"/>
          </w:tcPr>
          <w:p w14:paraId="7C2A76EC"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0421477B"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0BBFE406"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5B9B5F58" w14:textId="0AA24194" w:rsidR="00115458" w:rsidRPr="00F4606C" w:rsidRDefault="00115458" w:rsidP="00F4606C">
            <w:pPr>
              <w:spacing w:after="0" w:line="240" w:lineRule="auto"/>
              <w:rPr>
                <w:rFonts w:cs="Arial"/>
              </w:rPr>
            </w:pPr>
            <w:r w:rsidRPr="00F4606C">
              <w:rPr>
                <w:rFonts w:cs="Arial"/>
              </w:rPr>
              <w:t>Not pre-filled directly but Included in 9.113 and pre-filled at 13L</w:t>
            </w:r>
          </w:p>
        </w:tc>
      </w:tr>
      <w:tr w:rsidR="00115458" w:rsidRPr="00944B5E" w14:paraId="0A358D96" w14:textId="77777777" w:rsidTr="000C1365">
        <w:trPr>
          <w:cantSplit/>
          <w:trHeight w:val="272"/>
        </w:trPr>
        <w:tc>
          <w:tcPr>
            <w:tcW w:w="901" w:type="dxa"/>
            <w:tcBorders>
              <w:bottom w:val="single" w:sz="4" w:space="0" w:color="auto"/>
            </w:tcBorders>
            <w:vAlign w:val="center"/>
          </w:tcPr>
          <w:p w14:paraId="54A1ACAA" w14:textId="77777777" w:rsidR="00115458" w:rsidRPr="00F4606C" w:rsidRDefault="00115458" w:rsidP="00F4606C">
            <w:pPr>
              <w:spacing w:after="0" w:line="240" w:lineRule="auto"/>
              <w:jc w:val="center"/>
              <w:rPr>
                <w:rFonts w:cs="Arial"/>
              </w:rPr>
            </w:pPr>
            <w:r w:rsidRPr="00F4606C">
              <w:rPr>
                <w:rFonts w:cs="Arial"/>
              </w:rPr>
              <w:t>9.138</w:t>
            </w:r>
          </w:p>
        </w:tc>
        <w:tc>
          <w:tcPr>
            <w:tcW w:w="1793" w:type="dxa"/>
            <w:tcBorders>
              <w:bottom w:val="single" w:sz="4" w:space="0" w:color="auto"/>
            </w:tcBorders>
            <w:vAlign w:val="center"/>
          </w:tcPr>
          <w:p w14:paraId="5969C94D" w14:textId="77777777" w:rsidR="00115458" w:rsidRPr="00F4606C" w:rsidRDefault="00115458" w:rsidP="00F4606C">
            <w:pPr>
              <w:spacing w:after="0" w:line="240" w:lineRule="auto"/>
              <w:rPr>
                <w:rFonts w:cs="Arial"/>
              </w:rPr>
            </w:pPr>
            <w:r w:rsidRPr="00F4606C">
              <w:rPr>
                <w:rFonts w:cs="Arial"/>
              </w:rPr>
              <w:t>Excluded from NCMI – Non-primary production</w:t>
            </w:r>
          </w:p>
        </w:tc>
        <w:tc>
          <w:tcPr>
            <w:tcW w:w="1134" w:type="dxa"/>
            <w:tcBorders>
              <w:bottom w:val="single" w:sz="4" w:space="0" w:color="auto"/>
            </w:tcBorders>
            <w:vAlign w:val="center"/>
          </w:tcPr>
          <w:p w14:paraId="4A5C7D1E"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5938C230"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717E808E"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1D16AE9D" w14:textId="77777777" w:rsidR="00115458" w:rsidRPr="00F4606C" w:rsidRDefault="00115458" w:rsidP="00F4606C">
            <w:pPr>
              <w:spacing w:after="0" w:line="240" w:lineRule="auto"/>
              <w:rPr>
                <w:rFonts w:cs="Arial"/>
              </w:rPr>
            </w:pPr>
            <w:r w:rsidRPr="00F4606C">
              <w:rPr>
                <w:rFonts w:cs="Arial"/>
              </w:rPr>
              <w:t>Not pre-filled directly but included in 9.85 and pre-filled  at 13U</w:t>
            </w:r>
          </w:p>
        </w:tc>
      </w:tr>
      <w:tr w:rsidR="00115458" w:rsidRPr="00944B5E" w14:paraId="2E4CEB51" w14:textId="77777777" w:rsidTr="000C1365">
        <w:trPr>
          <w:cantSplit/>
          <w:trHeight w:val="272"/>
        </w:trPr>
        <w:tc>
          <w:tcPr>
            <w:tcW w:w="901" w:type="dxa"/>
            <w:tcBorders>
              <w:bottom w:val="single" w:sz="4" w:space="0" w:color="auto"/>
            </w:tcBorders>
            <w:vAlign w:val="center"/>
          </w:tcPr>
          <w:p w14:paraId="43857115" w14:textId="77777777" w:rsidR="00115458" w:rsidRPr="00F4606C" w:rsidRDefault="00115458" w:rsidP="00F4606C">
            <w:pPr>
              <w:spacing w:after="0" w:line="240" w:lineRule="auto"/>
              <w:jc w:val="center"/>
              <w:rPr>
                <w:rFonts w:cs="Arial"/>
              </w:rPr>
            </w:pPr>
            <w:r w:rsidRPr="00F4606C">
              <w:rPr>
                <w:rFonts w:cs="Arial"/>
              </w:rPr>
              <w:t>9.139</w:t>
            </w:r>
          </w:p>
        </w:tc>
        <w:tc>
          <w:tcPr>
            <w:tcW w:w="1793" w:type="dxa"/>
            <w:tcBorders>
              <w:bottom w:val="single" w:sz="4" w:space="0" w:color="auto"/>
            </w:tcBorders>
            <w:vAlign w:val="center"/>
          </w:tcPr>
          <w:p w14:paraId="7150184E" w14:textId="77777777" w:rsidR="00115458" w:rsidRPr="00F4606C" w:rsidRDefault="00115458" w:rsidP="00F4606C">
            <w:pPr>
              <w:spacing w:after="0" w:line="240" w:lineRule="auto"/>
              <w:rPr>
                <w:rFonts w:cs="Arial"/>
              </w:rPr>
            </w:pPr>
            <w:r w:rsidRPr="00F4606C">
              <w:rPr>
                <w:rFonts w:cs="Arial"/>
              </w:rPr>
              <w:t>Excluded from NCMI – Primary production</w:t>
            </w:r>
          </w:p>
        </w:tc>
        <w:tc>
          <w:tcPr>
            <w:tcW w:w="1134" w:type="dxa"/>
            <w:tcBorders>
              <w:bottom w:val="single" w:sz="4" w:space="0" w:color="auto"/>
            </w:tcBorders>
            <w:vAlign w:val="center"/>
          </w:tcPr>
          <w:p w14:paraId="28C154D5"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1BE049D2"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067CB9FC"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79F7B0F7" w14:textId="77777777" w:rsidR="00115458" w:rsidRPr="00F4606C" w:rsidRDefault="00115458" w:rsidP="00F4606C">
            <w:pPr>
              <w:spacing w:after="0" w:line="240" w:lineRule="auto"/>
              <w:rPr>
                <w:rFonts w:cs="Arial"/>
              </w:rPr>
            </w:pPr>
            <w:r w:rsidRPr="00F4606C">
              <w:rPr>
                <w:rFonts w:cs="Arial"/>
              </w:rPr>
              <w:t>Not pre-filled directly but Included in 9.113 and pre-filled at 13L</w:t>
            </w:r>
          </w:p>
        </w:tc>
      </w:tr>
      <w:tr w:rsidR="00115458" w:rsidRPr="00944B5E" w14:paraId="6BFC42DA" w14:textId="77777777" w:rsidTr="000C1365">
        <w:trPr>
          <w:cantSplit/>
          <w:trHeight w:val="272"/>
        </w:trPr>
        <w:tc>
          <w:tcPr>
            <w:tcW w:w="901" w:type="dxa"/>
            <w:tcBorders>
              <w:bottom w:val="single" w:sz="4" w:space="0" w:color="auto"/>
            </w:tcBorders>
            <w:vAlign w:val="center"/>
          </w:tcPr>
          <w:p w14:paraId="57EC585E" w14:textId="77777777" w:rsidR="00115458" w:rsidRPr="00F4606C" w:rsidRDefault="00115458" w:rsidP="00F4606C">
            <w:pPr>
              <w:spacing w:after="0" w:line="240" w:lineRule="auto"/>
              <w:jc w:val="center"/>
              <w:rPr>
                <w:rFonts w:cs="Arial"/>
              </w:rPr>
            </w:pPr>
            <w:r w:rsidRPr="00F4606C">
              <w:rPr>
                <w:rFonts w:cs="Arial"/>
              </w:rPr>
              <w:t>9.140</w:t>
            </w:r>
          </w:p>
        </w:tc>
        <w:tc>
          <w:tcPr>
            <w:tcW w:w="1793" w:type="dxa"/>
            <w:tcBorders>
              <w:bottom w:val="single" w:sz="4" w:space="0" w:color="auto"/>
            </w:tcBorders>
            <w:vAlign w:val="center"/>
          </w:tcPr>
          <w:p w14:paraId="2106F51A" w14:textId="77777777" w:rsidR="00115458" w:rsidRPr="00F4606C" w:rsidRDefault="00115458" w:rsidP="00F4606C">
            <w:pPr>
              <w:spacing w:after="0" w:line="240" w:lineRule="auto"/>
              <w:rPr>
                <w:rFonts w:cs="Arial"/>
              </w:rPr>
            </w:pPr>
            <w:r w:rsidRPr="00F4606C">
              <w:rPr>
                <w:rFonts w:cs="Arial"/>
              </w:rPr>
              <w:t>NCMI Capital Gains</w:t>
            </w:r>
          </w:p>
        </w:tc>
        <w:tc>
          <w:tcPr>
            <w:tcW w:w="1134" w:type="dxa"/>
            <w:tcBorders>
              <w:bottom w:val="single" w:sz="4" w:space="0" w:color="auto"/>
            </w:tcBorders>
            <w:vAlign w:val="center"/>
          </w:tcPr>
          <w:p w14:paraId="22F5AFF4"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466BDE62"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333F3F07"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1C61B8D3" w14:textId="77777777" w:rsidR="00115458" w:rsidRPr="00F4606C" w:rsidRDefault="00115458" w:rsidP="00F4606C">
            <w:pPr>
              <w:spacing w:after="0" w:line="240" w:lineRule="auto"/>
              <w:rPr>
                <w:rFonts w:cs="Arial"/>
              </w:rPr>
            </w:pPr>
            <w:r w:rsidRPr="00F4606C">
              <w:rPr>
                <w:rFonts w:cs="Arial"/>
              </w:rPr>
              <w:t>The net capital gain amounts at 18A include the components of NCMI capital gains</w:t>
            </w:r>
          </w:p>
        </w:tc>
      </w:tr>
      <w:tr w:rsidR="00115458" w:rsidRPr="00944B5E" w14:paraId="109B23A1" w14:textId="77777777" w:rsidTr="000C1365">
        <w:trPr>
          <w:cantSplit/>
          <w:trHeight w:val="272"/>
        </w:trPr>
        <w:tc>
          <w:tcPr>
            <w:tcW w:w="901" w:type="dxa"/>
            <w:tcBorders>
              <w:bottom w:val="single" w:sz="4" w:space="0" w:color="auto"/>
            </w:tcBorders>
            <w:vAlign w:val="center"/>
          </w:tcPr>
          <w:p w14:paraId="479D9AFC" w14:textId="77777777" w:rsidR="00115458" w:rsidRPr="00F4606C" w:rsidRDefault="00115458" w:rsidP="00F4606C">
            <w:pPr>
              <w:spacing w:after="0" w:line="240" w:lineRule="auto"/>
              <w:jc w:val="center"/>
              <w:rPr>
                <w:rFonts w:cs="Arial"/>
              </w:rPr>
            </w:pPr>
            <w:r w:rsidRPr="00F4606C">
              <w:rPr>
                <w:rFonts w:cs="Arial"/>
              </w:rPr>
              <w:t>9.141</w:t>
            </w:r>
          </w:p>
        </w:tc>
        <w:tc>
          <w:tcPr>
            <w:tcW w:w="1793" w:type="dxa"/>
            <w:tcBorders>
              <w:bottom w:val="single" w:sz="4" w:space="0" w:color="auto"/>
            </w:tcBorders>
            <w:vAlign w:val="center"/>
          </w:tcPr>
          <w:p w14:paraId="044F7DB5" w14:textId="77777777" w:rsidR="00115458" w:rsidRPr="00F4606C" w:rsidRDefault="00115458" w:rsidP="00F4606C">
            <w:pPr>
              <w:spacing w:after="0" w:line="240" w:lineRule="auto"/>
              <w:rPr>
                <w:rFonts w:cs="Arial"/>
              </w:rPr>
            </w:pPr>
            <w:r w:rsidRPr="00F4606C">
              <w:rPr>
                <w:rFonts w:cs="Arial"/>
              </w:rPr>
              <w:t>Excluded from NCMI Capital Gains</w:t>
            </w:r>
          </w:p>
        </w:tc>
        <w:tc>
          <w:tcPr>
            <w:tcW w:w="1134" w:type="dxa"/>
            <w:tcBorders>
              <w:bottom w:val="single" w:sz="4" w:space="0" w:color="auto"/>
            </w:tcBorders>
            <w:vAlign w:val="center"/>
          </w:tcPr>
          <w:p w14:paraId="78963928" w14:textId="77777777" w:rsidR="00115458" w:rsidRPr="00F4606C" w:rsidRDefault="00115458"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361B9A69"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5BFF70C1"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7195884F" w14:textId="77777777" w:rsidR="00115458" w:rsidRPr="00F4606C" w:rsidRDefault="00115458" w:rsidP="00F4606C">
            <w:pPr>
              <w:spacing w:after="0" w:line="240" w:lineRule="auto"/>
              <w:rPr>
                <w:rFonts w:cs="Arial"/>
              </w:rPr>
            </w:pPr>
            <w:r w:rsidRPr="00F4606C">
              <w:rPr>
                <w:rFonts w:cs="Arial"/>
              </w:rPr>
              <w:t>The net capital gain amounts at 18A include the components of Excluded from NCMI capital gains</w:t>
            </w:r>
          </w:p>
        </w:tc>
      </w:tr>
      <w:tr w:rsidR="00810C04" w:rsidRPr="00944B5E" w14:paraId="1123B602" w14:textId="77777777" w:rsidTr="000C1365">
        <w:trPr>
          <w:cantSplit/>
          <w:trHeight w:val="272"/>
        </w:trPr>
        <w:tc>
          <w:tcPr>
            <w:tcW w:w="901" w:type="dxa"/>
            <w:tcBorders>
              <w:bottom w:val="single" w:sz="4" w:space="0" w:color="auto"/>
            </w:tcBorders>
            <w:vAlign w:val="center"/>
          </w:tcPr>
          <w:p w14:paraId="3447CBFD" w14:textId="000CE36F" w:rsidR="00810C04" w:rsidRPr="00F4606C" w:rsidRDefault="00543512" w:rsidP="00F4606C">
            <w:pPr>
              <w:spacing w:after="0" w:line="240" w:lineRule="auto"/>
              <w:jc w:val="center"/>
              <w:rPr>
                <w:rFonts w:cs="Arial"/>
              </w:rPr>
            </w:pPr>
            <w:r>
              <w:rPr>
                <w:rFonts w:cs="Arial"/>
              </w:rPr>
              <w:t>9.142</w:t>
            </w:r>
          </w:p>
        </w:tc>
        <w:tc>
          <w:tcPr>
            <w:tcW w:w="1793" w:type="dxa"/>
            <w:tcBorders>
              <w:bottom w:val="single" w:sz="4" w:space="0" w:color="auto"/>
            </w:tcBorders>
            <w:vAlign w:val="center"/>
          </w:tcPr>
          <w:p w14:paraId="416969B9" w14:textId="25B5575F" w:rsidR="00810C04" w:rsidRPr="00F4606C" w:rsidRDefault="00543512" w:rsidP="00F4606C">
            <w:pPr>
              <w:spacing w:after="0" w:line="240" w:lineRule="auto"/>
              <w:rPr>
                <w:rFonts w:cs="Arial"/>
              </w:rPr>
            </w:pPr>
            <w:r w:rsidRPr="00543512">
              <w:rPr>
                <w:rFonts w:cs="Arial"/>
              </w:rPr>
              <w:t>BTR entity or payment recipient</w:t>
            </w:r>
          </w:p>
        </w:tc>
        <w:tc>
          <w:tcPr>
            <w:tcW w:w="1134" w:type="dxa"/>
            <w:tcBorders>
              <w:bottom w:val="single" w:sz="4" w:space="0" w:color="auto"/>
            </w:tcBorders>
            <w:vAlign w:val="center"/>
          </w:tcPr>
          <w:p w14:paraId="0409BC9F" w14:textId="54CD360F" w:rsidR="00810C04" w:rsidRPr="00F4606C" w:rsidRDefault="0064081F"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0495CE25" w14:textId="344D0C9A" w:rsidR="00810C04" w:rsidRPr="00F4606C" w:rsidRDefault="00810C04" w:rsidP="00F4606C">
            <w:pPr>
              <w:spacing w:after="0" w:line="240" w:lineRule="auto"/>
              <w:jc w:val="center"/>
              <w:rPr>
                <w:rFonts w:cs="Arial"/>
              </w:rPr>
            </w:pPr>
            <w:r>
              <w:rPr>
                <w:rFonts w:cs="Arial"/>
              </w:rPr>
              <w:t>N</w:t>
            </w:r>
          </w:p>
        </w:tc>
        <w:tc>
          <w:tcPr>
            <w:tcW w:w="850" w:type="dxa"/>
            <w:tcBorders>
              <w:bottom w:val="single" w:sz="4" w:space="0" w:color="auto"/>
            </w:tcBorders>
            <w:vAlign w:val="center"/>
          </w:tcPr>
          <w:p w14:paraId="021225A1" w14:textId="77777777" w:rsidR="00810C04" w:rsidRPr="00F4606C" w:rsidRDefault="00810C04" w:rsidP="00F4606C">
            <w:pPr>
              <w:spacing w:after="0" w:line="240" w:lineRule="auto"/>
              <w:jc w:val="center"/>
              <w:rPr>
                <w:rFonts w:cs="Arial"/>
              </w:rPr>
            </w:pPr>
          </w:p>
        </w:tc>
        <w:tc>
          <w:tcPr>
            <w:tcW w:w="3969" w:type="dxa"/>
            <w:tcBorders>
              <w:bottom w:val="single" w:sz="4" w:space="0" w:color="auto"/>
            </w:tcBorders>
            <w:vAlign w:val="center"/>
          </w:tcPr>
          <w:p w14:paraId="0D3A5035" w14:textId="012C868B" w:rsidR="00810C04" w:rsidRPr="00F4606C" w:rsidRDefault="00810C04" w:rsidP="00F4606C">
            <w:pPr>
              <w:spacing w:after="0" w:line="240" w:lineRule="auto"/>
              <w:rPr>
                <w:rFonts w:cs="Arial"/>
              </w:rPr>
            </w:pPr>
          </w:p>
        </w:tc>
      </w:tr>
      <w:tr w:rsidR="00810C04" w:rsidRPr="00944B5E" w14:paraId="4BAD4994" w14:textId="77777777" w:rsidTr="000C1365">
        <w:trPr>
          <w:cantSplit/>
          <w:trHeight w:val="272"/>
        </w:trPr>
        <w:tc>
          <w:tcPr>
            <w:tcW w:w="901" w:type="dxa"/>
            <w:tcBorders>
              <w:bottom w:val="single" w:sz="4" w:space="0" w:color="auto"/>
            </w:tcBorders>
            <w:vAlign w:val="center"/>
          </w:tcPr>
          <w:p w14:paraId="220A3067" w14:textId="6B99C035" w:rsidR="00810C04" w:rsidRPr="00F4606C" w:rsidRDefault="00543512" w:rsidP="00F4606C">
            <w:pPr>
              <w:spacing w:after="0" w:line="240" w:lineRule="auto"/>
              <w:jc w:val="center"/>
              <w:rPr>
                <w:rFonts w:cs="Arial"/>
              </w:rPr>
            </w:pPr>
            <w:r>
              <w:rPr>
                <w:rFonts w:cs="Arial"/>
              </w:rPr>
              <w:t>9.143</w:t>
            </w:r>
          </w:p>
        </w:tc>
        <w:tc>
          <w:tcPr>
            <w:tcW w:w="1793" w:type="dxa"/>
            <w:tcBorders>
              <w:bottom w:val="single" w:sz="4" w:space="0" w:color="auto"/>
            </w:tcBorders>
            <w:vAlign w:val="center"/>
          </w:tcPr>
          <w:p w14:paraId="7BEFA729" w14:textId="7E7E708C" w:rsidR="00810C04" w:rsidRPr="00F4606C" w:rsidRDefault="00842BC3" w:rsidP="00F4606C">
            <w:pPr>
              <w:spacing w:after="0" w:line="240" w:lineRule="auto"/>
              <w:rPr>
                <w:rFonts w:cs="Arial"/>
              </w:rPr>
            </w:pPr>
            <w:r w:rsidRPr="00842BC3">
              <w:rPr>
                <w:rFonts w:cs="Arial"/>
              </w:rPr>
              <w:t>ATO BTR development ID</w:t>
            </w:r>
          </w:p>
        </w:tc>
        <w:tc>
          <w:tcPr>
            <w:tcW w:w="1134" w:type="dxa"/>
            <w:tcBorders>
              <w:bottom w:val="single" w:sz="4" w:space="0" w:color="auto"/>
            </w:tcBorders>
            <w:vAlign w:val="center"/>
          </w:tcPr>
          <w:p w14:paraId="33ECB9E2" w14:textId="078AF362" w:rsidR="00810C04" w:rsidRPr="00F4606C" w:rsidRDefault="0064081F"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1BA3D737" w14:textId="5C1F5202" w:rsidR="00810C04" w:rsidRPr="00F4606C" w:rsidRDefault="00810C04" w:rsidP="00F4606C">
            <w:pPr>
              <w:spacing w:after="0" w:line="240" w:lineRule="auto"/>
              <w:jc w:val="center"/>
              <w:rPr>
                <w:rFonts w:cs="Arial"/>
              </w:rPr>
            </w:pPr>
            <w:r>
              <w:rPr>
                <w:rFonts w:cs="Arial"/>
              </w:rPr>
              <w:t>N</w:t>
            </w:r>
          </w:p>
        </w:tc>
        <w:tc>
          <w:tcPr>
            <w:tcW w:w="850" w:type="dxa"/>
            <w:tcBorders>
              <w:bottom w:val="single" w:sz="4" w:space="0" w:color="auto"/>
            </w:tcBorders>
            <w:vAlign w:val="center"/>
          </w:tcPr>
          <w:p w14:paraId="778410B9" w14:textId="77777777" w:rsidR="00810C04" w:rsidRPr="00F4606C" w:rsidRDefault="00810C04" w:rsidP="00F4606C">
            <w:pPr>
              <w:spacing w:after="0" w:line="240" w:lineRule="auto"/>
              <w:jc w:val="center"/>
              <w:rPr>
                <w:rFonts w:cs="Arial"/>
              </w:rPr>
            </w:pPr>
          </w:p>
        </w:tc>
        <w:tc>
          <w:tcPr>
            <w:tcW w:w="3969" w:type="dxa"/>
            <w:tcBorders>
              <w:bottom w:val="single" w:sz="4" w:space="0" w:color="auto"/>
            </w:tcBorders>
            <w:vAlign w:val="center"/>
          </w:tcPr>
          <w:p w14:paraId="20828ECE" w14:textId="2E45368E" w:rsidR="00810C04" w:rsidRPr="00F4606C" w:rsidRDefault="00810C04" w:rsidP="00F4606C">
            <w:pPr>
              <w:spacing w:after="0" w:line="240" w:lineRule="auto"/>
              <w:rPr>
                <w:rFonts w:cs="Arial"/>
              </w:rPr>
            </w:pPr>
          </w:p>
        </w:tc>
      </w:tr>
      <w:tr w:rsidR="00810C04" w:rsidRPr="00944B5E" w14:paraId="25C515D4" w14:textId="77777777" w:rsidTr="000C1365">
        <w:trPr>
          <w:cantSplit/>
          <w:trHeight w:val="272"/>
        </w:trPr>
        <w:tc>
          <w:tcPr>
            <w:tcW w:w="901" w:type="dxa"/>
            <w:tcBorders>
              <w:bottom w:val="single" w:sz="4" w:space="0" w:color="auto"/>
            </w:tcBorders>
            <w:vAlign w:val="center"/>
          </w:tcPr>
          <w:p w14:paraId="51EC9D50" w14:textId="5A2DE867" w:rsidR="00810C04" w:rsidRPr="00F4606C" w:rsidRDefault="00543512" w:rsidP="00F4606C">
            <w:pPr>
              <w:spacing w:after="0" w:line="240" w:lineRule="auto"/>
              <w:jc w:val="center"/>
              <w:rPr>
                <w:rFonts w:cs="Arial"/>
              </w:rPr>
            </w:pPr>
            <w:r>
              <w:rPr>
                <w:rFonts w:cs="Arial"/>
              </w:rPr>
              <w:t>9.144</w:t>
            </w:r>
          </w:p>
        </w:tc>
        <w:tc>
          <w:tcPr>
            <w:tcW w:w="1793" w:type="dxa"/>
            <w:tcBorders>
              <w:bottom w:val="single" w:sz="4" w:space="0" w:color="auto"/>
            </w:tcBorders>
            <w:vAlign w:val="center"/>
          </w:tcPr>
          <w:p w14:paraId="7D5BEB23" w14:textId="47657A5F" w:rsidR="00810C04" w:rsidRPr="00F4606C" w:rsidRDefault="00BA4B99" w:rsidP="00F4606C">
            <w:pPr>
              <w:spacing w:after="0" w:line="240" w:lineRule="auto"/>
              <w:rPr>
                <w:rFonts w:cs="Arial"/>
              </w:rPr>
            </w:pPr>
            <w:r w:rsidRPr="00BA4B99">
              <w:rPr>
                <w:rFonts w:cs="Arial"/>
              </w:rPr>
              <w:t>BTR excluded from NCMI – non primary production</w:t>
            </w:r>
          </w:p>
        </w:tc>
        <w:tc>
          <w:tcPr>
            <w:tcW w:w="1134" w:type="dxa"/>
            <w:tcBorders>
              <w:bottom w:val="single" w:sz="4" w:space="0" w:color="auto"/>
            </w:tcBorders>
            <w:vAlign w:val="center"/>
          </w:tcPr>
          <w:p w14:paraId="4A589F31" w14:textId="736DF3B5" w:rsidR="00810C04" w:rsidRPr="00F4606C" w:rsidRDefault="0064081F"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44DFEFD8" w14:textId="477A2941" w:rsidR="00810C04" w:rsidRPr="00F4606C" w:rsidRDefault="00810C04" w:rsidP="00F4606C">
            <w:pPr>
              <w:spacing w:after="0" w:line="240" w:lineRule="auto"/>
              <w:jc w:val="center"/>
              <w:rPr>
                <w:rFonts w:cs="Arial"/>
              </w:rPr>
            </w:pPr>
            <w:r>
              <w:rPr>
                <w:rFonts w:cs="Arial"/>
              </w:rPr>
              <w:t>N</w:t>
            </w:r>
          </w:p>
        </w:tc>
        <w:tc>
          <w:tcPr>
            <w:tcW w:w="850" w:type="dxa"/>
            <w:tcBorders>
              <w:bottom w:val="single" w:sz="4" w:space="0" w:color="auto"/>
            </w:tcBorders>
            <w:vAlign w:val="center"/>
          </w:tcPr>
          <w:p w14:paraId="5E011186" w14:textId="77777777" w:rsidR="00810C04" w:rsidRPr="00F4606C" w:rsidRDefault="00810C04" w:rsidP="00F4606C">
            <w:pPr>
              <w:spacing w:after="0" w:line="240" w:lineRule="auto"/>
              <w:jc w:val="center"/>
              <w:rPr>
                <w:rFonts w:cs="Arial"/>
              </w:rPr>
            </w:pPr>
          </w:p>
        </w:tc>
        <w:tc>
          <w:tcPr>
            <w:tcW w:w="3969" w:type="dxa"/>
            <w:tcBorders>
              <w:bottom w:val="single" w:sz="4" w:space="0" w:color="auto"/>
            </w:tcBorders>
            <w:vAlign w:val="center"/>
          </w:tcPr>
          <w:p w14:paraId="6A0A3CA3" w14:textId="4AD6FEEB" w:rsidR="00810C04" w:rsidRPr="00F4606C" w:rsidRDefault="00810C04" w:rsidP="00F4606C">
            <w:pPr>
              <w:spacing w:after="0" w:line="240" w:lineRule="auto"/>
              <w:rPr>
                <w:rFonts w:cs="Arial"/>
              </w:rPr>
            </w:pPr>
          </w:p>
        </w:tc>
      </w:tr>
      <w:tr w:rsidR="00810C04" w:rsidRPr="00944B5E" w14:paraId="6242ED94" w14:textId="77777777" w:rsidTr="000C1365">
        <w:trPr>
          <w:cantSplit/>
          <w:trHeight w:val="272"/>
        </w:trPr>
        <w:tc>
          <w:tcPr>
            <w:tcW w:w="901" w:type="dxa"/>
            <w:tcBorders>
              <w:bottom w:val="single" w:sz="4" w:space="0" w:color="auto"/>
            </w:tcBorders>
            <w:vAlign w:val="center"/>
          </w:tcPr>
          <w:p w14:paraId="14E32CFA" w14:textId="7C34563D" w:rsidR="00810C04" w:rsidRPr="00F4606C" w:rsidRDefault="00543512" w:rsidP="00F4606C">
            <w:pPr>
              <w:spacing w:after="0" w:line="240" w:lineRule="auto"/>
              <w:jc w:val="center"/>
              <w:rPr>
                <w:rFonts w:cs="Arial"/>
              </w:rPr>
            </w:pPr>
            <w:r>
              <w:rPr>
                <w:rFonts w:cs="Arial"/>
              </w:rPr>
              <w:t>9.145</w:t>
            </w:r>
          </w:p>
        </w:tc>
        <w:tc>
          <w:tcPr>
            <w:tcW w:w="1793" w:type="dxa"/>
            <w:tcBorders>
              <w:bottom w:val="single" w:sz="4" w:space="0" w:color="auto"/>
            </w:tcBorders>
            <w:vAlign w:val="center"/>
          </w:tcPr>
          <w:p w14:paraId="6A4126D1" w14:textId="1A83C852" w:rsidR="00810C04" w:rsidRPr="00F4606C" w:rsidRDefault="00FA3587" w:rsidP="00F4606C">
            <w:pPr>
              <w:spacing w:after="0" w:line="240" w:lineRule="auto"/>
              <w:rPr>
                <w:rFonts w:cs="Arial"/>
              </w:rPr>
            </w:pPr>
            <w:r w:rsidRPr="00FA3587">
              <w:rPr>
                <w:rFonts w:cs="Arial"/>
              </w:rPr>
              <w:t>BTR excluded from NCMI capital gains</w:t>
            </w:r>
          </w:p>
        </w:tc>
        <w:tc>
          <w:tcPr>
            <w:tcW w:w="1134" w:type="dxa"/>
            <w:tcBorders>
              <w:bottom w:val="single" w:sz="4" w:space="0" w:color="auto"/>
            </w:tcBorders>
            <w:vAlign w:val="center"/>
          </w:tcPr>
          <w:p w14:paraId="607B2260" w14:textId="550C757A" w:rsidR="00810C04" w:rsidRPr="00F4606C" w:rsidRDefault="0064081F"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6EE29FC7" w14:textId="55D72D0B" w:rsidR="00810C04" w:rsidRPr="00F4606C" w:rsidRDefault="00810C04" w:rsidP="00F4606C">
            <w:pPr>
              <w:spacing w:after="0" w:line="240" w:lineRule="auto"/>
              <w:jc w:val="center"/>
              <w:rPr>
                <w:rFonts w:cs="Arial"/>
              </w:rPr>
            </w:pPr>
            <w:r>
              <w:rPr>
                <w:rFonts w:cs="Arial"/>
              </w:rPr>
              <w:t>N</w:t>
            </w:r>
          </w:p>
        </w:tc>
        <w:tc>
          <w:tcPr>
            <w:tcW w:w="850" w:type="dxa"/>
            <w:tcBorders>
              <w:bottom w:val="single" w:sz="4" w:space="0" w:color="auto"/>
            </w:tcBorders>
            <w:vAlign w:val="center"/>
          </w:tcPr>
          <w:p w14:paraId="07188C82" w14:textId="77777777" w:rsidR="00810C04" w:rsidRPr="00F4606C" w:rsidRDefault="00810C04" w:rsidP="00F4606C">
            <w:pPr>
              <w:spacing w:after="0" w:line="240" w:lineRule="auto"/>
              <w:jc w:val="center"/>
              <w:rPr>
                <w:rFonts w:cs="Arial"/>
              </w:rPr>
            </w:pPr>
          </w:p>
        </w:tc>
        <w:tc>
          <w:tcPr>
            <w:tcW w:w="3969" w:type="dxa"/>
            <w:tcBorders>
              <w:bottom w:val="single" w:sz="4" w:space="0" w:color="auto"/>
            </w:tcBorders>
            <w:vAlign w:val="center"/>
          </w:tcPr>
          <w:p w14:paraId="53D30A67" w14:textId="551D8B43" w:rsidR="00810C04" w:rsidRPr="00F4606C" w:rsidRDefault="00810C04" w:rsidP="00F4606C">
            <w:pPr>
              <w:spacing w:after="0" w:line="240" w:lineRule="auto"/>
              <w:rPr>
                <w:rFonts w:cs="Arial"/>
              </w:rPr>
            </w:pPr>
          </w:p>
        </w:tc>
      </w:tr>
      <w:tr w:rsidR="00300601" w:rsidRPr="00944B5E" w14:paraId="0062D003" w14:textId="77777777" w:rsidTr="001F4288">
        <w:trPr>
          <w:cantSplit/>
          <w:trHeight w:val="272"/>
        </w:trPr>
        <w:tc>
          <w:tcPr>
            <w:tcW w:w="901" w:type="dxa"/>
            <w:tcBorders>
              <w:bottom w:val="single" w:sz="4" w:space="0" w:color="auto"/>
            </w:tcBorders>
            <w:vAlign w:val="center"/>
          </w:tcPr>
          <w:p w14:paraId="3CA130A4" w14:textId="0DFDD3EE" w:rsidR="00810C04" w:rsidRPr="00F4606C" w:rsidRDefault="00543512" w:rsidP="00F4606C">
            <w:pPr>
              <w:spacing w:after="0" w:line="240" w:lineRule="auto"/>
              <w:jc w:val="center"/>
              <w:rPr>
                <w:rFonts w:cs="Arial"/>
              </w:rPr>
            </w:pPr>
            <w:r>
              <w:rPr>
                <w:rFonts w:cs="Arial"/>
              </w:rPr>
              <w:t>9.156</w:t>
            </w:r>
          </w:p>
        </w:tc>
        <w:tc>
          <w:tcPr>
            <w:tcW w:w="1793" w:type="dxa"/>
            <w:tcBorders>
              <w:bottom w:val="single" w:sz="4" w:space="0" w:color="auto"/>
            </w:tcBorders>
            <w:vAlign w:val="center"/>
          </w:tcPr>
          <w:p w14:paraId="0ED3D04F" w14:textId="3DBC7D30" w:rsidR="00810C04" w:rsidRPr="00F4606C" w:rsidRDefault="0064081F" w:rsidP="00F4606C">
            <w:pPr>
              <w:spacing w:after="0" w:line="240" w:lineRule="auto"/>
              <w:rPr>
                <w:rFonts w:cs="Arial"/>
              </w:rPr>
            </w:pPr>
            <w:r w:rsidRPr="0064081F">
              <w:rPr>
                <w:rFonts w:cs="Arial"/>
              </w:rPr>
              <w:t>Active BTR withholding</w:t>
            </w:r>
          </w:p>
        </w:tc>
        <w:tc>
          <w:tcPr>
            <w:tcW w:w="1134" w:type="dxa"/>
            <w:tcBorders>
              <w:bottom w:val="single" w:sz="4" w:space="0" w:color="auto"/>
            </w:tcBorders>
            <w:vAlign w:val="center"/>
          </w:tcPr>
          <w:p w14:paraId="6EEB1A2C" w14:textId="635C6FD0" w:rsidR="00810C04" w:rsidRPr="00F4606C" w:rsidRDefault="0064081F" w:rsidP="00F4606C">
            <w:pPr>
              <w:spacing w:after="0" w:line="240" w:lineRule="auto"/>
              <w:rPr>
                <w:rFonts w:cs="Arial"/>
              </w:rPr>
            </w:pPr>
            <w:r w:rsidRPr="00F4606C">
              <w:rPr>
                <w:rFonts w:cs="Arial"/>
              </w:rPr>
              <w:t>UTD, AMT</w:t>
            </w:r>
          </w:p>
        </w:tc>
        <w:tc>
          <w:tcPr>
            <w:tcW w:w="709" w:type="dxa"/>
            <w:tcBorders>
              <w:bottom w:val="single" w:sz="4" w:space="0" w:color="auto"/>
            </w:tcBorders>
            <w:vAlign w:val="center"/>
          </w:tcPr>
          <w:p w14:paraId="4C580205" w14:textId="7F9D6C00" w:rsidR="00810C04" w:rsidRPr="00F4606C" w:rsidRDefault="00810C04" w:rsidP="00F4606C">
            <w:pPr>
              <w:spacing w:after="0" w:line="240" w:lineRule="auto"/>
              <w:jc w:val="center"/>
              <w:rPr>
                <w:rFonts w:cs="Arial"/>
              </w:rPr>
            </w:pPr>
            <w:r>
              <w:rPr>
                <w:rFonts w:cs="Arial"/>
              </w:rPr>
              <w:t>N</w:t>
            </w:r>
          </w:p>
        </w:tc>
        <w:tc>
          <w:tcPr>
            <w:tcW w:w="850" w:type="dxa"/>
            <w:tcBorders>
              <w:bottom w:val="single" w:sz="4" w:space="0" w:color="auto"/>
            </w:tcBorders>
            <w:vAlign w:val="center"/>
          </w:tcPr>
          <w:p w14:paraId="6752535B" w14:textId="77777777" w:rsidR="00810C04" w:rsidRPr="00F4606C" w:rsidRDefault="00810C04" w:rsidP="00F4606C">
            <w:pPr>
              <w:spacing w:after="0" w:line="240" w:lineRule="auto"/>
              <w:jc w:val="center"/>
              <w:rPr>
                <w:rFonts w:cs="Arial"/>
              </w:rPr>
            </w:pPr>
          </w:p>
        </w:tc>
        <w:tc>
          <w:tcPr>
            <w:tcW w:w="3969" w:type="dxa"/>
            <w:tcBorders>
              <w:bottom w:val="single" w:sz="4" w:space="0" w:color="auto"/>
            </w:tcBorders>
            <w:vAlign w:val="center"/>
          </w:tcPr>
          <w:p w14:paraId="5C54A638" w14:textId="5A5F1E5F" w:rsidR="00810C04" w:rsidRPr="00F4606C" w:rsidRDefault="00810C04" w:rsidP="00F4606C">
            <w:pPr>
              <w:spacing w:after="0" w:line="240" w:lineRule="auto"/>
              <w:rPr>
                <w:rFonts w:cs="Arial"/>
              </w:rPr>
            </w:pPr>
          </w:p>
        </w:tc>
      </w:tr>
      <w:tr w:rsidR="00115458" w:rsidRPr="00944B5E" w14:paraId="52607F80" w14:textId="77777777" w:rsidTr="000C1365">
        <w:trPr>
          <w:cantSplit/>
          <w:trHeight w:val="272"/>
        </w:trPr>
        <w:tc>
          <w:tcPr>
            <w:tcW w:w="901" w:type="dxa"/>
            <w:tcBorders>
              <w:bottom w:val="single" w:sz="4" w:space="0" w:color="auto"/>
            </w:tcBorders>
            <w:vAlign w:val="center"/>
          </w:tcPr>
          <w:p w14:paraId="2AB2A4BE" w14:textId="41832551" w:rsidR="00115458" w:rsidRPr="00F4606C" w:rsidRDefault="00115458" w:rsidP="00F4606C">
            <w:pPr>
              <w:spacing w:after="0" w:line="240" w:lineRule="auto"/>
              <w:jc w:val="center"/>
              <w:rPr>
                <w:rFonts w:cs="Arial"/>
              </w:rPr>
            </w:pPr>
            <w:r w:rsidRPr="00F4606C" w:rsidDel="004E10A7">
              <w:rPr>
                <w:rFonts w:cs="Arial"/>
              </w:rPr>
              <w:t>9.</w:t>
            </w:r>
            <w:r w:rsidR="004E10A7">
              <w:rPr>
                <w:rFonts w:cs="Arial"/>
              </w:rPr>
              <w:t>150</w:t>
            </w:r>
          </w:p>
        </w:tc>
        <w:tc>
          <w:tcPr>
            <w:tcW w:w="1793" w:type="dxa"/>
            <w:tcBorders>
              <w:bottom w:val="single" w:sz="4" w:space="0" w:color="auto"/>
            </w:tcBorders>
            <w:vAlign w:val="center"/>
          </w:tcPr>
          <w:p w14:paraId="2266CAEB" w14:textId="77777777" w:rsidR="00115458" w:rsidRPr="00F4606C" w:rsidRDefault="00115458" w:rsidP="00F4606C">
            <w:pPr>
              <w:spacing w:after="0" w:line="240" w:lineRule="auto"/>
              <w:rPr>
                <w:rFonts w:cs="Arial"/>
              </w:rPr>
            </w:pPr>
            <w:r w:rsidRPr="00F4606C">
              <w:rPr>
                <w:rFonts w:cs="Arial"/>
              </w:rPr>
              <w:t>Personal identification number (PIN)</w:t>
            </w:r>
          </w:p>
        </w:tc>
        <w:tc>
          <w:tcPr>
            <w:tcW w:w="1134" w:type="dxa"/>
            <w:tcBorders>
              <w:bottom w:val="single" w:sz="4" w:space="0" w:color="auto"/>
            </w:tcBorders>
            <w:vAlign w:val="center"/>
          </w:tcPr>
          <w:p w14:paraId="5C834E32"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vAlign w:val="center"/>
          </w:tcPr>
          <w:p w14:paraId="345BB02D"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vAlign w:val="center"/>
          </w:tcPr>
          <w:p w14:paraId="3C828A49"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76FFE77C" w14:textId="77777777" w:rsidR="00115458" w:rsidRPr="00F4606C" w:rsidRDefault="00115458" w:rsidP="00F4606C">
            <w:pPr>
              <w:spacing w:after="0" w:line="240" w:lineRule="auto"/>
              <w:rPr>
                <w:rFonts w:cs="Arial"/>
              </w:rPr>
            </w:pPr>
          </w:p>
        </w:tc>
      </w:tr>
      <w:tr w:rsidR="00115458" w:rsidRPr="00944B5E" w14:paraId="4FE67194" w14:textId="77777777" w:rsidTr="000C1365">
        <w:trPr>
          <w:cantSplit/>
          <w:trHeight w:val="272"/>
        </w:trPr>
        <w:tc>
          <w:tcPr>
            <w:tcW w:w="901" w:type="dxa"/>
            <w:vAlign w:val="center"/>
          </w:tcPr>
          <w:p w14:paraId="5B082A4A" w14:textId="13C928F4" w:rsidR="00115458" w:rsidRPr="00F4606C" w:rsidRDefault="00115458" w:rsidP="00F4606C">
            <w:pPr>
              <w:spacing w:after="0" w:line="240" w:lineRule="auto"/>
              <w:jc w:val="center"/>
              <w:rPr>
                <w:rFonts w:cs="Arial"/>
              </w:rPr>
            </w:pPr>
            <w:r w:rsidRPr="00F4606C" w:rsidDel="00BF65CB">
              <w:rPr>
                <w:rFonts w:cs="Arial"/>
              </w:rPr>
              <w:t>9.</w:t>
            </w:r>
            <w:r w:rsidR="004E10A7">
              <w:rPr>
                <w:rFonts w:cs="Arial"/>
              </w:rPr>
              <w:t>151</w:t>
            </w:r>
          </w:p>
        </w:tc>
        <w:tc>
          <w:tcPr>
            <w:tcW w:w="1793" w:type="dxa"/>
            <w:vAlign w:val="center"/>
          </w:tcPr>
          <w:p w14:paraId="634B3C16" w14:textId="77777777" w:rsidR="00115458" w:rsidRPr="00F4606C" w:rsidRDefault="00115458" w:rsidP="00F4606C">
            <w:pPr>
              <w:spacing w:after="0" w:line="240" w:lineRule="auto"/>
              <w:rPr>
                <w:rFonts w:cs="Arial"/>
              </w:rPr>
            </w:pPr>
            <w:r w:rsidRPr="00F4606C">
              <w:rPr>
                <w:rFonts w:cs="Arial"/>
              </w:rPr>
              <w:t>ANZSIC code</w:t>
            </w:r>
          </w:p>
        </w:tc>
        <w:tc>
          <w:tcPr>
            <w:tcW w:w="1134" w:type="dxa"/>
            <w:vAlign w:val="center"/>
          </w:tcPr>
          <w:p w14:paraId="584D04B6"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1DBAA977" w14:textId="77777777" w:rsidR="00115458" w:rsidRPr="00F4606C" w:rsidRDefault="00115458" w:rsidP="00F4606C">
            <w:pPr>
              <w:spacing w:after="0" w:line="240" w:lineRule="auto"/>
              <w:jc w:val="center"/>
              <w:rPr>
                <w:rFonts w:cs="Arial"/>
              </w:rPr>
            </w:pPr>
            <w:r w:rsidRPr="00F4606C">
              <w:rPr>
                <w:rFonts w:cs="Arial"/>
              </w:rPr>
              <w:t>N</w:t>
            </w:r>
          </w:p>
        </w:tc>
        <w:tc>
          <w:tcPr>
            <w:tcW w:w="850" w:type="dxa"/>
            <w:vAlign w:val="center"/>
          </w:tcPr>
          <w:p w14:paraId="1D03EA90" w14:textId="77777777" w:rsidR="00115458" w:rsidRPr="00F4606C" w:rsidRDefault="00115458" w:rsidP="00F4606C">
            <w:pPr>
              <w:spacing w:after="0" w:line="240" w:lineRule="auto"/>
              <w:jc w:val="center"/>
              <w:rPr>
                <w:rFonts w:cs="Arial"/>
              </w:rPr>
            </w:pPr>
          </w:p>
        </w:tc>
        <w:tc>
          <w:tcPr>
            <w:tcW w:w="3969" w:type="dxa"/>
            <w:vAlign w:val="center"/>
          </w:tcPr>
          <w:p w14:paraId="3A4A4FDC" w14:textId="77777777" w:rsidR="00115458" w:rsidRPr="00F4606C" w:rsidRDefault="00115458" w:rsidP="00F4606C">
            <w:pPr>
              <w:spacing w:after="0" w:line="240" w:lineRule="auto"/>
              <w:rPr>
                <w:rFonts w:cs="Arial"/>
              </w:rPr>
            </w:pPr>
          </w:p>
        </w:tc>
      </w:tr>
      <w:tr w:rsidR="00115458" w:rsidRPr="00944B5E" w14:paraId="17A4522A" w14:textId="77777777" w:rsidTr="000C1365">
        <w:trPr>
          <w:cantSplit/>
          <w:trHeight w:val="272"/>
        </w:trPr>
        <w:tc>
          <w:tcPr>
            <w:tcW w:w="901" w:type="dxa"/>
            <w:vMerge w:val="restart"/>
            <w:vAlign w:val="center"/>
          </w:tcPr>
          <w:p w14:paraId="56A01F9E" w14:textId="34D27EF7" w:rsidR="00115458" w:rsidRPr="00F4606C" w:rsidRDefault="00115458" w:rsidP="00F4606C">
            <w:pPr>
              <w:spacing w:after="0" w:line="240" w:lineRule="auto"/>
              <w:jc w:val="center"/>
              <w:rPr>
                <w:rFonts w:cs="Arial"/>
              </w:rPr>
            </w:pPr>
            <w:r w:rsidRPr="00F4606C" w:rsidDel="00D75B52">
              <w:rPr>
                <w:rFonts w:cs="Arial"/>
              </w:rPr>
              <w:t>9.</w:t>
            </w:r>
            <w:r w:rsidR="00D75B52">
              <w:rPr>
                <w:rFonts w:cs="Arial"/>
              </w:rPr>
              <w:t>152</w:t>
            </w:r>
          </w:p>
        </w:tc>
        <w:tc>
          <w:tcPr>
            <w:tcW w:w="1793" w:type="dxa"/>
            <w:vMerge w:val="restart"/>
            <w:vAlign w:val="center"/>
          </w:tcPr>
          <w:p w14:paraId="57E9DCF8" w14:textId="77777777" w:rsidR="00115458" w:rsidRPr="00F4606C" w:rsidRDefault="00115458" w:rsidP="00F4606C">
            <w:pPr>
              <w:spacing w:after="0" w:line="240" w:lineRule="auto"/>
              <w:rPr>
                <w:rFonts w:cs="Arial"/>
              </w:rPr>
            </w:pPr>
            <w:r w:rsidRPr="00F4606C">
              <w:rPr>
                <w:rFonts w:cs="Arial"/>
              </w:rPr>
              <w:t>Amount of deductible deposit</w:t>
            </w:r>
          </w:p>
        </w:tc>
        <w:tc>
          <w:tcPr>
            <w:tcW w:w="1134" w:type="dxa"/>
            <w:vMerge w:val="restart"/>
            <w:vAlign w:val="center"/>
          </w:tcPr>
          <w:p w14:paraId="41CEF780"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3BF9C86F"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788B297B" w14:textId="77777777" w:rsidR="00115458" w:rsidRPr="00F4606C" w:rsidRDefault="00115458" w:rsidP="00F4606C">
            <w:pPr>
              <w:spacing w:after="0" w:line="240" w:lineRule="auto"/>
              <w:jc w:val="center"/>
              <w:rPr>
                <w:rFonts w:cs="Arial"/>
              </w:rPr>
            </w:pPr>
          </w:p>
        </w:tc>
        <w:tc>
          <w:tcPr>
            <w:tcW w:w="3969" w:type="dxa"/>
            <w:vAlign w:val="center"/>
          </w:tcPr>
          <w:p w14:paraId="0DC347C0"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A21B9C0" w14:textId="77777777" w:rsidTr="000C1365">
        <w:trPr>
          <w:cantSplit/>
          <w:trHeight w:val="272"/>
        </w:trPr>
        <w:tc>
          <w:tcPr>
            <w:tcW w:w="901" w:type="dxa"/>
            <w:vMerge/>
            <w:tcBorders>
              <w:bottom w:val="single" w:sz="4" w:space="0" w:color="auto"/>
            </w:tcBorders>
            <w:vAlign w:val="center"/>
          </w:tcPr>
          <w:p w14:paraId="15F0DEB1" w14:textId="77777777" w:rsidR="00115458" w:rsidRPr="00F4606C" w:rsidRDefault="00115458" w:rsidP="00F4606C">
            <w:pPr>
              <w:spacing w:after="0" w:line="240" w:lineRule="auto"/>
              <w:jc w:val="center"/>
              <w:rPr>
                <w:rFonts w:cs="Arial"/>
              </w:rPr>
            </w:pPr>
          </w:p>
        </w:tc>
        <w:tc>
          <w:tcPr>
            <w:tcW w:w="1793" w:type="dxa"/>
            <w:vMerge/>
            <w:tcBorders>
              <w:bottom w:val="single" w:sz="4" w:space="0" w:color="auto"/>
            </w:tcBorders>
            <w:vAlign w:val="center"/>
          </w:tcPr>
          <w:p w14:paraId="549BE013" w14:textId="77777777" w:rsidR="00115458" w:rsidRPr="00F4606C" w:rsidRDefault="00115458" w:rsidP="00F4606C">
            <w:pPr>
              <w:spacing w:after="0" w:line="240" w:lineRule="auto"/>
              <w:rPr>
                <w:rFonts w:cs="Arial"/>
              </w:rPr>
            </w:pPr>
          </w:p>
        </w:tc>
        <w:tc>
          <w:tcPr>
            <w:tcW w:w="1134" w:type="dxa"/>
            <w:vMerge/>
            <w:tcBorders>
              <w:bottom w:val="single" w:sz="4" w:space="0" w:color="auto"/>
            </w:tcBorders>
            <w:vAlign w:val="center"/>
          </w:tcPr>
          <w:p w14:paraId="7AF02672" w14:textId="77777777" w:rsidR="00115458" w:rsidRPr="00F4606C" w:rsidRDefault="00115458" w:rsidP="00F4606C">
            <w:pPr>
              <w:spacing w:after="0" w:line="240" w:lineRule="auto"/>
              <w:rPr>
                <w:rFonts w:cs="Arial"/>
              </w:rPr>
            </w:pPr>
          </w:p>
        </w:tc>
        <w:tc>
          <w:tcPr>
            <w:tcW w:w="709" w:type="dxa"/>
            <w:tcBorders>
              <w:bottom w:val="single" w:sz="4" w:space="0" w:color="auto"/>
            </w:tcBorders>
            <w:vAlign w:val="center"/>
          </w:tcPr>
          <w:p w14:paraId="69FFD2AE"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16425360"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09854E83"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BFDD9BA" w14:textId="77777777" w:rsidTr="000C1365">
        <w:trPr>
          <w:cantSplit/>
          <w:trHeight w:val="272"/>
        </w:trPr>
        <w:tc>
          <w:tcPr>
            <w:tcW w:w="901" w:type="dxa"/>
            <w:vAlign w:val="center"/>
          </w:tcPr>
          <w:p w14:paraId="5ADFE380" w14:textId="618D806F" w:rsidR="00115458" w:rsidRPr="00F4606C" w:rsidRDefault="00115458" w:rsidP="00F4606C">
            <w:pPr>
              <w:spacing w:after="0" w:line="240" w:lineRule="auto"/>
              <w:jc w:val="center"/>
              <w:rPr>
                <w:rFonts w:cs="Arial"/>
              </w:rPr>
            </w:pPr>
            <w:r w:rsidRPr="00F4606C" w:rsidDel="00D75B52">
              <w:rPr>
                <w:rFonts w:cs="Arial"/>
              </w:rPr>
              <w:t>9.</w:t>
            </w:r>
            <w:r w:rsidR="00D75B52">
              <w:rPr>
                <w:rFonts w:cs="Arial"/>
              </w:rPr>
              <w:t>153</w:t>
            </w:r>
          </w:p>
        </w:tc>
        <w:tc>
          <w:tcPr>
            <w:tcW w:w="1793" w:type="dxa"/>
            <w:vAlign w:val="center"/>
          </w:tcPr>
          <w:p w14:paraId="5A277CCA" w14:textId="77777777" w:rsidR="00115458" w:rsidRPr="00F4606C" w:rsidRDefault="00115458" w:rsidP="00F4606C">
            <w:pPr>
              <w:spacing w:after="0" w:line="240" w:lineRule="auto"/>
              <w:rPr>
                <w:rFonts w:cs="Arial"/>
              </w:rPr>
            </w:pPr>
            <w:r w:rsidRPr="00F4606C">
              <w:rPr>
                <w:rFonts w:cs="Arial"/>
              </w:rPr>
              <w:t>Date of deductible deposit</w:t>
            </w:r>
          </w:p>
        </w:tc>
        <w:tc>
          <w:tcPr>
            <w:tcW w:w="1134" w:type="dxa"/>
            <w:vAlign w:val="center"/>
          </w:tcPr>
          <w:p w14:paraId="37EB42AD"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5769B2E6"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0D010969" w14:textId="77777777" w:rsidR="00115458" w:rsidRPr="00F4606C" w:rsidRDefault="00115458" w:rsidP="00F4606C">
            <w:pPr>
              <w:spacing w:after="0" w:line="240" w:lineRule="auto"/>
              <w:jc w:val="center"/>
              <w:rPr>
                <w:rFonts w:cs="Arial"/>
              </w:rPr>
            </w:pPr>
          </w:p>
        </w:tc>
        <w:tc>
          <w:tcPr>
            <w:tcW w:w="3969" w:type="dxa"/>
            <w:vAlign w:val="center"/>
          </w:tcPr>
          <w:p w14:paraId="7BD2AB2D"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24826A0C" w14:textId="77777777" w:rsidTr="000C1365">
        <w:trPr>
          <w:cantSplit/>
          <w:trHeight w:val="272"/>
        </w:trPr>
        <w:tc>
          <w:tcPr>
            <w:tcW w:w="901" w:type="dxa"/>
            <w:tcBorders>
              <w:bottom w:val="single" w:sz="4" w:space="0" w:color="auto"/>
            </w:tcBorders>
            <w:vAlign w:val="center"/>
          </w:tcPr>
          <w:p w14:paraId="3496A27E" w14:textId="52BAE14E" w:rsidR="00115458" w:rsidRPr="00F4606C" w:rsidRDefault="00115458" w:rsidP="00F4606C">
            <w:pPr>
              <w:spacing w:after="0" w:line="240" w:lineRule="auto"/>
              <w:jc w:val="center"/>
              <w:rPr>
                <w:rFonts w:cs="Arial"/>
              </w:rPr>
            </w:pPr>
            <w:r w:rsidRPr="00F4606C" w:rsidDel="00D75B52">
              <w:rPr>
                <w:rFonts w:cs="Arial"/>
              </w:rPr>
              <w:t>9.</w:t>
            </w:r>
            <w:r w:rsidR="00D75B52">
              <w:rPr>
                <w:rFonts w:cs="Arial"/>
              </w:rPr>
              <w:t>154</w:t>
            </w:r>
          </w:p>
        </w:tc>
        <w:tc>
          <w:tcPr>
            <w:tcW w:w="1793" w:type="dxa"/>
            <w:tcBorders>
              <w:bottom w:val="single" w:sz="4" w:space="0" w:color="auto"/>
            </w:tcBorders>
            <w:vAlign w:val="center"/>
          </w:tcPr>
          <w:p w14:paraId="11E48129" w14:textId="77777777" w:rsidR="00115458" w:rsidRPr="00F4606C" w:rsidRDefault="00115458" w:rsidP="00F4606C">
            <w:pPr>
              <w:spacing w:after="0" w:line="240" w:lineRule="auto"/>
              <w:rPr>
                <w:rFonts w:cs="Arial"/>
              </w:rPr>
            </w:pPr>
            <w:r w:rsidRPr="00F4606C">
              <w:rPr>
                <w:rFonts w:cs="Arial"/>
              </w:rPr>
              <w:t>Date of original deductible deposit</w:t>
            </w:r>
          </w:p>
        </w:tc>
        <w:tc>
          <w:tcPr>
            <w:tcW w:w="1134" w:type="dxa"/>
            <w:tcBorders>
              <w:bottom w:val="single" w:sz="4" w:space="0" w:color="auto"/>
            </w:tcBorders>
            <w:vAlign w:val="center"/>
          </w:tcPr>
          <w:p w14:paraId="063BBD04"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vAlign w:val="center"/>
          </w:tcPr>
          <w:p w14:paraId="3CCF01FE"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vAlign w:val="center"/>
          </w:tcPr>
          <w:p w14:paraId="6C8C484F"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5CBEF323"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25B1674B" w14:textId="77777777" w:rsidTr="000C1365">
        <w:trPr>
          <w:cantSplit/>
          <w:trHeight w:val="272"/>
        </w:trPr>
        <w:tc>
          <w:tcPr>
            <w:tcW w:w="901" w:type="dxa"/>
            <w:vAlign w:val="center"/>
          </w:tcPr>
          <w:p w14:paraId="3A2B0A27" w14:textId="20914C99" w:rsidR="00115458" w:rsidRPr="00F4606C" w:rsidRDefault="00182B00" w:rsidP="00F4606C">
            <w:pPr>
              <w:spacing w:after="0" w:line="240" w:lineRule="auto"/>
              <w:jc w:val="center"/>
              <w:rPr>
                <w:rFonts w:cs="Arial"/>
              </w:rPr>
            </w:pPr>
            <w:r>
              <w:t>9.155</w:t>
            </w:r>
          </w:p>
        </w:tc>
        <w:tc>
          <w:tcPr>
            <w:tcW w:w="1793" w:type="dxa"/>
            <w:vAlign w:val="center"/>
          </w:tcPr>
          <w:p w14:paraId="20315210" w14:textId="77777777" w:rsidR="00115458" w:rsidRPr="00F4606C" w:rsidRDefault="00115458" w:rsidP="00F4606C">
            <w:pPr>
              <w:spacing w:after="0" w:line="240" w:lineRule="auto"/>
              <w:rPr>
                <w:rFonts w:cs="Arial"/>
              </w:rPr>
            </w:pPr>
            <w:r w:rsidRPr="00F4606C">
              <w:rPr>
                <w:rFonts w:cs="Arial"/>
              </w:rPr>
              <w:t>Amount of repayment</w:t>
            </w:r>
          </w:p>
        </w:tc>
        <w:tc>
          <w:tcPr>
            <w:tcW w:w="1134" w:type="dxa"/>
            <w:vAlign w:val="center"/>
          </w:tcPr>
          <w:p w14:paraId="1F25E5C3"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0BEC3B4A" w14:textId="77777777" w:rsidR="00115458" w:rsidRPr="00F4606C" w:rsidRDefault="00115458" w:rsidP="00F4606C">
            <w:pPr>
              <w:spacing w:after="0" w:line="240" w:lineRule="auto"/>
              <w:jc w:val="center"/>
              <w:rPr>
                <w:rFonts w:cs="Arial"/>
              </w:rPr>
            </w:pPr>
            <w:r w:rsidRPr="00F4606C">
              <w:rPr>
                <w:rFonts w:cs="Arial"/>
              </w:rPr>
              <w:t>Y*</w:t>
            </w:r>
          </w:p>
        </w:tc>
        <w:tc>
          <w:tcPr>
            <w:tcW w:w="850" w:type="dxa"/>
            <w:vAlign w:val="center"/>
          </w:tcPr>
          <w:p w14:paraId="00AB4A5F" w14:textId="77777777" w:rsidR="00115458" w:rsidRPr="00F4606C" w:rsidRDefault="00115458" w:rsidP="00F4606C">
            <w:pPr>
              <w:spacing w:after="0" w:line="240" w:lineRule="auto"/>
              <w:jc w:val="center"/>
              <w:rPr>
                <w:rFonts w:cs="Arial"/>
              </w:rPr>
            </w:pPr>
          </w:p>
        </w:tc>
        <w:tc>
          <w:tcPr>
            <w:tcW w:w="3969" w:type="dxa"/>
            <w:vAlign w:val="center"/>
          </w:tcPr>
          <w:p w14:paraId="4650D2BD"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05A1BE8F" w14:textId="77777777" w:rsidTr="000C1365">
        <w:trPr>
          <w:cantSplit/>
          <w:trHeight w:val="272"/>
        </w:trPr>
        <w:tc>
          <w:tcPr>
            <w:tcW w:w="901" w:type="dxa"/>
            <w:tcBorders>
              <w:bottom w:val="single" w:sz="4" w:space="0" w:color="auto"/>
            </w:tcBorders>
            <w:vAlign w:val="center"/>
          </w:tcPr>
          <w:p w14:paraId="21D463E4" w14:textId="6AD34792" w:rsidR="00115458" w:rsidRPr="00F4606C" w:rsidRDefault="009C084F" w:rsidP="00F4606C">
            <w:pPr>
              <w:spacing w:after="0" w:line="240" w:lineRule="auto"/>
              <w:jc w:val="center"/>
              <w:rPr>
                <w:rFonts w:cs="Arial"/>
              </w:rPr>
            </w:pPr>
            <w:r>
              <w:t>9.156</w:t>
            </w:r>
          </w:p>
        </w:tc>
        <w:tc>
          <w:tcPr>
            <w:tcW w:w="1793" w:type="dxa"/>
            <w:tcBorders>
              <w:bottom w:val="single" w:sz="4" w:space="0" w:color="auto"/>
            </w:tcBorders>
            <w:vAlign w:val="center"/>
          </w:tcPr>
          <w:p w14:paraId="6C08EBC8" w14:textId="77777777" w:rsidR="00115458" w:rsidRPr="00F4606C" w:rsidRDefault="00115458" w:rsidP="00F4606C">
            <w:pPr>
              <w:spacing w:after="0" w:line="240" w:lineRule="auto"/>
              <w:rPr>
                <w:rFonts w:cs="Arial"/>
              </w:rPr>
            </w:pPr>
            <w:r w:rsidRPr="00F4606C">
              <w:rPr>
                <w:rFonts w:cs="Arial"/>
              </w:rPr>
              <w:t>Date of repayment</w:t>
            </w:r>
          </w:p>
        </w:tc>
        <w:tc>
          <w:tcPr>
            <w:tcW w:w="1134" w:type="dxa"/>
            <w:tcBorders>
              <w:bottom w:val="single" w:sz="4" w:space="0" w:color="auto"/>
            </w:tcBorders>
            <w:vAlign w:val="center"/>
          </w:tcPr>
          <w:p w14:paraId="2D4A3C36"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vAlign w:val="center"/>
          </w:tcPr>
          <w:p w14:paraId="13F4B478"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tcPr>
          <w:p w14:paraId="2DBC12B2"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23260BDC"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1C415617" w14:textId="77777777" w:rsidTr="000C1365">
        <w:trPr>
          <w:cantSplit/>
          <w:trHeight w:val="272"/>
        </w:trPr>
        <w:tc>
          <w:tcPr>
            <w:tcW w:w="901" w:type="dxa"/>
            <w:vAlign w:val="center"/>
          </w:tcPr>
          <w:p w14:paraId="291819F1" w14:textId="4D08C2B1" w:rsidR="00115458" w:rsidRPr="00F4606C" w:rsidRDefault="000E7348" w:rsidP="00F4606C">
            <w:pPr>
              <w:spacing w:after="0" w:line="240" w:lineRule="auto"/>
              <w:jc w:val="center"/>
              <w:rPr>
                <w:rFonts w:cs="Arial"/>
              </w:rPr>
            </w:pPr>
            <w:r>
              <w:t>9.157</w:t>
            </w:r>
          </w:p>
        </w:tc>
        <w:tc>
          <w:tcPr>
            <w:tcW w:w="1793" w:type="dxa"/>
            <w:vAlign w:val="center"/>
          </w:tcPr>
          <w:p w14:paraId="1CA7E98D" w14:textId="77777777" w:rsidR="00115458" w:rsidRPr="00F4606C" w:rsidRDefault="00115458" w:rsidP="00F4606C">
            <w:pPr>
              <w:spacing w:after="0" w:line="240" w:lineRule="auto"/>
              <w:rPr>
                <w:rFonts w:cs="Arial"/>
              </w:rPr>
            </w:pPr>
            <w:r w:rsidRPr="00F4606C">
              <w:rPr>
                <w:rFonts w:cs="Arial"/>
              </w:rPr>
              <w:t>Amount of transfer in</w:t>
            </w:r>
          </w:p>
        </w:tc>
        <w:tc>
          <w:tcPr>
            <w:tcW w:w="1134" w:type="dxa"/>
            <w:vAlign w:val="center"/>
          </w:tcPr>
          <w:p w14:paraId="70B78622"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4BA1C43B" w14:textId="77777777" w:rsidR="00115458" w:rsidRPr="00F4606C" w:rsidRDefault="00115458" w:rsidP="00F4606C">
            <w:pPr>
              <w:spacing w:after="0" w:line="240" w:lineRule="auto"/>
              <w:jc w:val="center"/>
              <w:rPr>
                <w:rFonts w:cs="Arial"/>
              </w:rPr>
            </w:pPr>
            <w:r w:rsidRPr="00F4606C">
              <w:rPr>
                <w:rFonts w:cs="Arial"/>
              </w:rPr>
              <w:t>Y*</w:t>
            </w:r>
          </w:p>
        </w:tc>
        <w:tc>
          <w:tcPr>
            <w:tcW w:w="850" w:type="dxa"/>
          </w:tcPr>
          <w:p w14:paraId="17F1EB45" w14:textId="77777777" w:rsidR="00115458" w:rsidRPr="00F4606C" w:rsidRDefault="00115458" w:rsidP="00F4606C">
            <w:pPr>
              <w:spacing w:after="0" w:line="240" w:lineRule="auto"/>
              <w:jc w:val="center"/>
              <w:rPr>
                <w:rFonts w:cs="Arial"/>
              </w:rPr>
            </w:pPr>
          </w:p>
        </w:tc>
        <w:tc>
          <w:tcPr>
            <w:tcW w:w="3969" w:type="dxa"/>
            <w:vAlign w:val="center"/>
          </w:tcPr>
          <w:p w14:paraId="36DB75C2"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1F275E4C" w14:textId="77777777" w:rsidTr="000C1365">
        <w:trPr>
          <w:cantSplit/>
          <w:trHeight w:val="272"/>
        </w:trPr>
        <w:tc>
          <w:tcPr>
            <w:tcW w:w="901" w:type="dxa"/>
            <w:tcBorders>
              <w:bottom w:val="single" w:sz="4" w:space="0" w:color="auto"/>
            </w:tcBorders>
            <w:vAlign w:val="center"/>
          </w:tcPr>
          <w:p w14:paraId="11907631" w14:textId="33762B4A" w:rsidR="00115458" w:rsidRPr="00F4606C" w:rsidRDefault="00423041" w:rsidP="00F4606C">
            <w:pPr>
              <w:spacing w:after="0" w:line="240" w:lineRule="auto"/>
              <w:jc w:val="center"/>
              <w:rPr>
                <w:rFonts w:cs="Arial"/>
              </w:rPr>
            </w:pPr>
            <w:r>
              <w:t>9.158</w:t>
            </w:r>
          </w:p>
        </w:tc>
        <w:tc>
          <w:tcPr>
            <w:tcW w:w="1793" w:type="dxa"/>
            <w:tcBorders>
              <w:bottom w:val="single" w:sz="4" w:space="0" w:color="auto"/>
            </w:tcBorders>
            <w:vAlign w:val="center"/>
          </w:tcPr>
          <w:p w14:paraId="6E12F45D" w14:textId="77777777" w:rsidR="00115458" w:rsidRPr="00F4606C" w:rsidRDefault="00115458" w:rsidP="00F4606C">
            <w:pPr>
              <w:spacing w:after="0" w:line="240" w:lineRule="auto"/>
              <w:rPr>
                <w:rFonts w:cs="Arial"/>
              </w:rPr>
            </w:pPr>
            <w:r w:rsidRPr="00F4606C">
              <w:rPr>
                <w:rFonts w:cs="Arial"/>
              </w:rPr>
              <w:t>Date of transfer in</w:t>
            </w:r>
          </w:p>
        </w:tc>
        <w:tc>
          <w:tcPr>
            <w:tcW w:w="1134" w:type="dxa"/>
            <w:tcBorders>
              <w:bottom w:val="single" w:sz="4" w:space="0" w:color="auto"/>
            </w:tcBorders>
            <w:vAlign w:val="center"/>
          </w:tcPr>
          <w:p w14:paraId="68358753"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vAlign w:val="center"/>
          </w:tcPr>
          <w:p w14:paraId="68955896"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tcPr>
          <w:p w14:paraId="44745FBD"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3F89A90E"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6400F14F" w14:textId="77777777" w:rsidTr="000C1365">
        <w:trPr>
          <w:cantSplit/>
          <w:trHeight w:val="272"/>
        </w:trPr>
        <w:tc>
          <w:tcPr>
            <w:tcW w:w="901" w:type="dxa"/>
            <w:vAlign w:val="center"/>
          </w:tcPr>
          <w:p w14:paraId="445945C7" w14:textId="3A02A0E8" w:rsidR="00115458" w:rsidRPr="00F4606C" w:rsidRDefault="00096F4C" w:rsidP="00F4606C">
            <w:pPr>
              <w:spacing w:after="0" w:line="240" w:lineRule="auto"/>
              <w:jc w:val="center"/>
              <w:rPr>
                <w:rFonts w:cs="Arial"/>
              </w:rPr>
            </w:pPr>
            <w:r>
              <w:t>9.159</w:t>
            </w:r>
          </w:p>
        </w:tc>
        <w:tc>
          <w:tcPr>
            <w:tcW w:w="1793" w:type="dxa"/>
            <w:vAlign w:val="center"/>
          </w:tcPr>
          <w:p w14:paraId="2FD6B7AA" w14:textId="77777777" w:rsidR="00115458" w:rsidRPr="00F4606C" w:rsidRDefault="00115458" w:rsidP="00F4606C">
            <w:pPr>
              <w:spacing w:after="0" w:line="240" w:lineRule="auto"/>
              <w:rPr>
                <w:rFonts w:cs="Arial"/>
              </w:rPr>
            </w:pPr>
            <w:r w:rsidRPr="00F4606C">
              <w:rPr>
                <w:rFonts w:cs="Arial"/>
              </w:rPr>
              <w:t>Transferor BSB number</w:t>
            </w:r>
          </w:p>
        </w:tc>
        <w:tc>
          <w:tcPr>
            <w:tcW w:w="1134" w:type="dxa"/>
            <w:vAlign w:val="center"/>
          </w:tcPr>
          <w:p w14:paraId="5B50BC76"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435AF48D" w14:textId="77777777" w:rsidR="00115458" w:rsidRPr="00F4606C" w:rsidRDefault="00115458" w:rsidP="00F4606C">
            <w:pPr>
              <w:spacing w:after="0" w:line="240" w:lineRule="auto"/>
              <w:jc w:val="center"/>
              <w:rPr>
                <w:rFonts w:cs="Arial"/>
              </w:rPr>
            </w:pPr>
            <w:r w:rsidRPr="00F4606C">
              <w:rPr>
                <w:rFonts w:cs="Arial"/>
              </w:rPr>
              <w:t>N</w:t>
            </w:r>
          </w:p>
        </w:tc>
        <w:tc>
          <w:tcPr>
            <w:tcW w:w="850" w:type="dxa"/>
          </w:tcPr>
          <w:p w14:paraId="13649E77" w14:textId="77777777" w:rsidR="00115458" w:rsidRPr="00F4606C" w:rsidRDefault="00115458" w:rsidP="00F4606C">
            <w:pPr>
              <w:spacing w:after="0" w:line="240" w:lineRule="auto"/>
              <w:jc w:val="center"/>
              <w:rPr>
                <w:rFonts w:cs="Arial"/>
              </w:rPr>
            </w:pPr>
          </w:p>
        </w:tc>
        <w:tc>
          <w:tcPr>
            <w:tcW w:w="3969" w:type="dxa"/>
            <w:vAlign w:val="center"/>
          </w:tcPr>
          <w:p w14:paraId="161FFB86" w14:textId="77777777" w:rsidR="00115458" w:rsidRPr="00F4606C" w:rsidRDefault="00115458" w:rsidP="00F4606C">
            <w:pPr>
              <w:spacing w:after="0" w:line="240" w:lineRule="auto"/>
              <w:rPr>
                <w:rFonts w:cs="Arial"/>
              </w:rPr>
            </w:pPr>
          </w:p>
        </w:tc>
      </w:tr>
      <w:tr w:rsidR="00115458" w:rsidRPr="00944B5E" w14:paraId="77831BAF" w14:textId="77777777" w:rsidTr="000C1365">
        <w:trPr>
          <w:cantSplit/>
          <w:trHeight w:val="272"/>
        </w:trPr>
        <w:tc>
          <w:tcPr>
            <w:tcW w:w="901" w:type="dxa"/>
            <w:tcBorders>
              <w:bottom w:val="single" w:sz="4" w:space="0" w:color="auto"/>
            </w:tcBorders>
            <w:vAlign w:val="center"/>
          </w:tcPr>
          <w:p w14:paraId="1336554B" w14:textId="0724A5B1" w:rsidR="00115458" w:rsidRPr="00F4606C" w:rsidRDefault="00E63061" w:rsidP="00F4606C">
            <w:pPr>
              <w:spacing w:after="0" w:line="240" w:lineRule="auto"/>
              <w:jc w:val="center"/>
              <w:rPr>
                <w:rFonts w:cs="Arial"/>
              </w:rPr>
            </w:pPr>
            <w:r>
              <w:t>9.160</w:t>
            </w:r>
          </w:p>
        </w:tc>
        <w:tc>
          <w:tcPr>
            <w:tcW w:w="1793" w:type="dxa"/>
            <w:tcBorders>
              <w:bottom w:val="single" w:sz="4" w:space="0" w:color="auto"/>
            </w:tcBorders>
            <w:vAlign w:val="center"/>
          </w:tcPr>
          <w:p w14:paraId="2672DFCF" w14:textId="77777777" w:rsidR="00115458" w:rsidRPr="00F4606C" w:rsidRDefault="00115458" w:rsidP="00F4606C">
            <w:pPr>
              <w:spacing w:after="0" w:line="240" w:lineRule="auto"/>
              <w:rPr>
                <w:rFonts w:cs="Arial"/>
              </w:rPr>
            </w:pPr>
            <w:r w:rsidRPr="00F4606C">
              <w:rPr>
                <w:rFonts w:cs="Arial"/>
              </w:rPr>
              <w:t>Amount of transfer out</w:t>
            </w:r>
          </w:p>
        </w:tc>
        <w:tc>
          <w:tcPr>
            <w:tcW w:w="1134" w:type="dxa"/>
            <w:tcBorders>
              <w:bottom w:val="single" w:sz="4" w:space="0" w:color="auto"/>
            </w:tcBorders>
            <w:vAlign w:val="center"/>
          </w:tcPr>
          <w:p w14:paraId="2000DF91"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vAlign w:val="center"/>
          </w:tcPr>
          <w:p w14:paraId="5C8D8F92"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tcPr>
          <w:p w14:paraId="3DC9C255"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00311F1C"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6C5F29A3" w14:textId="77777777" w:rsidTr="000C1365">
        <w:trPr>
          <w:cantSplit/>
          <w:trHeight w:val="272"/>
        </w:trPr>
        <w:tc>
          <w:tcPr>
            <w:tcW w:w="901" w:type="dxa"/>
            <w:vAlign w:val="center"/>
          </w:tcPr>
          <w:p w14:paraId="7BC9F059" w14:textId="645DD0EA" w:rsidR="00115458" w:rsidRPr="00F4606C" w:rsidRDefault="00170692" w:rsidP="00F4606C">
            <w:pPr>
              <w:spacing w:after="0" w:line="240" w:lineRule="auto"/>
              <w:jc w:val="center"/>
              <w:rPr>
                <w:rFonts w:cs="Arial"/>
              </w:rPr>
            </w:pPr>
            <w:r>
              <w:rPr>
                <w:rFonts w:cs="Arial"/>
              </w:rPr>
              <w:t>9.161</w:t>
            </w:r>
          </w:p>
        </w:tc>
        <w:tc>
          <w:tcPr>
            <w:tcW w:w="1793" w:type="dxa"/>
            <w:vAlign w:val="center"/>
          </w:tcPr>
          <w:p w14:paraId="0D168497" w14:textId="77777777" w:rsidR="00115458" w:rsidRPr="00F4606C" w:rsidRDefault="00115458" w:rsidP="00F4606C">
            <w:pPr>
              <w:spacing w:after="0" w:line="240" w:lineRule="auto"/>
              <w:rPr>
                <w:rFonts w:cs="Arial"/>
              </w:rPr>
            </w:pPr>
            <w:r w:rsidRPr="00F4606C">
              <w:rPr>
                <w:rFonts w:cs="Arial"/>
              </w:rPr>
              <w:t>Date of transfer out</w:t>
            </w:r>
          </w:p>
        </w:tc>
        <w:tc>
          <w:tcPr>
            <w:tcW w:w="1134" w:type="dxa"/>
            <w:vAlign w:val="center"/>
          </w:tcPr>
          <w:p w14:paraId="33E94AE1"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17EA7228" w14:textId="77777777" w:rsidR="00115458" w:rsidRPr="00F4606C" w:rsidRDefault="00115458" w:rsidP="00F4606C">
            <w:pPr>
              <w:spacing w:after="0" w:line="240" w:lineRule="auto"/>
              <w:jc w:val="center"/>
              <w:rPr>
                <w:rFonts w:cs="Arial"/>
              </w:rPr>
            </w:pPr>
            <w:r w:rsidRPr="00F4606C">
              <w:rPr>
                <w:rFonts w:cs="Arial"/>
              </w:rPr>
              <w:t>Y*</w:t>
            </w:r>
          </w:p>
        </w:tc>
        <w:tc>
          <w:tcPr>
            <w:tcW w:w="850" w:type="dxa"/>
          </w:tcPr>
          <w:p w14:paraId="182A28E6" w14:textId="77777777" w:rsidR="00115458" w:rsidRPr="00F4606C" w:rsidRDefault="00115458" w:rsidP="00F4606C">
            <w:pPr>
              <w:spacing w:after="0" w:line="240" w:lineRule="auto"/>
              <w:jc w:val="center"/>
              <w:rPr>
                <w:rFonts w:cs="Arial"/>
              </w:rPr>
            </w:pPr>
          </w:p>
        </w:tc>
        <w:tc>
          <w:tcPr>
            <w:tcW w:w="3969" w:type="dxa"/>
            <w:vAlign w:val="center"/>
          </w:tcPr>
          <w:p w14:paraId="246FB428"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412B33D4" w14:textId="77777777" w:rsidTr="000C1365">
        <w:trPr>
          <w:cantSplit/>
          <w:trHeight w:val="272"/>
        </w:trPr>
        <w:tc>
          <w:tcPr>
            <w:tcW w:w="901" w:type="dxa"/>
            <w:tcBorders>
              <w:bottom w:val="single" w:sz="4" w:space="0" w:color="auto"/>
            </w:tcBorders>
            <w:vAlign w:val="center"/>
          </w:tcPr>
          <w:p w14:paraId="19CD3A85" w14:textId="231F8E80" w:rsidR="00115458" w:rsidRPr="00F4606C" w:rsidRDefault="000750C0" w:rsidP="00F4606C">
            <w:pPr>
              <w:spacing w:after="0" w:line="240" w:lineRule="auto"/>
              <w:jc w:val="center"/>
              <w:rPr>
                <w:rFonts w:cs="Arial"/>
              </w:rPr>
            </w:pPr>
            <w:r>
              <w:rPr>
                <w:rFonts w:cs="Arial"/>
              </w:rPr>
              <w:t>9.162</w:t>
            </w:r>
          </w:p>
        </w:tc>
        <w:tc>
          <w:tcPr>
            <w:tcW w:w="1793" w:type="dxa"/>
            <w:tcBorders>
              <w:bottom w:val="single" w:sz="4" w:space="0" w:color="auto"/>
            </w:tcBorders>
            <w:vAlign w:val="center"/>
          </w:tcPr>
          <w:p w14:paraId="714AADCC" w14:textId="77777777" w:rsidR="00115458" w:rsidRPr="00F4606C" w:rsidRDefault="00115458" w:rsidP="00F4606C">
            <w:pPr>
              <w:spacing w:after="0" w:line="240" w:lineRule="auto"/>
              <w:rPr>
                <w:rFonts w:cs="Arial"/>
              </w:rPr>
            </w:pPr>
            <w:r w:rsidRPr="00F4606C">
              <w:rPr>
                <w:rFonts w:cs="Arial"/>
              </w:rPr>
              <w:t>Transferee BSB number</w:t>
            </w:r>
          </w:p>
        </w:tc>
        <w:tc>
          <w:tcPr>
            <w:tcW w:w="1134" w:type="dxa"/>
            <w:tcBorders>
              <w:bottom w:val="single" w:sz="4" w:space="0" w:color="auto"/>
            </w:tcBorders>
            <w:vAlign w:val="center"/>
          </w:tcPr>
          <w:p w14:paraId="58FA4EC3"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vAlign w:val="center"/>
          </w:tcPr>
          <w:p w14:paraId="15AC7F29" w14:textId="77777777" w:rsidR="00115458" w:rsidRPr="00F4606C" w:rsidRDefault="00115458" w:rsidP="00F4606C">
            <w:pPr>
              <w:spacing w:after="0" w:line="240" w:lineRule="auto"/>
              <w:jc w:val="center"/>
              <w:rPr>
                <w:rFonts w:cs="Arial"/>
              </w:rPr>
            </w:pPr>
            <w:r w:rsidRPr="00F4606C">
              <w:rPr>
                <w:rFonts w:cs="Arial"/>
              </w:rPr>
              <w:t>N</w:t>
            </w:r>
          </w:p>
        </w:tc>
        <w:tc>
          <w:tcPr>
            <w:tcW w:w="850" w:type="dxa"/>
            <w:tcBorders>
              <w:bottom w:val="single" w:sz="4" w:space="0" w:color="auto"/>
            </w:tcBorders>
          </w:tcPr>
          <w:p w14:paraId="15970617"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5DD14AB0" w14:textId="77777777" w:rsidR="00115458" w:rsidRPr="00F4606C" w:rsidRDefault="00115458" w:rsidP="00F4606C">
            <w:pPr>
              <w:spacing w:after="0" w:line="240" w:lineRule="auto"/>
              <w:rPr>
                <w:rFonts w:cs="Arial"/>
              </w:rPr>
            </w:pPr>
          </w:p>
        </w:tc>
      </w:tr>
      <w:tr w:rsidR="00115458" w:rsidRPr="00944B5E" w14:paraId="6133BD8C" w14:textId="77777777" w:rsidTr="000C1365">
        <w:trPr>
          <w:cantSplit/>
          <w:trHeight w:val="272"/>
        </w:trPr>
        <w:tc>
          <w:tcPr>
            <w:tcW w:w="901" w:type="dxa"/>
            <w:vAlign w:val="center"/>
          </w:tcPr>
          <w:p w14:paraId="31702974" w14:textId="45EC1D5B" w:rsidR="00115458" w:rsidRPr="00F4606C" w:rsidRDefault="000750C0" w:rsidP="00F4606C">
            <w:pPr>
              <w:spacing w:after="0" w:line="240" w:lineRule="auto"/>
              <w:jc w:val="center"/>
              <w:rPr>
                <w:rFonts w:cs="Arial"/>
              </w:rPr>
            </w:pPr>
            <w:r>
              <w:rPr>
                <w:rFonts w:cs="Arial"/>
              </w:rPr>
              <w:t>9.163</w:t>
            </w:r>
          </w:p>
        </w:tc>
        <w:tc>
          <w:tcPr>
            <w:tcW w:w="1793" w:type="dxa"/>
            <w:vAlign w:val="center"/>
          </w:tcPr>
          <w:p w14:paraId="36F30E06" w14:textId="77777777" w:rsidR="00115458" w:rsidRPr="00F4606C" w:rsidRDefault="00115458" w:rsidP="00F4606C">
            <w:pPr>
              <w:spacing w:after="0" w:line="240" w:lineRule="auto"/>
              <w:rPr>
                <w:rFonts w:cs="Arial"/>
              </w:rPr>
            </w:pPr>
            <w:r w:rsidRPr="00F4606C">
              <w:rPr>
                <w:rFonts w:cs="Arial"/>
              </w:rPr>
              <w:t>TFN withholding tax deducted from repayments in the financial year</w:t>
            </w:r>
          </w:p>
        </w:tc>
        <w:tc>
          <w:tcPr>
            <w:tcW w:w="1134" w:type="dxa"/>
            <w:vAlign w:val="center"/>
          </w:tcPr>
          <w:p w14:paraId="256DCF94"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00C11A9D" w14:textId="77777777" w:rsidR="00115458" w:rsidRPr="00F4606C" w:rsidRDefault="00115458" w:rsidP="00F4606C">
            <w:pPr>
              <w:spacing w:after="0" w:line="240" w:lineRule="auto"/>
              <w:jc w:val="center"/>
              <w:rPr>
                <w:rFonts w:cs="Arial"/>
              </w:rPr>
            </w:pPr>
            <w:r w:rsidRPr="00F4606C">
              <w:rPr>
                <w:rFonts w:cs="Arial"/>
              </w:rPr>
              <w:t>N</w:t>
            </w:r>
          </w:p>
        </w:tc>
        <w:tc>
          <w:tcPr>
            <w:tcW w:w="850" w:type="dxa"/>
          </w:tcPr>
          <w:p w14:paraId="0B26B535" w14:textId="77777777" w:rsidR="00115458" w:rsidRPr="00F4606C" w:rsidRDefault="00115458" w:rsidP="00F4606C">
            <w:pPr>
              <w:spacing w:after="0" w:line="240" w:lineRule="auto"/>
              <w:jc w:val="center"/>
              <w:rPr>
                <w:rFonts w:cs="Arial"/>
              </w:rPr>
            </w:pPr>
          </w:p>
        </w:tc>
        <w:tc>
          <w:tcPr>
            <w:tcW w:w="3969" w:type="dxa"/>
            <w:vAlign w:val="center"/>
          </w:tcPr>
          <w:p w14:paraId="67026042" w14:textId="77777777" w:rsidR="00115458" w:rsidRPr="00F4606C" w:rsidRDefault="00115458" w:rsidP="00F4606C">
            <w:pPr>
              <w:spacing w:after="0" w:line="240" w:lineRule="auto"/>
              <w:rPr>
                <w:rFonts w:cs="Arial"/>
              </w:rPr>
            </w:pPr>
          </w:p>
        </w:tc>
      </w:tr>
      <w:tr w:rsidR="00115458" w:rsidRPr="00944B5E" w14:paraId="4C588F90" w14:textId="77777777" w:rsidTr="000C1365">
        <w:trPr>
          <w:cantSplit/>
          <w:trHeight w:val="272"/>
        </w:trPr>
        <w:tc>
          <w:tcPr>
            <w:tcW w:w="901" w:type="dxa"/>
            <w:tcBorders>
              <w:bottom w:val="single" w:sz="4" w:space="0" w:color="auto"/>
            </w:tcBorders>
            <w:vAlign w:val="center"/>
          </w:tcPr>
          <w:p w14:paraId="18FB85DE" w14:textId="7992F74B" w:rsidR="00115458" w:rsidRPr="00F4606C" w:rsidRDefault="00334EA3" w:rsidP="00F4606C">
            <w:pPr>
              <w:spacing w:after="0" w:line="240" w:lineRule="auto"/>
              <w:jc w:val="center"/>
              <w:rPr>
                <w:rFonts w:cs="Arial"/>
              </w:rPr>
            </w:pPr>
            <w:r>
              <w:rPr>
                <w:rFonts w:cs="Arial"/>
              </w:rPr>
              <w:t>9.164</w:t>
            </w:r>
          </w:p>
        </w:tc>
        <w:tc>
          <w:tcPr>
            <w:tcW w:w="1793" w:type="dxa"/>
            <w:tcBorders>
              <w:bottom w:val="single" w:sz="4" w:space="0" w:color="auto"/>
            </w:tcBorders>
            <w:vAlign w:val="center"/>
          </w:tcPr>
          <w:p w14:paraId="044B5F9B" w14:textId="77777777" w:rsidR="00115458" w:rsidRPr="00F4606C" w:rsidRDefault="00115458" w:rsidP="00F4606C">
            <w:pPr>
              <w:spacing w:after="0" w:line="240" w:lineRule="auto"/>
              <w:rPr>
                <w:rFonts w:cs="Arial"/>
              </w:rPr>
            </w:pPr>
            <w:r w:rsidRPr="00F4606C">
              <w:rPr>
                <w:rFonts w:cs="Arial"/>
              </w:rPr>
              <w:t>Amount of closing balance</w:t>
            </w:r>
          </w:p>
        </w:tc>
        <w:tc>
          <w:tcPr>
            <w:tcW w:w="1134" w:type="dxa"/>
            <w:tcBorders>
              <w:bottom w:val="single" w:sz="4" w:space="0" w:color="auto"/>
            </w:tcBorders>
            <w:vAlign w:val="center"/>
          </w:tcPr>
          <w:p w14:paraId="5A9F7B7F" w14:textId="77777777" w:rsidR="00115458" w:rsidRPr="00F4606C" w:rsidRDefault="00115458" w:rsidP="00F4606C">
            <w:pPr>
              <w:spacing w:after="0" w:line="240" w:lineRule="auto"/>
              <w:rPr>
                <w:rFonts w:cs="Arial"/>
              </w:rPr>
            </w:pPr>
            <w:r w:rsidRPr="00F4606C">
              <w:rPr>
                <w:rFonts w:cs="Arial"/>
              </w:rPr>
              <w:t>FMD</w:t>
            </w:r>
          </w:p>
        </w:tc>
        <w:tc>
          <w:tcPr>
            <w:tcW w:w="709" w:type="dxa"/>
            <w:tcBorders>
              <w:bottom w:val="single" w:sz="4" w:space="0" w:color="auto"/>
            </w:tcBorders>
            <w:vAlign w:val="center"/>
          </w:tcPr>
          <w:p w14:paraId="3351AE33" w14:textId="77777777" w:rsidR="00115458" w:rsidRPr="00F4606C" w:rsidRDefault="00115458" w:rsidP="00F4606C">
            <w:pPr>
              <w:spacing w:after="0" w:line="240" w:lineRule="auto"/>
              <w:jc w:val="center"/>
              <w:rPr>
                <w:rFonts w:cs="Arial"/>
              </w:rPr>
            </w:pPr>
            <w:r w:rsidRPr="00F4606C">
              <w:rPr>
                <w:rFonts w:cs="Arial"/>
              </w:rPr>
              <w:t>Y*</w:t>
            </w:r>
          </w:p>
        </w:tc>
        <w:tc>
          <w:tcPr>
            <w:tcW w:w="850" w:type="dxa"/>
            <w:tcBorders>
              <w:bottom w:val="single" w:sz="4" w:space="0" w:color="auto"/>
            </w:tcBorders>
          </w:tcPr>
          <w:p w14:paraId="5F94A60E" w14:textId="77777777" w:rsidR="00115458" w:rsidRPr="00F4606C" w:rsidRDefault="00115458" w:rsidP="00F4606C">
            <w:pPr>
              <w:spacing w:after="0" w:line="240" w:lineRule="auto"/>
              <w:jc w:val="center"/>
              <w:rPr>
                <w:rFonts w:cs="Arial"/>
              </w:rPr>
            </w:pPr>
          </w:p>
        </w:tc>
        <w:tc>
          <w:tcPr>
            <w:tcW w:w="3969" w:type="dxa"/>
            <w:tcBorders>
              <w:bottom w:val="single" w:sz="4" w:space="0" w:color="auto"/>
            </w:tcBorders>
            <w:vAlign w:val="center"/>
          </w:tcPr>
          <w:p w14:paraId="64B34485"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r w:rsidR="00115458" w:rsidRPr="00944B5E" w14:paraId="5A69D03B" w14:textId="77777777" w:rsidTr="000C1365">
        <w:trPr>
          <w:cantSplit/>
          <w:trHeight w:val="272"/>
        </w:trPr>
        <w:tc>
          <w:tcPr>
            <w:tcW w:w="901" w:type="dxa"/>
            <w:vAlign w:val="center"/>
          </w:tcPr>
          <w:p w14:paraId="7C885AB4" w14:textId="447AFF2C" w:rsidR="00115458" w:rsidRPr="00F4606C" w:rsidRDefault="00334EA3" w:rsidP="00F4606C">
            <w:pPr>
              <w:spacing w:after="0" w:line="240" w:lineRule="auto"/>
              <w:jc w:val="center"/>
              <w:rPr>
                <w:rFonts w:cs="Arial"/>
              </w:rPr>
            </w:pPr>
            <w:r>
              <w:rPr>
                <w:rFonts w:cs="Arial"/>
              </w:rPr>
              <w:t>9.165</w:t>
            </w:r>
          </w:p>
        </w:tc>
        <w:tc>
          <w:tcPr>
            <w:tcW w:w="1793" w:type="dxa"/>
            <w:vAlign w:val="center"/>
          </w:tcPr>
          <w:p w14:paraId="160CB1F7" w14:textId="77777777" w:rsidR="00115458" w:rsidRPr="00F4606C" w:rsidRDefault="00115458" w:rsidP="00F4606C">
            <w:pPr>
              <w:spacing w:after="0" w:line="240" w:lineRule="auto"/>
              <w:rPr>
                <w:rFonts w:cs="Arial"/>
              </w:rPr>
            </w:pPr>
            <w:r w:rsidRPr="00F4606C">
              <w:rPr>
                <w:rFonts w:cs="Arial"/>
              </w:rPr>
              <w:t>Interest offset account</w:t>
            </w:r>
          </w:p>
        </w:tc>
        <w:tc>
          <w:tcPr>
            <w:tcW w:w="1134" w:type="dxa"/>
            <w:vAlign w:val="center"/>
          </w:tcPr>
          <w:p w14:paraId="00140CE7" w14:textId="77777777" w:rsidR="00115458" w:rsidRPr="00F4606C" w:rsidRDefault="00115458" w:rsidP="00F4606C">
            <w:pPr>
              <w:spacing w:after="0" w:line="240" w:lineRule="auto"/>
              <w:rPr>
                <w:rFonts w:cs="Arial"/>
              </w:rPr>
            </w:pPr>
            <w:r w:rsidRPr="00F4606C">
              <w:rPr>
                <w:rFonts w:cs="Arial"/>
              </w:rPr>
              <w:t>FMD</w:t>
            </w:r>
          </w:p>
        </w:tc>
        <w:tc>
          <w:tcPr>
            <w:tcW w:w="709" w:type="dxa"/>
            <w:vAlign w:val="center"/>
          </w:tcPr>
          <w:p w14:paraId="1C3FA7ED" w14:textId="77777777" w:rsidR="00115458" w:rsidRPr="00F4606C" w:rsidRDefault="00115458" w:rsidP="00F4606C">
            <w:pPr>
              <w:spacing w:after="0" w:line="240" w:lineRule="auto"/>
              <w:jc w:val="center"/>
              <w:rPr>
                <w:rFonts w:cs="Arial"/>
              </w:rPr>
            </w:pPr>
            <w:r w:rsidRPr="00F4606C">
              <w:rPr>
                <w:rFonts w:cs="Arial"/>
              </w:rPr>
              <w:t>Y*</w:t>
            </w:r>
          </w:p>
        </w:tc>
        <w:tc>
          <w:tcPr>
            <w:tcW w:w="850" w:type="dxa"/>
          </w:tcPr>
          <w:p w14:paraId="5119F6CE" w14:textId="77777777" w:rsidR="00115458" w:rsidRPr="00F4606C" w:rsidRDefault="00115458" w:rsidP="00F4606C">
            <w:pPr>
              <w:spacing w:after="0" w:line="240" w:lineRule="auto"/>
              <w:jc w:val="center"/>
              <w:rPr>
                <w:rFonts w:cs="Arial"/>
              </w:rPr>
            </w:pPr>
          </w:p>
        </w:tc>
        <w:tc>
          <w:tcPr>
            <w:tcW w:w="3969" w:type="dxa"/>
            <w:vAlign w:val="center"/>
          </w:tcPr>
          <w:p w14:paraId="6C1E1DCA" w14:textId="77777777" w:rsidR="00115458" w:rsidRPr="00F4606C" w:rsidRDefault="00115458" w:rsidP="00F4606C">
            <w:pPr>
              <w:spacing w:after="0" w:line="240" w:lineRule="auto"/>
              <w:rPr>
                <w:rFonts w:cs="Arial"/>
              </w:rPr>
            </w:pPr>
            <w:r w:rsidRPr="00F4606C">
              <w:rPr>
                <w:rFonts w:cs="Arial"/>
              </w:rPr>
              <w:t>Not directly mapped to label provided as ‘information’ only</w:t>
            </w:r>
          </w:p>
        </w:tc>
      </w:tr>
    </w:tbl>
    <w:p w14:paraId="28665F65" w14:textId="77777777" w:rsidR="00115458" w:rsidRPr="00F4606C" w:rsidRDefault="00115458" w:rsidP="00944B5E">
      <w:pPr>
        <w:pStyle w:val="Maintext"/>
        <w:rPr>
          <w:rFonts w:asciiTheme="minorHAnsi" w:hAnsiTheme="minorHAnsi"/>
          <w:sz w:val="20"/>
          <w:szCs w:val="20"/>
        </w:rPr>
      </w:pPr>
    </w:p>
    <w:p w14:paraId="758B5CA6" w14:textId="77777777" w:rsidR="00785709" w:rsidRDefault="00115458" w:rsidP="00F4606C">
      <w:pPr>
        <w:spacing w:after="0" w:line="240" w:lineRule="auto"/>
      </w:pPr>
      <w:bookmarkStart w:id="2020" w:name="_Toc5193049"/>
      <w:r w:rsidRPr="00F4606C">
        <w:t>*Pre-filled to Tax Agents only (not myTax)</w:t>
      </w:r>
    </w:p>
    <w:p w14:paraId="7A66781C" w14:textId="0860683B" w:rsidR="00115458" w:rsidRPr="00DC47B2" w:rsidRDefault="00115458" w:rsidP="00F4606C">
      <w:pPr>
        <w:spacing w:after="0" w:line="240" w:lineRule="auto"/>
        <w:rPr>
          <w:rFonts w:cs="Arial"/>
          <w:b/>
          <w:bCs/>
          <w:iCs/>
          <w:caps/>
          <w:kern w:val="36"/>
          <w:sz w:val="18"/>
          <w:szCs w:val="18"/>
        </w:rPr>
      </w:pPr>
      <w:r w:rsidRPr="00F4606C">
        <w:br w:type="page"/>
      </w:r>
    </w:p>
    <w:p w14:paraId="1CBC8A9D" w14:textId="77777777" w:rsidR="00F96FF9" w:rsidRDefault="00F96FF9" w:rsidP="00115458">
      <w:pPr>
        <w:pStyle w:val="Heading2"/>
        <w:sectPr w:rsidR="00F96FF9" w:rsidSect="005677BB">
          <w:headerReference w:type="default" r:id="rId50"/>
          <w:footerReference w:type="default" r:id="rId51"/>
          <w:headerReference w:type="first" r:id="rId52"/>
          <w:pgSz w:w="11906" w:h="16838" w:code="9"/>
          <w:pgMar w:top="1418" w:right="1304" w:bottom="1702" w:left="1304" w:header="425" w:footer="0" w:gutter="0"/>
          <w:cols w:space="708"/>
          <w:formProt w:val="0"/>
          <w:titlePg/>
          <w:docGrid w:linePitch="360"/>
        </w:sectPr>
      </w:pPr>
    </w:p>
    <w:p w14:paraId="481AC2E2" w14:textId="6B1E05A9" w:rsidR="00115458" w:rsidRPr="00703CD8" w:rsidRDefault="00115458" w:rsidP="00115458">
      <w:pPr>
        <w:pStyle w:val="Heading2"/>
      </w:pPr>
      <w:bookmarkStart w:id="2021" w:name="_Toc232191395"/>
      <w:r w:rsidRPr="00703CD8">
        <w:t>Appendix C – AIIR ERS v11/v12/V13</w:t>
      </w:r>
      <w:r w:rsidR="00B03D63">
        <w:t>/</w:t>
      </w:r>
      <w:r w:rsidR="0055664D">
        <w:t>V</w:t>
      </w:r>
      <w:r w:rsidR="00B03D63">
        <w:t>14</w:t>
      </w:r>
      <w:r w:rsidRPr="00703CD8">
        <w:t xml:space="preserve"> Comparison</w:t>
      </w:r>
      <w:bookmarkEnd w:id="2020"/>
      <w:bookmarkEnd w:id="2021"/>
    </w:p>
    <w:tbl>
      <w:tblPr>
        <w:tblW w:w="13727" w:type="dxa"/>
        <w:tblLayout w:type="fixed"/>
        <w:tblLook w:val="04A0" w:firstRow="1" w:lastRow="0" w:firstColumn="1" w:lastColumn="0" w:noHBand="0" w:noVBand="1"/>
      </w:tblPr>
      <w:tblGrid>
        <w:gridCol w:w="977"/>
        <w:gridCol w:w="423"/>
        <w:gridCol w:w="1196"/>
        <w:gridCol w:w="644"/>
        <w:gridCol w:w="992"/>
        <w:gridCol w:w="236"/>
        <w:gridCol w:w="1101"/>
        <w:gridCol w:w="241"/>
        <w:gridCol w:w="158"/>
        <w:gridCol w:w="316"/>
        <w:gridCol w:w="358"/>
        <w:gridCol w:w="385"/>
        <w:gridCol w:w="607"/>
        <w:gridCol w:w="236"/>
        <w:gridCol w:w="236"/>
        <w:gridCol w:w="239"/>
        <w:gridCol w:w="236"/>
        <w:gridCol w:w="438"/>
        <w:gridCol w:w="317"/>
        <w:gridCol w:w="571"/>
        <w:gridCol w:w="994"/>
        <w:gridCol w:w="2553"/>
        <w:gridCol w:w="273"/>
      </w:tblGrid>
      <w:tr w:rsidR="00817C15" w:rsidRPr="005D29FE" w14:paraId="04F2D91E" w14:textId="77777777" w:rsidTr="000060C8">
        <w:trPr>
          <w:gridAfter w:val="1"/>
          <w:wAfter w:w="273" w:type="dxa"/>
          <w:trHeight w:val="420"/>
          <w:tblHeader/>
        </w:trPr>
        <w:tc>
          <w:tcPr>
            <w:tcW w:w="977" w:type="dxa"/>
            <w:vMerge w:val="restart"/>
            <w:tcBorders>
              <w:top w:val="single" w:sz="8" w:space="0" w:color="auto"/>
              <w:left w:val="single" w:sz="8" w:space="0" w:color="auto"/>
              <w:bottom w:val="single" w:sz="8" w:space="0" w:color="000000"/>
              <w:right w:val="single" w:sz="8" w:space="0" w:color="auto"/>
            </w:tcBorders>
            <w:shd w:val="clear" w:color="000000" w:fill="878EDF"/>
            <w:vAlign w:val="center"/>
            <w:hideMark/>
          </w:tcPr>
          <w:p w14:paraId="24AD6B1F" w14:textId="77777777" w:rsidR="005D29FE" w:rsidRPr="005D29FE" w:rsidRDefault="005D29FE" w:rsidP="005D29FE">
            <w:pPr>
              <w:spacing w:after="0" w:line="240" w:lineRule="auto"/>
              <w:jc w:val="center"/>
              <w:rPr>
                <w:rFonts w:ascii="Inter" w:eastAsia="Times New Roman" w:hAnsi="Inter"/>
                <w:b/>
                <w:bCs/>
                <w:color w:val="000000"/>
                <w:lang w:eastAsia="en-AU"/>
              </w:rPr>
            </w:pPr>
            <w:r w:rsidRPr="005D29FE">
              <w:rPr>
                <w:rFonts w:ascii="Inter" w:eastAsia="Times New Roman" w:hAnsi="Inter"/>
                <w:b/>
                <w:bCs/>
                <w:color w:val="000000"/>
                <w:lang w:eastAsia="en-AU"/>
              </w:rPr>
              <w:t>Ref No.</w:t>
            </w:r>
          </w:p>
        </w:tc>
        <w:tc>
          <w:tcPr>
            <w:tcW w:w="2263" w:type="dxa"/>
            <w:gridSpan w:val="3"/>
            <w:vMerge w:val="restart"/>
            <w:tcBorders>
              <w:top w:val="single" w:sz="8" w:space="0" w:color="auto"/>
              <w:left w:val="single" w:sz="8" w:space="0" w:color="auto"/>
              <w:bottom w:val="single" w:sz="8" w:space="0" w:color="000000"/>
              <w:right w:val="nil"/>
            </w:tcBorders>
            <w:shd w:val="clear" w:color="000000" w:fill="878EDF"/>
            <w:vAlign w:val="center"/>
            <w:hideMark/>
          </w:tcPr>
          <w:p w14:paraId="2BF348F9" w14:textId="77777777" w:rsidR="005D29FE" w:rsidRPr="005D29FE" w:rsidRDefault="005D29FE" w:rsidP="005D29FE">
            <w:pPr>
              <w:spacing w:after="0" w:line="240" w:lineRule="auto"/>
              <w:jc w:val="center"/>
              <w:rPr>
                <w:rFonts w:ascii="Inter" w:eastAsia="Times New Roman" w:hAnsi="Inter"/>
                <w:b/>
                <w:bCs/>
                <w:color w:val="000000"/>
                <w:lang w:eastAsia="en-AU"/>
              </w:rPr>
            </w:pPr>
            <w:r w:rsidRPr="005D29FE">
              <w:rPr>
                <w:rFonts w:ascii="Inter" w:eastAsia="Times New Roman" w:hAnsi="Inter"/>
                <w:b/>
                <w:bCs/>
                <w:color w:val="000000"/>
                <w:lang w:eastAsia="en-AU"/>
              </w:rPr>
              <w:t>ERS v11</w:t>
            </w:r>
          </w:p>
        </w:tc>
        <w:tc>
          <w:tcPr>
            <w:tcW w:w="992" w:type="dxa"/>
            <w:vMerge w:val="restart"/>
            <w:tcBorders>
              <w:top w:val="single" w:sz="8" w:space="0" w:color="auto"/>
              <w:left w:val="single" w:sz="8" w:space="0" w:color="auto"/>
              <w:bottom w:val="single" w:sz="8" w:space="0" w:color="000000"/>
              <w:right w:val="single" w:sz="8" w:space="0" w:color="000000"/>
            </w:tcBorders>
            <w:shd w:val="clear" w:color="000000" w:fill="878EDF"/>
            <w:vAlign w:val="center"/>
            <w:hideMark/>
          </w:tcPr>
          <w:p w14:paraId="2F434197" w14:textId="77777777" w:rsidR="005D29FE" w:rsidRPr="005D29FE" w:rsidRDefault="005D29FE" w:rsidP="005D29FE">
            <w:pPr>
              <w:spacing w:after="0" w:line="240" w:lineRule="auto"/>
              <w:jc w:val="center"/>
              <w:rPr>
                <w:rFonts w:ascii="Inter" w:eastAsia="Times New Roman" w:hAnsi="Inter"/>
                <w:b/>
                <w:bCs/>
                <w:color w:val="000000"/>
                <w:lang w:eastAsia="en-AU"/>
              </w:rPr>
            </w:pPr>
            <w:r w:rsidRPr="005D29FE">
              <w:rPr>
                <w:rFonts w:ascii="Inter" w:eastAsia="Times New Roman" w:hAnsi="Inter"/>
                <w:b/>
                <w:bCs/>
                <w:color w:val="000000"/>
                <w:lang w:eastAsia="en-AU"/>
              </w:rPr>
              <w:t>Ref No.</w:t>
            </w:r>
          </w:p>
        </w:tc>
        <w:tc>
          <w:tcPr>
            <w:tcW w:w="2410" w:type="dxa"/>
            <w:gridSpan w:val="6"/>
            <w:vMerge w:val="restart"/>
            <w:tcBorders>
              <w:top w:val="single" w:sz="8" w:space="0" w:color="auto"/>
              <w:left w:val="single" w:sz="8" w:space="0" w:color="auto"/>
              <w:bottom w:val="single" w:sz="8" w:space="0" w:color="000000"/>
              <w:right w:val="single" w:sz="8" w:space="0" w:color="000000"/>
            </w:tcBorders>
            <w:shd w:val="clear" w:color="000000" w:fill="878EDF"/>
            <w:vAlign w:val="center"/>
            <w:hideMark/>
          </w:tcPr>
          <w:p w14:paraId="4237FC1F" w14:textId="77777777" w:rsidR="005D29FE" w:rsidRPr="005D29FE" w:rsidRDefault="005D29FE" w:rsidP="005D29FE">
            <w:pPr>
              <w:spacing w:after="0" w:line="240" w:lineRule="auto"/>
              <w:jc w:val="center"/>
              <w:rPr>
                <w:rFonts w:ascii="Inter" w:eastAsia="Times New Roman" w:hAnsi="Inter"/>
                <w:b/>
                <w:bCs/>
                <w:color w:val="000000"/>
                <w:lang w:eastAsia="en-AU"/>
              </w:rPr>
            </w:pPr>
            <w:r w:rsidRPr="005D29FE">
              <w:rPr>
                <w:rFonts w:ascii="Inter" w:eastAsia="Times New Roman" w:hAnsi="Inter"/>
                <w:b/>
                <w:bCs/>
                <w:color w:val="000000"/>
                <w:lang w:eastAsia="en-AU"/>
              </w:rPr>
              <w:t xml:space="preserve">ERS v12 </w:t>
            </w:r>
          </w:p>
        </w:tc>
        <w:tc>
          <w:tcPr>
            <w:tcW w:w="992" w:type="dxa"/>
            <w:gridSpan w:val="2"/>
            <w:vMerge w:val="restart"/>
            <w:tcBorders>
              <w:top w:val="single" w:sz="8" w:space="0" w:color="auto"/>
              <w:left w:val="single" w:sz="8" w:space="0" w:color="auto"/>
              <w:bottom w:val="single" w:sz="8" w:space="0" w:color="000000"/>
              <w:right w:val="single" w:sz="8" w:space="0" w:color="000000"/>
            </w:tcBorders>
            <w:shd w:val="clear" w:color="000000" w:fill="878EDF"/>
            <w:vAlign w:val="center"/>
            <w:hideMark/>
          </w:tcPr>
          <w:p w14:paraId="78D008ED" w14:textId="77777777" w:rsidR="005D29FE" w:rsidRPr="005D29FE" w:rsidRDefault="005D29FE" w:rsidP="005D29FE">
            <w:pPr>
              <w:spacing w:after="0" w:line="240" w:lineRule="auto"/>
              <w:jc w:val="center"/>
              <w:rPr>
                <w:rFonts w:ascii="Inter" w:eastAsia="Times New Roman" w:hAnsi="Inter"/>
                <w:b/>
                <w:bCs/>
                <w:color w:val="000000"/>
                <w:lang w:eastAsia="en-AU"/>
              </w:rPr>
            </w:pPr>
            <w:r w:rsidRPr="005D29FE">
              <w:rPr>
                <w:rFonts w:ascii="Inter" w:eastAsia="Times New Roman" w:hAnsi="Inter"/>
                <w:b/>
                <w:bCs/>
                <w:color w:val="000000"/>
                <w:lang w:eastAsia="en-AU"/>
              </w:rPr>
              <w:t>Ref No.</w:t>
            </w:r>
          </w:p>
        </w:tc>
        <w:tc>
          <w:tcPr>
            <w:tcW w:w="2273" w:type="dxa"/>
            <w:gridSpan w:val="7"/>
            <w:vMerge w:val="restart"/>
            <w:tcBorders>
              <w:top w:val="single" w:sz="8" w:space="0" w:color="auto"/>
              <w:left w:val="single" w:sz="8" w:space="0" w:color="auto"/>
              <w:bottom w:val="single" w:sz="8" w:space="0" w:color="000000"/>
              <w:right w:val="single" w:sz="8" w:space="0" w:color="000000"/>
            </w:tcBorders>
            <w:shd w:val="clear" w:color="000000" w:fill="878EDF"/>
            <w:vAlign w:val="center"/>
            <w:hideMark/>
          </w:tcPr>
          <w:p w14:paraId="5FF359DE" w14:textId="77777777" w:rsidR="005D29FE" w:rsidRPr="005D29FE" w:rsidRDefault="005D29FE" w:rsidP="005D29FE">
            <w:pPr>
              <w:spacing w:after="0" w:line="240" w:lineRule="auto"/>
              <w:jc w:val="center"/>
              <w:rPr>
                <w:rFonts w:ascii="Inter" w:eastAsia="Times New Roman" w:hAnsi="Inter"/>
                <w:b/>
                <w:bCs/>
                <w:color w:val="000000"/>
                <w:lang w:eastAsia="en-AU"/>
              </w:rPr>
            </w:pPr>
            <w:r w:rsidRPr="005D29FE">
              <w:rPr>
                <w:rFonts w:ascii="Inter" w:eastAsia="Times New Roman" w:hAnsi="Inter"/>
                <w:b/>
                <w:bCs/>
                <w:color w:val="000000"/>
                <w:lang w:eastAsia="en-AU"/>
              </w:rPr>
              <w:t>ERS v13</w:t>
            </w:r>
          </w:p>
        </w:tc>
        <w:tc>
          <w:tcPr>
            <w:tcW w:w="994" w:type="dxa"/>
            <w:vMerge w:val="restart"/>
            <w:tcBorders>
              <w:top w:val="single" w:sz="8" w:space="0" w:color="auto"/>
              <w:left w:val="single" w:sz="8" w:space="0" w:color="auto"/>
              <w:bottom w:val="single" w:sz="8" w:space="0" w:color="000000"/>
              <w:right w:val="single" w:sz="8" w:space="0" w:color="auto"/>
            </w:tcBorders>
            <w:shd w:val="clear" w:color="000000" w:fill="878EDF"/>
            <w:vAlign w:val="center"/>
            <w:hideMark/>
          </w:tcPr>
          <w:p w14:paraId="15CB7789" w14:textId="77777777" w:rsidR="005D29FE" w:rsidRPr="005D29FE" w:rsidRDefault="005D29FE" w:rsidP="005D29FE">
            <w:pPr>
              <w:spacing w:after="0" w:line="240" w:lineRule="auto"/>
              <w:jc w:val="center"/>
              <w:rPr>
                <w:rFonts w:ascii="Inter" w:eastAsia="Times New Roman" w:hAnsi="Inter"/>
                <w:b/>
                <w:bCs/>
                <w:color w:val="000000"/>
                <w:lang w:eastAsia="en-AU"/>
              </w:rPr>
            </w:pPr>
            <w:r w:rsidRPr="005D29FE">
              <w:rPr>
                <w:rFonts w:ascii="Inter" w:eastAsia="Times New Roman" w:hAnsi="Inter"/>
                <w:b/>
                <w:bCs/>
                <w:color w:val="000000"/>
                <w:lang w:eastAsia="en-AU"/>
              </w:rPr>
              <w:t>Ref No.</w:t>
            </w:r>
          </w:p>
        </w:tc>
        <w:tc>
          <w:tcPr>
            <w:tcW w:w="2553" w:type="dxa"/>
            <w:vMerge w:val="restart"/>
            <w:tcBorders>
              <w:top w:val="single" w:sz="8" w:space="0" w:color="auto"/>
              <w:left w:val="single" w:sz="8" w:space="0" w:color="auto"/>
              <w:bottom w:val="single" w:sz="8" w:space="0" w:color="000000"/>
              <w:right w:val="single" w:sz="8" w:space="0" w:color="000000"/>
            </w:tcBorders>
            <w:shd w:val="clear" w:color="000000" w:fill="878EDF"/>
            <w:vAlign w:val="center"/>
            <w:hideMark/>
          </w:tcPr>
          <w:p w14:paraId="39B58D19" w14:textId="77777777" w:rsidR="005D29FE" w:rsidRPr="005D29FE" w:rsidRDefault="005D29FE" w:rsidP="005D29FE">
            <w:pPr>
              <w:spacing w:after="0" w:line="240" w:lineRule="auto"/>
              <w:jc w:val="center"/>
              <w:rPr>
                <w:rFonts w:ascii="Inter" w:eastAsia="Times New Roman" w:hAnsi="Inter"/>
                <w:b/>
                <w:bCs/>
                <w:color w:val="000000"/>
                <w:lang w:eastAsia="en-AU"/>
              </w:rPr>
            </w:pPr>
            <w:r w:rsidRPr="005D29FE">
              <w:rPr>
                <w:rFonts w:ascii="Inter" w:eastAsia="Times New Roman" w:hAnsi="Inter"/>
                <w:b/>
                <w:bCs/>
                <w:color w:val="000000"/>
                <w:lang w:eastAsia="en-AU"/>
              </w:rPr>
              <w:t>ERS v14</w:t>
            </w:r>
          </w:p>
        </w:tc>
      </w:tr>
      <w:tr w:rsidR="00024038" w:rsidRPr="005D29FE" w14:paraId="3E88168D" w14:textId="77777777" w:rsidTr="00743808">
        <w:trPr>
          <w:trHeight w:val="330"/>
          <w:tblHeader/>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73800FFD" w14:textId="77777777" w:rsidR="005D29FE" w:rsidRPr="005D29FE" w:rsidRDefault="005D29FE" w:rsidP="005D29FE">
            <w:pPr>
              <w:spacing w:after="0" w:line="240" w:lineRule="auto"/>
              <w:rPr>
                <w:rFonts w:ascii="Inter" w:eastAsia="Times New Roman" w:hAnsi="Inter"/>
                <w:b/>
                <w:bCs/>
                <w:color w:val="000000"/>
                <w:lang w:eastAsia="en-AU"/>
              </w:rPr>
            </w:pPr>
          </w:p>
        </w:tc>
        <w:tc>
          <w:tcPr>
            <w:tcW w:w="2263" w:type="dxa"/>
            <w:gridSpan w:val="3"/>
            <w:vMerge/>
            <w:tcBorders>
              <w:top w:val="single" w:sz="8" w:space="0" w:color="auto"/>
              <w:left w:val="single" w:sz="8" w:space="0" w:color="auto"/>
              <w:bottom w:val="single" w:sz="8" w:space="0" w:color="000000"/>
              <w:right w:val="nil"/>
            </w:tcBorders>
            <w:vAlign w:val="center"/>
            <w:hideMark/>
          </w:tcPr>
          <w:p w14:paraId="12F250AD" w14:textId="77777777" w:rsidR="005D29FE" w:rsidRPr="005D29FE" w:rsidRDefault="005D29FE" w:rsidP="005D29FE">
            <w:pPr>
              <w:spacing w:after="0" w:line="240" w:lineRule="auto"/>
              <w:rPr>
                <w:rFonts w:ascii="Inter" w:eastAsia="Times New Roman" w:hAnsi="Inter"/>
                <w:b/>
                <w:bCs/>
                <w:color w:val="000000"/>
                <w:lang w:eastAsia="en-AU"/>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14:paraId="750DC8BF" w14:textId="77777777" w:rsidR="005D29FE" w:rsidRPr="005D29FE" w:rsidRDefault="005D29FE" w:rsidP="005D29FE">
            <w:pPr>
              <w:spacing w:after="0" w:line="240" w:lineRule="auto"/>
              <w:rPr>
                <w:rFonts w:ascii="Inter" w:eastAsia="Times New Roman" w:hAnsi="Inter"/>
                <w:b/>
                <w:bCs/>
                <w:color w:val="000000"/>
                <w:lang w:eastAsia="en-AU"/>
              </w:rPr>
            </w:pPr>
          </w:p>
        </w:tc>
        <w:tc>
          <w:tcPr>
            <w:tcW w:w="2410" w:type="dxa"/>
            <w:gridSpan w:val="6"/>
            <w:vMerge/>
            <w:tcBorders>
              <w:top w:val="single" w:sz="8" w:space="0" w:color="auto"/>
              <w:left w:val="single" w:sz="8" w:space="0" w:color="auto"/>
              <w:bottom w:val="single" w:sz="8" w:space="0" w:color="000000"/>
              <w:right w:val="single" w:sz="8" w:space="0" w:color="000000"/>
            </w:tcBorders>
            <w:vAlign w:val="center"/>
            <w:hideMark/>
          </w:tcPr>
          <w:p w14:paraId="2CDB47AA" w14:textId="77777777" w:rsidR="005D29FE" w:rsidRPr="005D29FE" w:rsidRDefault="005D29FE" w:rsidP="005D29FE">
            <w:pPr>
              <w:spacing w:after="0" w:line="240" w:lineRule="auto"/>
              <w:rPr>
                <w:rFonts w:ascii="Inter" w:eastAsia="Times New Roman" w:hAnsi="Inter"/>
                <w:b/>
                <w:bCs/>
                <w:color w:val="000000"/>
                <w:lang w:eastAsia="en-AU"/>
              </w:rPr>
            </w:pPr>
          </w:p>
        </w:tc>
        <w:tc>
          <w:tcPr>
            <w:tcW w:w="992" w:type="dxa"/>
            <w:gridSpan w:val="2"/>
            <w:vMerge/>
            <w:tcBorders>
              <w:top w:val="single" w:sz="8" w:space="0" w:color="auto"/>
              <w:left w:val="single" w:sz="8" w:space="0" w:color="auto"/>
              <w:bottom w:val="single" w:sz="8" w:space="0" w:color="000000"/>
              <w:right w:val="single" w:sz="8" w:space="0" w:color="000000"/>
            </w:tcBorders>
            <w:vAlign w:val="center"/>
            <w:hideMark/>
          </w:tcPr>
          <w:p w14:paraId="73591D65" w14:textId="77777777" w:rsidR="005D29FE" w:rsidRPr="005D29FE" w:rsidRDefault="005D29FE" w:rsidP="005D29FE">
            <w:pPr>
              <w:spacing w:after="0" w:line="240" w:lineRule="auto"/>
              <w:rPr>
                <w:rFonts w:ascii="Inter" w:eastAsia="Times New Roman" w:hAnsi="Inter"/>
                <w:b/>
                <w:bCs/>
                <w:color w:val="000000"/>
                <w:lang w:eastAsia="en-AU"/>
              </w:rPr>
            </w:pPr>
          </w:p>
        </w:tc>
        <w:tc>
          <w:tcPr>
            <w:tcW w:w="2273" w:type="dxa"/>
            <w:gridSpan w:val="7"/>
            <w:vMerge/>
            <w:tcBorders>
              <w:top w:val="single" w:sz="8" w:space="0" w:color="auto"/>
              <w:left w:val="single" w:sz="8" w:space="0" w:color="auto"/>
              <w:bottom w:val="single" w:sz="8" w:space="0" w:color="000000"/>
              <w:right w:val="single" w:sz="8" w:space="0" w:color="000000"/>
            </w:tcBorders>
            <w:vAlign w:val="center"/>
            <w:hideMark/>
          </w:tcPr>
          <w:p w14:paraId="3CC9A753" w14:textId="77777777" w:rsidR="005D29FE" w:rsidRPr="005D29FE" w:rsidRDefault="005D29FE" w:rsidP="005D29FE">
            <w:pPr>
              <w:spacing w:after="0" w:line="240" w:lineRule="auto"/>
              <w:rPr>
                <w:rFonts w:ascii="Inter" w:eastAsia="Times New Roman" w:hAnsi="Inter"/>
                <w:b/>
                <w:bCs/>
                <w:color w:val="000000"/>
                <w:lang w:eastAsia="en-AU"/>
              </w:rPr>
            </w:pPr>
          </w:p>
        </w:tc>
        <w:tc>
          <w:tcPr>
            <w:tcW w:w="994" w:type="dxa"/>
            <w:vMerge/>
            <w:tcBorders>
              <w:top w:val="single" w:sz="8" w:space="0" w:color="auto"/>
              <w:left w:val="single" w:sz="8" w:space="0" w:color="auto"/>
              <w:bottom w:val="single" w:sz="8" w:space="0" w:color="000000"/>
              <w:right w:val="single" w:sz="8" w:space="0" w:color="auto"/>
            </w:tcBorders>
            <w:vAlign w:val="center"/>
            <w:hideMark/>
          </w:tcPr>
          <w:p w14:paraId="1F24E9E8" w14:textId="77777777" w:rsidR="005D29FE" w:rsidRPr="005D29FE" w:rsidRDefault="005D29FE" w:rsidP="005D29FE">
            <w:pPr>
              <w:spacing w:after="0" w:line="240" w:lineRule="auto"/>
              <w:rPr>
                <w:rFonts w:ascii="Inter" w:eastAsia="Times New Roman" w:hAnsi="Inter"/>
                <w:b/>
                <w:bCs/>
                <w:color w:val="000000"/>
                <w:lang w:eastAsia="en-AU"/>
              </w:rPr>
            </w:pPr>
          </w:p>
        </w:tc>
        <w:tc>
          <w:tcPr>
            <w:tcW w:w="2553" w:type="dxa"/>
            <w:vMerge/>
            <w:tcBorders>
              <w:top w:val="single" w:sz="8" w:space="0" w:color="auto"/>
              <w:left w:val="single" w:sz="8" w:space="0" w:color="auto"/>
              <w:bottom w:val="single" w:sz="8" w:space="0" w:color="000000"/>
              <w:right w:val="single" w:sz="8" w:space="0" w:color="000000"/>
            </w:tcBorders>
            <w:vAlign w:val="center"/>
            <w:hideMark/>
          </w:tcPr>
          <w:p w14:paraId="662E1915" w14:textId="77777777" w:rsidR="005D29FE" w:rsidRPr="005D29FE" w:rsidRDefault="005D29FE" w:rsidP="005D29FE">
            <w:pPr>
              <w:spacing w:after="0" w:line="240" w:lineRule="auto"/>
              <w:rPr>
                <w:rFonts w:ascii="Inter" w:eastAsia="Times New Roman" w:hAnsi="Inter"/>
                <w:b/>
                <w:bCs/>
                <w:color w:val="000000"/>
                <w:lang w:eastAsia="en-AU"/>
              </w:rPr>
            </w:pPr>
          </w:p>
        </w:tc>
        <w:tc>
          <w:tcPr>
            <w:tcW w:w="273" w:type="dxa"/>
            <w:tcBorders>
              <w:top w:val="nil"/>
              <w:left w:val="nil"/>
              <w:bottom w:val="nil"/>
              <w:right w:val="nil"/>
            </w:tcBorders>
            <w:noWrap/>
            <w:vAlign w:val="bottom"/>
            <w:hideMark/>
          </w:tcPr>
          <w:p w14:paraId="1185367D" w14:textId="77777777" w:rsidR="005D29FE" w:rsidRPr="005D29FE" w:rsidRDefault="005D29FE" w:rsidP="005D29FE">
            <w:pPr>
              <w:spacing w:after="0" w:line="240" w:lineRule="auto"/>
              <w:jc w:val="center"/>
              <w:rPr>
                <w:rFonts w:ascii="Inter" w:eastAsia="Times New Roman" w:hAnsi="Inter"/>
                <w:b/>
                <w:bCs/>
                <w:color w:val="000000"/>
                <w:lang w:eastAsia="en-AU"/>
              </w:rPr>
            </w:pPr>
          </w:p>
        </w:tc>
      </w:tr>
      <w:tr w:rsidR="005D29FE" w:rsidRPr="005D29FE" w14:paraId="45743E31" w14:textId="77777777" w:rsidTr="00743808">
        <w:trPr>
          <w:trHeight w:val="330"/>
        </w:trPr>
        <w:tc>
          <w:tcPr>
            <w:tcW w:w="13454" w:type="dxa"/>
            <w:gridSpan w:val="22"/>
            <w:tcBorders>
              <w:top w:val="single" w:sz="8" w:space="0" w:color="000000"/>
              <w:left w:val="single" w:sz="8" w:space="0" w:color="auto"/>
              <w:bottom w:val="single" w:sz="8" w:space="0" w:color="auto"/>
              <w:right w:val="single" w:sz="8" w:space="0" w:color="000000"/>
            </w:tcBorders>
            <w:shd w:val="clear" w:color="000000" w:fill="AFB3E9"/>
            <w:noWrap/>
            <w:vAlign w:val="center"/>
            <w:hideMark/>
          </w:tcPr>
          <w:p w14:paraId="05D60175" w14:textId="77777777" w:rsidR="005D29FE" w:rsidRPr="005D29FE" w:rsidRDefault="005D29FE" w:rsidP="005D29FE">
            <w:pPr>
              <w:spacing w:after="0" w:line="240" w:lineRule="auto"/>
              <w:rPr>
                <w:rFonts w:ascii="Inter" w:eastAsia="Times New Roman" w:hAnsi="Inter"/>
                <w:b/>
                <w:bCs/>
                <w:color w:val="000000"/>
                <w:lang w:eastAsia="en-AU"/>
              </w:rPr>
            </w:pPr>
            <w:r w:rsidRPr="005D29FE">
              <w:rPr>
                <w:rFonts w:ascii="Inter" w:eastAsia="Times New Roman" w:hAnsi="Inter"/>
                <w:b/>
                <w:bCs/>
                <w:color w:val="000000"/>
                <w:lang w:eastAsia="en-AU"/>
              </w:rPr>
              <w:t>Investment Body Identity Data Record</w:t>
            </w:r>
          </w:p>
        </w:tc>
        <w:tc>
          <w:tcPr>
            <w:tcW w:w="273" w:type="dxa"/>
            <w:vAlign w:val="center"/>
            <w:hideMark/>
          </w:tcPr>
          <w:p w14:paraId="7E029DFF"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1004B55D" w14:textId="77777777" w:rsidTr="00743808">
        <w:trPr>
          <w:trHeight w:val="330"/>
        </w:trPr>
        <w:tc>
          <w:tcPr>
            <w:tcW w:w="977" w:type="dxa"/>
            <w:tcBorders>
              <w:top w:val="nil"/>
              <w:left w:val="single" w:sz="8" w:space="0" w:color="auto"/>
              <w:bottom w:val="single" w:sz="8" w:space="0" w:color="auto"/>
              <w:right w:val="single" w:sz="8" w:space="0" w:color="auto"/>
            </w:tcBorders>
            <w:noWrap/>
            <w:vAlign w:val="center"/>
            <w:hideMark/>
          </w:tcPr>
          <w:p w14:paraId="1782AFB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7.48</w:t>
            </w:r>
          </w:p>
        </w:tc>
        <w:tc>
          <w:tcPr>
            <w:tcW w:w="2263" w:type="dxa"/>
            <w:gridSpan w:val="3"/>
            <w:tcBorders>
              <w:top w:val="single" w:sz="8" w:space="0" w:color="auto"/>
              <w:left w:val="nil"/>
              <w:bottom w:val="single" w:sz="8" w:space="0" w:color="auto"/>
              <w:right w:val="single" w:sz="8" w:space="0" w:color="000000"/>
            </w:tcBorders>
            <w:noWrap/>
            <w:vAlign w:val="center"/>
            <w:hideMark/>
          </w:tcPr>
          <w:p w14:paraId="0B9B2DF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Investment body entity type code</w:t>
            </w:r>
          </w:p>
        </w:tc>
        <w:tc>
          <w:tcPr>
            <w:tcW w:w="992" w:type="dxa"/>
            <w:tcBorders>
              <w:top w:val="single" w:sz="8" w:space="0" w:color="auto"/>
              <w:left w:val="nil"/>
              <w:bottom w:val="single" w:sz="8" w:space="0" w:color="auto"/>
              <w:right w:val="single" w:sz="8" w:space="0" w:color="000000"/>
            </w:tcBorders>
            <w:noWrap/>
            <w:vAlign w:val="center"/>
            <w:hideMark/>
          </w:tcPr>
          <w:p w14:paraId="5B3EF83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9.48</w:t>
            </w:r>
          </w:p>
        </w:tc>
        <w:tc>
          <w:tcPr>
            <w:tcW w:w="2410" w:type="dxa"/>
            <w:gridSpan w:val="6"/>
            <w:tcBorders>
              <w:top w:val="single" w:sz="8" w:space="0" w:color="auto"/>
              <w:left w:val="nil"/>
              <w:bottom w:val="single" w:sz="8" w:space="0" w:color="auto"/>
              <w:right w:val="single" w:sz="8" w:space="0" w:color="000000"/>
            </w:tcBorders>
            <w:noWrap/>
            <w:vAlign w:val="center"/>
            <w:hideMark/>
          </w:tcPr>
          <w:p w14:paraId="19C5BC5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Investment body entity type code</w:t>
            </w:r>
          </w:p>
        </w:tc>
        <w:tc>
          <w:tcPr>
            <w:tcW w:w="992" w:type="dxa"/>
            <w:gridSpan w:val="2"/>
            <w:tcBorders>
              <w:top w:val="single" w:sz="8" w:space="0" w:color="auto"/>
              <w:left w:val="nil"/>
              <w:bottom w:val="single" w:sz="8" w:space="0" w:color="auto"/>
              <w:right w:val="single" w:sz="8" w:space="0" w:color="000000"/>
            </w:tcBorders>
            <w:vAlign w:val="center"/>
            <w:hideMark/>
          </w:tcPr>
          <w:p w14:paraId="51D60A7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9.48</w:t>
            </w:r>
          </w:p>
        </w:tc>
        <w:tc>
          <w:tcPr>
            <w:tcW w:w="2273" w:type="dxa"/>
            <w:gridSpan w:val="7"/>
            <w:tcBorders>
              <w:top w:val="single" w:sz="8" w:space="0" w:color="auto"/>
              <w:left w:val="nil"/>
              <w:bottom w:val="single" w:sz="8" w:space="0" w:color="auto"/>
              <w:right w:val="single" w:sz="8" w:space="0" w:color="000000"/>
            </w:tcBorders>
            <w:noWrap/>
            <w:vAlign w:val="center"/>
            <w:hideMark/>
          </w:tcPr>
          <w:p w14:paraId="1B5CB3C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Investment body entity type code</w:t>
            </w:r>
          </w:p>
        </w:tc>
        <w:tc>
          <w:tcPr>
            <w:tcW w:w="994" w:type="dxa"/>
            <w:tcBorders>
              <w:top w:val="nil"/>
              <w:left w:val="nil"/>
              <w:bottom w:val="single" w:sz="8" w:space="0" w:color="auto"/>
              <w:right w:val="single" w:sz="8" w:space="0" w:color="auto"/>
            </w:tcBorders>
            <w:vAlign w:val="center"/>
            <w:hideMark/>
          </w:tcPr>
          <w:p w14:paraId="4E68A6E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9.48</w:t>
            </w:r>
          </w:p>
        </w:tc>
        <w:tc>
          <w:tcPr>
            <w:tcW w:w="2553" w:type="dxa"/>
            <w:tcBorders>
              <w:top w:val="single" w:sz="8" w:space="0" w:color="auto"/>
              <w:left w:val="nil"/>
              <w:bottom w:val="single" w:sz="8" w:space="0" w:color="auto"/>
              <w:right w:val="single" w:sz="8" w:space="0" w:color="000000"/>
            </w:tcBorders>
            <w:noWrap/>
            <w:vAlign w:val="center"/>
            <w:hideMark/>
          </w:tcPr>
          <w:p w14:paraId="1FD7400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Investment body entity type code</w:t>
            </w:r>
          </w:p>
        </w:tc>
        <w:tc>
          <w:tcPr>
            <w:tcW w:w="273" w:type="dxa"/>
            <w:vAlign w:val="center"/>
            <w:hideMark/>
          </w:tcPr>
          <w:p w14:paraId="1FBF7BFF"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D54EE78"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1FAE6E7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7.49</w:t>
            </w:r>
          </w:p>
        </w:tc>
        <w:tc>
          <w:tcPr>
            <w:tcW w:w="2263" w:type="dxa"/>
            <w:gridSpan w:val="3"/>
            <w:tcBorders>
              <w:top w:val="single" w:sz="8" w:space="0" w:color="auto"/>
              <w:left w:val="nil"/>
              <w:bottom w:val="single" w:sz="8" w:space="0" w:color="auto"/>
              <w:right w:val="single" w:sz="8" w:space="0" w:color="000000"/>
            </w:tcBorders>
            <w:noWrap/>
            <w:vAlign w:val="center"/>
            <w:hideMark/>
          </w:tcPr>
          <w:p w14:paraId="01D01E6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Investment body entity sub-type code</w:t>
            </w:r>
          </w:p>
        </w:tc>
        <w:tc>
          <w:tcPr>
            <w:tcW w:w="992" w:type="dxa"/>
            <w:tcBorders>
              <w:top w:val="single" w:sz="8" w:space="0" w:color="auto"/>
              <w:left w:val="nil"/>
              <w:bottom w:val="single" w:sz="8" w:space="0" w:color="auto"/>
              <w:right w:val="single" w:sz="8" w:space="0" w:color="000000"/>
            </w:tcBorders>
            <w:noWrap/>
            <w:vAlign w:val="center"/>
            <w:hideMark/>
          </w:tcPr>
          <w:p w14:paraId="282BFD9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9.49</w:t>
            </w:r>
          </w:p>
        </w:tc>
        <w:tc>
          <w:tcPr>
            <w:tcW w:w="2410" w:type="dxa"/>
            <w:gridSpan w:val="6"/>
            <w:tcBorders>
              <w:top w:val="single" w:sz="8" w:space="0" w:color="auto"/>
              <w:left w:val="nil"/>
              <w:bottom w:val="single" w:sz="8" w:space="0" w:color="auto"/>
              <w:right w:val="single" w:sz="8" w:space="0" w:color="000000"/>
            </w:tcBorders>
            <w:vAlign w:val="center"/>
            <w:hideMark/>
          </w:tcPr>
          <w:p w14:paraId="3AAD247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Investment body entity sub-type code</w:t>
            </w:r>
          </w:p>
        </w:tc>
        <w:tc>
          <w:tcPr>
            <w:tcW w:w="992" w:type="dxa"/>
            <w:gridSpan w:val="2"/>
            <w:tcBorders>
              <w:top w:val="single" w:sz="8" w:space="0" w:color="auto"/>
              <w:left w:val="nil"/>
              <w:bottom w:val="single" w:sz="8" w:space="0" w:color="auto"/>
              <w:right w:val="single" w:sz="8" w:space="0" w:color="000000"/>
            </w:tcBorders>
            <w:vAlign w:val="center"/>
            <w:hideMark/>
          </w:tcPr>
          <w:p w14:paraId="1F5D9F9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9.49</w:t>
            </w:r>
          </w:p>
        </w:tc>
        <w:tc>
          <w:tcPr>
            <w:tcW w:w="2273" w:type="dxa"/>
            <w:gridSpan w:val="7"/>
            <w:tcBorders>
              <w:top w:val="single" w:sz="8" w:space="0" w:color="auto"/>
              <w:left w:val="nil"/>
              <w:bottom w:val="single" w:sz="8" w:space="0" w:color="auto"/>
              <w:right w:val="single" w:sz="8" w:space="0" w:color="000000"/>
            </w:tcBorders>
            <w:vAlign w:val="center"/>
            <w:hideMark/>
          </w:tcPr>
          <w:p w14:paraId="65BFFE9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Investment body entity sub-type code</w:t>
            </w:r>
          </w:p>
        </w:tc>
        <w:tc>
          <w:tcPr>
            <w:tcW w:w="994" w:type="dxa"/>
            <w:tcBorders>
              <w:top w:val="nil"/>
              <w:left w:val="nil"/>
              <w:bottom w:val="single" w:sz="8" w:space="0" w:color="auto"/>
              <w:right w:val="single" w:sz="8" w:space="0" w:color="auto"/>
            </w:tcBorders>
            <w:vAlign w:val="center"/>
            <w:hideMark/>
          </w:tcPr>
          <w:p w14:paraId="1197543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9.49</w:t>
            </w:r>
          </w:p>
        </w:tc>
        <w:tc>
          <w:tcPr>
            <w:tcW w:w="2553" w:type="dxa"/>
            <w:tcBorders>
              <w:top w:val="single" w:sz="8" w:space="0" w:color="auto"/>
              <w:left w:val="nil"/>
              <w:bottom w:val="single" w:sz="8" w:space="0" w:color="auto"/>
              <w:right w:val="single" w:sz="8" w:space="0" w:color="000000"/>
            </w:tcBorders>
            <w:vAlign w:val="center"/>
            <w:hideMark/>
          </w:tcPr>
          <w:p w14:paraId="75871FB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Investment body entity sub-type code</w:t>
            </w:r>
          </w:p>
        </w:tc>
        <w:tc>
          <w:tcPr>
            <w:tcW w:w="273" w:type="dxa"/>
            <w:vAlign w:val="center"/>
            <w:hideMark/>
          </w:tcPr>
          <w:p w14:paraId="5BD7B559"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5D29FE" w:rsidRPr="005D29FE" w14:paraId="05CEC9E8" w14:textId="77777777" w:rsidTr="00743808">
        <w:trPr>
          <w:trHeight w:val="330"/>
        </w:trPr>
        <w:tc>
          <w:tcPr>
            <w:tcW w:w="13454" w:type="dxa"/>
            <w:gridSpan w:val="22"/>
            <w:tcBorders>
              <w:top w:val="single" w:sz="8" w:space="0" w:color="auto"/>
              <w:left w:val="single" w:sz="8" w:space="0" w:color="auto"/>
              <w:bottom w:val="single" w:sz="8" w:space="0" w:color="auto"/>
              <w:right w:val="single" w:sz="8" w:space="0" w:color="000000"/>
            </w:tcBorders>
            <w:shd w:val="clear" w:color="000000" w:fill="AFB3E9"/>
            <w:noWrap/>
            <w:vAlign w:val="center"/>
            <w:hideMark/>
          </w:tcPr>
          <w:p w14:paraId="3E4D7B50" w14:textId="77777777" w:rsidR="005D29FE" w:rsidRPr="005D29FE" w:rsidRDefault="005D29FE" w:rsidP="005D29FE">
            <w:pPr>
              <w:spacing w:after="0" w:line="240" w:lineRule="auto"/>
              <w:rPr>
                <w:rFonts w:ascii="Inter" w:eastAsia="Times New Roman" w:hAnsi="Inter"/>
                <w:b/>
                <w:bCs/>
                <w:color w:val="000000"/>
                <w:lang w:eastAsia="en-AU"/>
              </w:rPr>
            </w:pPr>
            <w:r w:rsidRPr="005D29FE">
              <w:rPr>
                <w:rFonts w:ascii="Inter" w:eastAsia="Times New Roman" w:hAnsi="Inter"/>
                <w:b/>
                <w:bCs/>
                <w:color w:val="000000"/>
                <w:lang w:eastAsia="en-AU"/>
              </w:rPr>
              <w:t>Investment Account Data Record</w:t>
            </w:r>
          </w:p>
        </w:tc>
        <w:tc>
          <w:tcPr>
            <w:tcW w:w="273" w:type="dxa"/>
            <w:vAlign w:val="center"/>
            <w:hideMark/>
          </w:tcPr>
          <w:p w14:paraId="3D808082"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18DDB69"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6924721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7.72</w:t>
            </w:r>
          </w:p>
        </w:tc>
        <w:tc>
          <w:tcPr>
            <w:tcW w:w="2263" w:type="dxa"/>
            <w:gridSpan w:val="3"/>
            <w:tcBorders>
              <w:top w:val="single" w:sz="8" w:space="0" w:color="auto"/>
              <w:left w:val="nil"/>
              <w:bottom w:val="single" w:sz="8" w:space="0" w:color="auto"/>
              <w:right w:val="single" w:sz="8" w:space="0" w:color="000000"/>
            </w:tcBorders>
            <w:vAlign w:val="center"/>
            <w:hideMark/>
          </w:tcPr>
          <w:p w14:paraId="363AC28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TFN withholding tax deducted</w:t>
            </w:r>
          </w:p>
        </w:tc>
        <w:tc>
          <w:tcPr>
            <w:tcW w:w="992" w:type="dxa"/>
            <w:tcBorders>
              <w:top w:val="single" w:sz="8" w:space="0" w:color="auto"/>
              <w:left w:val="nil"/>
              <w:bottom w:val="single" w:sz="8" w:space="0" w:color="auto"/>
              <w:right w:val="single" w:sz="8" w:space="0" w:color="000000"/>
            </w:tcBorders>
            <w:noWrap/>
            <w:vAlign w:val="center"/>
            <w:hideMark/>
          </w:tcPr>
          <w:p w14:paraId="0744FEB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9.74</w:t>
            </w:r>
          </w:p>
        </w:tc>
        <w:tc>
          <w:tcPr>
            <w:tcW w:w="2410" w:type="dxa"/>
            <w:gridSpan w:val="6"/>
            <w:tcBorders>
              <w:top w:val="single" w:sz="8" w:space="0" w:color="auto"/>
              <w:left w:val="nil"/>
              <w:bottom w:val="single" w:sz="8" w:space="0" w:color="auto"/>
              <w:right w:val="single" w:sz="8" w:space="0" w:color="000000"/>
            </w:tcBorders>
            <w:vAlign w:val="center"/>
            <w:hideMark/>
          </w:tcPr>
          <w:p w14:paraId="7CECBE9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TFN withholding tax deducted</w:t>
            </w:r>
          </w:p>
        </w:tc>
        <w:tc>
          <w:tcPr>
            <w:tcW w:w="992" w:type="dxa"/>
            <w:gridSpan w:val="2"/>
            <w:tcBorders>
              <w:top w:val="single" w:sz="8" w:space="0" w:color="auto"/>
              <w:left w:val="nil"/>
              <w:bottom w:val="single" w:sz="8" w:space="0" w:color="auto"/>
              <w:right w:val="single" w:sz="8" w:space="0" w:color="000000"/>
            </w:tcBorders>
            <w:vAlign w:val="center"/>
            <w:hideMark/>
          </w:tcPr>
          <w:p w14:paraId="2158C0A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9.74</w:t>
            </w:r>
          </w:p>
        </w:tc>
        <w:tc>
          <w:tcPr>
            <w:tcW w:w="2273" w:type="dxa"/>
            <w:gridSpan w:val="7"/>
            <w:tcBorders>
              <w:top w:val="single" w:sz="8" w:space="0" w:color="auto"/>
              <w:left w:val="nil"/>
              <w:bottom w:val="single" w:sz="8" w:space="0" w:color="auto"/>
              <w:right w:val="single" w:sz="8" w:space="0" w:color="000000"/>
            </w:tcBorders>
            <w:vAlign w:val="center"/>
            <w:hideMark/>
          </w:tcPr>
          <w:p w14:paraId="64E4CFF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TFN withholding tax deducted</w:t>
            </w:r>
          </w:p>
        </w:tc>
        <w:tc>
          <w:tcPr>
            <w:tcW w:w="994" w:type="dxa"/>
            <w:tcBorders>
              <w:top w:val="nil"/>
              <w:left w:val="nil"/>
              <w:bottom w:val="single" w:sz="8" w:space="0" w:color="auto"/>
              <w:right w:val="single" w:sz="8" w:space="0" w:color="auto"/>
            </w:tcBorders>
            <w:vAlign w:val="center"/>
            <w:hideMark/>
          </w:tcPr>
          <w:p w14:paraId="390B212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9.74</w:t>
            </w:r>
          </w:p>
        </w:tc>
        <w:tc>
          <w:tcPr>
            <w:tcW w:w="2553" w:type="dxa"/>
            <w:tcBorders>
              <w:top w:val="single" w:sz="8" w:space="0" w:color="auto"/>
              <w:left w:val="nil"/>
              <w:bottom w:val="single" w:sz="8" w:space="0" w:color="auto"/>
              <w:right w:val="single" w:sz="8" w:space="0" w:color="000000"/>
            </w:tcBorders>
            <w:vAlign w:val="center"/>
            <w:hideMark/>
          </w:tcPr>
          <w:p w14:paraId="7B02C62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TFN withholding tax deducted</w:t>
            </w:r>
          </w:p>
        </w:tc>
        <w:tc>
          <w:tcPr>
            <w:tcW w:w="273" w:type="dxa"/>
            <w:vAlign w:val="center"/>
            <w:hideMark/>
          </w:tcPr>
          <w:p w14:paraId="3477C358"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8F9832E"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6A27402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7.73</w:t>
            </w:r>
          </w:p>
        </w:tc>
        <w:tc>
          <w:tcPr>
            <w:tcW w:w="2263" w:type="dxa"/>
            <w:gridSpan w:val="3"/>
            <w:tcBorders>
              <w:top w:val="single" w:sz="8" w:space="0" w:color="auto"/>
              <w:left w:val="nil"/>
              <w:bottom w:val="single" w:sz="8" w:space="0" w:color="auto"/>
              <w:right w:val="single" w:sz="8" w:space="0" w:color="000000"/>
            </w:tcBorders>
            <w:vAlign w:val="center"/>
            <w:hideMark/>
          </w:tcPr>
          <w:p w14:paraId="7ED61A6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TFN withholding tax refunded</w:t>
            </w:r>
          </w:p>
        </w:tc>
        <w:tc>
          <w:tcPr>
            <w:tcW w:w="992" w:type="dxa"/>
            <w:tcBorders>
              <w:top w:val="single" w:sz="8" w:space="0" w:color="auto"/>
              <w:left w:val="nil"/>
              <w:bottom w:val="single" w:sz="8" w:space="0" w:color="auto"/>
              <w:right w:val="single" w:sz="8" w:space="0" w:color="000000"/>
            </w:tcBorders>
            <w:noWrap/>
            <w:vAlign w:val="center"/>
            <w:hideMark/>
          </w:tcPr>
          <w:p w14:paraId="76C088C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9.75</w:t>
            </w:r>
          </w:p>
        </w:tc>
        <w:tc>
          <w:tcPr>
            <w:tcW w:w="2410" w:type="dxa"/>
            <w:gridSpan w:val="6"/>
            <w:tcBorders>
              <w:top w:val="single" w:sz="8" w:space="0" w:color="auto"/>
              <w:left w:val="nil"/>
              <w:bottom w:val="single" w:sz="8" w:space="0" w:color="auto"/>
              <w:right w:val="single" w:sz="8" w:space="0" w:color="000000"/>
            </w:tcBorders>
            <w:vAlign w:val="center"/>
            <w:hideMark/>
          </w:tcPr>
          <w:p w14:paraId="534C620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TFN withholding tax refunded</w:t>
            </w:r>
          </w:p>
        </w:tc>
        <w:tc>
          <w:tcPr>
            <w:tcW w:w="992" w:type="dxa"/>
            <w:gridSpan w:val="2"/>
            <w:tcBorders>
              <w:top w:val="single" w:sz="8" w:space="0" w:color="auto"/>
              <w:left w:val="nil"/>
              <w:bottom w:val="single" w:sz="8" w:space="0" w:color="auto"/>
              <w:right w:val="single" w:sz="8" w:space="0" w:color="000000"/>
            </w:tcBorders>
            <w:vAlign w:val="center"/>
            <w:hideMark/>
          </w:tcPr>
          <w:p w14:paraId="345AA79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9.75</w:t>
            </w:r>
          </w:p>
        </w:tc>
        <w:tc>
          <w:tcPr>
            <w:tcW w:w="2273" w:type="dxa"/>
            <w:gridSpan w:val="7"/>
            <w:tcBorders>
              <w:top w:val="single" w:sz="8" w:space="0" w:color="auto"/>
              <w:left w:val="nil"/>
              <w:bottom w:val="single" w:sz="8" w:space="0" w:color="auto"/>
              <w:right w:val="single" w:sz="8" w:space="0" w:color="000000"/>
            </w:tcBorders>
            <w:vAlign w:val="center"/>
            <w:hideMark/>
          </w:tcPr>
          <w:p w14:paraId="14DC83B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TFN withholding tax refunded</w:t>
            </w:r>
          </w:p>
        </w:tc>
        <w:tc>
          <w:tcPr>
            <w:tcW w:w="994" w:type="dxa"/>
            <w:tcBorders>
              <w:top w:val="nil"/>
              <w:left w:val="nil"/>
              <w:bottom w:val="single" w:sz="8" w:space="0" w:color="auto"/>
              <w:right w:val="single" w:sz="8" w:space="0" w:color="auto"/>
            </w:tcBorders>
            <w:vAlign w:val="center"/>
            <w:hideMark/>
          </w:tcPr>
          <w:p w14:paraId="6AB66D0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9.75</w:t>
            </w:r>
          </w:p>
        </w:tc>
        <w:tc>
          <w:tcPr>
            <w:tcW w:w="2553" w:type="dxa"/>
            <w:tcBorders>
              <w:top w:val="single" w:sz="8" w:space="0" w:color="auto"/>
              <w:left w:val="nil"/>
              <w:bottom w:val="single" w:sz="8" w:space="0" w:color="auto"/>
              <w:right w:val="single" w:sz="8" w:space="0" w:color="000000"/>
            </w:tcBorders>
            <w:vAlign w:val="center"/>
            <w:hideMark/>
          </w:tcPr>
          <w:p w14:paraId="7381AC6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TFN withholding tax refunded</w:t>
            </w:r>
          </w:p>
        </w:tc>
        <w:tc>
          <w:tcPr>
            <w:tcW w:w="273" w:type="dxa"/>
            <w:vAlign w:val="center"/>
            <w:hideMark/>
          </w:tcPr>
          <w:p w14:paraId="50C0368C"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2F58834"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172A724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7.74</w:t>
            </w:r>
          </w:p>
        </w:tc>
        <w:tc>
          <w:tcPr>
            <w:tcW w:w="2263" w:type="dxa"/>
            <w:gridSpan w:val="3"/>
            <w:tcBorders>
              <w:top w:val="single" w:sz="8" w:space="0" w:color="auto"/>
              <w:left w:val="nil"/>
              <w:bottom w:val="single" w:sz="8" w:space="0" w:color="auto"/>
              <w:right w:val="single" w:sz="8" w:space="0" w:color="000000"/>
            </w:tcBorders>
            <w:vAlign w:val="center"/>
            <w:hideMark/>
          </w:tcPr>
          <w:p w14:paraId="526DC28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withholding amount deducted</w:t>
            </w:r>
          </w:p>
        </w:tc>
        <w:tc>
          <w:tcPr>
            <w:tcW w:w="992" w:type="dxa"/>
            <w:tcBorders>
              <w:top w:val="single" w:sz="8" w:space="0" w:color="auto"/>
              <w:left w:val="nil"/>
              <w:bottom w:val="single" w:sz="8" w:space="0" w:color="auto"/>
              <w:right w:val="single" w:sz="8" w:space="0" w:color="000000"/>
            </w:tcBorders>
            <w:noWrap/>
            <w:vAlign w:val="center"/>
            <w:hideMark/>
          </w:tcPr>
          <w:p w14:paraId="57CBFD7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9.76</w:t>
            </w:r>
          </w:p>
        </w:tc>
        <w:tc>
          <w:tcPr>
            <w:tcW w:w="2410" w:type="dxa"/>
            <w:gridSpan w:val="6"/>
            <w:tcBorders>
              <w:top w:val="single" w:sz="8" w:space="0" w:color="auto"/>
              <w:left w:val="nil"/>
              <w:bottom w:val="single" w:sz="8" w:space="0" w:color="auto"/>
              <w:right w:val="single" w:sz="8" w:space="0" w:color="000000"/>
            </w:tcBorders>
            <w:vAlign w:val="center"/>
            <w:hideMark/>
          </w:tcPr>
          <w:p w14:paraId="47C6E0C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withholding amount deducted</w:t>
            </w:r>
          </w:p>
        </w:tc>
        <w:tc>
          <w:tcPr>
            <w:tcW w:w="992" w:type="dxa"/>
            <w:gridSpan w:val="2"/>
            <w:tcBorders>
              <w:top w:val="single" w:sz="8" w:space="0" w:color="auto"/>
              <w:left w:val="nil"/>
              <w:bottom w:val="single" w:sz="8" w:space="0" w:color="auto"/>
              <w:right w:val="single" w:sz="8" w:space="0" w:color="000000"/>
            </w:tcBorders>
            <w:vAlign w:val="center"/>
            <w:hideMark/>
          </w:tcPr>
          <w:p w14:paraId="33AAB88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9.76</w:t>
            </w:r>
          </w:p>
        </w:tc>
        <w:tc>
          <w:tcPr>
            <w:tcW w:w="2273" w:type="dxa"/>
            <w:gridSpan w:val="7"/>
            <w:tcBorders>
              <w:top w:val="single" w:sz="8" w:space="0" w:color="auto"/>
              <w:left w:val="nil"/>
              <w:bottom w:val="single" w:sz="8" w:space="0" w:color="auto"/>
              <w:right w:val="single" w:sz="8" w:space="0" w:color="000000"/>
            </w:tcBorders>
            <w:vAlign w:val="center"/>
            <w:hideMark/>
          </w:tcPr>
          <w:p w14:paraId="37767C7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withholding amount deducted</w:t>
            </w:r>
          </w:p>
        </w:tc>
        <w:tc>
          <w:tcPr>
            <w:tcW w:w="994" w:type="dxa"/>
            <w:tcBorders>
              <w:top w:val="nil"/>
              <w:left w:val="nil"/>
              <w:bottom w:val="single" w:sz="8" w:space="0" w:color="auto"/>
              <w:right w:val="single" w:sz="8" w:space="0" w:color="auto"/>
            </w:tcBorders>
            <w:vAlign w:val="center"/>
            <w:hideMark/>
          </w:tcPr>
          <w:p w14:paraId="5790F3F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9.76</w:t>
            </w:r>
          </w:p>
        </w:tc>
        <w:tc>
          <w:tcPr>
            <w:tcW w:w="2553" w:type="dxa"/>
            <w:tcBorders>
              <w:top w:val="single" w:sz="8" w:space="0" w:color="auto"/>
              <w:left w:val="nil"/>
              <w:bottom w:val="single" w:sz="8" w:space="0" w:color="auto"/>
              <w:right w:val="single" w:sz="8" w:space="0" w:color="000000"/>
            </w:tcBorders>
            <w:vAlign w:val="center"/>
            <w:hideMark/>
          </w:tcPr>
          <w:p w14:paraId="6EECEAD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withholding amount deducted</w:t>
            </w:r>
          </w:p>
        </w:tc>
        <w:tc>
          <w:tcPr>
            <w:tcW w:w="273" w:type="dxa"/>
            <w:vAlign w:val="center"/>
            <w:hideMark/>
          </w:tcPr>
          <w:p w14:paraId="11F9B085"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09B474F"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1076FAF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7.76</w:t>
            </w:r>
          </w:p>
        </w:tc>
        <w:tc>
          <w:tcPr>
            <w:tcW w:w="2263" w:type="dxa"/>
            <w:gridSpan w:val="3"/>
            <w:tcBorders>
              <w:top w:val="single" w:sz="8" w:space="0" w:color="auto"/>
              <w:left w:val="nil"/>
              <w:bottom w:val="single" w:sz="8" w:space="0" w:color="auto"/>
              <w:right w:val="single" w:sz="8" w:space="0" w:color="000000"/>
            </w:tcBorders>
            <w:vAlign w:val="center"/>
            <w:hideMark/>
          </w:tcPr>
          <w:p w14:paraId="3F86F24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Interest </w:t>
            </w:r>
          </w:p>
        </w:tc>
        <w:tc>
          <w:tcPr>
            <w:tcW w:w="992" w:type="dxa"/>
            <w:tcBorders>
              <w:top w:val="single" w:sz="8" w:space="0" w:color="auto"/>
              <w:left w:val="nil"/>
              <w:bottom w:val="single" w:sz="8" w:space="0" w:color="auto"/>
              <w:right w:val="single" w:sz="8" w:space="0" w:color="000000"/>
            </w:tcBorders>
            <w:noWrap/>
            <w:vAlign w:val="center"/>
            <w:hideMark/>
          </w:tcPr>
          <w:p w14:paraId="3708929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9.77</w:t>
            </w:r>
          </w:p>
        </w:tc>
        <w:tc>
          <w:tcPr>
            <w:tcW w:w="2410" w:type="dxa"/>
            <w:gridSpan w:val="6"/>
            <w:tcBorders>
              <w:top w:val="single" w:sz="8" w:space="0" w:color="auto"/>
              <w:left w:val="nil"/>
              <w:bottom w:val="single" w:sz="8" w:space="0" w:color="auto"/>
              <w:right w:val="single" w:sz="8" w:space="0" w:color="000000"/>
            </w:tcBorders>
            <w:vAlign w:val="center"/>
            <w:hideMark/>
          </w:tcPr>
          <w:p w14:paraId="5EED533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Cash or non-cash value of an investment related betting chance prize</w:t>
            </w:r>
          </w:p>
        </w:tc>
        <w:tc>
          <w:tcPr>
            <w:tcW w:w="992" w:type="dxa"/>
            <w:gridSpan w:val="2"/>
            <w:tcBorders>
              <w:top w:val="single" w:sz="8" w:space="0" w:color="auto"/>
              <w:left w:val="nil"/>
              <w:bottom w:val="single" w:sz="8" w:space="0" w:color="auto"/>
              <w:right w:val="single" w:sz="8" w:space="0" w:color="000000"/>
            </w:tcBorders>
            <w:vAlign w:val="center"/>
            <w:hideMark/>
          </w:tcPr>
          <w:p w14:paraId="519D8DE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9.77</w:t>
            </w:r>
          </w:p>
        </w:tc>
        <w:tc>
          <w:tcPr>
            <w:tcW w:w="2273" w:type="dxa"/>
            <w:gridSpan w:val="7"/>
            <w:tcBorders>
              <w:top w:val="single" w:sz="8" w:space="0" w:color="auto"/>
              <w:left w:val="nil"/>
              <w:bottom w:val="single" w:sz="8" w:space="0" w:color="auto"/>
              <w:right w:val="single" w:sz="8" w:space="0" w:color="000000"/>
            </w:tcBorders>
            <w:vAlign w:val="center"/>
            <w:hideMark/>
          </w:tcPr>
          <w:p w14:paraId="245A214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Non-Assessable Non-Exempt (NANE) Non-trust income</w:t>
            </w:r>
          </w:p>
        </w:tc>
        <w:tc>
          <w:tcPr>
            <w:tcW w:w="994" w:type="dxa"/>
            <w:tcBorders>
              <w:top w:val="nil"/>
              <w:left w:val="nil"/>
              <w:bottom w:val="single" w:sz="8" w:space="0" w:color="auto"/>
              <w:right w:val="single" w:sz="8" w:space="0" w:color="auto"/>
            </w:tcBorders>
            <w:vAlign w:val="center"/>
            <w:hideMark/>
          </w:tcPr>
          <w:p w14:paraId="30BC51E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9.77</w:t>
            </w:r>
          </w:p>
        </w:tc>
        <w:tc>
          <w:tcPr>
            <w:tcW w:w="2553" w:type="dxa"/>
            <w:tcBorders>
              <w:top w:val="single" w:sz="8" w:space="0" w:color="auto"/>
              <w:left w:val="nil"/>
              <w:bottom w:val="single" w:sz="8" w:space="0" w:color="auto"/>
              <w:right w:val="single" w:sz="8" w:space="0" w:color="000000"/>
            </w:tcBorders>
            <w:vAlign w:val="center"/>
            <w:hideMark/>
          </w:tcPr>
          <w:p w14:paraId="439ED6F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Non-Assessable Non-Exempt (NANE) Non-trust income</w:t>
            </w:r>
          </w:p>
        </w:tc>
        <w:tc>
          <w:tcPr>
            <w:tcW w:w="273" w:type="dxa"/>
            <w:vAlign w:val="center"/>
            <w:hideMark/>
          </w:tcPr>
          <w:p w14:paraId="3FA9CFF2"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1B9D1E6E" w14:textId="77777777" w:rsidTr="00743808">
        <w:trPr>
          <w:trHeight w:val="1275"/>
        </w:trPr>
        <w:tc>
          <w:tcPr>
            <w:tcW w:w="977" w:type="dxa"/>
            <w:tcBorders>
              <w:top w:val="nil"/>
              <w:left w:val="single" w:sz="8" w:space="0" w:color="auto"/>
              <w:bottom w:val="single" w:sz="8" w:space="0" w:color="auto"/>
              <w:right w:val="single" w:sz="8" w:space="0" w:color="auto"/>
            </w:tcBorders>
            <w:noWrap/>
            <w:vAlign w:val="center"/>
            <w:hideMark/>
          </w:tcPr>
          <w:p w14:paraId="100B9E1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7.77</w:t>
            </w:r>
          </w:p>
        </w:tc>
        <w:tc>
          <w:tcPr>
            <w:tcW w:w="2263" w:type="dxa"/>
            <w:gridSpan w:val="3"/>
            <w:tcBorders>
              <w:top w:val="single" w:sz="8" w:space="0" w:color="auto"/>
              <w:left w:val="nil"/>
              <w:bottom w:val="single" w:sz="8" w:space="0" w:color="auto"/>
              <w:right w:val="single" w:sz="8" w:space="0" w:color="000000"/>
            </w:tcBorders>
            <w:vAlign w:val="center"/>
            <w:hideMark/>
          </w:tcPr>
          <w:p w14:paraId="28BC533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Unfranked dividends not declared to be conduit foreign income </w:t>
            </w:r>
          </w:p>
        </w:tc>
        <w:tc>
          <w:tcPr>
            <w:tcW w:w="992" w:type="dxa"/>
            <w:tcBorders>
              <w:top w:val="single" w:sz="8" w:space="0" w:color="auto"/>
              <w:left w:val="nil"/>
              <w:bottom w:val="single" w:sz="8" w:space="0" w:color="auto"/>
              <w:right w:val="single" w:sz="8" w:space="0" w:color="000000"/>
            </w:tcBorders>
            <w:noWrap/>
            <w:vAlign w:val="center"/>
            <w:hideMark/>
          </w:tcPr>
          <w:p w14:paraId="5BD01DD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9.78</w:t>
            </w:r>
          </w:p>
        </w:tc>
        <w:tc>
          <w:tcPr>
            <w:tcW w:w="2410" w:type="dxa"/>
            <w:gridSpan w:val="6"/>
            <w:tcBorders>
              <w:top w:val="single" w:sz="8" w:space="0" w:color="auto"/>
              <w:left w:val="nil"/>
              <w:bottom w:val="single" w:sz="8" w:space="0" w:color="auto"/>
              <w:right w:val="single" w:sz="8" w:space="0" w:color="000000"/>
            </w:tcBorders>
            <w:vAlign w:val="center"/>
            <w:hideMark/>
          </w:tcPr>
          <w:p w14:paraId="5A14E2C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Interest</w:t>
            </w:r>
          </w:p>
        </w:tc>
        <w:tc>
          <w:tcPr>
            <w:tcW w:w="992" w:type="dxa"/>
            <w:gridSpan w:val="2"/>
            <w:tcBorders>
              <w:top w:val="single" w:sz="8" w:space="0" w:color="auto"/>
              <w:left w:val="nil"/>
              <w:bottom w:val="single" w:sz="8" w:space="0" w:color="auto"/>
              <w:right w:val="single" w:sz="8" w:space="0" w:color="000000"/>
            </w:tcBorders>
            <w:vAlign w:val="center"/>
            <w:hideMark/>
          </w:tcPr>
          <w:p w14:paraId="6E4C857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9.78</w:t>
            </w:r>
          </w:p>
        </w:tc>
        <w:tc>
          <w:tcPr>
            <w:tcW w:w="2273" w:type="dxa"/>
            <w:gridSpan w:val="7"/>
            <w:tcBorders>
              <w:top w:val="single" w:sz="8" w:space="0" w:color="auto"/>
              <w:left w:val="nil"/>
              <w:bottom w:val="single" w:sz="8" w:space="0" w:color="auto"/>
              <w:right w:val="single" w:sz="8" w:space="0" w:color="000000"/>
            </w:tcBorders>
            <w:vAlign w:val="center"/>
            <w:hideMark/>
          </w:tcPr>
          <w:p w14:paraId="08A927A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Cash or non-cash value of an investment related betting chance prize</w:t>
            </w:r>
          </w:p>
        </w:tc>
        <w:tc>
          <w:tcPr>
            <w:tcW w:w="994" w:type="dxa"/>
            <w:tcBorders>
              <w:top w:val="nil"/>
              <w:left w:val="nil"/>
              <w:bottom w:val="single" w:sz="8" w:space="0" w:color="auto"/>
              <w:right w:val="single" w:sz="8" w:space="0" w:color="auto"/>
            </w:tcBorders>
            <w:vAlign w:val="center"/>
            <w:hideMark/>
          </w:tcPr>
          <w:p w14:paraId="5C62400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9.78</w:t>
            </w:r>
          </w:p>
        </w:tc>
        <w:tc>
          <w:tcPr>
            <w:tcW w:w="2553" w:type="dxa"/>
            <w:tcBorders>
              <w:top w:val="single" w:sz="8" w:space="0" w:color="auto"/>
              <w:left w:val="nil"/>
              <w:bottom w:val="single" w:sz="8" w:space="0" w:color="auto"/>
              <w:right w:val="single" w:sz="8" w:space="0" w:color="000000"/>
            </w:tcBorders>
            <w:vAlign w:val="center"/>
            <w:hideMark/>
          </w:tcPr>
          <w:p w14:paraId="403E2B2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Cash or non-cash value of an investment related betting chance prize</w:t>
            </w:r>
          </w:p>
        </w:tc>
        <w:tc>
          <w:tcPr>
            <w:tcW w:w="273" w:type="dxa"/>
            <w:vAlign w:val="center"/>
            <w:hideMark/>
          </w:tcPr>
          <w:p w14:paraId="2C0A20E8"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5E95009C"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75A513A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7.78</w:t>
            </w:r>
          </w:p>
        </w:tc>
        <w:tc>
          <w:tcPr>
            <w:tcW w:w="2263" w:type="dxa"/>
            <w:gridSpan w:val="3"/>
            <w:tcBorders>
              <w:top w:val="single" w:sz="8" w:space="0" w:color="auto"/>
              <w:left w:val="nil"/>
              <w:bottom w:val="single" w:sz="8" w:space="0" w:color="auto"/>
              <w:right w:val="single" w:sz="8" w:space="0" w:color="000000"/>
            </w:tcBorders>
            <w:vAlign w:val="center"/>
            <w:hideMark/>
          </w:tcPr>
          <w:p w14:paraId="58EF3E7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dividends declared to be conduit foreign income</w:t>
            </w:r>
          </w:p>
        </w:tc>
        <w:tc>
          <w:tcPr>
            <w:tcW w:w="992" w:type="dxa"/>
            <w:tcBorders>
              <w:top w:val="single" w:sz="8" w:space="0" w:color="auto"/>
              <w:left w:val="nil"/>
              <w:bottom w:val="single" w:sz="8" w:space="0" w:color="auto"/>
              <w:right w:val="single" w:sz="8" w:space="0" w:color="000000"/>
            </w:tcBorders>
            <w:noWrap/>
            <w:vAlign w:val="center"/>
            <w:hideMark/>
          </w:tcPr>
          <w:p w14:paraId="6D3C249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9.79</w:t>
            </w:r>
          </w:p>
        </w:tc>
        <w:tc>
          <w:tcPr>
            <w:tcW w:w="2410" w:type="dxa"/>
            <w:gridSpan w:val="6"/>
            <w:tcBorders>
              <w:top w:val="single" w:sz="8" w:space="0" w:color="auto"/>
              <w:left w:val="nil"/>
              <w:bottom w:val="single" w:sz="8" w:space="0" w:color="auto"/>
              <w:right w:val="single" w:sz="8" w:space="0" w:color="000000"/>
            </w:tcBorders>
            <w:vAlign w:val="center"/>
            <w:hideMark/>
          </w:tcPr>
          <w:p w14:paraId="375461A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dividends not declared to be conduit foreign income</w:t>
            </w:r>
          </w:p>
        </w:tc>
        <w:tc>
          <w:tcPr>
            <w:tcW w:w="992" w:type="dxa"/>
            <w:gridSpan w:val="2"/>
            <w:tcBorders>
              <w:top w:val="single" w:sz="8" w:space="0" w:color="auto"/>
              <w:left w:val="nil"/>
              <w:bottom w:val="single" w:sz="8" w:space="0" w:color="auto"/>
              <w:right w:val="single" w:sz="8" w:space="0" w:color="000000"/>
            </w:tcBorders>
            <w:vAlign w:val="center"/>
            <w:hideMark/>
          </w:tcPr>
          <w:p w14:paraId="3B33823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9.79</w:t>
            </w:r>
          </w:p>
        </w:tc>
        <w:tc>
          <w:tcPr>
            <w:tcW w:w="2273" w:type="dxa"/>
            <w:gridSpan w:val="7"/>
            <w:tcBorders>
              <w:top w:val="single" w:sz="8" w:space="0" w:color="auto"/>
              <w:left w:val="nil"/>
              <w:bottom w:val="single" w:sz="8" w:space="0" w:color="auto"/>
              <w:right w:val="single" w:sz="8" w:space="0" w:color="000000"/>
            </w:tcBorders>
            <w:vAlign w:val="center"/>
            <w:hideMark/>
          </w:tcPr>
          <w:p w14:paraId="4217281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Interest</w:t>
            </w:r>
          </w:p>
        </w:tc>
        <w:tc>
          <w:tcPr>
            <w:tcW w:w="994" w:type="dxa"/>
            <w:tcBorders>
              <w:top w:val="nil"/>
              <w:left w:val="nil"/>
              <w:bottom w:val="single" w:sz="8" w:space="0" w:color="auto"/>
              <w:right w:val="single" w:sz="8" w:space="0" w:color="auto"/>
            </w:tcBorders>
            <w:vAlign w:val="center"/>
            <w:hideMark/>
          </w:tcPr>
          <w:p w14:paraId="0D699F0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9.79</w:t>
            </w:r>
          </w:p>
        </w:tc>
        <w:tc>
          <w:tcPr>
            <w:tcW w:w="2553" w:type="dxa"/>
            <w:tcBorders>
              <w:top w:val="single" w:sz="8" w:space="0" w:color="auto"/>
              <w:left w:val="nil"/>
              <w:bottom w:val="single" w:sz="8" w:space="0" w:color="auto"/>
              <w:right w:val="single" w:sz="8" w:space="0" w:color="000000"/>
            </w:tcBorders>
            <w:vAlign w:val="center"/>
            <w:hideMark/>
          </w:tcPr>
          <w:p w14:paraId="28056FA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Interest</w:t>
            </w:r>
          </w:p>
        </w:tc>
        <w:tc>
          <w:tcPr>
            <w:tcW w:w="273" w:type="dxa"/>
            <w:vAlign w:val="center"/>
            <w:hideMark/>
          </w:tcPr>
          <w:p w14:paraId="739963C2"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084F94D2" w14:textId="77777777" w:rsidTr="00743808">
        <w:trPr>
          <w:trHeight w:val="1275"/>
        </w:trPr>
        <w:tc>
          <w:tcPr>
            <w:tcW w:w="977" w:type="dxa"/>
            <w:tcBorders>
              <w:top w:val="nil"/>
              <w:left w:val="single" w:sz="8" w:space="0" w:color="auto"/>
              <w:bottom w:val="single" w:sz="8" w:space="0" w:color="auto"/>
              <w:right w:val="single" w:sz="8" w:space="0" w:color="auto"/>
            </w:tcBorders>
            <w:noWrap/>
            <w:vAlign w:val="center"/>
            <w:hideMark/>
          </w:tcPr>
          <w:p w14:paraId="154559A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7.79</w:t>
            </w:r>
          </w:p>
        </w:tc>
        <w:tc>
          <w:tcPr>
            <w:tcW w:w="2263" w:type="dxa"/>
            <w:gridSpan w:val="3"/>
            <w:tcBorders>
              <w:top w:val="single" w:sz="8" w:space="0" w:color="auto"/>
              <w:left w:val="nil"/>
              <w:bottom w:val="single" w:sz="8" w:space="0" w:color="auto"/>
              <w:right w:val="single" w:sz="8" w:space="0" w:color="000000"/>
            </w:tcBorders>
            <w:vAlign w:val="center"/>
            <w:hideMark/>
          </w:tcPr>
          <w:p w14:paraId="208E4F7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Franked dividends </w:t>
            </w:r>
          </w:p>
        </w:tc>
        <w:tc>
          <w:tcPr>
            <w:tcW w:w="992" w:type="dxa"/>
            <w:tcBorders>
              <w:top w:val="single" w:sz="8" w:space="0" w:color="auto"/>
              <w:left w:val="nil"/>
              <w:bottom w:val="single" w:sz="8" w:space="0" w:color="auto"/>
              <w:right w:val="single" w:sz="8" w:space="0" w:color="000000"/>
            </w:tcBorders>
            <w:noWrap/>
            <w:vAlign w:val="center"/>
            <w:hideMark/>
          </w:tcPr>
          <w:p w14:paraId="0E8B474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w:t>
            </w:r>
          </w:p>
        </w:tc>
        <w:tc>
          <w:tcPr>
            <w:tcW w:w="2410" w:type="dxa"/>
            <w:gridSpan w:val="6"/>
            <w:tcBorders>
              <w:top w:val="single" w:sz="8" w:space="0" w:color="auto"/>
              <w:left w:val="nil"/>
              <w:bottom w:val="single" w:sz="8" w:space="0" w:color="auto"/>
              <w:right w:val="single" w:sz="8" w:space="0" w:color="000000"/>
            </w:tcBorders>
            <w:vAlign w:val="center"/>
            <w:hideMark/>
          </w:tcPr>
          <w:p w14:paraId="10390C8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dividends declared to be conduit foreign income</w:t>
            </w:r>
          </w:p>
        </w:tc>
        <w:tc>
          <w:tcPr>
            <w:tcW w:w="992" w:type="dxa"/>
            <w:gridSpan w:val="2"/>
            <w:tcBorders>
              <w:top w:val="single" w:sz="8" w:space="0" w:color="auto"/>
              <w:left w:val="nil"/>
              <w:bottom w:val="single" w:sz="8" w:space="0" w:color="auto"/>
              <w:right w:val="single" w:sz="8" w:space="0" w:color="000000"/>
            </w:tcBorders>
            <w:vAlign w:val="center"/>
            <w:hideMark/>
          </w:tcPr>
          <w:p w14:paraId="77A1C22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w:t>
            </w:r>
          </w:p>
        </w:tc>
        <w:tc>
          <w:tcPr>
            <w:tcW w:w="2273" w:type="dxa"/>
            <w:gridSpan w:val="7"/>
            <w:tcBorders>
              <w:top w:val="single" w:sz="8" w:space="0" w:color="auto"/>
              <w:left w:val="nil"/>
              <w:bottom w:val="single" w:sz="8" w:space="0" w:color="auto"/>
              <w:right w:val="single" w:sz="8" w:space="0" w:color="000000"/>
            </w:tcBorders>
            <w:vAlign w:val="center"/>
            <w:hideMark/>
          </w:tcPr>
          <w:p w14:paraId="13A20D5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dividends not declared to be conduit foreign income</w:t>
            </w:r>
          </w:p>
        </w:tc>
        <w:tc>
          <w:tcPr>
            <w:tcW w:w="994" w:type="dxa"/>
            <w:tcBorders>
              <w:top w:val="nil"/>
              <w:left w:val="nil"/>
              <w:bottom w:val="single" w:sz="8" w:space="0" w:color="auto"/>
              <w:right w:val="single" w:sz="8" w:space="0" w:color="auto"/>
            </w:tcBorders>
            <w:vAlign w:val="center"/>
            <w:hideMark/>
          </w:tcPr>
          <w:p w14:paraId="4AE76F7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w:t>
            </w:r>
          </w:p>
        </w:tc>
        <w:tc>
          <w:tcPr>
            <w:tcW w:w="2553" w:type="dxa"/>
            <w:tcBorders>
              <w:top w:val="single" w:sz="8" w:space="0" w:color="auto"/>
              <w:left w:val="nil"/>
              <w:bottom w:val="single" w:sz="8" w:space="0" w:color="auto"/>
              <w:right w:val="single" w:sz="8" w:space="0" w:color="000000"/>
            </w:tcBorders>
            <w:vAlign w:val="center"/>
            <w:hideMark/>
          </w:tcPr>
          <w:p w14:paraId="2BAB26E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dividends not declared to be conduit foreign income</w:t>
            </w:r>
          </w:p>
        </w:tc>
        <w:tc>
          <w:tcPr>
            <w:tcW w:w="273" w:type="dxa"/>
            <w:vAlign w:val="center"/>
            <w:hideMark/>
          </w:tcPr>
          <w:p w14:paraId="6000587D"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3B9718D"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700CF4D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w:t>
            </w:r>
          </w:p>
        </w:tc>
        <w:tc>
          <w:tcPr>
            <w:tcW w:w="2263" w:type="dxa"/>
            <w:gridSpan w:val="3"/>
            <w:tcBorders>
              <w:top w:val="single" w:sz="8" w:space="0" w:color="auto"/>
              <w:left w:val="nil"/>
              <w:bottom w:val="single" w:sz="8" w:space="0" w:color="auto"/>
              <w:right w:val="single" w:sz="8" w:space="0" w:color="000000"/>
            </w:tcBorders>
            <w:vAlign w:val="center"/>
            <w:hideMark/>
          </w:tcPr>
          <w:p w14:paraId="3C1A7B1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Franking credit </w:t>
            </w:r>
          </w:p>
        </w:tc>
        <w:tc>
          <w:tcPr>
            <w:tcW w:w="992" w:type="dxa"/>
            <w:tcBorders>
              <w:top w:val="single" w:sz="8" w:space="0" w:color="auto"/>
              <w:left w:val="nil"/>
              <w:bottom w:val="single" w:sz="8" w:space="0" w:color="auto"/>
              <w:right w:val="single" w:sz="8" w:space="0" w:color="000000"/>
            </w:tcBorders>
            <w:noWrap/>
            <w:vAlign w:val="center"/>
            <w:hideMark/>
          </w:tcPr>
          <w:p w14:paraId="5EF0A27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9.81</w:t>
            </w:r>
          </w:p>
        </w:tc>
        <w:tc>
          <w:tcPr>
            <w:tcW w:w="2410" w:type="dxa"/>
            <w:gridSpan w:val="6"/>
            <w:tcBorders>
              <w:top w:val="single" w:sz="8" w:space="0" w:color="auto"/>
              <w:left w:val="nil"/>
              <w:bottom w:val="single" w:sz="8" w:space="0" w:color="auto"/>
              <w:right w:val="single" w:sz="8" w:space="0" w:color="000000"/>
            </w:tcBorders>
            <w:vAlign w:val="center"/>
            <w:hideMark/>
          </w:tcPr>
          <w:p w14:paraId="509617F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Franked dividends</w:t>
            </w:r>
          </w:p>
        </w:tc>
        <w:tc>
          <w:tcPr>
            <w:tcW w:w="992" w:type="dxa"/>
            <w:gridSpan w:val="2"/>
            <w:tcBorders>
              <w:top w:val="single" w:sz="8" w:space="0" w:color="auto"/>
              <w:left w:val="nil"/>
              <w:bottom w:val="single" w:sz="8" w:space="0" w:color="auto"/>
              <w:right w:val="single" w:sz="8" w:space="0" w:color="000000"/>
            </w:tcBorders>
            <w:vAlign w:val="center"/>
            <w:hideMark/>
          </w:tcPr>
          <w:p w14:paraId="2921F29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9.81</w:t>
            </w:r>
          </w:p>
        </w:tc>
        <w:tc>
          <w:tcPr>
            <w:tcW w:w="2273" w:type="dxa"/>
            <w:gridSpan w:val="7"/>
            <w:tcBorders>
              <w:top w:val="single" w:sz="8" w:space="0" w:color="auto"/>
              <w:left w:val="nil"/>
              <w:bottom w:val="single" w:sz="8" w:space="0" w:color="auto"/>
              <w:right w:val="single" w:sz="8" w:space="0" w:color="000000"/>
            </w:tcBorders>
            <w:vAlign w:val="center"/>
            <w:hideMark/>
          </w:tcPr>
          <w:p w14:paraId="1664438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dividends declared to be conduit foreign income</w:t>
            </w:r>
          </w:p>
        </w:tc>
        <w:tc>
          <w:tcPr>
            <w:tcW w:w="994" w:type="dxa"/>
            <w:tcBorders>
              <w:top w:val="nil"/>
              <w:left w:val="nil"/>
              <w:bottom w:val="single" w:sz="8" w:space="0" w:color="auto"/>
              <w:right w:val="single" w:sz="8" w:space="0" w:color="auto"/>
            </w:tcBorders>
            <w:vAlign w:val="center"/>
            <w:hideMark/>
          </w:tcPr>
          <w:p w14:paraId="1F7E6BA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9.81</w:t>
            </w:r>
          </w:p>
        </w:tc>
        <w:tc>
          <w:tcPr>
            <w:tcW w:w="2553" w:type="dxa"/>
            <w:tcBorders>
              <w:top w:val="single" w:sz="8" w:space="0" w:color="auto"/>
              <w:left w:val="nil"/>
              <w:bottom w:val="single" w:sz="8" w:space="0" w:color="auto"/>
              <w:right w:val="single" w:sz="8" w:space="0" w:color="000000"/>
            </w:tcBorders>
            <w:vAlign w:val="center"/>
            <w:hideMark/>
          </w:tcPr>
          <w:p w14:paraId="4FF3C91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dividends declared to be conduit foreign income</w:t>
            </w:r>
          </w:p>
        </w:tc>
        <w:tc>
          <w:tcPr>
            <w:tcW w:w="273" w:type="dxa"/>
            <w:vAlign w:val="center"/>
            <w:hideMark/>
          </w:tcPr>
          <w:p w14:paraId="5675794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644DF6F4"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2C461E3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7.81</w:t>
            </w:r>
          </w:p>
        </w:tc>
        <w:tc>
          <w:tcPr>
            <w:tcW w:w="2263" w:type="dxa"/>
            <w:gridSpan w:val="3"/>
            <w:tcBorders>
              <w:top w:val="single" w:sz="8" w:space="0" w:color="auto"/>
              <w:left w:val="nil"/>
              <w:bottom w:val="single" w:sz="8" w:space="0" w:color="auto"/>
              <w:right w:val="single" w:sz="8" w:space="0" w:color="000000"/>
            </w:tcBorders>
            <w:vAlign w:val="center"/>
            <w:hideMark/>
          </w:tcPr>
          <w:p w14:paraId="1902F94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Other taxable Australian income </w:t>
            </w:r>
          </w:p>
        </w:tc>
        <w:tc>
          <w:tcPr>
            <w:tcW w:w="992" w:type="dxa"/>
            <w:tcBorders>
              <w:top w:val="single" w:sz="8" w:space="0" w:color="auto"/>
              <w:left w:val="nil"/>
              <w:bottom w:val="single" w:sz="8" w:space="0" w:color="auto"/>
              <w:right w:val="single" w:sz="8" w:space="0" w:color="000000"/>
            </w:tcBorders>
            <w:noWrap/>
            <w:vAlign w:val="center"/>
            <w:hideMark/>
          </w:tcPr>
          <w:p w14:paraId="222200F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9.82</w:t>
            </w:r>
          </w:p>
        </w:tc>
        <w:tc>
          <w:tcPr>
            <w:tcW w:w="2410" w:type="dxa"/>
            <w:gridSpan w:val="6"/>
            <w:tcBorders>
              <w:top w:val="single" w:sz="8" w:space="0" w:color="auto"/>
              <w:left w:val="nil"/>
              <w:bottom w:val="single" w:sz="8" w:space="0" w:color="auto"/>
              <w:right w:val="single" w:sz="8" w:space="0" w:color="000000"/>
            </w:tcBorders>
            <w:vAlign w:val="center"/>
            <w:hideMark/>
          </w:tcPr>
          <w:p w14:paraId="0D8B09D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Franking credit</w:t>
            </w:r>
          </w:p>
        </w:tc>
        <w:tc>
          <w:tcPr>
            <w:tcW w:w="992" w:type="dxa"/>
            <w:gridSpan w:val="2"/>
            <w:tcBorders>
              <w:top w:val="single" w:sz="8" w:space="0" w:color="auto"/>
              <w:left w:val="nil"/>
              <w:bottom w:val="single" w:sz="8" w:space="0" w:color="auto"/>
              <w:right w:val="single" w:sz="8" w:space="0" w:color="000000"/>
            </w:tcBorders>
            <w:vAlign w:val="center"/>
            <w:hideMark/>
          </w:tcPr>
          <w:p w14:paraId="2A04A93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9.82</w:t>
            </w:r>
          </w:p>
        </w:tc>
        <w:tc>
          <w:tcPr>
            <w:tcW w:w="2273" w:type="dxa"/>
            <w:gridSpan w:val="7"/>
            <w:tcBorders>
              <w:top w:val="single" w:sz="8" w:space="0" w:color="auto"/>
              <w:left w:val="nil"/>
              <w:bottom w:val="single" w:sz="8" w:space="0" w:color="auto"/>
              <w:right w:val="single" w:sz="8" w:space="0" w:color="000000"/>
            </w:tcBorders>
            <w:vAlign w:val="center"/>
            <w:hideMark/>
          </w:tcPr>
          <w:p w14:paraId="0FDB5F7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Franked dividends</w:t>
            </w:r>
          </w:p>
        </w:tc>
        <w:tc>
          <w:tcPr>
            <w:tcW w:w="994" w:type="dxa"/>
            <w:tcBorders>
              <w:top w:val="nil"/>
              <w:left w:val="nil"/>
              <w:bottom w:val="single" w:sz="8" w:space="0" w:color="auto"/>
              <w:right w:val="single" w:sz="8" w:space="0" w:color="auto"/>
            </w:tcBorders>
            <w:vAlign w:val="center"/>
            <w:hideMark/>
          </w:tcPr>
          <w:p w14:paraId="6DEB426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9.82</w:t>
            </w:r>
          </w:p>
        </w:tc>
        <w:tc>
          <w:tcPr>
            <w:tcW w:w="2553" w:type="dxa"/>
            <w:tcBorders>
              <w:top w:val="single" w:sz="8" w:space="0" w:color="auto"/>
              <w:left w:val="nil"/>
              <w:bottom w:val="single" w:sz="8" w:space="0" w:color="auto"/>
              <w:right w:val="single" w:sz="8" w:space="0" w:color="000000"/>
            </w:tcBorders>
            <w:vAlign w:val="center"/>
            <w:hideMark/>
          </w:tcPr>
          <w:p w14:paraId="7560781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Franked dividends</w:t>
            </w:r>
          </w:p>
        </w:tc>
        <w:tc>
          <w:tcPr>
            <w:tcW w:w="273" w:type="dxa"/>
            <w:vAlign w:val="center"/>
            <w:hideMark/>
          </w:tcPr>
          <w:p w14:paraId="10ECB7A5"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8F2F332"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1E07C97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7.82</w:t>
            </w:r>
          </w:p>
        </w:tc>
        <w:tc>
          <w:tcPr>
            <w:tcW w:w="2263" w:type="dxa"/>
            <w:gridSpan w:val="3"/>
            <w:tcBorders>
              <w:top w:val="single" w:sz="8" w:space="0" w:color="auto"/>
              <w:left w:val="nil"/>
              <w:bottom w:val="single" w:sz="8" w:space="0" w:color="auto"/>
              <w:right w:val="single" w:sz="8" w:space="0" w:color="000000"/>
            </w:tcBorders>
            <w:vAlign w:val="center"/>
            <w:hideMark/>
          </w:tcPr>
          <w:p w14:paraId="2BC846A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Non-primary production income </w:t>
            </w:r>
          </w:p>
        </w:tc>
        <w:tc>
          <w:tcPr>
            <w:tcW w:w="992" w:type="dxa"/>
            <w:tcBorders>
              <w:top w:val="single" w:sz="8" w:space="0" w:color="auto"/>
              <w:left w:val="nil"/>
              <w:bottom w:val="single" w:sz="8" w:space="0" w:color="auto"/>
              <w:right w:val="single" w:sz="8" w:space="0" w:color="000000"/>
            </w:tcBorders>
            <w:noWrap/>
            <w:vAlign w:val="center"/>
            <w:hideMark/>
          </w:tcPr>
          <w:p w14:paraId="3D4C250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9.83</w:t>
            </w:r>
          </w:p>
        </w:tc>
        <w:tc>
          <w:tcPr>
            <w:tcW w:w="2410" w:type="dxa"/>
            <w:gridSpan w:val="6"/>
            <w:tcBorders>
              <w:top w:val="single" w:sz="8" w:space="0" w:color="auto"/>
              <w:left w:val="nil"/>
              <w:bottom w:val="single" w:sz="8" w:space="0" w:color="auto"/>
              <w:right w:val="single" w:sz="8" w:space="0" w:color="000000"/>
            </w:tcBorders>
            <w:vAlign w:val="center"/>
            <w:hideMark/>
          </w:tcPr>
          <w:p w14:paraId="2D3550A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taxable Australian income</w:t>
            </w:r>
          </w:p>
        </w:tc>
        <w:tc>
          <w:tcPr>
            <w:tcW w:w="992" w:type="dxa"/>
            <w:gridSpan w:val="2"/>
            <w:tcBorders>
              <w:top w:val="single" w:sz="8" w:space="0" w:color="auto"/>
              <w:left w:val="nil"/>
              <w:bottom w:val="single" w:sz="8" w:space="0" w:color="auto"/>
              <w:right w:val="single" w:sz="8" w:space="0" w:color="000000"/>
            </w:tcBorders>
            <w:vAlign w:val="center"/>
            <w:hideMark/>
          </w:tcPr>
          <w:p w14:paraId="716367E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9.83</w:t>
            </w:r>
          </w:p>
        </w:tc>
        <w:tc>
          <w:tcPr>
            <w:tcW w:w="2273" w:type="dxa"/>
            <w:gridSpan w:val="7"/>
            <w:tcBorders>
              <w:top w:val="single" w:sz="8" w:space="0" w:color="auto"/>
              <w:left w:val="nil"/>
              <w:bottom w:val="single" w:sz="8" w:space="0" w:color="auto"/>
              <w:right w:val="single" w:sz="8" w:space="0" w:color="000000"/>
            </w:tcBorders>
            <w:vAlign w:val="center"/>
            <w:hideMark/>
          </w:tcPr>
          <w:p w14:paraId="0D9648A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Franking credit</w:t>
            </w:r>
          </w:p>
        </w:tc>
        <w:tc>
          <w:tcPr>
            <w:tcW w:w="994" w:type="dxa"/>
            <w:tcBorders>
              <w:top w:val="nil"/>
              <w:left w:val="nil"/>
              <w:bottom w:val="single" w:sz="8" w:space="0" w:color="auto"/>
              <w:right w:val="single" w:sz="8" w:space="0" w:color="auto"/>
            </w:tcBorders>
            <w:vAlign w:val="center"/>
            <w:hideMark/>
          </w:tcPr>
          <w:p w14:paraId="596E4E5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9.83</w:t>
            </w:r>
          </w:p>
        </w:tc>
        <w:tc>
          <w:tcPr>
            <w:tcW w:w="2553" w:type="dxa"/>
            <w:tcBorders>
              <w:top w:val="single" w:sz="8" w:space="0" w:color="auto"/>
              <w:left w:val="nil"/>
              <w:bottom w:val="single" w:sz="8" w:space="0" w:color="auto"/>
              <w:right w:val="single" w:sz="8" w:space="0" w:color="000000"/>
            </w:tcBorders>
            <w:vAlign w:val="center"/>
            <w:hideMark/>
          </w:tcPr>
          <w:p w14:paraId="77C03C5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Franking credit</w:t>
            </w:r>
          </w:p>
        </w:tc>
        <w:tc>
          <w:tcPr>
            <w:tcW w:w="273" w:type="dxa"/>
            <w:vAlign w:val="center"/>
            <w:hideMark/>
          </w:tcPr>
          <w:p w14:paraId="24D8B70B"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53EA4923"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0B68829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7.83</w:t>
            </w:r>
          </w:p>
        </w:tc>
        <w:tc>
          <w:tcPr>
            <w:tcW w:w="2263" w:type="dxa"/>
            <w:gridSpan w:val="3"/>
            <w:tcBorders>
              <w:top w:val="single" w:sz="8" w:space="0" w:color="auto"/>
              <w:left w:val="nil"/>
              <w:bottom w:val="single" w:sz="8" w:space="0" w:color="auto"/>
              <w:right w:val="single" w:sz="8" w:space="0" w:color="000000"/>
            </w:tcBorders>
            <w:vAlign w:val="center"/>
            <w:hideMark/>
          </w:tcPr>
          <w:p w14:paraId="43674C0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Deductions relating to Non-primary production distributions</w:t>
            </w:r>
          </w:p>
        </w:tc>
        <w:tc>
          <w:tcPr>
            <w:tcW w:w="992" w:type="dxa"/>
            <w:tcBorders>
              <w:top w:val="single" w:sz="8" w:space="0" w:color="auto"/>
              <w:left w:val="nil"/>
              <w:bottom w:val="single" w:sz="8" w:space="0" w:color="auto"/>
              <w:right w:val="single" w:sz="8" w:space="0" w:color="000000"/>
            </w:tcBorders>
            <w:noWrap/>
            <w:vAlign w:val="center"/>
            <w:hideMark/>
          </w:tcPr>
          <w:p w14:paraId="6CDD5D1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9.84</w:t>
            </w:r>
          </w:p>
        </w:tc>
        <w:tc>
          <w:tcPr>
            <w:tcW w:w="2410" w:type="dxa"/>
            <w:gridSpan w:val="6"/>
            <w:tcBorders>
              <w:top w:val="single" w:sz="8" w:space="0" w:color="auto"/>
              <w:left w:val="nil"/>
              <w:bottom w:val="single" w:sz="8" w:space="0" w:color="auto"/>
              <w:right w:val="single" w:sz="8" w:space="0" w:color="000000"/>
            </w:tcBorders>
            <w:vAlign w:val="center"/>
            <w:hideMark/>
          </w:tcPr>
          <w:p w14:paraId="034961C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Non-primary production income</w:t>
            </w:r>
          </w:p>
        </w:tc>
        <w:tc>
          <w:tcPr>
            <w:tcW w:w="992" w:type="dxa"/>
            <w:gridSpan w:val="2"/>
            <w:tcBorders>
              <w:top w:val="single" w:sz="8" w:space="0" w:color="auto"/>
              <w:left w:val="nil"/>
              <w:bottom w:val="single" w:sz="8" w:space="0" w:color="auto"/>
              <w:right w:val="single" w:sz="8" w:space="0" w:color="000000"/>
            </w:tcBorders>
            <w:vAlign w:val="center"/>
            <w:hideMark/>
          </w:tcPr>
          <w:p w14:paraId="3138ACB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9.84</w:t>
            </w:r>
          </w:p>
        </w:tc>
        <w:tc>
          <w:tcPr>
            <w:tcW w:w="2273" w:type="dxa"/>
            <w:gridSpan w:val="7"/>
            <w:tcBorders>
              <w:top w:val="single" w:sz="8" w:space="0" w:color="auto"/>
              <w:left w:val="nil"/>
              <w:bottom w:val="single" w:sz="8" w:space="0" w:color="auto"/>
              <w:right w:val="single" w:sz="8" w:space="0" w:color="000000"/>
            </w:tcBorders>
            <w:vAlign w:val="center"/>
            <w:hideMark/>
          </w:tcPr>
          <w:p w14:paraId="6647B74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taxable Australian income</w:t>
            </w:r>
          </w:p>
        </w:tc>
        <w:tc>
          <w:tcPr>
            <w:tcW w:w="994" w:type="dxa"/>
            <w:tcBorders>
              <w:top w:val="nil"/>
              <w:left w:val="nil"/>
              <w:bottom w:val="single" w:sz="8" w:space="0" w:color="auto"/>
              <w:right w:val="single" w:sz="8" w:space="0" w:color="auto"/>
            </w:tcBorders>
            <w:vAlign w:val="center"/>
            <w:hideMark/>
          </w:tcPr>
          <w:p w14:paraId="684E65B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9.84</w:t>
            </w:r>
          </w:p>
        </w:tc>
        <w:tc>
          <w:tcPr>
            <w:tcW w:w="2553" w:type="dxa"/>
            <w:tcBorders>
              <w:top w:val="single" w:sz="8" w:space="0" w:color="auto"/>
              <w:left w:val="nil"/>
              <w:bottom w:val="single" w:sz="8" w:space="0" w:color="auto"/>
              <w:right w:val="single" w:sz="8" w:space="0" w:color="000000"/>
            </w:tcBorders>
            <w:vAlign w:val="center"/>
            <w:hideMark/>
          </w:tcPr>
          <w:p w14:paraId="22A04E2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taxable Australian income</w:t>
            </w:r>
          </w:p>
        </w:tc>
        <w:tc>
          <w:tcPr>
            <w:tcW w:w="273" w:type="dxa"/>
            <w:vAlign w:val="center"/>
            <w:hideMark/>
          </w:tcPr>
          <w:p w14:paraId="7AE23A7A"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5DA78100"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5E04B66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7.84</w:t>
            </w:r>
          </w:p>
        </w:tc>
        <w:tc>
          <w:tcPr>
            <w:tcW w:w="2263" w:type="dxa"/>
            <w:gridSpan w:val="3"/>
            <w:tcBorders>
              <w:top w:val="single" w:sz="8" w:space="0" w:color="auto"/>
              <w:left w:val="nil"/>
              <w:bottom w:val="single" w:sz="8" w:space="0" w:color="auto"/>
              <w:right w:val="single" w:sz="8" w:space="0" w:color="000000"/>
            </w:tcBorders>
            <w:vAlign w:val="center"/>
            <w:hideMark/>
          </w:tcPr>
          <w:p w14:paraId="75D7775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CGT concession amount or AMIT CGT gross up amount</w:t>
            </w:r>
          </w:p>
        </w:tc>
        <w:tc>
          <w:tcPr>
            <w:tcW w:w="992" w:type="dxa"/>
            <w:tcBorders>
              <w:top w:val="single" w:sz="8" w:space="0" w:color="auto"/>
              <w:left w:val="nil"/>
              <w:bottom w:val="single" w:sz="8" w:space="0" w:color="auto"/>
              <w:right w:val="single" w:sz="8" w:space="0" w:color="000000"/>
            </w:tcBorders>
            <w:noWrap/>
            <w:vAlign w:val="center"/>
            <w:hideMark/>
          </w:tcPr>
          <w:p w14:paraId="66096B1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9.85</w:t>
            </w:r>
          </w:p>
        </w:tc>
        <w:tc>
          <w:tcPr>
            <w:tcW w:w="2410" w:type="dxa"/>
            <w:gridSpan w:val="6"/>
            <w:tcBorders>
              <w:top w:val="single" w:sz="8" w:space="0" w:color="auto"/>
              <w:left w:val="nil"/>
              <w:bottom w:val="single" w:sz="8" w:space="0" w:color="auto"/>
              <w:right w:val="single" w:sz="8" w:space="0" w:color="000000"/>
            </w:tcBorders>
            <w:vAlign w:val="center"/>
            <w:hideMark/>
          </w:tcPr>
          <w:p w14:paraId="125D42C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Deductions relating to Non-primary production distributions</w:t>
            </w:r>
          </w:p>
        </w:tc>
        <w:tc>
          <w:tcPr>
            <w:tcW w:w="992" w:type="dxa"/>
            <w:gridSpan w:val="2"/>
            <w:tcBorders>
              <w:top w:val="single" w:sz="8" w:space="0" w:color="auto"/>
              <w:left w:val="nil"/>
              <w:bottom w:val="single" w:sz="8" w:space="0" w:color="auto"/>
              <w:right w:val="single" w:sz="8" w:space="0" w:color="000000"/>
            </w:tcBorders>
            <w:vAlign w:val="center"/>
            <w:hideMark/>
          </w:tcPr>
          <w:p w14:paraId="1ED7400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9.85</w:t>
            </w:r>
          </w:p>
        </w:tc>
        <w:tc>
          <w:tcPr>
            <w:tcW w:w="2273" w:type="dxa"/>
            <w:gridSpan w:val="7"/>
            <w:tcBorders>
              <w:top w:val="single" w:sz="8" w:space="0" w:color="auto"/>
              <w:left w:val="nil"/>
              <w:bottom w:val="single" w:sz="8" w:space="0" w:color="auto"/>
              <w:right w:val="single" w:sz="8" w:space="0" w:color="000000"/>
            </w:tcBorders>
            <w:vAlign w:val="center"/>
            <w:hideMark/>
          </w:tcPr>
          <w:p w14:paraId="42BF484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Non-primary production income</w:t>
            </w:r>
          </w:p>
        </w:tc>
        <w:tc>
          <w:tcPr>
            <w:tcW w:w="994" w:type="dxa"/>
            <w:tcBorders>
              <w:top w:val="nil"/>
              <w:left w:val="nil"/>
              <w:bottom w:val="single" w:sz="8" w:space="0" w:color="auto"/>
              <w:right w:val="single" w:sz="8" w:space="0" w:color="auto"/>
            </w:tcBorders>
            <w:vAlign w:val="center"/>
            <w:hideMark/>
          </w:tcPr>
          <w:p w14:paraId="3F454E9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9.85</w:t>
            </w:r>
          </w:p>
        </w:tc>
        <w:tc>
          <w:tcPr>
            <w:tcW w:w="2553" w:type="dxa"/>
            <w:tcBorders>
              <w:top w:val="single" w:sz="8" w:space="0" w:color="auto"/>
              <w:left w:val="nil"/>
              <w:bottom w:val="single" w:sz="8" w:space="0" w:color="auto"/>
              <w:right w:val="single" w:sz="8" w:space="0" w:color="000000"/>
            </w:tcBorders>
            <w:vAlign w:val="center"/>
            <w:hideMark/>
          </w:tcPr>
          <w:p w14:paraId="60E505E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Non-primary production income</w:t>
            </w:r>
          </w:p>
        </w:tc>
        <w:tc>
          <w:tcPr>
            <w:tcW w:w="273" w:type="dxa"/>
            <w:vAlign w:val="center"/>
            <w:hideMark/>
          </w:tcPr>
          <w:p w14:paraId="4D1FF284"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BC2EE37"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7E0CCF0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7.85</w:t>
            </w:r>
          </w:p>
        </w:tc>
        <w:tc>
          <w:tcPr>
            <w:tcW w:w="2263" w:type="dxa"/>
            <w:gridSpan w:val="3"/>
            <w:tcBorders>
              <w:top w:val="single" w:sz="8" w:space="0" w:color="auto"/>
              <w:left w:val="nil"/>
              <w:bottom w:val="single" w:sz="8" w:space="0" w:color="auto"/>
              <w:right w:val="single" w:sz="8" w:space="0" w:color="000000"/>
            </w:tcBorders>
            <w:vAlign w:val="center"/>
            <w:hideMark/>
          </w:tcPr>
          <w:p w14:paraId="4C6F9E0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capital gain</w:t>
            </w:r>
          </w:p>
        </w:tc>
        <w:tc>
          <w:tcPr>
            <w:tcW w:w="992" w:type="dxa"/>
            <w:tcBorders>
              <w:top w:val="single" w:sz="8" w:space="0" w:color="auto"/>
              <w:left w:val="nil"/>
              <w:bottom w:val="single" w:sz="8" w:space="0" w:color="auto"/>
              <w:right w:val="single" w:sz="8" w:space="0" w:color="000000"/>
            </w:tcBorders>
            <w:noWrap/>
            <w:vAlign w:val="center"/>
            <w:hideMark/>
          </w:tcPr>
          <w:p w14:paraId="710D717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9.86</w:t>
            </w:r>
          </w:p>
        </w:tc>
        <w:tc>
          <w:tcPr>
            <w:tcW w:w="2410" w:type="dxa"/>
            <w:gridSpan w:val="6"/>
            <w:tcBorders>
              <w:top w:val="single" w:sz="8" w:space="0" w:color="auto"/>
              <w:left w:val="nil"/>
              <w:bottom w:val="single" w:sz="8" w:space="0" w:color="auto"/>
              <w:right w:val="single" w:sz="8" w:space="0" w:color="000000"/>
            </w:tcBorders>
            <w:vAlign w:val="center"/>
            <w:hideMark/>
          </w:tcPr>
          <w:p w14:paraId="2BC5D72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CGT concession amount or AMIT CGT gross up amount</w:t>
            </w:r>
          </w:p>
        </w:tc>
        <w:tc>
          <w:tcPr>
            <w:tcW w:w="992" w:type="dxa"/>
            <w:gridSpan w:val="2"/>
            <w:tcBorders>
              <w:top w:val="single" w:sz="8" w:space="0" w:color="auto"/>
              <w:left w:val="nil"/>
              <w:bottom w:val="single" w:sz="8" w:space="0" w:color="auto"/>
              <w:right w:val="single" w:sz="8" w:space="0" w:color="000000"/>
            </w:tcBorders>
            <w:vAlign w:val="center"/>
            <w:hideMark/>
          </w:tcPr>
          <w:p w14:paraId="5FDC3B4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9.86</w:t>
            </w:r>
          </w:p>
        </w:tc>
        <w:tc>
          <w:tcPr>
            <w:tcW w:w="2273" w:type="dxa"/>
            <w:gridSpan w:val="7"/>
            <w:tcBorders>
              <w:top w:val="single" w:sz="8" w:space="0" w:color="auto"/>
              <w:left w:val="nil"/>
              <w:bottom w:val="single" w:sz="8" w:space="0" w:color="auto"/>
              <w:right w:val="single" w:sz="8" w:space="0" w:color="000000"/>
            </w:tcBorders>
            <w:vAlign w:val="center"/>
            <w:hideMark/>
          </w:tcPr>
          <w:p w14:paraId="1EDBD90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Deductions relating to Non-primary production distributions</w:t>
            </w:r>
          </w:p>
        </w:tc>
        <w:tc>
          <w:tcPr>
            <w:tcW w:w="994" w:type="dxa"/>
            <w:tcBorders>
              <w:top w:val="nil"/>
              <w:left w:val="nil"/>
              <w:bottom w:val="single" w:sz="8" w:space="0" w:color="auto"/>
              <w:right w:val="single" w:sz="8" w:space="0" w:color="auto"/>
            </w:tcBorders>
            <w:vAlign w:val="center"/>
            <w:hideMark/>
          </w:tcPr>
          <w:p w14:paraId="7321DC7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9.86</w:t>
            </w:r>
          </w:p>
        </w:tc>
        <w:tc>
          <w:tcPr>
            <w:tcW w:w="2553" w:type="dxa"/>
            <w:tcBorders>
              <w:top w:val="single" w:sz="8" w:space="0" w:color="auto"/>
              <w:left w:val="nil"/>
              <w:bottom w:val="single" w:sz="8" w:space="0" w:color="auto"/>
              <w:right w:val="single" w:sz="8" w:space="0" w:color="000000"/>
            </w:tcBorders>
            <w:vAlign w:val="center"/>
            <w:hideMark/>
          </w:tcPr>
          <w:p w14:paraId="7514F71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Deductions relating to Non-primary production distributions</w:t>
            </w:r>
          </w:p>
        </w:tc>
        <w:tc>
          <w:tcPr>
            <w:tcW w:w="273" w:type="dxa"/>
            <w:vAlign w:val="center"/>
            <w:hideMark/>
          </w:tcPr>
          <w:p w14:paraId="4058DA7E"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C053C34"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703970A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7.86</w:t>
            </w:r>
          </w:p>
        </w:tc>
        <w:tc>
          <w:tcPr>
            <w:tcW w:w="2263" w:type="dxa"/>
            <w:gridSpan w:val="3"/>
            <w:tcBorders>
              <w:top w:val="single" w:sz="8" w:space="0" w:color="auto"/>
              <w:left w:val="nil"/>
              <w:bottom w:val="single" w:sz="8" w:space="0" w:color="auto"/>
              <w:right w:val="single" w:sz="8" w:space="0" w:color="000000"/>
            </w:tcBorders>
            <w:vAlign w:val="center"/>
            <w:hideMark/>
          </w:tcPr>
          <w:p w14:paraId="66A4554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Total current year capital gains </w:t>
            </w:r>
          </w:p>
        </w:tc>
        <w:tc>
          <w:tcPr>
            <w:tcW w:w="992" w:type="dxa"/>
            <w:tcBorders>
              <w:top w:val="single" w:sz="8" w:space="0" w:color="auto"/>
              <w:left w:val="nil"/>
              <w:bottom w:val="single" w:sz="8" w:space="0" w:color="auto"/>
              <w:right w:val="single" w:sz="8" w:space="0" w:color="000000"/>
            </w:tcBorders>
            <w:noWrap/>
            <w:vAlign w:val="center"/>
            <w:hideMark/>
          </w:tcPr>
          <w:p w14:paraId="4968095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9.87</w:t>
            </w:r>
          </w:p>
        </w:tc>
        <w:tc>
          <w:tcPr>
            <w:tcW w:w="2410" w:type="dxa"/>
            <w:gridSpan w:val="6"/>
            <w:tcBorders>
              <w:top w:val="single" w:sz="8" w:space="0" w:color="auto"/>
              <w:left w:val="nil"/>
              <w:bottom w:val="single" w:sz="8" w:space="0" w:color="auto"/>
              <w:right w:val="single" w:sz="8" w:space="0" w:color="000000"/>
            </w:tcBorders>
            <w:vAlign w:val="center"/>
            <w:hideMark/>
          </w:tcPr>
          <w:p w14:paraId="373C11B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capital gain</w:t>
            </w:r>
          </w:p>
        </w:tc>
        <w:tc>
          <w:tcPr>
            <w:tcW w:w="992" w:type="dxa"/>
            <w:gridSpan w:val="2"/>
            <w:tcBorders>
              <w:top w:val="single" w:sz="8" w:space="0" w:color="auto"/>
              <w:left w:val="nil"/>
              <w:bottom w:val="single" w:sz="8" w:space="0" w:color="auto"/>
              <w:right w:val="single" w:sz="8" w:space="0" w:color="000000"/>
            </w:tcBorders>
            <w:vAlign w:val="center"/>
            <w:hideMark/>
          </w:tcPr>
          <w:p w14:paraId="167FBC7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9.87</w:t>
            </w:r>
          </w:p>
        </w:tc>
        <w:tc>
          <w:tcPr>
            <w:tcW w:w="2273" w:type="dxa"/>
            <w:gridSpan w:val="7"/>
            <w:tcBorders>
              <w:top w:val="single" w:sz="8" w:space="0" w:color="auto"/>
              <w:left w:val="nil"/>
              <w:bottom w:val="single" w:sz="8" w:space="0" w:color="auto"/>
              <w:right w:val="single" w:sz="8" w:space="0" w:color="000000"/>
            </w:tcBorders>
            <w:vAlign w:val="center"/>
            <w:hideMark/>
          </w:tcPr>
          <w:p w14:paraId="3D6F1E0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CGT concession amount or AMIT CGT gross up amount</w:t>
            </w:r>
          </w:p>
        </w:tc>
        <w:tc>
          <w:tcPr>
            <w:tcW w:w="994" w:type="dxa"/>
            <w:tcBorders>
              <w:top w:val="nil"/>
              <w:left w:val="nil"/>
              <w:bottom w:val="single" w:sz="8" w:space="0" w:color="auto"/>
              <w:right w:val="single" w:sz="8" w:space="0" w:color="auto"/>
            </w:tcBorders>
            <w:vAlign w:val="center"/>
            <w:hideMark/>
          </w:tcPr>
          <w:p w14:paraId="6ADF5D0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9.87</w:t>
            </w:r>
          </w:p>
        </w:tc>
        <w:tc>
          <w:tcPr>
            <w:tcW w:w="2553" w:type="dxa"/>
            <w:tcBorders>
              <w:top w:val="single" w:sz="8" w:space="0" w:color="auto"/>
              <w:left w:val="nil"/>
              <w:bottom w:val="single" w:sz="8" w:space="0" w:color="auto"/>
              <w:right w:val="single" w:sz="8" w:space="0" w:color="000000"/>
            </w:tcBorders>
            <w:vAlign w:val="center"/>
            <w:hideMark/>
          </w:tcPr>
          <w:p w14:paraId="16011D7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CGT concession amount or AMIT CGT gross up amount</w:t>
            </w:r>
          </w:p>
        </w:tc>
        <w:tc>
          <w:tcPr>
            <w:tcW w:w="273" w:type="dxa"/>
            <w:vAlign w:val="center"/>
            <w:hideMark/>
          </w:tcPr>
          <w:p w14:paraId="43D3B64B"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15914435"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5FE3726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7.87</w:t>
            </w:r>
          </w:p>
        </w:tc>
        <w:tc>
          <w:tcPr>
            <w:tcW w:w="2263" w:type="dxa"/>
            <w:gridSpan w:val="3"/>
            <w:tcBorders>
              <w:top w:val="single" w:sz="8" w:space="0" w:color="auto"/>
              <w:left w:val="nil"/>
              <w:bottom w:val="single" w:sz="8" w:space="0" w:color="auto"/>
              <w:right w:val="single" w:sz="8" w:space="0" w:color="000000"/>
            </w:tcBorders>
            <w:vAlign w:val="center"/>
            <w:hideMark/>
          </w:tcPr>
          <w:p w14:paraId="33A7C4C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Taxable foreign capital gains </w:t>
            </w:r>
          </w:p>
        </w:tc>
        <w:tc>
          <w:tcPr>
            <w:tcW w:w="992" w:type="dxa"/>
            <w:tcBorders>
              <w:top w:val="single" w:sz="8" w:space="0" w:color="auto"/>
              <w:left w:val="nil"/>
              <w:bottom w:val="single" w:sz="8" w:space="0" w:color="auto"/>
              <w:right w:val="single" w:sz="8" w:space="0" w:color="000000"/>
            </w:tcBorders>
            <w:noWrap/>
            <w:vAlign w:val="center"/>
            <w:hideMark/>
          </w:tcPr>
          <w:p w14:paraId="4634384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9.88</w:t>
            </w:r>
          </w:p>
        </w:tc>
        <w:tc>
          <w:tcPr>
            <w:tcW w:w="2410" w:type="dxa"/>
            <w:gridSpan w:val="6"/>
            <w:tcBorders>
              <w:top w:val="single" w:sz="8" w:space="0" w:color="auto"/>
              <w:left w:val="nil"/>
              <w:bottom w:val="single" w:sz="8" w:space="0" w:color="auto"/>
              <w:right w:val="single" w:sz="8" w:space="0" w:color="000000"/>
            </w:tcBorders>
            <w:vAlign w:val="center"/>
            <w:hideMark/>
          </w:tcPr>
          <w:p w14:paraId="5C606BB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Total current year capital gains</w:t>
            </w:r>
          </w:p>
        </w:tc>
        <w:tc>
          <w:tcPr>
            <w:tcW w:w="992" w:type="dxa"/>
            <w:gridSpan w:val="2"/>
            <w:tcBorders>
              <w:top w:val="single" w:sz="8" w:space="0" w:color="auto"/>
              <w:left w:val="nil"/>
              <w:bottom w:val="single" w:sz="8" w:space="0" w:color="auto"/>
              <w:right w:val="single" w:sz="8" w:space="0" w:color="000000"/>
            </w:tcBorders>
            <w:vAlign w:val="center"/>
            <w:hideMark/>
          </w:tcPr>
          <w:p w14:paraId="7A11167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9.88</w:t>
            </w:r>
          </w:p>
        </w:tc>
        <w:tc>
          <w:tcPr>
            <w:tcW w:w="2273" w:type="dxa"/>
            <w:gridSpan w:val="7"/>
            <w:tcBorders>
              <w:top w:val="single" w:sz="8" w:space="0" w:color="auto"/>
              <w:left w:val="nil"/>
              <w:bottom w:val="single" w:sz="8" w:space="0" w:color="auto"/>
              <w:right w:val="single" w:sz="8" w:space="0" w:color="000000"/>
            </w:tcBorders>
            <w:vAlign w:val="center"/>
            <w:hideMark/>
          </w:tcPr>
          <w:p w14:paraId="7C98661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capital gain</w:t>
            </w:r>
          </w:p>
        </w:tc>
        <w:tc>
          <w:tcPr>
            <w:tcW w:w="994" w:type="dxa"/>
            <w:tcBorders>
              <w:top w:val="nil"/>
              <w:left w:val="nil"/>
              <w:bottom w:val="single" w:sz="8" w:space="0" w:color="auto"/>
              <w:right w:val="single" w:sz="8" w:space="0" w:color="auto"/>
            </w:tcBorders>
            <w:vAlign w:val="center"/>
            <w:hideMark/>
          </w:tcPr>
          <w:p w14:paraId="7D907DE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9.88</w:t>
            </w:r>
          </w:p>
        </w:tc>
        <w:tc>
          <w:tcPr>
            <w:tcW w:w="2553" w:type="dxa"/>
            <w:tcBorders>
              <w:top w:val="single" w:sz="8" w:space="0" w:color="auto"/>
              <w:left w:val="nil"/>
              <w:bottom w:val="single" w:sz="8" w:space="0" w:color="auto"/>
              <w:right w:val="single" w:sz="8" w:space="0" w:color="000000"/>
            </w:tcBorders>
            <w:vAlign w:val="center"/>
            <w:hideMark/>
          </w:tcPr>
          <w:p w14:paraId="2B3AFE2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capital gain</w:t>
            </w:r>
          </w:p>
        </w:tc>
        <w:tc>
          <w:tcPr>
            <w:tcW w:w="273" w:type="dxa"/>
            <w:vAlign w:val="center"/>
            <w:hideMark/>
          </w:tcPr>
          <w:p w14:paraId="11341188"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0B0545DF"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00F268C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7.88</w:t>
            </w:r>
          </w:p>
        </w:tc>
        <w:tc>
          <w:tcPr>
            <w:tcW w:w="2263" w:type="dxa"/>
            <w:gridSpan w:val="3"/>
            <w:tcBorders>
              <w:top w:val="single" w:sz="8" w:space="0" w:color="auto"/>
              <w:left w:val="nil"/>
              <w:bottom w:val="single" w:sz="8" w:space="0" w:color="auto"/>
              <w:right w:val="single" w:sz="8" w:space="0" w:color="000000"/>
            </w:tcBorders>
            <w:vAlign w:val="center"/>
            <w:hideMark/>
          </w:tcPr>
          <w:p w14:paraId="6EA9F3E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Assessable foreign source income </w:t>
            </w:r>
          </w:p>
        </w:tc>
        <w:tc>
          <w:tcPr>
            <w:tcW w:w="992" w:type="dxa"/>
            <w:tcBorders>
              <w:top w:val="single" w:sz="8" w:space="0" w:color="auto"/>
              <w:left w:val="nil"/>
              <w:bottom w:val="single" w:sz="8" w:space="0" w:color="auto"/>
              <w:right w:val="single" w:sz="8" w:space="0" w:color="000000"/>
            </w:tcBorders>
            <w:noWrap/>
            <w:vAlign w:val="center"/>
            <w:hideMark/>
          </w:tcPr>
          <w:p w14:paraId="08FFCB4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9.89</w:t>
            </w:r>
          </w:p>
        </w:tc>
        <w:tc>
          <w:tcPr>
            <w:tcW w:w="2410" w:type="dxa"/>
            <w:gridSpan w:val="6"/>
            <w:tcBorders>
              <w:top w:val="single" w:sz="8" w:space="0" w:color="auto"/>
              <w:left w:val="nil"/>
              <w:bottom w:val="single" w:sz="8" w:space="0" w:color="auto"/>
              <w:right w:val="single" w:sz="8" w:space="0" w:color="000000"/>
            </w:tcBorders>
            <w:vAlign w:val="center"/>
            <w:hideMark/>
          </w:tcPr>
          <w:p w14:paraId="5827264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Taxable foreign capital gains</w:t>
            </w:r>
          </w:p>
        </w:tc>
        <w:tc>
          <w:tcPr>
            <w:tcW w:w="992" w:type="dxa"/>
            <w:gridSpan w:val="2"/>
            <w:tcBorders>
              <w:top w:val="single" w:sz="8" w:space="0" w:color="auto"/>
              <w:left w:val="nil"/>
              <w:bottom w:val="single" w:sz="8" w:space="0" w:color="auto"/>
              <w:right w:val="single" w:sz="8" w:space="0" w:color="000000"/>
            </w:tcBorders>
            <w:vAlign w:val="center"/>
            <w:hideMark/>
          </w:tcPr>
          <w:p w14:paraId="70F3914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9.89</w:t>
            </w:r>
          </w:p>
        </w:tc>
        <w:tc>
          <w:tcPr>
            <w:tcW w:w="2273" w:type="dxa"/>
            <w:gridSpan w:val="7"/>
            <w:tcBorders>
              <w:top w:val="single" w:sz="8" w:space="0" w:color="auto"/>
              <w:left w:val="nil"/>
              <w:bottom w:val="single" w:sz="8" w:space="0" w:color="auto"/>
              <w:right w:val="single" w:sz="8" w:space="0" w:color="000000"/>
            </w:tcBorders>
            <w:vAlign w:val="center"/>
            <w:hideMark/>
          </w:tcPr>
          <w:p w14:paraId="4B19792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Total current year capital gains</w:t>
            </w:r>
          </w:p>
        </w:tc>
        <w:tc>
          <w:tcPr>
            <w:tcW w:w="994" w:type="dxa"/>
            <w:tcBorders>
              <w:top w:val="nil"/>
              <w:left w:val="nil"/>
              <w:bottom w:val="single" w:sz="8" w:space="0" w:color="auto"/>
              <w:right w:val="single" w:sz="8" w:space="0" w:color="auto"/>
            </w:tcBorders>
            <w:vAlign w:val="center"/>
            <w:hideMark/>
          </w:tcPr>
          <w:p w14:paraId="2B49D31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9.89</w:t>
            </w:r>
          </w:p>
        </w:tc>
        <w:tc>
          <w:tcPr>
            <w:tcW w:w="2553" w:type="dxa"/>
            <w:tcBorders>
              <w:top w:val="single" w:sz="8" w:space="0" w:color="auto"/>
              <w:left w:val="nil"/>
              <w:bottom w:val="single" w:sz="8" w:space="0" w:color="auto"/>
              <w:right w:val="single" w:sz="8" w:space="0" w:color="000000"/>
            </w:tcBorders>
            <w:vAlign w:val="center"/>
            <w:hideMark/>
          </w:tcPr>
          <w:p w14:paraId="4A32FD5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Total current year capital gains</w:t>
            </w:r>
          </w:p>
        </w:tc>
        <w:tc>
          <w:tcPr>
            <w:tcW w:w="273" w:type="dxa"/>
            <w:vAlign w:val="center"/>
            <w:hideMark/>
          </w:tcPr>
          <w:p w14:paraId="212E5F28"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E68290A"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6456224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7.89</w:t>
            </w:r>
          </w:p>
        </w:tc>
        <w:tc>
          <w:tcPr>
            <w:tcW w:w="2263" w:type="dxa"/>
            <w:gridSpan w:val="3"/>
            <w:tcBorders>
              <w:top w:val="single" w:sz="8" w:space="0" w:color="auto"/>
              <w:left w:val="nil"/>
              <w:bottom w:val="single" w:sz="8" w:space="0" w:color="auto"/>
              <w:right w:val="single" w:sz="8" w:space="0" w:color="000000"/>
            </w:tcBorders>
            <w:vAlign w:val="center"/>
            <w:hideMark/>
          </w:tcPr>
          <w:p w14:paraId="576EB6D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Other net foreign source income </w:t>
            </w:r>
          </w:p>
        </w:tc>
        <w:tc>
          <w:tcPr>
            <w:tcW w:w="992" w:type="dxa"/>
            <w:tcBorders>
              <w:top w:val="single" w:sz="8" w:space="0" w:color="auto"/>
              <w:left w:val="nil"/>
              <w:bottom w:val="single" w:sz="8" w:space="0" w:color="auto"/>
              <w:right w:val="single" w:sz="8" w:space="0" w:color="000000"/>
            </w:tcBorders>
            <w:noWrap/>
            <w:vAlign w:val="center"/>
            <w:hideMark/>
          </w:tcPr>
          <w:p w14:paraId="4D69524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w:t>
            </w:r>
          </w:p>
        </w:tc>
        <w:tc>
          <w:tcPr>
            <w:tcW w:w="2410" w:type="dxa"/>
            <w:gridSpan w:val="6"/>
            <w:tcBorders>
              <w:top w:val="single" w:sz="8" w:space="0" w:color="auto"/>
              <w:left w:val="nil"/>
              <w:bottom w:val="single" w:sz="8" w:space="0" w:color="auto"/>
              <w:right w:val="single" w:sz="8" w:space="0" w:color="000000"/>
            </w:tcBorders>
            <w:vAlign w:val="center"/>
            <w:hideMark/>
          </w:tcPr>
          <w:p w14:paraId="5C85AD5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Assessable foreign source income</w:t>
            </w:r>
          </w:p>
        </w:tc>
        <w:tc>
          <w:tcPr>
            <w:tcW w:w="992" w:type="dxa"/>
            <w:gridSpan w:val="2"/>
            <w:tcBorders>
              <w:top w:val="single" w:sz="8" w:space="0" w:color="auto"/>
              <w:left w:val="nil"/>
              <w:bottom w:val="single" w:sz="8" w:space="0" w:color="auto"/>
              <w:right w:val="single" w:sz="8" w:space="0" w:color="000000"/>
            </w:tcBorders>
            <w:vAlign w:val="center"/>
            <w:hideMark/>
          </w:tcPr>
          <w:p w14:paraId="0F584DC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w:t>
            </w:r>
          </w:p>
        </w:tc>
        <w:tc>
          <w:tcPr>
            <w:tcW w:w="2273" w:type="dxa"/>
            <w:gridSpan w:val="7"/>
            <w:tcBorders>
              <w:top w:val="single" w:sz="8" w:space="0" w:color="auto"/>
              <w:left w:val="nil"/>
              <w:bottom w:val="single" w:sz="8" w:space="0" w:color="auto"/>
              <w:right w:val="single" w:sz="8" w:space="0" w:color="000000"/>
            </w:tcBorders>
            <w:vAlign w:val="center"/>
            <w:hideMark/>
          </w:tcPr>
          <w:p w14:paraId="49ADB83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Taxable foreign capital gains</w:t>
            </w:r>
          </w:p>
        </w:tc>
        <w:tc>
          <w:tcPr>
            <w:tcW w:w="994" w:type="dxa"/>
            <w:tcBorders>
              <w:top w:val="nil"/>
              <w:left w:val="nil"/>
              <w:bottom w:val="single" w:sz="8" w:space="0" w:color="auto"/>
              <w:right w:val="single" w:sz="8" w:space="0" w:color="auto"/>
            </w:tcBorders>
            <w:vAlign w:val="center"/>
            <w:hideMark/>
          </w:tcPr>
          <w:p w14:paraId="2880204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w:t>
            </w:r>
          </w:p>
        </w:tc>
        <w:tc>
          <w:tcPr>
            <w:tcW w:w="2553" w:type="dxa"/>
            <w:tcBorders>
              <w:top w:val="single" w:sz="8" w:space="0" w:color="auto"/>
              <w:left w:val="nil"/>
              <w:bottom w:val="single" w:sz="8" w:space="0" w:color="auto"/>
              <w:right w:val="single" w:sz="8" w:space="0" w:color="000000"/>
            </w:tcBorders>
            <w:vAlign w:val="center"/>
            <w:hideMark/>
          </w:tcPr>
          <w:p w14:paraId="5662C33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Taxable foreign capital gains</w:t>
            </w:r>
          </w:p>
        </w:tc>
        <w:tc>
          <w:tcPr>
            <w:tcW w:w="273" w:type="dxa"/>
            <w:vAlign w:val="center"/>
            <w:hideMark/>
          </w:tcPr>
          <w:p w14:paraId="25E71D9F"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166CB032"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6CFB3B0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w:t>
            </w:r>
          </w:p>
        </w:tc>
        <w:tc>
          <w:tcPr>
            <w:tcW w:w="2263" w:type="dxa"/>
            <w:gridSpan w:val="3"/>
            <w:tcBorders>
              <w:top w:val="single" w:sz="8" w:space="0" w:color="auto"/>
              <w:left w:val="nil"/>
              <w:bottom w:val="single" w:sz="8" w:space="0" w:color="auto"/>
              <w:right w:val="single" w:sz="8" w:space="0" w:color="000000"/>
            </w:tcBorders>
            <w:vAlign w:val="center"/>
            <w:hideMark/>
          </w:tcPr>
          <w:p w14:paraId="7D143F9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Foreign income tax offset </w:t>
            </w:r>
          </w:p>
        </w:tc>
        <w:tc>
          <w:tcPr>
            <w:tcW w:w="992" w:type="dxa"/>
            <w:tcBorders>
              <w:top w:val="single" w:sz="8" w:space="0" w:color="auto"/>
              <w:left w:val="nil"/>
              <w:bottom w:val="single" w:sz="8" w:space="0" w:color="auto"/>
              <w:right w:val="single" w:sz="8" w:space="0" w:color="000000"/>
            </w:tcBorders>
            <w:noWrap/>
            <w:vAlign w:val="center"/>
            <w:hideMark/>
          </w:tcPr>
          <w:p w14:paraId="0CD7E7E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9.91</w:t>
            </w:r>
          </w:p>
        </w:tc>
        <w:tc>
          <w:tcPr>
            <w:tcW w:w="2410" w:type="dxa"/>
            <w:gridSpan w:val="6"/>
            <w:tcBorders>
              <w:top w:val="single" w:sz="8" w:space="0" w:color="auto"/>
              <w:left w:val="nil"/>
              <w:bottom w:val="single" w:sz="8" w:space="0" w:color="auto"/>
              <w:right w:val="single" w:sz="8" w:space="0" w:color="000000"/>
            </w:tcBorders>
            <w:vAlign w:val="center"/>
            <w:hideMark/>
          </w:tcPr>
          <w:p w14:paraId="51E892B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net foreign source income</w:t>
            </w:r>
          </w:p>
        </w:tc>
        <w:tc>
          <w:tcPr>
            <w:tcW w:w="992" w:type="dxa"/>
            <w:gridSpan w:val="2"/>
            <w:tcBorders>
              <w:top w:val="single" w:sz="8" w:space="0" w:color="auto"/>
              <w:left w:val="nil"/>
              <w:bottom w:val="single" w:sz="8" w:space="0" w:color="auto"/>
              <w:right w:val="single" w:sz="8" w:space="0" w:color="000000"/>
            </w:tcBorders>
            <w:vAlign w:val="center"/>
            <w:hideMark/>
          </w:tcPr>
          <w:p w14:paraId="62512B6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9.91</w:t>
            </w:r>
          </w:p>
        </w:tc>
        <w:tc>
          <w:tcPr>
            <w:tcW w:w="2273" w:type="dxa"/>
            <w:gridSpan w:val="7"/>
            <w:tcBorders>
              <w:top w:val="single" w:sz="8" w:space="0" w:color="auto"/>
              <w:left w:val="nil"/>
              <w:bottom w:val="single" w:sz="8" w:space="0" w:color="auto"/>
              <w:right w:val="single" w:sz="8" w:space="0" w:color="000000"/>
            </w:tcBorders>
            <w:vAlign w:val="center"/>
            <w:hideMark/>
          </w:tcPr>
          <w:p w14:paraId="5EFA0B3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Assessable foreign source income</w:t>
            </w:r>
          </w:p>
        </w:tc>
        <w:tc>
          <w:tcPr>
            <w:tcW w:w="994" w:type="dxa"/>
            <w:tcBorders>
              <w:top w:val="nil"/>
              <w:left w:val="nil"/>
              <w:bottom w:val="single" w:sz="8" w:space="0" w:color="auto"/>
              <w:right w:val="single" w:sz="8" w:space="0" w:color="auto"/>
            </w:tcBorders>
            <w:vAlign w:val="center"/>
            <w:hideMark/>
          </w:tcPr>
          <w:p w14:paraId="398D3B2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9.91</w:t>
            </w:r>
          </w:p>
        </w:tc>
        <w:tc>
          <w:tcPr>
            <w:tcW w:w="2553" w:type="dxa"/>
            <w:tcBorders>
              <w:top w:val="single" w:sz="8" w:space="0" w:color="auto"/>
              <w:left w:val="nil"/>
              <w:bottom w:val="single" w:sz="8" w:space="0" w:color="auto"/>
              <w:right w:val="single" w:sz="8" w:space="0" w:color="000000"/>
            </w:tcBorders>
            <w:vAlign w:val="center"/>
            <w:hideMark/>
          </w:tcPr>
          <w:p w14:paraId="7A23693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Assessable foreign source income</w:t>
            </w:r>
          </w:p>
        </w:tc>
        <w:tc>
          <w:tcPr>
            <w:tcW w:w="273" w:type="dxa"/>
            <w:vAlign w:val="center"/>
            <w:hideMark/>
          </w:tcPr>
          <w:p w14:paraId="3B891EBB"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CC73948"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62B033D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7.91</w:t>
            </w:r>
          </w:p>
        </w:tc>
        <w:tc>
          <w:tcPr>
            <w:tcW w:w="2263" w:type="dxa"/>
            <w:gridSpan w:val="3"/>
            <w:tcBorders>
              <w:top w:val="single" w:sz="8" w:space="0" w:color="auto"/>
              <w:left w:val="nil"/>
              <w:bottom w:val="single" w:sz="8" w:space="0" w:color="auto"/>
              <w:right w:val="single" w:sz="8" w:space="0" w:color="000000"/>
            </w:tcBorders>
            <w:vAlign w:val="center"/>
            <w:hideMark/>
          </w:tcPr>
          <w:p w14:paraId="1CC1E2D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Australian franking credits from a New Zealand franking company</w:t>
            </w:r>
          </w:p>
        </w:tc>
        <w:tc>
          <w:tcPr>
            <w:tcW w:w="992" w:type="dxa"/>
            <w:tcBorders>
              <w:top w:val="single" w:sz="8" w:space="0" w:color="auto"/>
              <w:left w:val="nil"/>
              <w:bottom w:val="single" w:sz="8" w:space="0" w:color="auto"/>
              <w:right w:val="single" w:sz="8" w:space="0" w:color="000000"/>
            </w:tcBorders>
            <w:noWrap/>
            <w:vAlign w:val="center"/>
            <w:hideMark/>
          </w:tcPr>
          <w:p w14:paraId="55278E1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9.92</w:t>
            </w:r>
          </w:p>
        </w:tc>
        <w:tc>
          <w:tcPr>
            <w:tcW w:w="2410" w:type="dxa"/>
            <w:gridSpan w:val="6"/>
            <w:tcBorders>
              <w:top w:val="single" w:sz="8" w:space="0" w:color="auto"/>
              <w:left w:val="nil"/>
              <w:bottom w:val="single" w:sz="8" w:space="0" w:color="auto"/>
              <w:right w:val="single" w:sz="8" w:space="0" w:color="000000"/>
            </w:tcBorders>
            <w:vAlign w:val="center"/>
            <w:hideMark/>
          </w:tcPr>
          <w:p w14:paraId="6982251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Foreign income tax offset</w:t>
            </w:r>
          </w:p>
        </w:tc>
        <w:tc>
          <w:tcPr>
            <w:tcW w:w="992" w:type="dxa"/>
            <w:gridSpan w:val="2"/>
            <w:tcBorders>
              <w:top w:val="single" w:sz="8" w:space="0" w:color="auto"/>
              <w:left w:val="nil"/>
              <w:bottom w:val="single" w:sz="8" w:space="0" w:color="auto"/>
              <w:right w:val="single" w:sz="8" w:space="0" w:color="000000"/>
            </w:tcBorders>
            <w:vAlign w:val="center"/>
            <w:hideMark/>
          </w:tcPr>
          <w:p w14:paraId="40D5304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9.92</w:t>
            </w:r>
          </w:p>
        </w:tc>
        <w:tc>
          <w:tcPr>
            <w:tcW w:w="2273" w:type="dxa"/>
            <w:gridSpan w:val="7"/>
            <w:tcBorders>
              <w:top w:val="single" w:sz="8" w:space="0" w:color="auto"/>
              <w:left w:val="nil"/>
              <w:bottom w:val="single" w:sz="8" w:space="0" w:color="auto"/>
              <w:right w:val="single" w:sz="8" w:space="0" w:color="000000"/>
            </w:tcBorders>
            <w:vAlign w:val="center"/>
            <w:hideMark/>
          </w:tcPr>
          <w:p w14:paraId="4DA90C1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net foreign source income</w:t>
            </w:r>
          </w:p>
        </w:tc>
        <w:tc>
          <w:tcPr>
            <w:tcW w:w="994" w:type="dxa"/>
            <w:tcBorders>
              <w:top w:val="nil"/>
              <w:left w:val="nil"/>
              <w:bottom w:val="single" w:sz="8" w:space="0" w:color="auto"/>
              <w:right w:val="single" w:sz="8" w:space="0" w:color="auto"/>
            </w:tcBorders>
            <w:vAlign w:val="center"/>
            <w:hideMark/>
          </w:tcPr>
          <w:p w14:paraId="6941F6C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9.92</w:t>
            </w:r>
          </w:p>
        </w:tc>
        <w:tc>
          <w:tcPr>
            <w:tcW w:w="2553" w:type="dxa"/>
            <w:tcBorders>
              <w:top w:val="single" w:sz="8" w:space="0" w:color="auto"/>
              <w:left w:val="nil"/>
              <w:bottom w:val="single" w:sz="8" w:space="0" w:color="auto"/>
              <w:right w:val="single" w:sz="8" w:space="0" w:color="000000"/>
            </w:tcBorders>
            <w:vAlign w:val="center"/>
            <w:hideMark/>
          </w:tcPr>
          <w:p w14:paraId="22A5B02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net foreign source income</w:t>
            </w:r>
          </w:p>
        </w:tc>
        <w:tc>
          <w:tcPr>
            <w:tcW w:w="273" w:type="dxa"/>
            <w:vAlign w:val="center"/>
            <w:hideMark/>
          </w:tcPr>
          <w:p w14:paraId="49646D7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6AAFF050"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71ED3F9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7.92</w:t>
            </w:r>
          </w:p>
        </w:tc>
        <w:tc>
          <w:tcPr>
            <w:tcW w:w="2263" w:type="dxa"/>
            <w:gridSpan w:val="3"/>
            <w:tcBorders>
              <w:top w:val="single" w:sz="8" w:space="0" w:color="auto"/>
              <w:left w:val="nil"/>
              <w:bottom w:val="single" w:sz="8" w:space="0" w:color="auto"/>
              <w:right w:val="single" w:sz="8" w:space="0" w:color="000000"/>
            </w:tcBorders>
            <w:vAlign w:val="center"/>
            <w:hideMark/>
          </w:tcPr>
          <w:p w14:paraId="35AD8C2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exempted income</w:t>
            </w:r>
          </w:p>
        </w:tc>
        <w:tc>
          <w:tcPr>
            <w:tcW w:w="992" w:type="dxa"/>
            <w:tcBorders>
              <w:top w:val="single" w:sz="8" w:space="0" w:color="auto"/>
              <w:left w:val="nil"/>
              <w:bottom w:val="single" w:sz="8" w:space="0" w:color="auto"/>
              <w:right w:val="single" w:sz="8" w:space="0" w:color="000000"/>
            </w:tcBorders>
            <w:noWrap/>
            <w:vAlign w:val="center"/>
            <w:hideMark/>
          </w:tcPr>
          <w:p w14:paraId="5DE6773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9.93</w:t>
            </w:r>
          </w:p>
        </w:tc>
        <w:tc>
          <w:tcPr>
            <w:tcW w:w="2410" w:type="dxa"/>
            <w:gridSpan w:val="6"/>
            <w:tcBorders>
              <w:top w:val="single" w:sz="8" w:space="0" w:color="auto"/>
              <w:left w:val="nil"/>
              <w:bottom w:val="single" w:sz="8" w:space="0" w:color="auto"/>
              <w:right w:val="single" w:sz="8" w:space="0" w:color="000000"/>
            </w:tcBorders>
            <w:vAlign w:val="center"/>
            <w:hideMark/>
          </w:tcPr>
          <w:p w14:paraId="6D78DBB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Australian franking credits from a New Zealand franking company</w:t>
            </w:r>
          </w:p>
        </w:tc>
        <w:tc>
          <w:tcPr>
            <w:tcW w:w="992" w:type="dxa"/>
            <w:gridSpan w:val="2"/>
            <w:tcBorders>
              <w:top w:val="single" w:sz="8" w:space="0" w:color="auto"/>
              <w:left w:val="nil"/>
              <w:bottom w:val="single" w:sz="8" w:space="0" w:color="auto"/>
              <w:right w:val="single" w:sz="8" w:space="0" w:color="000000"/>
            </w:tcBorders>
            <w:vAlign w:val="center"/>
            <w:hideMark/>
          </w:tcPr>
          <w:p w14:paraId="5091C7A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9.93</w:t>
            </w:r>
          </w:p>
        </w:tc>
        <w:tc>
          <w:tcPr>
            <w:tcW w:w="2273" w:type="dxa"/>
            <w:gridSpan w:val="7"/>
            <w:tcBorders>
              <w:top w:val="single" w:sz="8" w:space="0" w:color="auto"/>
              <w:left w:val="nil"/>
              <w:bottom w:val="single" w:sz="8" w:space="0" w:color="auto"/>
              <w:right w:val="single" w:sz="8" w:space="0" w:color="000000"/>
            </w:tcBorders>
            <w:vAlign w:val="center"/>
            <w:hideMark/>
          </w:tcPr>
          <w:p w14:paraId="03A6541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Foreign income tax offset</w:t>
            </w:r>
          </w:p>
        </w:tc>
        <w:tc>
          <w:tcPr>
            <w:tcW w:w="994" w:type="dxa"/>
            <w:tcBorders>
              <w:top w:val="nil"/>
              <w:left w:val="nil"/>
              <w:bottom w:val="single" w:sz="8" w:space="0" w:color="auto"/>
              <w:right w:val="single" w:sz="8" w:space="0" w:color="auto"/>
            </w:tcBorders>
            <w:vAlign w:val="center"/>
            <w:hideMark/>
          </w:tcPr>
          <w:p w14:paraId="1EF42C0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9.93</w:t>
            </w:r>
          </w:p>
        </w:tc>
        <w:tc>
          <w:tcPr>
            <w:tcW w:w="2553" w:type="dxa"/>
            <w:tcBorders>
              <w:top w:val="single" w:sz="8" w:space="0" w:color="auto"/>
              <w:left w:val="nil"/>
              <w:bottom w:val="single" w:sz="8" w:space="0" w:color="auto"/>
              <w:right w:val="single" w:sz="8" w:space="0" w:color="000000"/>
            </w:tcBorders>
            <w:vAlign w:val="center"/>
            <w:hideMark/>
          </w:tcPr>
          <w:p w14:paraId="1849DB3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Foreign income tax offset</w:t>
            </w:r>
          </w:p>
        </w:tc>
        <w:tc>
          <w:tcPr>
            <w:tcW w:w="273" w:type="dxa"/>
            <w:vAlign w:val="center"/>
            <w:hideMark/>
          </w:tcPr>
          <w:p w14:paraId="646AA7B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A52A737"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7AA3240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7.93</w:t>
            </w:r>
          </w:p>
        </w:tc>
        <w:tc>
          <w:tcPr>
            <w:tcW w:w="2263" w:type="dxa"/>
            <w:gridSpan w:val="3"/>
            <w:tcBorders>
              <w:top w:val="single" w:sz="8" w:space="0" w:color="auto"/>
              <w:left w:val="nil"/>
              <w:bottom w:val="single" w:sz="8" w:space="0" w:color="auto"/>
              <w:right w:val="single" w:sz="8" w:space="0" w:color="000000"/>
            </w:tcBorders>
            <w:vAlign w:val="center"/>
            <w:hideMark/>
          </w:tcPr>
          <w:p w14:paraId="5FAACB4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Tax-free amounts </w:t>
            </w:r>
          </w:p>
        </w:tc>
        <w:tc>
          <w:tcPr>
            <w:tcW w:w="992" w:type="dxa"/>
            <w:tcBorders>
              <w:top w:val="single" w:sz="8" w:space="0" w:color="auto"/>
              <w:left w:val="nil"/>
              <w:bottom w:val="single" w:sz="8" w:space="0" w:color="auto"/>
              <w:right w:val="single" w:sz="8" w:space="0" w:color="000000"/>
            </w:tcBorders>
            <w:noWrap/>
            <w:vAlign w:val="center"/>
            <w:hideMark/>
          </w:tcPr>
          <w:p w14:paraId="36456AC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9.94</w:t>
            </w:r>
          </w:p>
        </w:tc>
        <w:tc>
          <w:tcPr>
            <w:tcW w:w="2410" w:type="dxa"/>
            <w:gridSpan w:val="6"/>
            <w:tcBorders>
              <w:top w:val="single" w:sz="8" w:space="0" w:color="auto"/>
              <w:left w:val="nil"/>
              <w:bottom w:val="single" w:sz="8" w:space="0" w:color="auto"/>
              <w:right w:val="single" w:sz="8" w:space="0" w:color="000000"/>
            </w:tcBorders>
            <w:vAlign w:val="center"/>
            <w:hideMark/>
          </w:tcPr>
          <w:p w14:paraId="201E94D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exempted income</w:t>
            </w:r>
          </w:p>
        </w:tc>
        <w:tc>
          <w:tcPr>
            <w:tcW w:w="992" w:type="dxa"/>
            <w:gridSpan w:val="2"/>
            <w:tcBorders>
              <w:top w:val="single" w:sz="8" w:space="0" w:color="auto"/>
              <w:left w:val="nil"/>
              <w:bottom w:val="single" w:sz="8" w:space="0" w:color="auto"/>
              <w:right w:val="single" w:sz="8" w:space="0" w:color="000000"/>
            </w:tcBorders>
            <w:vAlign w:val="center"/>
            <w:hideMark/>
          </w:tcPr>
          <w:p w14:paraId="50418EB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9.94</w:t>
            </w:r>
          </w:p>
        </w:tc>
        <w:tc>
          <w:tcPr>
            <w:tcW w:w="2273" w:type="dxa"/>
            <w:gridSpan w:val="7"/>
            <w:tcBorders>
              <w:top w:val="single" w:sz="8" w:space="0" w:color="auto"/>
              <w:left w:val="nil"/>
              <w:bottom w:val="single" w:sz="8" w:space="0" w:color="auto"/>
              <w:right w:val="single" w:sz="8" w:space="0" w:color="000000"/>
            </w:tcBorders>
            <w:vAlign w:val="center"/>
            <w:hideMark/>
          </w:tcPr>
          <w:p w14:paraId="7E0CF7A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Australian franking credits from a New Zealand franking company</w:t>
            </w:r>
          </w:p>
        </w:tc>
        <w:tc>
          <w:tcPr>
            <w:tcW w:w="994" w:type="dxa"/>
            <w:tcBorders>
              <w:top w:val="nil"/>
              <w:left w:val="nil"/>
              <w:bottom w:val="single" w:sz="8" w:space="0" w:color="auto"/>
              <w:right w:val="single" w:sz="8" w:space="0" w:color="auto"/>
            </w:tcBorders>
            <w:vAlign w:val="center"/>
            <w:hideMark/>
          </w:tcPr>
          <w:p w14:paraId="5286384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9.94</w:t>
            </w:r>
          </w:p>
        </w:tc>
        <w:tc>
          <w:tcPr>
            <w:tcW w:w="2553" w:type="dxa"/>
            <w:tcBorders>
              <w:top w:val="single" w:sz="8" w:space="0" w:color="auto"/>
              <w:left w:val="nil"/>
              <w:bottom w:val="single" w:sz="8" w:space="0" w:color="auto"/>
              <w:right w:val="single" w:sz="8" w:space="0" w:color="000000"/>
            </w:tcBorders>
            <w:vAlign w:val="center"/>
            <w:hideMark/>
          </w:tcPr>
          <w:p w14:paraId="02290D6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Australian franking credits from a New Zealand franking company</w:t>
            </w:r>
          </w:p>
        </w:tc>
        <w:tc>
          <w:tcPr>
            <w:tcW w:w="273" w:type="dxa"/>
            <w:vAlign w:val="center"/>
            <w:hideMark/>
          </w:tcPr>
          <w:p w14:paraId="7BF4D314"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56396B7"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4FE5F0F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7.94</w:t>
            </w:r>
          </w:p>
        </w:tc>
        <w:tc>
          <w:tcPr>
            <w:tcW w:w="2263" w:type="dxa"/>
            <w:gridSpan w:val="3"/>
            <w:tcBorders>
              <w:top w:val="single" w:sz="8" w:space="0" w:color="auto"/>
              <w:left w:val="nil"/>
              <w:bottom w:val="single" w:sz="8" w:space="0" w:color="auto"/>
              <w:right w:val="single" w:sz="8" w:space="0" w:color="000000"/>
            </w:tcBorders>
            <w:vAlign w:val="center"/>
            <w:hideMark/>
          </w:tcPr>
          <w:p w14:paraId="435A745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Tax-deferred amounts</w:t>
            </w:r>
          </w:p>
        </w:tc>
        <w:tc>
          <w:tcPr>
            <w:tcW w:w="992" w:type="dxa"/>
            <w:tcBorders>
              <w:top w:val="single" w:sz="8" w:space="0" w:color="auto"/>
              <w:left w:val="nil"/>
              <w:bottom w:val="single" w:sz="8" w:space="0" w:color="auto"/>
              <w:right w:val="single" w:sz="8" w:space="0" w:color="000000"/>
            </w:tcBorders>
            <w:noWrap/>
            <w:vAlign w:val="center"/>
            <w:hideMark/>
          </w:tcPr>
          <w:p w14:paraId="002F3A4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9.95</w:t>
            </w:r>
          </w:p>
        </w:tc>
        <w:tc>
          <w:tcPr>
            <w:tcW w:w="2410" w:type="dxa"/>
            <w:gridSpan w:val="6"/>
            <w:tcBorders>
              <w:top w:val="single" w:sz="8" w:space="0" w:color="auto"/>
              <w:left w:val="nil"/>
              <w:bottom w:val="single" w:sz="8" w:space="0" w:color="auto"/>
              <w:right w:val="single" w:sz="8" w:space="0" w:color="000000"/>
            </w:tcBorders>
            <w:vAlign w:val="center"/>
            <w:hideMark/>
          </w:tcPr>
          <w:p w14:paraId="2EDB807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Tax-free amounts</w:t>
            </w:r>
          </w:p>
        </w:tc>
        <w:tc>
          <w:tcPr>
            <w:tcW w:w="992" w:type="dxa"/>
            <w:gridSpan w:val="2"/>
            <w:tcBorders>
              <w:top w:val="single" w:sz="8" w:space="0" w:color="auto"/>
              <w:left w:val="nil"/>
              <w:bottom w:val="single" w:sz="8" w:space="0" w:color="auto"/>
              <w:right w:val="single" w:sz="8" w:space="0" w:color="000000"/>
            </w:tcBorders>
            <w:vAlign w:val="center"/>
            <w:hideMark/>
          </w:tcPr>
          <w:p w14:paraId="35DD65A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9.95</w:t>
            </w:r>
          </w:p>
        </w:tc>
        <w:tc>
          <w:tcPr>
            <w:tcW w:w="2273" w:type="dxa"/>
            <w:gridSpan w:val="7"/>
            <w:tcBorders>
              <w:top w:val="single" w:sz="8" w:space="0" w:color="auto"/>
              <w:left w:val="nil"/>
              <w:bottom w:val="single" w:sz="8" w:space="0" w:color="auto"/>
              <w:right w:val="single" w:sz="8" w:space="0" w:color="000000"/>
            </w:tcBorders>
            <w:vAlign w:val="center"/>
            <w:hideMark/>
          </w:tcPr>
          <w:p w14:paraId="09916D8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exempted income</w:t>
            </w:r>
          </w:p>
        </w:tc>
        <w:tc>
          <w:tcPr>
            <w:tcW w:w="994" w:type="dxa"/>
            <w:tcBorders>
              <w:top w:val="nil"/>
              <w:left w:val="nil"/>
              <w:bottom w:val="single" w:sz="8" w:space="0" w:color="auto"/>
              <w:right w:val="single" w:sz="8" w:space="0" w:color="auto"/>
            </w:tcBorders>
            <w:vAlign w:val="center"/>
            <w:hideMark/>
          </w:tcPr>
          <w:p w14:paraId="2B2437F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9.95</w:t>
            </w:r>
          </w:p>
        </w:tc>
        <w:tc>
          <w:tcPr>
            <w:tcW w:w="2553" w:type="dxa"/>
            <w:tcBorders>
              <w:top w:val="single" w:sz="8" w:space="0" w:color="auto"/>
              <w:left w:val="nil"/>
              <w:bottom w:val="single" w:sz="8" w:space="0" w:color="auto"/>
              <w:right w:val="single" w:sz="8" w:space="0" w:color="000000"/>
            </w:tcBorders>
            <w:vAlign w:val="center"/>
            <w:hideMark/>
          </w:tcPr>
          <w:p w14:paraId="27843A6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exempted income</w:t>
            </w:r>
          </w:p>
        </w:tc>
        <w:tc>
          <w:tcPr>
            <w:tcW w:w="273" w:type="dxa"/>
            <w:vAlign w:val="center"/>
            <w:hideMark/>
          </w:tcPr>
          <w:p w14:paraId="16C241D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0DCAFDBD"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4899AF4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7.95</w:t>
            </w:r>
          </w:p>
        </w:tc>
        <w:tc>
          <w:tcPr>
            <w:tcW w:w="2263" w:type="dxa"/>
            <w:gridSpan w:val="3"/>
            <w:tcBorders>
              <w:top w:val="single" w:sz="8" w:space="0" w:color="auto"/>
              <w:left w:val="nil"/>
              <w:bottom w:val="single" w:sz="8" w:space="0" w:color="auto"/>
              <w:right w:val="single" w:sz="8" w:space="0" w:color="000000"/>
            </w:tcBorders>
            <w:vAlign w:val="center"/>
            <w:hideMark/>
          </w:tcPr>
          <w:p w14:paraId="4AE593C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Other allowable trust deductions </w:t>
            </w:r>
          </w:p>
        </w:tc>
        <w:tc>
          <w:tcPr>
            <w:tcW w:w="992" w:type="dxa"/>
            <w:tcBorders>
              <w:top w:val="single" w:sz="8" w:space="0" w:color="auto"/>
              <w:left w:val="nil"/>
              <w:bottom w:val="single" w:sz="8" w:space="0" w:color="auto"/>
              <w:right w:val="single" w:sz="8" w:space="0" w:color="000000"/>
            </w:tcBorders>
            <w:noWrap/>
            <w:vAlign w:val="center"/>
            <w:hideMark/>
          </w:tcPr>
          <w:p w14:paraId="6463FFF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9.96</w:t>
            </w:r>
          </w:p>
        </w:tc>
        <w:tc>
          <w:tcPr>
            <w:tcW w:w="2410" w:type="dxa"/>
            <w:gridSpan w:val="6"/>
            <w:tcBorders>
              <w:top w:val="single" w:sz="8" w:space="0" w:color="auto"/>
              <w:left w:val="nil"/>
              <w:bottom w:val="single" w:sz="8" w:space="0" w:color="auto"/>
              <w:right w:val="single" w:sz="8" w:space="0" w:color="000000"/>
            </w:tcBorders>
            <w:vAlign w:val="center"/>
            <w:hideMark/>
          </w:tcPr>
          <w:p w14:paraId="6B60183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Tax-deferred amounts</w:t>
            </w:r>
          </w:p>
        </w:tc>
        <w:tc>
          <w:tcPr>
            <w:tcW w:w="992" w:type="dxa"/>
            <w:gridSpan w:val="2"/>
            <w:tcBorders>
              <w:top w:val="single" w:sz="8" w:space="0" w:color="auto"/>
              <w:left w:val="nil"/>
              <w:bottom w:val="single" w:sz="8" w:space="0" w:color="auto"/>
              <w:right w:val="single" w:sz="8" w:space="0" w:color="000000"/>
            </w:tcBorders>
            <w:vAlign w:val="center"/>
            <w:hideMark/>
          </w:tcPr>
          <w:p w14:paraId="608E2CF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9.96</w:t>
            </w:r>
          </w:p>
        </w:tc>
        <w:tc>
          <w:tcPr>
            <w:tcW w:w="2273" w:type="dxa"/>
            <w:gridSpan w:val="7"/>
            <w:tcBorders>
              <w:top w:val="single" w:sz="8" w:space="0" w:color="auto"/>
              <w:left w:val="nil"/>
              <w:bottom w:val="single" w:sz="8" w:space="0" w:color="auto"/>
              <w:right w:val="single" w:sz="8" w:space="0" w:color="000000"/>
            </w:tcBorders>
            <w:vAlign w:val="center"/>
            <w:hideMark/>
          </w:tcPr>
          <w:p w14:paraId="495F7C5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Tax-free amounts</w:t>
            </w:r>
          </w:p>
        </w:tc>
        <w:tc>
          <w:tcPr>
            <w:tcW w:w="994" w:type="dxa"/>
            <w:tcBorders>
              <w:top w:val="nil"/>
              <w:left w:val="nil"/>
              <w:bottom w:val="single" w:sz="8" w:space="0" w:color="auto"/>
              <w:right w:val="single" w:sz="8" w:space="0" w:color="auto"/>
            </w:tcBorders>
            <w:vAlign w:val="center"/>
            <w:hideMark/>
          </w:tcPr>
          <w:p w14:paraId="6F32A89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9.96</w:t>
            </w:r>
          </w:p>
        </w:tc>
        <w:tc>
          <w:tcPr>
            <w:tcW w:w="2553" w:type="dxa"/>
            <w:tcBorders>
              <w:top w:val="single" w:sz="8" w:space="0" w:color="auto"/>
              <w:left w:val="nil"/>
              <w:bottom w:val="single" w:sz="8" w:space="0" w:color="auto"/>
              <w:right w:val="single" w:sz="8" w:space="0" w:color="000000"/>
            </w:tcBorders>
            <w:vAlign w:val="center"/>
            <w:hideMark/>
          </w:tcPr>
          <w:p w14:paraId="057A9A8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Tax-free amounts</w:t>
            </w:r>
          </w:p>
        </w:tc>
        <w:tc>
          <w:tcPr>
            <w:tcW w:w="273" w:type="dxa"/>
            <w:vAlign w:val="center"/>
            <w:hideMark/>
          </w:tcPr>
          <w:p w14:paraId="4B86CF49"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CA682E0" w14:textId="77777777" w:rsidTr="00743808">
        <w:trPr>
          <w:trHeight w:val="1275"/>
        </w:trPr>
        <w:tc>
          <w:tcPr>
            <w:tcW w:w="977" w:type="dxa"/>
            <w:tcBorders>
              <w:top w:val="nil"/>
              <w:left w:val="single" w:sz="8" w:space="0" w:color="auto"/>
              <w:bottom w:val="single" w:sz="8" w:space="0" w:color="auto"/>
              <w:right w:val="single" w:sz="8" w:space="0" w:color="auto"/>
            </w:tcBorders>
            <w:noWrap/>
            <w:vAlign w:val="center"/>
            <w:hideMark/>
          </w:tcPr>
          <w:p w14:paraId="3F74E37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7.96</w:t>
            </w:r>
          </w:p>
        </w:tc>
        <w:tc>
          <w:tcPr>
            <w:tcW w:w="2263" w:type="dxa"/>
            <w:gridSpan w:val="3"/>
            <w:tcBorders>
              <w:top w:val="single" w:sz="8" w:space="0" w:color="auto"/>
              <w:left w:val="nil"/>
              <w:bottom w:val="single" w:sz="8" w:space="0" w:color="auto"/>
              <w:right w:val="single" w:sz="8" w:space="0" w:color="000000"/>
            </w:tcBorders>
            <w:vAlign w:val="center"/>
            <w:hideMark/>
          </w:tcPr>
          <w:p w14:paraId="0246779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xml:space="preserve">Share of credit for amounts withheld from foreign resident withholding </w:t>
            </w:r>
          </w:p>
        </w:tc>
        <w:tc>
          <w:tcPr>
            <w:tcW w:w="992" w:type="dxa"/>
            <w:tcBorders>
              <w:top w:val="single" w:sz="8" w:space="0" w:color="auto"/>
              <w:left w:val="nil"/>
              <w:bottom w:val="single" w:sz="8" w:space="0" w:color="auto"/>
              <w:right w:val="single" w:sz="8" w:space="0" w:color="000000"/>
            </w:tcBorders>
            <w:noWrap/>
            <w:vAlign w:val="center"/>
            <w:hideMark/>
          </w:tcPr>
          <w:p w14:paraId="64659F6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9.97</w:t>
            </w:r>
          </w:p>
        </w:tc>
        <w:tc>
          <w:tcPr>
            <w:tcW w:w="2410" w:type="dxa"/>
            <w:gridSpan w:val="6"/>
            <w:tcBorders>
              <w:top w:val="single" w:sz="8" w:space="0" w:color="auto"/>
              <w:left w:val="nil"/>
              <w:bottom w:val="single" w:sz="8" w:space="0" w:color="auto"/>
              <w:right w:val="single" w:sz="8" w:space="0" w:color="000000"/>
            </w:tcBorders>
            <w:vAlign w:val="center"/>
            <w:hideMark/>
          </w:tcPr>
          <w:p w14:paraId="29A15FA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allowable trust deductions</w:t>
            </w:r>
          </w:p>
        </w:tc>
        <w:tc>
          <w:tcPr>
            <w:tcW w:w="992" w:type="dxa"/>
            <w:gridSpan w:val="2"/>
            <w:tcBorders>
              <w:top w:val="single" w:sz="8" w:space="0" w:color="auto"/>
              <w:left w:val="nil"/>
              <w:bottom w:val="single" w:sz="8" w:space="0" w:color="auto"/>
              <w:right w:val="single" w:sz="8" w:space="0" w:color="000000"/>
            </w:tcBorders>
            <w:vAlign w:val="center"/>
            <w:hideMark/>
          </w:tcPr>
          <w:p w14:paraId="2EDF78B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9.97</w:t>
            </w:r>
          </w:p>
        </w:tc>
        <w:tc>
          <w:tcPr>
            <w:tcW w:w="2273" w:type="dxa"/>
            <w:gridSpan w:val="7"/>
            <w:tcBorders>
              <w:top w:val="single" w:sz="8" w:space="0" w:color="auto"/>
              <w:left w:val="nil"/>
              <w:bottom w:val="single" w:sz="8" w:space="0" w:color="auto"/>
              <w:right w:val="single" w:sz="8" w:space="0" w:color="000000"/>
            </w:tcBorders>
            <w:vAlign w:val="center"/>
            <w:hideMark/>
          </w:tcPr>
          <w:p w14:paraId="4E26BF4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Tax-deferred amounts</w:t>
            </w:r>
          </w:p>
        </w:tc>
        <w:tc>
          <w:tcPr>
            <w:tcW w:w="994" w:type="dxa"/>
            <w:tcBorders>
              <w:top w:val="nil"/>
              <w:left w:val="nil"/>
              <w:bottom w:val="single" w:sz="8" w:space="0" w:color="auto"/>
              <w:right w:val="single" w:sz="8" w:space="0" w:color="auto"/>
            </w:tcBorders>
            <w:vAlign w:val="center"/>
            <w:hideMark/>
          </w:tcPr>
          <w:p w14:paraId="3F85B70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9.97</w:t>
            </w:r>
          </w:p>
        </w:tc>
        <w:tc>
          <w:tcPr>
            <w:tcW w:w="2553" w:type="dxa"/>
            <w:tcBorders>
              <w:top w:val="single" w:sz="8" w:space="0" w:color="auto"/>
              <w:left w:val="nil"/>
              <w:bottom w:val="single" w:sz="8" w:space="0" w:color="auto"/>
              <w:right w:val="single" w:sz="8" w:space="0" w:color="000000"/>
            </w:tcBorders>
            <w:vAlign w:val="center"/>
            <w:hideMark/>
          </w:tcPr>
          <w:p w14:paraId="07CA668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Tax-deferred amounts</w:t>
            </w:r>
          </w:p>
        </w:tc>
        <w:tc>
          <w:tcPr>
            <w:tcW w:w="273" w:type="dxa"/>
            <w:vAlign w:val="center"/>
            <w:hideMark/>
          </w:tcPr>
          <w:p w14:paraId="7ACBEF41"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C6D1AB1"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1AF7CBB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7.97</w:t>
            </w:r>
          </w:p>
        </w:tc>
        <w:tc>
          <w:tcPr>
            <w:tcW w:w="2263" w:type="dxa"/>
            <w:gridSpan w:val="3"/>
            <w:tcBorders>
              <w:top w:val="single" w:sz="8" w:space="0" w:color="auto"/>
              <w:left w:val="nil"/>
              <w:bottom w:val="single" w:sz="8" w:space="0" w:color="auto"/>
              <w:right w:val="single" w:sz="8" w:space="0" w:color="000000"/>
            </w:tcBorders>
            <w:vAlign w:val="center"/>
            <w:hideMark/>
          </w:tcPr>
          <w:p w14:paraId="2F4F7E4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tax paid by trustee</w:t>
            </w:r>
          </w:p>
        </w:tc>
        <w:tc>
          <w:tcPr>
            <w:tcW w:w="992" w:type="dxa"/>
            <w:tcBorders>
              <w:top w:val="single" w:sz="8" w:space="0" w:color="auto"/>
              <w:left w:val="nil"/>
              <w:bottom w:val="single" w:sz="8" w:space="0" w:color="auto"/>
              <w:right w:val="single" w:sz="8" w:space="0" w:color="000000"/>
            </w:tcBorders>
            <w:noWrap/>
            <w:vAlign w:val="center"/>
            <w:hideMark/>
          </w:tcPr>
          <w:p w14:paraId="17AB5BB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9.98</w:t>
            </w:r>
          </w:p>
        </w:tc>
        <w:tc>
          <w:tcPr>
            <w:tcW w:w="2410" w:type="dxa"/>
            <w:gridSpan w:val="6"/>
            <w:tcBorders>
              <w:top w:val="single" w:sz="8" w:space="0" w:color="auto"/>
              <w:left w:val="nil"/>
              <w:bottom w:val="single" w:sz="8" w:space="0" w:color="auto"/>
              <w:right w:val="single" w:sz="8" w:space="0" w:color="000000"/>
            </w:tcBorders>
            <w:vAlign w:val="center"/>
            <w:hideMark/>
          </w:tcPr>
          <w:p w14:paraId="23EADFC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amounts withheld from foreign resident withholding</w:t>
            </w:r>
          </w:p>
        </w:tc>
        <w:tc>
          <w:tcPr>
            <w:tcW w:w="992" w:type="dxa"/>
            <w:gridSpan w:val="2"/>
            <w:tcBorders>
              <w:top w:val="single" w:sz="8" w:space="0" w:color="auto"/>
              <w:left w:val="nil"/>
              <w:bottom w:val="single" w:sz="8" w:space="0" w:color="auto"/>
              <w:right w:val="single" w:sz="8" w:space="0" w:color="000000"/>
            </w:tcBorders>
            <w:vAlign w:val="center"/>
            <w:hideMark/>
          </w:tcPr>
          <w:p w14:paraId="04980D7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9.98</w:t>
            </w:r>
          </w:p>
        </w:tc>
        <w:tc>
          <w:tcPr>
            <w:tcW w:w="2273" w:type="dxa"/>
            <w:gridSpan w:val="7"/>
            <w:tcBorders>
              <w:top w:val="single" w:sz="8" w:space="0" w:color="auto"/>
              <w:left w:val="nil"/>
              <w:bottom w:val="single" w:sz="8" w:space="0" w:color="auto"/>
              <w:right w:val="single" w:sz="8" w:space="0" w:color="000000"/>
            </w:tcBorders>
            <w:vAlign w:val="center"/>
            <w:hideMark/>
          </w:tcPr>
          <w:p w14:paraId="58497A3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allowable trust deductions</w:t>
            </w:r>
          </w:p>
        </w:tc>
        <w:tc>
          <w:tcPr>
            <w:tcW w:w="994" w:type="dxa"/>
            <w:tcBorders>
              <w:top w:val="nil"/>
              <w:left w:val="nil"/>
              <w:bottom w:val="single" w:sz="8" w:space="0" w:color="auto"/>
              <w:right w:val="single" w:sz="8" w:space="0" w:color="auto"/>
            </w:tcBorders>
            <w:vAlign w:val="center"/>
            <w:hideMark/>
          </w:tcPr>
          <w:p w14:paraId="15E1ECE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9.98</w:t>
            </w:r>
          </w:p>
        </w:tc>
        <w:tc>
          <w:tcPr>
            <w:tcW w:w="2553" w:type="dxa"/>
            <w:tcBorders>
              <w:top w:val="single" w:sz="8" w:space="0" w:color="auto"/>
              <w:left w:val="nil"/>
              <w:bottom w:val="single" w:sz="8" w:space="0" w:color="auto"/>
              <w:right w:val="single" w:sz="8" w:space="0" w:color="000000"/>
            </w:tcBorders>
            <w:vAlign w:val="center"/>
            <w:hideMark/>
          </w:tcPr>
          <w:p w14:paraId="174AA68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allowable trust deductions</w:t>
            </w:r>
          </w:p>
        </w:tc>
        <w:tc>
          <w:tcPr>
            <w:tcW w:w="273" w:type="dxa"/>
            <w:vAlign w:val="center"/>
            <w:hideMark/>
          </w:tcPr>
          <w:p w14:paraId="25E42506"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3B63CB6" w14:textId="77777777" w:rsidTr="00743808">
        <w:trPr>
          <w:trHeight w:val="1785"/>
        </w:trPr>
        <w:tc>
          <w:tcPr>
            <w:tcW w:w="977" w:type="dxa"/>
            <w:tcBorders>
              <w:top w:val="nil"/>
              <w:left w:val="single" w:sz="8" w:space="0" w:color="auto"/>
              <w:bottom w:val="single" w:sz="8" w:space="0" w:color="auto"/>
              <w:right w:val="single" w:sz="8" w:space="0" w:color="auto"/>
            </w:tcBorders>
            <w:noWrap/>
            <w:vAlign w:val="center"/>
            <w:hideMark/>
          </w:tcPr>
          <w:p w14:paraId="40A5C50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7.98</w:t>
            </w:r>
          </w:p>
        </w:tc>
        <w:tc>
          <w:tcPr>
            <w:tcW w:w="2263" w:type="dxa"/>
            <w:gridSpan w:val="3"/>
            <w:tcBorders>
              <w:top w:val="single" w:sz="8" w:space="0" w:color="auto"/>
              <w:left w:val="nil"/>
              <w:bottom w:val="single" w:sz="8" w:space="0" w:color="auto"/>
              <w:right w:val="single" w:sz="8" w:space="0" w:color="000000"/>
            </w:tcBorders>
            <w:vAlign w:val="center"/>
            <w:hideMark/>
          </w:tcPr>
          <w:p w14:paraId="3284776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beneficiary ss98(3) or non-resident member ss276-105(2)(a) or (b) assessable amounts</w:t>
            </w:r>
          </w:p>
        </w:tc>
        <w:tc>
          <w:tcPr>
            <w:tcW w:w="992" w:type="dxa"/>
            <w:tcBorders>
              <w:top w:val="single" w:sz="8" w:space="0" w:color="auto"/>
              <w:left w:val="nil"/>
              <w:bottom w:val="single" w:sz="8" w:space="0" w:color="auto"/>
              <w:right w:val="single" w:sz="8" w:space="0" w:color="000000"/>
            </w:tcBorders>
            <w:noWrap/>
            <w:vAlign w:val="center"/>
            <w:hideMark/>
          </w:tcPr>
          <w:p w14:paraId="1EE4BC4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9.99</w:t>
            </w:r>
          </w:p>
        </w:tc>
        <w:tc>
          <w:tcPr>
            <w:tcW w:w="2410" w:type="dxa"/>
            <w:gridSpan w:val="6"/>
            <w:tcBorders>
              <w:top w:val="single" w:sz="8" w:space="0" w:color="auto"/>
              <w:left w:val="nil"/>
              <w:bottom w:val="single" w:sz="8" w:space="0" w:color="auto"/>
              <w:right w:val="single" w:sz="8" w:space="0" w:color="000000"/>
            </w:tcBorders>
            <w:vAlign w:val="center"/>
            <w:hideMark/>
          </w:tcPr>
          <w:p w14:paraId="4817A2D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tax paid by trustee</w:t>
            </w:r>
          </w:p>
        </w:tc>
        <w:tc>
          <w:tcPr>
            <w:tcW w:w="992" w:type="dxa"/>
            <w:gridSpan w:val="2"/>
            <w:tcBorders>
              <w:top w:val="single" w:sz="8" w:space="0" w:color="auto"/>
              <w:left w:val="nil"/>
              <w:bottom w:val="single" w:sz="8" w:space="0" w:color="auto"/>
              <w:right w:val="single" w:sz="8" w:space="0" w:color="000000"/>
            </w:tcBorders>
            <w:vAlign w:val="center"/>
            <w:hideMark/>
          </w:tcPr>
          <w:p w14:paraId="4DCE208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9.99</w:t>
            </w:r>
          </w:p>
        </w:tc>
        <w:tc>
          <w:tcPr>
            <w:tcW w:w="2273" w:type="dxa"/>
            <w:gridSpan w:val="7"/>
            <w:tcBorders>
              <w:top w:val="single" w:sz="8" w:space="0" w:color="auto"/>
              <w:left w:val="nil"/>
              <w:bottom w:val="single" w:sz="8" w:space="0" w:color="auto"/>
              <w:right w:val="single" w:sz="8" w:space="0" w:color="000000"/>
            </w:tcBorders>
            <w:vAlign w:val="center"/>
            <w:hideMark/>
          </w:tcPr>
          <w:p w14:paraId="77C233B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amounts withheld from foreign resident withholding</w:t>
            </w:r>
          </w:p>
        </w:tc>
        <w:tc>
          <w:tcPr>
            <w:tcW w:w="994" w:type="dxa"/>
            <w:tcBorders>
              <w:top w:val="nil"/>
              <w:left w:val="nil"/>
              <w:bottom w:val="single" w:sz="8" w:space="0" w:color="auto"/>
              <w:right w:val="single" w:sz="8" w:space="0" w:color="auto"/>
            </w:tcBorders>
            <w:vAlign w:val="center"/>
            <w:hideMark/>
          </w:tcPr>
          <w:p w14:paraId="704672B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9.99</w:t>
            </w:r>
          </w:p>
        </w:tc>
        <w:tc>
          <w:tcPr>
            <w:tcW w:w="2553" w:type="dxa"/>
            <w:tcBorders>
              <w:top w:val="single" w:sz="8" w:space="0" w:color="auto"/>
              <w:left w:val="nil"/>
              <w:bottom w:val="single" w:sz="8" w:space="0" w:color="auto"/>
              <w:right w:val="single" w:sz="8" w:space="0" w:color="000000"/>
            </w:tcBorders>
            <w:vAlign w:val="center"/>
            <w:hideMark/>
          </w:tcPr>
          <w:p w14:paraId="59AC50F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amounts withheld from foreign resident withholding</w:t>
            </w:r>
          </w:p>
        </w:tc>
        <w:tc>
          <w:tcPr>
            <w:tcW w:w="273" w:type="dxa"/>
            <w:vAlign w:val="center"/>
            <w:hideMark/>
          </w:tcPr>
          <w:p w14:paraId="42AAF643"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A4F1570" w14:textId="77777777" w:rsidTr="00743808">
        <w:trPr>
          <w:trHeight w:val="1785"/>
        </w:trPr>
        <w:tc>
          <w:tcPr>
            <w:tcW w:w="977" w:type="dxa"/>
            <w:tcBorders>
              <w:top w:val="nil"/>
              <w:left w:val="single" w:sz="8" w:space="0" w:color="auto"/>
              <w:bottom w:val="single" w:sz="8" w:space="0" w:color="auto"/>
              <w:right w:val="single" w:sz="8" w:space="0" w:color="auto"/>
            </w:tcBorders>
            <w:noWrap/>
            <w:vAlign w:val="center"/>
            <w:hideMark/>
          </w:tcPr>
          <w:p w14:paraId="7143D9D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7.99</w:t>
            </w:r>
          </w:p>
        </w:tc>
        <w:tc>
          <w:tcPr>
            <w:tcW w:w="2263" w:type="dxa"/>
            <w:gridSpan w:val="3"/>
            <w:tcBorders>
              <w:top w:val="single" w:sz="8" w:space="0" w:color="auto"/>
              <w:left w:val="nil"/>
              <w:bottom w:val="single" w:sz="8" w:space="0" w:color="auto"/>
              <w:right w:val="single" w:sz="8" w:space="0" w:color="000000"/>
            </w:tcBorders>
            <w:vAlign w:val="center"/>
            <w:hideMark/>
          </w:tcPr>
          <w:p w14:paraId="530846F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beneficiary ss98(4) or non-resident member ss276-105(2)(c) assessable amounts</w:t>
            </w:r>
          </w:p>
        </w:tc>
        <w:tc>
          <w:tcPr>
            <w:tcW w:w="992" w:type="dxa"/>
            <w:tcBorders>
              <w:top w:val="single" w:sz="8" w:space="0" w:color="auto"/>
              <w:left w:val="nil"/>
              <w:bottom w:val="single" w:sz="8" w:space="0" w:color="auto"/>
              <w:right w:val="single" w:sz="8" w:space="0" w:color="000000"/>
            </w:tcBorders>
            <w:noWrap/>
            <w:vAlign w:val="center"/>
            <w:hideMark/>
          </w:tcPr>
          <w:p w14:paraId="7F9797B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w:t>
            </w:r>
          </w:p>
        </w:tc>
        <w:tc>
          <w:tcPr>
            <w:tcW w:w="2410" w:type="dxa"/>
            <w:gridSpan w:val="6"/>
            <w:tcBorders>
              <w:top w:val="single" w:sz="8" w:space="0" w:color="auto"/>
              <w:left w:val="nil"/>
              <w:bottom w:val="single" w:sz="8" w:space="0" w:color="auto"/>
              <w:right w:val="single" w:sz="8" w:space="0" w:color="000000"/>
            </w:tcBorders>
            <w:vAlign w:val="center"/>
            <w:hideMark/>
          </w:tcPr>
          <w:p w14:paraId="75A36E5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beneficiary ss98(3) or non-resident member ss276-105(2)(a) or (b) assessable amounts</w:t>
            </w:r>
          </w:p>
        </w:tc>
        <w:tc>
          <w:tcPr>
            <w:tcW w:w="992" w:type="dxa"/>
            <w:gridSpan w:val="2"/>
            <w:tcBorders>
              <w:top w:val="single" w:sz="8" w:space="0" w:color="auto"/>
              <w:left w:val="nil"/>
              <w:bottom w:val="single" w:sz="8" w:space="0" w:color="auto"/>
              <w:right w:val="single" w:sz="8" w:space="0" w:color="000000"/>
            </w:tcBorders>
            <w:vAlign w:val="center"/>
            <w:hideMark/>
          </w:tcPr>
          <w:p w14:paraId="19CBED9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w:t>
            </w:r>
          </w:p>
        </w:tc>
        <w:tc>
          <w:tcPr>
            <w:tcW w:w="2273" w:type="dxa"/>
            <w:gridSpan w:val="7"/>
            <w:tcBorders>
              <w:top w:val="single" w:sz="8" w:space="0" w:color="auto"/>
              <w:left w:val="nil"/>
              <w:bottom w:val="single" w:sz="8" w:space="0" w:color="auto"/>
              <w:right w:val="single" w:sz="8" w:space="0" w:color="000000"/>
            </w:tcBorders>
            <w:vAlign w:val="center"/>
            <w:hideMark/>
          </w:tcPr>
          <w:p w14:paraId="3F65D34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tax paid by trustee</w:t>
            </w:r>
          </w:p>
        </w:tc>
        <w:tc>
          <w:tcPr>
            <w:tcW w:w="994" w:type="dxa"/>
            <w:tcBorders>
              <w:top w:val="nil"/>
              <w:left w:val="nil"/>
              <w:bottom w:val="single" w:sz="8" w:space="0" w:color="auto"/>
              <w:right w:val="single" w:sz="8" w:space="0" w:color="auto"/>
            </w:tcBorders>
            <w:vAlign w:val="center"/>
            <w:hideMark/>
          </w:tcPr>
          <w:p w14:paraId="4067317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w:t>
            </w:r>
          </w:p>
        </w:tc>
        <w:tc>
          <w:tcPr>
            <w:tcW w:w="2553" w:type="dxa"/>
            <w:tcBorders>
              <w:top w:val="single" w:sz="8" w:space="0" w:color="auto"/>
              <w:left w:val="nil"/>
              <w:bottom w:val="single" w:sz="8" w:space="0" w:color="auto"/>
              <w:right w:val="single" w:sz="8" w:space="0" w:color="000000"/>
            </w:tcBorders>
            <w:vAlign w:val="center"/>
            <w:hideMark/>
          </w:tcPr>
          <w:p w14:paraId="51E0B66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tax paid by trustee</w:t>
            </w:r>
          </w:p>
        </w:tc>
        <w:tc>
          <w:tcPr>
            <w:tcW w:w="273" w:type="dxa"/>
            <w:vAlign w:val="center"/>
            <w:hideMark/>
          </w:tcPr>
          <w:p w14:paraId="34C2A56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82FF9C7" w14:textId="77777777" w:rsidTr="00743808">
        <w:trPr>
          <w:trHeight w:val="1785"/>
        </w:trPr>
        <w:tc>
          <w:tcPr>
            <w:tcW w:w="977" w:type="dxa"/>
            <w:tcBorders>
              <w:top w:val="nil"/>
              <w:left w:val="single" w:sz="8" w:space="0" w:color="auto"/>
              <w:bottom w:val="single" w:sz="8" w:space="0" w:color="auto"/>
              <w:right w:val="single" w:sz="8" w:space="0" w:color="auto"/>
            </w:tcBorders>
            <w:noWrap/>
            <w:vAlign w:val="center"/>
            <w:hideMark/>
          </w:tcPr>
          <w:p w14:paraId="36F6410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w:t>
            </w:r>
          </w:p>
        </w:tc>
        <w:tc>
          <w:tcPr>
            <w:tcW w:w="2263" w:type="dxa"/>
            <w:gridSpan w:val="3"/>
            <w:tcBorders>
              <w:top w:val="single" w:sz="8" w:space="0" w:color="auto"/>
              <w:left w:val="nil"/>
              <w:bottom w:val="single" w:sz="8" w:space="0" w:color="auto"/>
              <w:right w:val="single" w:sz="8" w:space="0" w:color="000000"/>
            </w:tcBorders>
            <w:vAlign w:val="center"/>
            <w:hideMark/>
          </w:tcPr>
          <w:p w14:paraId="202A87F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Interposed entity name</w:t>
            </w:r>
          </w:p>
        </w:tc>
        <w:tc>
          <w:tcPr>
            <w:tcW w:w="992" w:type="dxa"/>
            <w:tcBorders>
              <w:top w:val="single" w:sz="8" w:space="0" w:color="auto"/>
              <w:left w:val="nil"/>
              <w:bottom w:val="single" w:sz="8" w:space="0" w:color="auto"/>
              <w:right w:val="single" w:sz="8" w:space="0" w:color="000000"/>
            </w:tcBorders>
            <w:noWrap/>
            <w:vAlign w:val="center"/>
            <w:hideMark/>
          </w:tcPr>
          <w:p w14:paraId="1AAF967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9.101</w:t>
            </w:r>
          </w:p>
        </w:tc>
        <w:tc>
          <w:tcPr>
            <w:tcW w:w="2410" w:type="dxa"/>
            <w:gridSpan w:val="6"/>
            <w:tcBorders>
              <w:top w:val="single" w:sz="8" w:space="0" w:color="auto"/>
              <w:left w:val="nil"/>
              <w:bottom w:val="single" w:sz="8" w:space="0" w:color="auto"/>
              <w:right w:val="single" w:sz="8" w:space="0" w:color="000000"/>
            </w:tcBorders>
            <w:vAlign w:val="center"/>
            <w:hideMark/>
          </w:tcPr>
          <w:p w14:paraId="5D2CAE8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beneficiary ss98(4) or non-resident member ss276-105(2)(c) assessable amounts</w:t>
            </w:r>
          </w:p>
        </w:tc>
        <w:tc>
          <w:tcPr>
            <w:tcW w:w="992" w:type="dxa"/>
            <w:gridSpan w:val="2"/>
            <w:tcBorders>
              <w:top w:val="single" w:sz="8" w:space="0" w:color="auto"/>
              <w:left w:val="nil"/>
              <w:bottom w:val="single" w:sz="8" w:space="0" w:color="auto"/>
              <w:right w:val="single" w:sz="8" w:space="0" w:color="000000"/>
            </w:tcBorders>
            <w:vAlign w:val="center"/>
            <w:hideMark/>
          </w:tcPr>
          <w:p w14:paraId="1630FDB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9.101</w:t>
            </w:r>
          </w:p>
        </w:tc>
        <w:tc>
          <w:tcPr>
            <w:tcW w:w="2273" w:type="dxa"/>
            <w:gridSpan w:val="7"/>
            <w:tcBorders>
              <w:top w:val="single" w:sz="8" w:space="0" w:color="auto"/>
              <w:left w:val="nil"/>
              <w:bottom w:val="single" w:sz="8" w:space="0" w:color="auto"/>
              <w:right w:val="single" w:sz="8" w:space="0" w:color="000000"/>
            </w:tcBorders>
            <w:vAlign w:val="center"/>
            <w:hideMark/>
          </w:tcPr>
          <w:p w14:paraId="7082FD1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beneficiary ss98(3) or non-resident member ss276-105(2)(a) or (b) assessable amounts</w:t>
            </w:r>
          </w:p>
        </w:tc>
        <w:tc>
          <w:tcPr>
            <w:tcW w:w="994" w:type="dxa"/>
            <w:tcBorders>
              <w:top w:val="nil"/>
              <w:left w:val="nil"/>
              <w:bottom w:val="single" w:sz="8" w:space="0" w:color="auto"/>
              <w:right w:val="single" w:sz="8" w:space="0" w:color="auto"/>
            </w:tcBorders>
            <w:vAlign w:val="center"/>
            <w:hideMark/>
          </w:tcPr>
          <w:p w14:paraId="6C338B5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9.101</w:t>
            </w:r>
          </w:p>
        </w:tc>
        <w:tc>
          <w:tcPr>
            <w:tcW w:w="2553" w:type="dxa"/>
            <w:tcBorders>
              <w:top w:val="single" w:sz="8" w:space="0" w:color="auto"/>
              <w:left w:val="nil"/>
              <w:bottom w:val="single" w:sz="8" w:space="0" w:color="auto"/>
              <w:right w:val="single" w:sz="8" w:space="0" w:color="000000"/>
            </w:tcBorders>
            <w:vAlign w:val="center"/>
            <w:hideMark/>
          </w:tcPr>
          <w:p w14:paraId="1075160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beneficiary ss98(3) or non-resident member ss276-105(2)(a) or (b) assessable amounts</w:t>
            </w:r>
          </w:p>
        </w:tc>
        <w:tc>
          <w:tcPr>
            <w:tcW w:w="273" w:type="dxa"/>
            <w:vAlign w:val="center"/>
            <w:hideMark/>
          </w:tcPr>
          <w:p w14:paraId="76DA8512"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0BC88E6" w14:textId="77777777" w:rsidTr="00743808">
        <w:trPr>
          <w:trHeight w:val="1785"/>
        </w:trPr>
        <w:tc>
          <w:tcPr>
            <w:tcW w:w="977" w:type="dxa"/>
            <w:tcBorders>
              <w:top w:val="nil"/>
              <w:left w:val="single" w:sz="8" w:space="0" w:color="auto"/>
              <w:bottom w:val="single" w:sz="8" w:space="0" w:color="auto"/>
              <w:right w:val="single" w:sz="8" w:space="0" w:color="auto"/>
            </w:tcBorders>
            <w:noWrap/>
            <w:vAlign w:val="center"/>
            <w:hideMark/>
          </w:tcPr>
          <w:p w14:paraId="238E130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7.101</w:t>
            </w:r>
          </w:p>
        </w:tc>
        <w:tc>
          <w:tcPr>
            <w:tcW w:w="2263" w:type="dxa"/>
            <w:gridSpan w:val="3"/>
            <w:tcBorders>
              <w:top w:val="single" w:sz="8" w:space="0" w:color="auto"/>
              <w:left w:val="nil"/>
              <w:bottom w:val="single" w:sz="8" w:space="0" w:color="auto"/>
              <w:right w:val="single" w:sz="8" w:space="0" w:color="000000"/>
            </w:tcBorders>
            <w:vAlign w:val="center"/>
            <w:hideMark/>
          </w:tcPr>
          <w:p w14:paraId="1C7D7F5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Interposed entity TFN or ABN</w:t>
            </w:r>
          </w:p>
        </w:tc>
        <w:tc>
          <w:tcPr>
            <w:tcW w:w="992" w:type="dxa"/>
            <w:tcBorders>
              <w:top w:val="single" w:sz="8" w:space="0" w:color="auto"/>
              <w:left w:val="nil"/>
              <w:bottom w:val="single" w:sz="8" w:space="0" w:color="auto"/>
              <w:right w:val="single" w:sz="8" w:space="0" w:color="000000"/>
            </w:tcBorders>
            <w:noWrap/>
            <w:vAlign w:val="center"/>
            <w:hideMark/>
          </w:tcPr>
          <w:p w14:paraId="158AE72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9.102</w:t>
            </w:r>
          </w:p>
        </w:tc>
        <w:tc>
          <w:tcPr>
            <w:tcW w:w="2410" w:type="dxa"/>
            <w:gridSpan w:val="6"/>
            <w:tcBorders>
              <w:top w:val="single" w:sz="8" w:space="0" w:color="auto"/>
              <w:left w:val="nil"/>
              <w:bottom w:val="single" w:sz="8" w:space="0" w:color="auto"/>
              <w:right w:val="single" w:sz="8" w:space="0" w:color="000000"/>
            </w:tcBorders>
            <w:vAlign w:val="center"/>
            <w:hideMark/>
          </w:tcPr>
          <w:p w14:paraId="0CD18B2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Interposed entity name</w:t>
            </w:r>
          </w:p>
        </w:tc>
        <w:tc>
          <w:tcPr>
            <w:tcW w:w="992" w:type="dxa"/>
            <w:gridSpan w:val="2"/>
            <w:tcBorders>
              <w:top w:val="single" w:sz="8" w:space="0" w:color="auto"/>
              <w:left w:val="nil"/>
              <w:bottom w:val="single" w:sz="8" w:space="0" w:color="auto"/>
              <w:right w:val="single" w:sz="8" w:space="0" w:color="000000"/>
            </w:tcBorders>
            <w:vAlign w:val="center"/>
            <w:hideMark/>
          </w:tcPr>
          <w:p w14:paraId="5DD3E01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9.102</w:t>
            </w:r>
          </w:p>
        </w:tc>
        <w:tc>
          <w:tcPr>
            <w:tcW w:w="2273" w:type="dxa"/>
            <w:gridSpan w:val="7"/>
            <w:tcBorders>
              <w:top w:val="single" w:sz="8" w:space="0" w:color="auto"/>
              <w:left w:val="nil"/>
              <w:bottom w:val="single" w:sz="8" w:space="0" w:color="auto"/>
              <w:right w:val="single" w:sz="8" w:space="0" w:color="000000"/>
            </w:tcBorders>
            <w:vAlign w:val="center"/>
            <w:hideMark/>
          </w:tcPr>
          <w:p w14:paraId="2448771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beneficiary ss98(4) or non-resident member ss276-105(2)(c) assessable amounts</w:t>
            </w:r>
          </w:p>
        </w:tc>
        <w:tc>
          <w:tcPr>
            <w:tcW w:w="994" w:type="dxa"/>
            <w:tcBorders>
              <w:top w:val="nil"/>
              <w:left w:val="nil"/>
              <w:bottom w:val="single" w:sz="8" w:space="0" w:color="auto"/>
              <w:right w:val="single" w:sz="8" w:space="0" w:color="auto"/>
            </w:tcBorders>
            <w:vAlign w:val="center"/>
            <w:hideMark/>
          </w:tcPr>
          <w:p w14:paraId="0B0CC78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9.102</w:t>
            </w:r>
          </w:p>
        </w:tc>
        <w:tc>
          <w:tcPr>
            <w:tcW w:w="2553" w:type="dxa"/>
            <w:tcBorders>
              <w:top w:val="single" w:sz="8" w:space="0" w:color="auto"/>
              <w:left w:val="nil"/>
              <w:bottom w:val="single" w:sz="8" w:space="0" w:color="auto"/>
              <w:right w:val="single" w:sz="8" w:space="0" w:color="000000"/>
            </w:tcBorders>
            <w:vAlign w:val="center"/>
            <w:hideMark/>
          </w:tcPr>
          <w:p w14:paraId="044F65A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Non-resident beneficiary ss98(4) or non-resident member ss276-105(2)(c) assessable amounts</w:t>
            </w:r>
          </w:p>
        </w:tc>
        <w:tc>
          <w:tcPr>
            <w:tcW w:w="273" w:type="dxa"/>
            <w:vAlign w:val="center"/>
            <w:hideMark/>
          </w:tcPr>
          <w:p w14:paraId="74FB88D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1EA574A"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0BDCCAC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7.102</w:t>
            </w:r>
          </w:p>
        </w:tc>
        <w:tc>
          <w:tcPr>
            <w:tcW w:w="2263" w:type="dxa"/>
            <w:gridSpan w:val="3"/>
            <w:tcBorders>
              <w:top w:val="single" w:sz="8" w:space="0" w:color="auto"/>
              <w:left w:val="nil"/>
              <w:bottom w:val="single" w:sz="8" w:space="0" w:color="auto"/>
              <w:right w:val="single" w:sz="8" w:space="0" w:color="000000"/>
            </w:tcBorders>
            <w:vAlign w:val="center"/>
            <w:hideMark/>
          </w:tcPr>
          <w:p w14:paraId="305C0B7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Managed investment trust fund payments</w:t>
            </w:r>
          </w:p>
        </w:tc>
        <w:tc>
          <w:tcPr>
            <w:tcW w:w="992" w:type="dxa"/>
            <w:tcBorders>
              <w:top w:val="single" w:sz="8" w:space="0" w:color="auto"/>
              <w:left w:val="nil"/>
              <w:bottom w:val="single" w:sz="8" w:space="0" w:color="auto"/>
              <w:right w:val="single" w:sz="8" w:space="0" w:color="000000"/>
            </w:tcBorders>
            <w:noWrap/>
            <w:vAlign w:val="center"/>
            <w:hideMark/>
          </w:tcPr>
          <w:p w14:paraId="562F84A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9.103</w:t>
            </w:r>
          </w:p>
        </w:tc>
        <w:tc>
          <w:tcPr>
            <w:tcW w:w="2410" w:type="dxa"/>
            <w:gridSpan w:val="6"/>
            <w:tcBorders>
              <w:top w:val="single" w:sz="8" w:space="0" w:color="auto"/>
              <w:left w:val="nil"/>
              <w:bottom w:val="single" w:sz="8" w:space="0" w:color="auto"/>
              <w:right w:val="single" w:sz="8" w:space="0" w:color="000000"/>
            </w:tcBorders>
            <w:vAlign w:val="center"/>
            <w:hideMark/>
          </w:tcPr>
          <w:p w14:paraId="7801DB8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Interposed entity TFN or ABN</w:t>
            </w:r>
          </w:p>
        </w:tc>
        <w:tc>
          <w:tcPr>
            <w:tcW w:w="992" w:type="dxa"/>
            <w:gridSpan w:val="2"/>
            <w:tcBorders>
              <w:top w:val="single" w:sz="8" w:space="0" w:color="auto"/>
              <w:left w:val="nil"/>
              <w:bottom w:val="single" w:sz="8" w:space="0" w:color="auto"/>
              <w:right w:val="single" w:sz="8" w:space="0" w:color="000000"/>
            </w:tcBorders>
            <w:vAlign w:val="center"/>
            <w:hideMark/>
          </w:tcPr>
          <w:p w14:paraId="7A4ECAF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9.103</w:t>
            </w:r>
          </w:p>
        </w:tc>
        <w:tc>
          <w:tcPr>
            <w:tcW w:w="2273" w:type="dxa"/>
            <w:gridSpan w:val="7"/>
            <w:tcBorders>
              <w:top w:val="single" w:sz="8" w:space="0" w:color="auto"/>
              <w:left w:val="nil"/>
              <w:bottom w:val="single" w:sz="8" w:space="0" w:color="auto"/>
              <w:right w:val="single" w:sz="8" w:space="0" w:color="000000"/>
            </w:tcBorders>
            <w:vAlign w:val="center"/>
            <w:hideMark/>
          </w:tcPr>
          <w:p w14:paraId="3BCD3D2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Interposed entity name</w:t>
            </w:r>
          </w:p>
        </w:tc>
        <w:tc>
          <w:tcPr>
            <w:tcW w:w="994" w:type="dxa"/>
            <w:tcBorders>
              <w:top w:val="nil"/>
              <w:left w:val="nil"/>
              <w:bottom w:val="single" w:sz="8" w:space="0" w:color="auto"/>
              <w:right w:val="single" w:sz="8" w:space="0" w:color="auto"/>
            </w:tcBorders>
            <w:vAlign w:val="center"/>
            <w:hideMark/>
          </w:tcPr>
          <w:p w14:paraId="4BB099E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9.103</w:t>
            </w:r>
          </w:p>
        </w:tc>
        <w:tc>
          <w:tcPr>
            <w:tcW w:w="2553" w:type="dxa"/>
            <w:tcBorders>
              <w:top w:val="single" w:sz="8" w:space="0" w:color="auto"/>
              <w:left w:val="nil"/>
              <w:bottom w:val="single" w:sz="8" w:space="0" w:color="auto"/>
              <w:right w:val="single" w:sz="8" w:space="0" w:color="000000"/>
            </w:tcBorders>
            <w:vAlign w:val="center"/>
            <w:hideMark/>
          </w:tcPr>
          <w:p w14:paraId="510DE3E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Interposed entity name</w:t>
            </w:r>
          </w:p>
        </w:tc>
        <w:tc>
          <w:tcPr>
            <w:tcW w:w="273" w:type="dxa"/>
            <w:vAlign w:val="center"/>
            <w:hideMark/>
          </w:tcPr>
          <w:p w14:paraId="1CEBECDB"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85DC55B"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3623818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7.103</w:t>
            </w:r>
          </w:p>
        </w:tc>
        <w:tc>
          <w:tcPr>
            <w:tcW w:w="2263" w:type="dxa"/>
            <w:gridSpan w:val="3"/>
            <w:tcBorders>
              <w:top w:val="single" w:sz="8" w:space="0" w:color="auto"/>
              <w:left w:val="nil"/>
              <w:bottom w:val="single" w:sz="8" w:space="0" w:color="auto"/>
              <w:right w:val="single" w:sz="8" w:space="0" w:color="000000"/>
            </w:tcBorders>
            <w:vAlign w:val="center"/>
            <w:hideMark/>
          </w:tcPr>
          <w:p w14:paraId="0B2D1B7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Amounts withheld from managed investment trust fund payments</w:t>
            </w:r>
          </w:p>
        </w:tc>
        <w:tc>
          <w:tcPr>
            <w:tcW w:w="992" w:type="dxa"/>
            <w:tcBorders>
              <w:top w:val="single" w:sz="8" w:space="0" w:color="auto"/>
              <w:left w:val="nil"/>
              <w:bottom w:val="single" w:sz="8" w:space="0" w:color="auto"/>
              <w:right w:val="single" w:sz="8" w:space="0" w:color="000000"/>
            </w:tcBorders>
            <w:noWrap/>
            <w:vAlign w:val="center"/>
            <w:hideMark/>
          </w:tcPr>
          <w:p w14:paraId="5C8394F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9.104</w:t>
            </w:r>
          </w:p>
        </w:tc>
        <w:tc>
          <w:tcPr>
            <w:tcW w:w="2410" w:type="dxa"/>
            <w:gridSpan w:val="6"/>
            <w:tcBorders>
              <w:top w:val="single" w:sz="8" w:space="0" w:color="auto"/>
              <w:left w:val="nil"/>
              <w:bottom w:val="single" w:sz="8" w:space="0" w:color="auto"/>
              <w:right w:val="single" w:sz="8" w:space="0" w:color="000000"/>
            </w:tcBorders>
            <w:vAlign w:val="center"/>
            <w:hideMark/>
          </w:tcPr>
          <w:p w14:paraId="3EF7E2A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Managed investment trust fund payments</w:t>
            </w:r>
          </w:p>
        </w:tc>
        <w:tc>
          <w:tcPr>
            <w:tcW w:w="992" w:type="dxa"/>
            <w:gridSpan w:val="2"/>
            <w:tcBorders>
              <w:top w:val="single" w:sz="8" w:space="0" w:color="auto"/>
              <w:left w:val="nil"/>
              <w:bottom w:val="single" w:sz="8" w:space="0" w:color="auto"/>
              <w:right w:val="single" w:sz="8" w:space="0" w:color="000000"/>
            </w:tcBorders>
            <w:vAlign w:val="center"/>
            <w:hideMark/>
          </w:tcPr>
          <w:p w14:paraId="46BE658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9.104</w:t>
            </w:r>
          </w:p>
        </w:tc>
        <w:tc>
          <w:tcPr>
            <w:tcW w:w="2273" w:type="dxa"/>
            <w:gridSpan w:val="7"/>
            <w:tcBorders>
              <w:top w:val="single" w:sz="8" w:space="0" w:color="auto"/>
              <w:left w:val="nil"/>
              <w:bottom w:val="single" w:sz="8" w:space="0" w:color="auto"/>
              <w:right w:val="single" w:sz="8" w:space="0" w:color="000000"/>
            </w:tcBorders>
            <w:vAlign w:val="center"/>
            <w:hideMark/>
          </w:tcPr>
          <w:p w14:paraId="114AA00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Interposed entity TFN or ABN</w:t>
            </w:r>
          </w:p>
        </w:tc>
        <w:tc>
          <w:tcPr>
            <w:tcW w:w="994" w:type="dxa"/>
            <w:tcBorders>
              <w:top w:val="nil"/>
              <w:left w:val="nil"/>
              <w:bottom w:val="single" w:sz="8" w:space="0" w:color="auto"/>
              <w:right w:val="single" w:sz="8" w:space="0" w:color="auto"/>
            </w:tcBorders>
            <w:vAlign w:val="center"/>
            <w:hideMark/>
          </w:tcPr>
          <w:p w14:paraId="76E8E84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9.104</w:t>
            </w:r>
          </w:p>
        </w:tc>
        <w:tc>
          <w:tcPr>
            <w:tcW w:w="2553" w:type="dxa"/>
            <w:tcBorders>
              <w:top w:val="single" w:sz="8" w:space="0" w:color="auto"/>
              <w:left w:val="nil"/>
              <w:bottom w:val="single" w:sz="8" w:space="0" w:color="auto"/>
              <w:right w:val="single" w:sz="8" w:space="0" w:color="000000"/>
            </w:tcBorders>
            <w:vAlign w:val="center"/>
            <w:hideMark/>
          </w:tcPr>
          <w:p w14:paraId="6024DD0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Interposed entity TFN or ABN</w:t>
            </w:r>
          </w:p>
        </w:tc>
        <w:tc>
          <w:tcPr>
            <w:tcW w:w="273" w:type="dxa"/>
            <w:vAlign w:val="center"/>
            <w:hideMark/>
          </w:tcPr>
          <w:p w14:paraId="0140A745"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1CC4A215"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3068EBE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7.104</w:t>
            </w:r>
          </w:p>
        </w:tc>
        <w:tc>
          <w:tcPr>
            <w:tcW w:w="2263" w:type="dxa"/>
            <w:gridSpan w:val="3"/>
            <w:tcBorders>
              <w:top w:val="single" w:sz="8" w:space="0" w:color="auto"/>
              <w:left w:val="nil"/>
              <w:bottom w:val="single" w:sz="8" w:space="0" w:color="auto"/>
              <w:right w:val="single" w:sz="8" w:space="0" w:color="000000"/>
            </w:tcBorders>
            <w:vAlign w:val="center"/>
            <w:hideMark/>
          </w:tcPr>
          <w:p w14:paraId="442E087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Exploration credits</w:t>
            </w:r>
          </w:p>
        </w:tc>
        <w:tc>
          <w:tcPr>
            <w:tcW w:w="992" w:type="dxa"/>
            <w:tcBorders>
              <w:top w:val="single" w:sz="8" w:space="0" w:color="auto"/>
              <w:left w:val="nil"/>
              <w:bottom w:val="single" w:sz="8" w:space="0" w:color="auto"/>
              <w:right w:val="single" w:sz="8" w:space="0" w:color="000000"/>
            </w:tcBorders>
            <w:noWrap/>
            <w:vAlign w:val="center"/>
            <w:hideMark/>
          </w:tcPr>
          <w:p w14:paraId="3506B64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9.105</w:t>
            </w:r>
          </w:p>
        </w:tc>
        <w:tc>
          <w:tcPr>
            <w:tcW w:w="2410" w:type="dxa"/>
            <w:gridSpan w:val="6"/>
            <w:tcBorders>
              <w:top w:val="single" w:sz="8" w:space="0" w:color="auto"/>
              <w:left w:val="nil"/>
              <w:bottom w:val="single" w:sz="8" w:space="0" w:color="auto"/>
              <w:right w:val="single" w:sz="8" w:space="0" w:color="000000"/>
            </w:tcBorders>
            <w:vAlign w:val="center"/>
            <w:hideMark/>
          </w:tcPr>
          <w:p w14:paraId="5D8A734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Amounts withheld from managed investment trust fund payments</w:t>
            </w:r>
          </w:p>
        </w:tc>
        <w:tc>
          <w:tcPr>
            <w:tcW w:w="992" w:type="dxa"/>
            <w:gridSpan w:val="2"/>
            <w:tcBorders>
              <w:top w:val="single" w:sz="8" w:space="0" w:color="auto"/>
              <w:left w:val="nil"/>
              <w:bottom w:val="single" w:sz="8" w:space="0" w:color="auto"/>
              <w:right w:val="single" w:sz="8" w:space="0" w:color="000000"/>
            </w:tcBorders>
            <w:vAlign w:val="center"/>
            <w:hideMark/>
          </w:tcPr>
          <w:p w14:paraId="2375C70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9.105</w:t>
            </w:r>
          </w:p>
        </w:tc>
        <w:tc>
          <w:tcPr>
            <w:tcW w:w="2273" w:type="dxa"/>
            <w:gridSpan w:val="7"/>
            <w:tcBorders>
              <w:top w:val="single" w:sz="8" w:space="0" w:color="auto"/>
              <w:left w:val="nil"/>
              <w:bottom w:val="single" w:sz="8" w:space="0" w:color="auto"/>
              <w:right w:val="single" w:sz="8" w:space="0" w:color="000000"/>
            </w:tcBorders>
            <w:vAlign w:val="center"/>
            <w:hideMark/>
          </w:tcPr>
          <w:p w14:paraId="78606B7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Managed investment trust fund payments</w:t>
            </w:r>
          </w:p>
        </w:tc>
        <w:tc>
          <w:tcPr>
            <w:tcW w:w="994" w:type="dxa"/>
            <w:tcBorders>
              <w:top w:val="nil"/>
              <w:left w:val="nil"/>
              <w:bottom w:val="single" w:sz="8" w:space="0" w:color="auto"/>
              <w:right w:val="single" w:sz="8" w:space="0" w:color="auto"/>
            </w:tcBorders>
            <w:vAlign w:val="center"/>
            <w:hideMark/>
          </w:tcPr>
          <w:p w14:paraId="2608C3D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9.105</w:t>
            </w:r>
          </w:p>
        </w:tc>
        <w:tc>
          <w:tcPr>
            <w:tcW w:w="2553" w:type="dxa"/>
            <w:tcBorders>
              <w:top w:val="single" w:sz="8" w:space="0" w:color="auto"/>
              <w:left w:val="nil"/>
              <w:bottom w:val="single" w:sz="8" w:space="0" w:color="auto"/>
              <w:right w:val="single" w:sz="8" w:space="0" w:color="000000"/>
            </w:tcBorders>
            <w:vAlign w:val="center"/>
            <w:hideMark/>
          </w:tcPr>
          <w:p w14:paraId="394D43A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Managed investment trust fund payments</w:t>
            </w:r>
          </w:p>
        </w:tc>
        <w:tc>
          <w:tcPr>
            <w:tcW w:w="273" w:type="dxa"/>
            <w:vAlign w:val="center"/>
            <w:hideMark/>
          </w:tcPr>
          <w:p w14:paraId="64293AE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6ADDE6D9"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3E8AB90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7.105</w:t>
            </w:r>
          </w:p>
        </w:tc>
        <w:tc>
          <w:tcPr>
            <w:tcW w:w="2263" w:type="dxa"/>
            <w:gridSpan w:val="3"/>
            <w:tcBorders>
              <w:top w:val="single" w:sz="8" w:space="0" w:color="auto"/>
              <w:left w:val="nil"/>
              <w:bottom w:val="single" w:sz="8" w:space="0" w:color="auto"/>
              <w:right w:val="single" w:sz="8" w:space="0" w:color="000000"/>
            </w:tcBorders>
            <w:vAlign w:val="center"/>
            <w:hideMark/>
          </w:tcPr>
          <w:p w14:paraId="6AE8FA4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Listed investment company capital gain deduction</w:t>
            </w:r>
          </w:p>
        </w:tc>
        <w:tc>
          <w:tcPr>
            <w:tcW w:w="992" w:type="dxa"/>
            <w:tcBorders>
              <w:top w:val="single" w:sz="8" w:space="0" w:color="auto"/>
              <w:left w:val="nil"/>
              <w:bottom w:val="single" w:sz="8" w:space="0" w:color="auto"/>
              <w:right w:val="single" w:sz="8" w:space="0" w:color="000000"/>
            </w:tcBorders>
            <w:noWrap/>
            <w:vAlign w:val="center"/>
            <w:hideMark/>
          </w:tcPr>
          <w:p w14:paraId="06D5C97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9.106</w:t>
            </w:r>
          </w:p>
        </w:tc>
        <w:tc>
          <w:tcPr>
            <w:tcW w:w="2410" w:type="dxa"/>
            <w:gridSpan w:val="6"/>
            <w:tcBorders>
              <w:top w:val="single" w:sz="8" w:space="0" w:color="auto"/>
              <w:left w:val="nil"/>
              <w:bottom w:val="single" w:sz="8" w:space="0" w:color="auto"/>
              <w:right w:val="single" w:sz="8" w:space="0" w:color="000000"/>
            </w:tcBorders>
            <w:vAlign w:val="center"/>
            <w:hideMark/>
          </w:tcPr>
          <w:p w14:paraId="529D932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Exploration credits</w:t>
            </w:r>
          </w:p>
        </w:tc>
        <w:tc>
          <w:tcPr>
            <w:tcW w:w="992" w:type="dxa"/>
            <w:gridSpan w:val="2"/>
            <w:tcBorders>
              <w:top w:val="single" w:sz="8" w:space="0" w:color="auto"/>
              <w:left w:val="nil"/>
              <w:bottom w:val="single" w:sz="8" w:space="0" w:color="auto"/>
              <w:right w:val="single" w:sz="8" w:space="0" w:color="000000"/>
            </w:tcBorders>
            <w:vAlign w:val="center"/>
            <w:hideMark/>
          </w:tcPr>
          <w:p w14:paraId="0222DAE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9.106</w:t>
            </w:r>
          </w:p>
        </w:tc>
        <w:tc>
          <w:tcPr>
            <w:tcW w:w="2273" w:type="dxa"/>
            <w:gridSpan w:val="7"/>
            <w:tcBorders>
              <w:top w:val="single" w:sz="8" w:space="0" w:color="auto"/>
              <w:left w:val="nil"/>
              <w:bottom w:val="single" w:sz="8" w:space="0" w:color="auto"/>
              <w:right w:val="single" w:sz="8" w:space="0" w:color="000000"/>
            </w:tcBorders>
            <w:vAlign w:val="center"/>
            <w:hideMark/>
          </w:tcPr>
          <w:p w14:paraId="0E343E9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Amounts withheld from managed investment trust fund payments</w:t>
            </w:r>
          </w:p>
        </w:tc>
        <w:tc>
          <w:tcPr>
            <w:tcW w:w="994" w:type="dxa"/>
            <w:tcBorders>
              <w:top w:val="nil"/>
              <w:left w:val="nil"/>
              <w:bottom w:val="single" w:sz="8" w:space="0" w:color="auto"/>
              <w:right w:val="single" w:sz="8" w:space="0" w:color="auto"/>
            </w:tcBorders>
            <w:vAlign w:val="center"/>
            <w:hideMark/>
          </w:tcPr>
          <w:p w14:paraId="0552C21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9.106</w:t>
            </w:r>
          </w:p>
        </w:tc>
        <w:tc>
          <w:tcPr>
            <w:tcW w:w="2553" w:type="dxa"/>
            <w:tcBorders>
              <w:top w:val="single" w:sz="8" w:space="0" w:color="auto"/>
              <w:left w:val="nil"/>
              <w:bottom w:val="single" w:sz="8" w:space="0" w:color="auto"/>
              <w:right w:val="single" w:sz="8" w:space="0" w:color="000000"/>
            </w:tcBorders>
            <w:vAlign w:val="center"/>
            <w:hideMark/>
          </w:tcPr>
          <w:p w14:paraId="52ECA78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Amounts withheld from managed investment trust fund payments</w:t>
            </w:r>
          </w:p>
        </w:tc>
        <w:tc>
          <w:tcPr>
            <w:tcW w:w="273" w:type="dxa"/>
            <w:vAlign w:val="center"/>
            <w:hideMark/>
          </w:tcPr>
          <w:p w14:paraId="5BE492BB"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5825DA7F" w14:textId="77777777" w:rsidTr="00743808">
        <w:trPr>
          <w:trHeight w:val="20"/>
        </w:trPr>
        <w:tc>
          <w:tcPr>
            <w:tcW w:w="3240" w:type="dxa"/>
            <w:gridSpan w:val="4"/>
            <w:tcBorders>
              <w:top w:val="single" w:sz="8" w:space="0" w:color="auto"/>
              <w:left w:val="single" w:sz="8" w:space="0" w:color="auto"/>
              <w:bottom w:val="nil"/>
              <w:right w:val="single" w:sz="8" w:space="0" w:color="000000"/>
            </w:tcBorders>
            <w:shd w:val="thinDiagStripe" w:color="000000" w:fill="BFBFBF"/>
            <w:noWrap/>
            <w:vAlign w:val="center"/>
            <w:hideMark/>
          </w:tcPr>
          <w:p w14:paraId="5DEE07A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tcBorders>
              <w:top w:val="single" w:sz="8" w:space="0" w:color="auto"/>
              <w:left w:val="nil"/>
              <w:bottom w:val="single" w:sz="8" w:space="0" w:color="auto"/>
              <w:right w:val="nil"/>
            </w:tcBorders>
            <w:noWrap/>
            <w:vAlign w:val="center"/>
            <w:hideMark/>
          </w:tcPr>
          <w:p w14:paraId="0FA825A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9.107</w:t>
            </w:r>
          </w:p>
        </w:tc>
        <w:tc>
          <w:tcPr>
            <w:tcW w:w="2410" w:type="dxa"/>
            <w:gridSpan w:val="6"/>
            <w:tcBorders>
              <w:top w:val="single" w:sz="8" w:space="0" w:color="auto"/>
              <w:left w:val="single" w:sz="8" w:space="0" w:color="auto"/>
              <w:bottom w:val="single" w:sz="8" w:space="0" w:color="auto"/>
              <w:right w:val="single" w:sz="8" w:space="0" w:color="000000"/>
            </w:tcBorders>
            <w:vAlign w:val="center"/>
            <w:hideMark/>
          </w:tcPr>
          <w:p w14:paraId="40BA246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Listed investment company capital gain deduction</w:t>
            </w:r>
          </w:p>
        </w:tc>
        <w:tc>
          <w:tcPr>
            <w:tcW w:w="992" w:type="dxa"/>
            <w:gridSpan w:val="2"/>
            <w:tcBorders>
              <w:top w:val="single" w:sz="8" w:space="0" w:color="auto"/>
              <w:left w:val="nil"/>
              <w:bottom w:val="single" w:sz="8" w:space="0" w:color="auto"/>
              <w:right w:val="single" w:sz="8" w:space="0" w:color="000000"/>
            </w:tcBorders>
            <w:vAlign w:val="center"/>
            <w:hideMark/>
          </w:tcPr>
          <w:p w14:paraId="40146DD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9.107</w:t>
            </w:r>
          </w:p>
        </w:tc>
        <w:tc>
          <w:tcPr>
            <w:tcW w:w="2273" w:type="dxa"/>
            <w:gridSpan w:val="7"/>
            <w:tcBorders>
              <w:top w:val="single" w:sz="8" w:space="0" w:color="auto"/>
              <w:left w:val="nil"/>
              <w:bottom w:val="single" w:sz="8" w:space="0" w:color="auto"/>
              <w:right w:val="single" w:sz="8" w:space="0" w:color="000000"/>
            </w:tcBorders>
            <w:vAlign w:val="center"/>
            <w:hideMark/>
          </w:tcPr>
          <w:p w14:paraId="6AC6E82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Exploration credits</w:t>
            </w:r>
          </w:p>
        </w:tc>
        <w:tc>
          <w:tcPr>
            <w:tcW w:w="994" w:type="dxa"/>
            <w:tcBorders>
              <w:top w:val="nil"/>
              <w:left w:val="nil"/>
              <w:bottom w:val="single" w:sz="8" w:space="0" w:color="auto"/>
              <w:right w:val="single" w:sz="8" w:space="0" w:color="auto"/>
            </w:tcBorders>
            <w:vAlign w:val="center"/>
            <w:hideMark/>
          </w:tcPr>
          <w:p w14:paraId="6BC54DE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9.107</w:t>
            </w:r>
          </w:p>
        </w:tc>
        <w:tc>
          <w:tcPr>
            <w:tcW w:w="2553" w:type="dxa"/>
            <w:tcBorders>
              <w:top w:val="single" w:sz="8" w:space="0" w:color="auto"/>
              <w:left w:val="nil"/>
              <w:bottom w:val="single" w:sz="8" w:space="0" w:color="auto"/>
              <w:right w:val="single" w:sz="8" w:space="0" w:color="000000"/>
            </w:tcBorders>
            <w:vAlign w:val="center"/>
            <w:hideMark/>
          </w:tcPr>
          <w:p w14:paraId="0B4B5FA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Exploration credits</w:t>
            </w:r>
          </w:p>
        </w:tc>
        <w:tc>
          <w:tcPr>
            <w:tcW w:w="273" w:type="dxa"/>
            <w:vAlign w:val="center"/>
            <w:hideMark/>
          </w:tcPr>
          <w:p w14:paraId="65A077EE"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A71A8" w:rsidRPr="005D29FE" w14:paraId="5D5DA077" w14:textId="77777777" w:rsidTr="00743808">
        <w:trPr>
          <w:trHeight w:val="765"/>
        </w:trPr>
        <w:tc>
          <w:tcPr>
            <w:tcW w:w="6642" w:type="dxa"/>
            <w:gridSpan w:val="11"/>
            <w:tcBorders>
              <w:top w:val="nil"/>
              <w:left w:val="single" w:sz="8" w:space="0" w:color="auto"/>
              <w:bottom w:val="single" w:sz="8" w:space="0" w:color="auto"/>
              <w:right w:val="single" w:sz="8" w:space="0" w:color="000000"/>
            </w:tcBorders>
            <w:shd w:val="thinDiagStripe" w:color="000000" w:fill="BFBFBF"/>
            <w:noWrap/>
            <w:vAlign w:val="center"/>
            <w:hideMark/>
          </w:tcPr>
          <w:p w14:paraId="3F3C2FB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gridSpan w:val="2"/>
            <w:tcBorders>
              <w:top w:val="single" w:sz="8" w:space="0" w:color="auto"/>
              <w:left w:val="nil"/>
              <w:bottom w:val="single" w:sz="8" w:space="0" w:color="auto"/>
              <w:right w:val="single" w:sz="8" w:space="0" w:color="000000"/>
            </w:tcBorders>
            <w:vAlign w:val="center"/>
            <w:hideMark/>
          </w:tcPr>
          <w:p w14:paraId="02FEBFA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9.108</w:t>
            </w:r>
          </w:p>
        </w:tc>
        <w:tc>
          <w:tcPr>
            <w:tcW w:w="2273" w:type="dxa"/>
            <w:gridSpan w:val="7"/>
            <w:tcBorders>
              <w:top w:val="single" w:sz="8" w:space="0" w:color="auto"/>
              <w:left w:val="nil"/>
              <w:bottom w:val="single" w:sz="8" w:space="0" w:color="auto"/>
              <w:right w:val="single" w:sz="8" w:space="0" w:color="000000"/>
            </w:tcBorders>
            <w:vAlign w:val="center"/>
            <w:hideMark/>
          </w:tcPr>
          <w:p w14:paraId="020AD9B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Listed investment company capital gain deduction</w:t>
            </w:r>
          </w:p>
        </w:tc>
        <w:tc>
          <w:tcPr>
            <w:tcW w:w="994" w:type="dxa"/>
            <w:tcBorders>
              <w:top w:val="nil"/>
              <w:left w:val="nil"/>
              <w:bottom w:val="single" w:sz="8" w:space="0" w:color="auto"/>
              <w:right w:val="single" w:sz="8" w:space="0" w:color="auto"/>
            </w:tcBorders>
            <w:vAlign w:val="center"/>
            <w:hideMark/>
          </w:tcPr>
          <w:p w14:paraId="754EDA8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9.108</w:t>
            </w:r>
          </w:p>
        </w:tc>
        <w:tc>
          <w:tcPr>
            <w:tcW w:w="2553" w:type="dxa"/>
            <w:tcBorders>
              <w:top w:val="single" w:sz="8" w:space="0" w:color="auto"/>
              <w:left w:val="nil"/>
              <w:bottom w:val="single" w:sz="8" w:space="0" w:color="auto"/>
              <w:right w:val="single" w:sz="8" w:space="0" w:color="000000"/>
            </w:tcBorders>
            <w:vAlign w:val="center"/>
            <w:hideMark/>
          </w:tcPr>
          <w:p w14:paraId="6D21915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Listed investment company capital gain deduction</w:t>
            </w:r>
          </w:p>
        </w:tc>
        <w:tc>
          <w:tcPr>
            <w:tcW w:w="273" w:type="dxa"/>
            <w:vAlign w:val="center"/>
            <w:hideMark/>
          </w:tcPr>
          <w:p w14:paraId="3BD10946"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5D29FE" w:rsidRPr="005D29FE" w14:paraId="0CA7BC62" w14:textId="77777777" w:rsidTr="00743808">
        <w:trPr>
          <w:trHeight w:val="330"/>
        </w:trPr>
        <w:tc>
          <w:tcPr>
            <w:tcW w:w="13454" w:type="dxa"/>
            <w:gridSpan w:val="22"/>
            <w:tcBorders>
              <w:top w:val="single" w:sz="8" w:space="0" w:color="auto"/>
              <w:left w:val="single" w:sz="8" w:space="0" w:color="auto"/>
              <w:bottom w:val="single" w:sz="8" w:space="0" w:color="auto"/>
              <w:right w:val="single" w:sz="8" w:space="0" w:color="000000"/>
            </w:tcBorders>
            <w:shd w:val="clear" w:color="000000" w:fill="AFB3E9"/>
            <w:noWrap/>
            <w:vAlign w:val="center"/>
            <w:hideMark/>
          </w:tcPr>
          <w:p w14:paraId="6BE1CD7E" w14:textId="77777777" w:rsidR="005D29FE" w:rsidRPr="005D29FE" w:rsidRDefault="005D29FE" w:rsidP="00D56AEB">
            <w:pPr>
              <w:spacing w:after="0" w:line="240" w:lineRule="auto"/>
              <w:rPr>
                <w:rFonts w:ascii="Inter" w:eastAsia="Times New Roman" w:hAnsi="Inter"/>
                <w:b/>
                <w:bCs/>
                <w:color w:val="000000"/>
                <w:lang w:eastAsia="en-AU"/>
              </w:rPr>
            </w:pPr>
            <w:r w:rsidRPr="005D29FE">
              <w:rPr>
                <w:rFonts w:ascii="Inter" w:eastAsia="Times New Roman" w:hAnsi="Inter"/>
                <w:b/>
                <w:bCs/>
                <w:color w:val="000000"/>
                <w:lang w:eastAsia="en-AU"/>
              </w:rPr>
              <w:t>Supplementary Income Account Data Record</w:t>
            </w:r>
          </w:p>
        </w:tc>
        <w:tc>
          <w:tcPr>
            <w:tcW w:w="273" w:type="dxa"/>
            <w:vAlign w:val="center"/>
            <w:hideMark/>
          </w:tcPr>
          <w:p w14:paraId="509559ED"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0CBADAB8"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19F2A29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7.107</w:t>
            </w:r>
          </w:p>
        </w:tc>
        <w:tc>
          <w:tcPr>
            <w:tcW w:w="2263" w:type="dxa"/>
            <w:gridSpan w:val="3"/>
            <w:tcBorders>
              <w:top w:val="single" w:sz="8" w:space="0" w:color="auto"/>
              <w:left w:val="nil"/>
              <w:bottom w:val="single" w:sz="8" w:space="0" w:color="auto"/>
              <w:right w:val="single" w:sz="8" w:space="0" w:color="000000"/>
            </w:tcBorders>
            <w:vAlign w:val="center"/>
            <w:hideMark/>
          </w:tcPr>
          <w:p w14:paraId="0C53598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Supplementary income payment type</w:t>
            </w:r>
          </w:p>
        </w:tc>
        <w:tc>
          <w:tcPr>
            <w:tcW w:w="992" w:type="dxa"/>
            <w:tcBorders>
              <w:top w:val="single" w:sz="8" w:space="0" w:color="auto"/>
              <w:left w:val="nil"/>
              <w:bottom w:val="single" w:sz="8" w:space="0" w:color="auto"/>
              <w:right w:val="single" w:sz="8" w:space="0" w:color="000000"/>
            </w:tcBorders>
            <w:noWrap/>
            <w:vAlign w:val="center"/>
            <w:hideMark/>
          </w:tcPr>
          <w:p w14:paraId="749EB3D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9.109</w:t>
            </w:r>
          </w:p>
        </w:tc>
        <w:tc>
          <w:tcPr>
            <w:tcW w:w="2410" w:type="dxa"/>
            <w:gridSpan w:val="6"/>
            <w:tcBorders>
              <w:top w:val="single" w:sz="8" w:space="0" w:color="auto"/>
              <w:left w:val="nil"/>
              <w:bottom w:val="single" w:sz="8" w:space="0" w:color="auto"/>
              <w:right w:val="single" w:sz="8" w:space="0" w:color="000000"/>
            </w:tcBorders>
            <w:vAlign w:val="center"/>
            <w:hideMark/>
          </w:tcPr>
          <w:p w14:paraId="0765F52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Supplementary income payment type</w:t>
            </w:r>
          </w:p>
        </w:tc>
        <w:tc>
          <w:tcPr>
            <w:tcW w:w="992" w:type="dxa"/>
            <w:gridSpan w:val="2"/>
            <w:tcBorders>
              <w:top w:val="single" w:sz="8" w:space="0" w:color="auto"/>
              <w:left w:val="nil"/>
              <w:bottom w:val="single" w:sz="8" w:space="0" w:color="auto"/>
              <w:right w:val="single" w:sz="8" w:space="0" w:color="000000"/>
            </w:tcBorders>
            <w:vAlign w:val="center"/>
            <w:hideMark/>
          </w:tcPr>
          <w:p w14:paraId="6D79CB7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w:t>
            </w:r>
          </w:p>
        </w:tc>
        <w:tc>
          <w:tcPr>
            <w:tcW w:w="2273" w:type="dxa"/>
            <w:gridSpan w:val="7"/>
            <w:tcBorders>
              <w:top w:val="single" w:sz="8" w:space="0" w:color="auto"/>
              <w:left w:val="nil"/>
              <w:bottom w:val="single" w:sz="8" w:space="0" w:color="auto"/>
              <w:right w:val="single" w:sz="8" w:space="0" w:color="000000"/>
            </w:tcBorders>
            <w:vAlign w:val="center"/>
            <w:hideMark/>
          </w:tcPr>
          <w:p w14:paraId="747FF50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Supplementary income payment type</w:t>
            </w:r>
          </w:p>
        </w:tc>
        <w:tc>
          <w:tcPr>
            <w:tcW w:w="994" w:type="dxa"/>
            <w:tcBorders>
              <w:top w:val="nil"/>
              <w:left w:val="nil"/>
              <w:bottom w:val="single" w:sz="8" w:space="0" w:color="auto"/>
              <w:right w:val="single" w:sz="8" w:space="0" w:color="auto"/>
            </w:tcBorders>
            <w:vAlign w:val="center"/>
            <w:hideMark/>
          </w:tcPr>
          <w:p w14:paraId="6BE7714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w:t>
            </w:r>
          </w:p>
        </w:tc>
        <w:tc>
          <w:tcPr>
            <w:tcW w:w="2553" w:type="dxa"/>
            <w:tcBorders>
              <w:top w:val="single" w:sz="8" w:space="0" w:color="auto"/>
              <w:left w:val="nil"/>
              <w:bottom w:val="single" w:sz="8" w:space="0" w:color="auto"/>
              <w:right w:val="single" w:sz="8" w:space="0" w:color="000000"/>
            </w:tcBorders>
            <w:vAlign w:val="center"/>
            <w:hideMark/>
          </w:tcPr>
          <w:p w14:paraId="28F2382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Supplementary income payment type</w:t>
            </w:r>
          </w:p>
        </w:tc>
        <w:tc>
          <w:tcPr>
            <w:tcW w:w="273" w:type="dxa"/>
            <w:vAlign w:val="center"/>
            <w:hideMark/>
          </w:tcPr>
          <w:p w14:paraId="6F618F14"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1BFA61FC"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7765806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7.109</w:t>
            </w:r>
          </w:p>
        </w:tc>
        <w:tc>
          <w:tcPr>
            <w:tcW w:w="2263" w:type="dxa"/>
            <w:gridSpan w:val="3"/>
            <w:tcBorders>
              <w:top w:val="single" w:sz="8" w:space="0" w:color="auto"/>
              <w:left w:val="nil"/>
              <w:bottom w:val="single" w:sz="8" w:space="0" w:color="auto"/>
              <w:right w:val="single" w:sz="8" w:space="0" w:color="000000"/>
            </w:tcBorders>
            <w:vAlign w:val="center"/>
            <w:hideMark/>
          </w:tcPr>
          <w:p w14:paraId="0BFC257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National rental affordability scheme tax offset</w:t>
            </w:r>
          </w:p>
        </w:tc>
        <w:tc>
          <w:tcPr>
            <w:tcW w:w="992" w:type="dxa"/>
            <w:tcBorders>
              <w:top w:val="single" w:sz="8" w:space="0" w:color="auto"/>
              <w:left w:val="nil"/>
              <w:bottom w:val="single" w:sz="8" w:space="0" w:color="auto"/>
              <w:right w:val="single" w:sz="8" w:space="0" w:color="000000"/>
            </w:tcBorders>
            <w:noWrap/>
            <w:vAlign w:val="center"/>
            <w:hideMark/>
          </w:tcPr>
          <w:p w14:paraId="63373B9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9.111</w:t>
            </w:r>
          </w:p>
        </w:tc>
        <w:tc>
          <w:tcPr>
            <w:tcW w:w="2410" w:type="dxa"/>
            <w:gridSpan w:val="6"/>
            <w:tcBorders>
              <w:top w:val="single" w:sz="8" w:space="0" w:color="auto"/>
              <w:left w:val="nil"/>
              <w:bottom w:val="single" w:sz="8" w:space="0" w:color="auto"/>
              <w:right w:val="single" w:sz="8" w:space="0" w:color="000000"/>
            </w:tcBorders>
            <w:vAlign w:val="center"/>
            <w:hideMark/>
          </w:tcPr>
          <w:p w14:paraId="58F63AD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National rental affordability scheme tax offset</w:t>
            </w:r>
          </w:p>
        </w:tc>
        <w:tc>
          <w:tcPr>
            <w:tcW w:w="992" w:type="dxa"/>
            <w:gridSpan w:val="2"/>
            <w:tcBorders>
              <w:top w:val="single" w:sz="8" w:space="0" w:color="auto"/>
              <w:left w:val="nil"/>
              <w:bottom w:val="single" w:sz="8" w:space="0" w:color="auto"/>
              <w:right w:val="single" w:sz="8" w:space="0" w:color="000000"/>
            </w:tcBorders>
            <w:vAlign w:val="center"/>
            <w:hideMark/>
          </w:tcPr>
          <w:p w14:paraId="793C374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9.112</w:t>
            </w:r>
          </w:p>
        </w:tc>
        <w:tc>
          <w:tcPr>
            <w:tcW w:w="2273" w:type="dxa"/>
            <w:gridSpan w:val="7"/>
            <w:tcBorders>
              <w:top w:val="single" w:sz="8" w:space="0" w:color="auto"/>
              <w:left w:val="nil"/>
              <w:bottom w:val="single" w:sz="8" w:space="0" w:color="auto"/>
              <w:right w:val="single" w:sz="8" w:space="0" w:color="000000"/>
            </w:tcBorders>
            <w:vAlign w:val="center"/>
            <w:hideMark/>
          </w:tcPr>
          <w:p w14:paraId="16216B3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National rental affordability scheme tax offset</w:t>
            </w:r>
          </w:p>
        </w:tc>
        <w:tc>
          <w:tcPr>
            <w:tcW w:w="994" w:type="dxa"/>
            <w:tcBorders>
              <w:top w:val="nil"/>
              <w:left w:val="nil"/>
              <w:bottom w:val="single" w:sz="8" w:space="0" w:color="auto"/>
              <w:right w:val="single" w:sz="8" w:space="0" w:color="auto"/>
            </w:tcBorders>
            <w:vAlign w:val="center"/>
            <w:hideMark/>
          </w:tcPr>
          <w:p w14:paraId="1B1B27A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9.112</w:t>
            </w:r>
          </w:p>
        </w:tc>
        <w:tc>
          <w:tcPr>
            <w:tcW w:w="2553" w:type="dxa"/>
            <w:tcBorders>
              <w:top w:val="single" w:sz="8" w:space="0" w:color="auto"/>
              <w:left w:val="nil"/>
              <w:bottom w:val="single" w:sz="8" w:space="0" w:color="auto"/>
              <w:right w:val="single" w:sz="8" w:space="0" w:color="000000"/>
            </w:tcBorders>
            <w:vAlign w:val="center"/>
            <w:hideMark/>
          </w:tcPr>
          <w:p w14:paraId="7BCDD3A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National rental affordability scheme tax offset</w:t>
            </w:r>
          </w:p>
        </w:tc>
        <w:tc>
          <w:tcPr>
            <w:tcW w:w="273" w:type="dxa"/>
            <w:vAlign w:val="center"/>
            <w:hideMark/>
          </w:tcPr>
          <w:p w14:paraId="223D1279"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01B44B80"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6F8DB29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w:t>
            </w:r>
          </w:p>
        </w:tc>
        <w:tc>
          <w:tcPr>
            <w:tcW w:w="2263" w:type="dxa"/>
            <w:gridSpan w:val="3"/>
            <w:tcBorders>
              <w:top w:val="single" w:sz="8" w:space="0" w:color="auto"/>
              <w:left w:val="nil"/>
              <w:bottom w:val="single" w:sz="8" w:space="0" w:color="auto"/>
              <w:right w:val="single" w:sz="8" w:space="0" w:color="000000"/>
            </w:tcBorders>
            <w:vAlign w:val="center"/>
            <w:hideMark/>
          </w:tcPr>
          <w:p w14:paraId="2A097E4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Primary production income</w:t>
            </w:r>
          </w:p>
        </w:tc>
        <w:tc>
          <w:tcPr>
            <w:tcW w:w="992" w:type="dxa"/>
            <w:tcBorders>
              <w:top w:val="single" w:sz="8" w:space="0" w:color="auto"/>
              <w:left w:val="nil"/>
              <w:bottom w:val="single" w:sz="8" w:space="0" w:color="auto"/>
              <w:right w:val="single" w:sz="8" w:space="0" w:color="000000"/>
            </w:tcBorders>
            <w:noWrap/>
            <w:vAlign w:val="center"/>
            <w:hideMark/>
          </w:tcPr>
          <w:p w14:paraId="493F77B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9.112</w:t>
            </w:r>
          </w:p>
        </w:tc>
        <w:tc>
          <w:tcPr>
            <w:tcW w:w="2410" w:type="dxa"/>
            <w:gridSpan w:val="6"/>
            <w:tcBorders>
              <w:top w:val="single" w:sz="8" w:space="0" w:color="auto"/>
              <w:left w:val="nil"/>
              <w:bottom w:val="single" w:sz="8" w:space="0" w:color="auto"/>
              <w:right w:val="single" w:sz="8" w:space="0" w:color="000000"/>
            </w:tcBorders>
            <w:vAlign w:val="center"/>
            <w:hideMark/>
          </w:tcPr>
          <w:p w14:paraId="22E15BB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Primary production income</w:t>
            </w:r>
          </w:p>
        </w:tc>
        <w:tc>
          <w:tcPr>
            <w:tcW w:w="992" w:type="dxa"/>
            <w:gridSpan w:val="2"/>
            <w:tcBorders>
              <w:top w:val="single" w:sz="8" w:space="0" w:color="auto"/>
              <w:left w:val="nil"/>
              <w:bottom w:val="single" w:sz="8" w:space="0" w:color="auto"/>
              <w:right w:val="single" w:sz="8" w:space="0" w:color="000000"/>
            </w:tcBorders>
            <w:vAlign w:val="center"/>
            <w:hideMark/>
          </w:tcPr>
          <w:p w14:paraId="3A891F7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9.113</w:t>
            </w:r>
          </w:p>
        </w:tc>
        <w:tc>
          <w:tcPr>
            <w:tcW w:w="2273" w:type="dxa"/>
            <w:gridSpan w:val="7"/>
            <w:tcBorders>
              <w:top w:val="single" w:sz="8" w:space="0" w:color="auto"/>
              <w:left w:val="nil"/>
              <w:bottom w:val="single" w:sz="8" w:space="0" w:color="auto"/>
              <w:right w:val="single" w:sz="8" w:space="0" w:color="000000"/>
            </w:tcBorders>
            <w:vAlign w:val="center"/>
            <w:hideMark/>
          </w:tcPr>
          <w:p w14:paraId="39895F8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Primary production income</w:t>
            </w:r>
          </w:p>
        </w:tc>
        <w:tc>
          <w:tcPr>
            <w:tcW w:w="994" w:type="dxa"/>
            <w:tcBorders>
              <w:top w:val="nil"/>
              <w:left w:val="nil"/>
              <w:bottom w:val="single" w:sz="8" w:space="0" w:color="auto"/>
              <w:right w:val="single" w:sz="8" w:space="0" w:color="auto"/>
            </w:tcBorders>
            <w:vAlign w:val="center"/>
            <w:hideMark/>
          </w:tcPr>
          <w:p w14:paraId="6623114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9.113</w:t>
            </w:r>
          </w:p>
        </w:tc>
        <w:tc>
          <w:tcPr>
            <w:tcW w:w="2553" w:type="dxa"/>
            <w:tcBorders>
              <w:top w:val="single" w:sz="8" w:space="0" w:color="auto"/>
              <w:left w:val="nil"/>
              <w:bottom w:val="single" w:sz="8" w:space="0" w:color="auto"/>
              <w:right w:val="single" w:sz="8" w:space="0" w:color="000000"/>
            </w:tcBorders>
            <w:vAlign w:val="center"/>
            <w:hideMark/>
          </w:tcPr>
          <w:p w14:paraId="6A5A394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Primary production income</w:t>
            </w:r>
          </w:p>
        </w:tc>
        <w:tc>
          <w:tcPr>
            <w:tcW w:w="273" w:type="dxa"/>
            <w:vAlign w:val="center"/>
            <w:hideMark/>
          </w:tcPr>
          <w:p w14:paraId="2253BE32"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48C1F80C"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7CC11DF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7.111</w:t>
            </w:r>
          </w:p>
        </w:tc>
        <w:tc>
          <w:tcPr>
            <w:tcW w:w="2263" w:type="dxa"/>
            <w:gridSpan w:val="3"/>
            <w:tcBorders>
              <w:top w:val="single" w:sz="8" w:space="0" w:color="auto"/>
              <w:left w:val="nil"/>
              <w:bottom w:val="single" w:sz="8" w:space="0" w:color="auto"/>
              <w:right w:val="single" w:sz="8" w:space="0" w:color="000000"/>
            </w:tcBorders>
            <w:vAlign w:val="center"/>
            <w:hideMark/>
          </w:tcPr>
          <w:p w14:paraId="17A7EDA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tax withheld where ABN not quoted</w:t>
            </w:r>
          </w:p>
        </w:tc>
        <w:tc>
          <w:tcPr>
            <w:tcW w:w="992" w:type="dxa"/>
            <w:tcBorders>
              <w:top w:val="single" w:sz="8" w:space="0" w:color="auto"/>
              <w:left w:val="nil"/>
              <w:bottom w:val="single" w:sz="8" w:space="0" w:color="auto"/>
              <w:right w:val="single" w:sz="8" w:space="0" w:color="000000"/>
            </w:tcBorders>
            <w:noWrap/>
            <w:vAlign w:val="center"/>
            <w:hideMark/>
          </w:tcPr>
          <w:p w14:paraId="20558E9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9.113</w:t>
            </w:r>
          </w:p>
        </w:tc>
        <w:tc>
          <w:tcPr>
            <w:tcW w:w="2410" w:type="dxa"/>
            <w:gridSpan w:val="6"/>
            <w:tcBorders>
              <w:top w:val="single" w:sz="8" w:space="0" w:color="auto"/>
              <w:left w:val="nil"/>
              <w:bottom w:val="single" w:sz="8" w:space="0" w:color="auto"/>
              <w:right w:val="single" w:sz="8" w:space="0" w:color="000000"/>
            </w:tcBorders>
            <w:vAlign w:val="center"/>
            <w:hideMark/>
          </w:tcPr>
          <w:p w14:paraId="0D4D008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tax withheld where ABN not quoted</w:t>
            </w:r>
          </w:p>
        </w:tc>
        <w:tc>
          <w:tcPr>
            <w:tcW w:w="992" w:type="dxa"/>
            <w:gridSpan w:val="2"/>
            <w:tcBorders>
              <w:top w:val="single" w:sz="8" w:space="0" w:color="auto"/>
              <w:left w:val="nil"/>
              <w:bottom w:val="single" w:sz="8" w:space="0" w:color="auto"/>
              <w:right w:val="single" w:sz="8" w:space="0" w:color="000000"/>
            </w:tcBorders>
            <w:vAlign w:val="center"/>
            <w:hideMark/>
          </w:tcPr>
          <w:p w14:paraId="5E1A905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9.114</w:t>
            </w:r>
          </w:p>
        </w:tc>
        <w:tc>
          <w:tcPr>
            <w:tcW w:w="2273" w:type="dxa"/>
            <w:gridSpan w:val="7"/>
            <w:tcBorders>
              <w:top w:val="single" w:sz="8" w:space="0" w:color="auto"/>
              <w:left w:val="nil"/>
              <w:bottom w:val="single" w:sz="8" w:space="0" w:color="auto"/>
              <w:right w:val="single" w:sz="8" w:space="0" w:color="000000"/>
            </w:tcBorders>
            <w:vAlign w:val="center"/>
            <w:hideMark/>
          </w:tcPr>
          <w:p w14:paraId="3C211EA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tax withheld where ABN not quoted</w:t>
            </w:r>
          </w:p>
        </w:tc>
        <w:tc>
          <w:tcPr>
            <w:tcW w:w="994" w:type="dxa"/>
            <w:tcBorders>
              <w:top w:val="nil"/>
              <w:left w:val="nil"/>
              <w:bottom w:val="single" w:sz="8" w:space="0" w:color="auto"/>
              <w:right w:val="single" w:sz="8" w:space="0" w:color="auto"/>
            </w:tcBorders>
            <w:vAlign w:val="center"/>
            <w:hideMark/>
          </w:tcPr>
          <w:p w14:paraId="5DA1782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9.114</w:t>
            </w:r>
          </w:p>
        </w:tc>
        <w:tc>
          <w:tcPr>
            <w:tcW w:w="2553" w:type="dxa"/>
            <w:tcBorders>
              <w:top w:val="single" w:sz="8" w:space="0" w:color="auto"/>
              <w:left w:val="nil"/>
              <w:bottom w:val="single" w:sz="8" w:space="0" w:color="auto"/>
              <w:right w:val="single" w:sz="8" w:space="0" w:color="000000"/>
            </w:tcBorders>
            <w:vAlign w:val="center"/>
            <w:hideMark/>
          </w:tcPr>
          <w:p w14:paraId="168A822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credit for tax withheld where ABN not quoted</w:t>
            </w:r>
          </w:p>
        </w:tc>
        <w:tc>
          <w:tcPr>
            <w:tcW w:w="273" w:type="dxa"/>
            <w:vAlign w:val="center"/>
            <w:hideMark/>
          </w:tcPr>
          <w:p w14:paraId="5AB0B94F"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E9EEEFA"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5455B0D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7.112</w:t>
            </w:r>
          </w:p>
        </w:tc>
        <w:tc>
          <w:tcPr>
            <w:tcW w:w="2263" w:type="dxa"/>
            <w:gridSpan w:val="3"/>
            <w:tcBorders>
              <w:top w:val="single" w:sz="8" w:space="0" w:color="auto"/>
              <w:left w:val="nil"/>
              <w:bottom w:val="single" w:sz="8" w:space="0" w:color="auto"/>
              <w:right w:val="single" w:sz="8" w:space="0" w:color="000000"/>
            </w:tcBorders>
            <w:vAlign w:val="center"/>
            <w:hideMark/>
          </w:tcPr>
          <w:p w14:paraId="766ED33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Deductions relating to distribution of primary production income</w:t>
            </w:r>
          </w:p>
        </w:tc>
        <w:tc>
          <w:tcPr>
            <w:tcW w:w="992" w:type="dxa"/>
            <w:tcBorders>
              <w:top w:val="single" w:sz="8" w:space="0" w:color="auto"/>
              <w:left w:val="nil"/>
              <w:bottom w:val="single" w:sz="8" w:space="0" w:color="auto"/>
              <w:right w:val="single" w:sz="8" w:space="0" w:color="000000"/>
            </w:tcBorders>
            <w:noWrap/>
            <w:vAlign w:val="center"/>
            <w:hideMark/>
          </w:tcPr>
          <w:p w14:paraId="14A9E96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9.114</w:t>
            </w:r>
          </w:p>
        </w:tc>
        <w:tc>
          <w:tcPr>
            <w:tcW w:w="2410" w:type="dxa"/>
            <w:gridSpan w:val="6"/>
            <w:tcBorders>
              <w:top w:val="single" w:sz="8" w:space="0" w:color="auto"/>
              <w:left w:val="nil"/>
              <w:bottom w:val="single" w:sz="8" w:space="0" w:color="auto"/>
              <w:right w:val="single" w:sz="8" w:space="0" w:color="000000"/>
            </w:tcBorders>
            <w:vAlign w:val="center"/>
            <w:hideMark/>
          </w:tcPr>
          <w:p w14:paraId="556B069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Deductions relating to distribution of primary production income</w:t>
            </w:r>
          </w:p>
        </w:tc>
        <w:tc>
          <w:tcPr>
            <w:tcW w:w="992" w:type="dxa"/>
            <w:gridSpan w:val="2"/>
            <w:tcBorders>
              <w:top w:val="single" w:sz="8" w:space="0" w:color="auto"/>
              <w:left w:val="nil"/>
              <w:bottom w:val="single" w:sz="8" w:space="0" w:color="auto"/>
              <w:right w:val="single" w:sz="8" w:space="0" w:color="000000"/>
            </w:tcBorders>
            <w:vAlign w:val="center"/>
            <w:hideMark/>
          </w:tcPr>
          <w:p w14:paraId="05E83B8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9.115</w:t>
            </w:r>
          </w:p>
        </w:tc>
        <w:tc>
          <w:tcPr>
            <w:tcW w:w="2273" w:type="dxa"/>
            <w:gridSpan w:val="7"/>
            <w:tcBorders>
              <w:top w:val="single" w:sz="8" w:space="0" w:color="auto"/>
              <w:left w:val="nil"/>
              <w:bottom w:val="single" w:sz="8" w:space="0" w:color="auto"/>
              <w:right w:val="single" w:sz="8" w:space="0" w:color="000000"/>
            </w:tcBorders>
            <w:vAlign w:val="center"/>
            <w:hideMark/>
          </w:tcPr>
          <w:p w14:paraId="394062C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Deductions relating to distribution of primary production income</w:t>
            </w:r>
          </w:p>
        </w:tc>
        <w:tc>
          <w:tcPr>
            <w:tcW w:w="994" w:type="dxa"/>
            <w:tcBorders>
              <w:top w:val="nil"/>
              <w:left w:val="nil"/>
              <w:bottom w:val="single" w:sz="8" w:space="0" w:color="auto"/>
              <w:right w:val="single" w:sz="8" w:space="0" w:color="auto"/>
            </w:tcBorders>
            <w:vAlign w:val="center"/>
            <w:hideMark/>
          </w:tcPr>
          <w:p w14:paraId="7619BFE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9.115</w:t>
            </w:r>
          </w:p>
        </w:tc>
        <w:tc>
          <w:tcPr>
            <w:tcW w:w="2553" w:type="dxa"/>
            <w:tcBorders>
              <w:top w:val="single" w:sz="8" w:space="0" w:color="auto"/>
              <w:left w:val="nil"/>
              <w:bottom w:val="single" w:sz="8" w:space="0" w:color="auto"/>
              <w:right w:val="single" w:sz="8" w:space="0" w:color="000000"/>
            </w:tcBorders>
            <w:vAlign w:val="center"/>
            <w:hideMark/>
          </w:tcPr>
          <w:p w14:paraId="54E51FA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Deductions relating to distribution of primary production income</w:t>
            </w:r>
          </w:p>
        </w:tc>
        <w:tc>
          <w:tcPr>
            <w:tcW w:w="273" w:type="dxa"/>
            <w:vAlign w:val="center"/>
            <w:hideMark/>
          </w:tcPr>
          <w:p w14:paraId="74FBE577"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5F794764"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3242EAA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7.113</w:t>
            </w:r>
          </w:p>
        </w:tc>
        <w:tc>
          <w:tcPr>
            <w:tcW w:w="2263" w:type="dxa"/>
            <w:gridSpan w:val="3"/>
            <w:tcBorders>
              <w:top w:val="single" w:sz="8" w:space="0" w:color="auto"/>
              <w:left w:val="nil"/>
              <w:bottom w:val="single" w:sz="8" w:space="0" w:color="auto"/>
              <w:right w:val="single" w:sz="8" w:space="0" w:color="000000"/>
            </w:tcBorders>
            <w:vAlign w:val="center"/>
            <w:hideMark/>
          </w:tcPr>
          <w:p w14:paraId="4C2FD51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Transferor trust income</w:t>
            </w:r>
          </w:p>
        </w:tc>
        <w:tc>
          <w:tcPr>
            <w:tcW w:w="992" w:type="dxa"/>
            <w:tcBorders>
              <w:top w:val="single" w:sz="8" w:space="0" w:color="auto"/>
              <w:left w:val="nil"/>
              <w:bottom w:val="single" w:sz="8" w:space="0" w:color="auto"/>
              <w:right w:val="single" w:sz="8" w:space="0" w:color="000000"/>
            </w:tcBorders>
            <w:noWrap/>
            <w:vAlign w:val="center"/>
            <w:hideMark/>
          </w:tcPr>
          <w:p w14:paraId="620DB7F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9.115</w:t>
            </w:r>
          </w:p>
        </w:tc>
        <w:tc>
          <w:tcPr>
            <w:tcW w:w="2410" w:type="dxa"/>
            <w:gridSpan w:val="6"/>
            <w:tcBorders>
              <w:top w:val="single" w:sz="8" w:space="0" w:color="auto"/>
              <w:left w:val="nil"/>
              <w:bottom w:val="single" w:sz="8" w:space="0" w:color="auto"/>
              <w:right w:val="single" w:sz="8" w:space="0" w:color="000000"/>
            </w:tcBorders>
            <w:vAlign w:val="center"/>
            <w:hideMark/>
          </w:tcPr>
          <w:p w14:paraId="4356F01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Transferor trust income</w:t>
            </w:r>
          </w:p>
        </w:tc>
        <w:tc>
          <w:tcPr>
            <w:tcW w:w="992" w:type="dxa"/>
            <w:gridSpan w:val="2"/>
            <w:tcBorders>
              <w:top w:val="single" w:sz="8" w:space="0" w:color="auto"/>
              <w:left w:val="nil"/>
              <w:bottom w:val="single" w:sz="8" w:space="0" w:color="auto"/>
              <w:right w:val="single" w:sz="8" w:space="0" w:color="000000"/>
            </w:tcBorders>
            <w:vAlign w:val="center"/>
            <w:hideMark/>
          </w:tcPr>
          <w:p w14:paraId="79469EF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9.116</w:t>
            </w:r>
          </w:p>
        </w:tc>
        <w:tc>
          <w:tcPr>
            <w:tcW w:w="2273" w:type="dxa"/>
            <w:gridSpan w:val="7"/>
            <w:tcBorders>
              <w:top w:val="single" w:sz="8" w:space="0" w:color="auto"/>
              <w:left w:val="nil"/>
              <w:bottom w:val="single" w:sz="8" w:space="0" w:color="auto"/>
              <w:right w:val="single" w:sz="8" w:space="0" w:color="000000"/>
            </w:tcBorders>
            <w:vAlign w:val="center"/>
            <w:hideMark/>
          </w:tcPr>
          <w:p w14:paraId="254E45E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Transferor trust income</w:t>
            </w:r>
          </w:p>
        </w:tc>
        <w:tc>
          <w:tcPr>
            <w:tcW w:w="994" w:type="dxa"/>
            <w:tcBorders>
              <w:top w:val="nil"/>
              <w:left w:val="nil"/>
              <w:bottom w:val="single" w:sz="8" w:space="0" w:color="auto"/>
              <w:right w:val="single" w:sz="8" w:space="0" w:color="auto"/>
            </w:tcBorders>
            <w:vAlign w:val="center"/>
            <w:hideMark/>
          </w:tcPr>
          <w:p w14:paraId="46DD4BD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9.116</w:t>
            </w:r>
          </w:p>
        </w:tc>
        <w:tc>
          <w:tcPr>
            <w:tcW w:w="2553" w:type="dxa"/>
            <w:tcBorders>
              <w:top w:val="single" w:sz="8" w:space="0" w:color="auto"/>
              <w:left w:val="nil"/>
              <w:bottom w:val="single" w:sz="8" w:space="0" w:color="auto"/>
              <w:right w:val="single" w:sz="8" w:space="0" w:color="000000"/>
            </w:tcBorders>
            <w:vAlign w:val="center"/>
            <w:hideMark/>
          </w:tcPr>
          <w:p w14:paraId="32B47B6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Transferor trust income</w:t>
            </w:r>
          </w:p>
        </w:tc>
        <w:tc>
          <w:tcPr>
            <w:tcW w:w="273" w:type="dxa"/>
            <w:vAlign w:val="center"/>
            <w:hideMark/>
          </w:tcPr>
          <w:p w14:paraId="50EE427B"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63B6FF9A" w14:textId="77777777" w:rsidTr="00743808">
        <w:trPr>
          <w:trHeight w:val="330"/>
        </w:trPr>
        <w:tc>
          <w:tcPr>
            <w:tcW w:w="977" w:type="dxa"/>
            <w:tcBorders>
              <w:top w:val="nil"/>
              <w:left w:val="single" w:sz="8" w:space="0" w:color="auto"/>
              <w:bottom w:val="single" w:sz="8" w:space="0" w:color="auto"/>
              <w:right w:val="single" w:sz="8" w:space="0" w:color="auto"/>
            </w:tcBorders>
            <w:noWrap/>
            <w:vAlign w:val="center"/>
            <w:hideMark/>
          </w:tcPr>
          <w:p w14:paraId="4AB4B7F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7.114</w:t>
            </w:r>
          </w:p>
        </w:tc>
        <w:tc>
          <w:tcPr>
            <w:tcW w:w="2263" w:type="dxa"/>
            <w:gridSpan w:val="3"/>
            <w:tcBorders>
              <w:top w:val="single" w:sz="8" w:space="0" w:color="auto"/>
              <w:left w:val="nil"/>
              <w:bottom w:val="single" w:sz="8" w:space="0" w:color="auto"/>
              <w:right w:val="single" w:sz="8" w:space="0" w:color="000000"/>
            </w:tcBorders>
            <w:vAlign w:val="center"/>
            <w:hideMark/>
          </w:tcPr>
          <w:p w14:paraId="120198F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CFC income</w:t>
            </w:r>
          </w:p>
        </w:tc>
        <w:tc>
          <w:tcPr>
            <w:tcW w:w="992" w:type="dxa"/>
            <w:tcBorders>
              <w:top w:val="single" w:sz="8" w:space="0" w:color="auto"/>
              <w:left w:val="nil"/>
              <w:bottom w:val="single" w:sz="8" w:space="0" w:color="auto"/>
              <w:right w:val="single" w:sz="8" w:space="0" w:color="000000"/>
            </w:tcBorders>
            <w:noWrap/>
            <w:vAlign w:val="center"/>
            <w:hideMark/>
          </w:tcPr>
          <w:p w14:paraId="6256956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9.116</w:t>
            </w:r>
          </w:p>
        </w:tc>
        <w:tc>
          <w:tcPr>
            <w:tcW w:w="2410" w:type="dxa"/>
            <w:gridSpan w:val="6"/>
            <w:tcBorders>
              <w:top w:val="single" w:sz="8" w:space="0" w:color="auto"/>
              <w:left w:val="nil"/>
              <w:bottom w:val="single" w:sz="8" w:space="0" w:color="auto"/>
              <w:right w:val="single" w:sz="8" w:space="0" w:color="000000"/>
            </w:tcBorders>
            <w:vAlign w:val="center"/>
            <w:hideMark/>
          </w:tcPr>
          <w:p w14:paraId="2EAE371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CFC income</w:t>
            </w:r>
          </w:p>
        </w:tc>
        <w:tc>
          <w:tcPr>
            <w:tcW w:w="992" w:type="dxa"/>
            <w:gridSpan w:val="2"/>
            <w:tcBorders>
              <w:top w:val="single" w:sz="8" w:space="0" w:color="auto"/>
              <w:left w:val="nil"/>
              <w:bottom w:val="single" w:sz="8" w:space="0" w:color="auto"/>
              <w:right w:val="single" w:sz="8" w:space="0" w:color="000000"/>
            </w:tcBorders>
            <w:vAlign w:val="center"/>
            <w:hideMark/>
          </w:tcPr>
          <w:p w14:paraId="6C83EFF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9.117</w:t>
            </w:r>
          </w:p>
        </w:tc>
        <w:tc>
          <w:tcPr>
            <w:tcW w:w="2273" w:type="dxa"/>
            <w:gridSpan w:val="7"/>
            <w:tcBorders>
              <w:top w:val="single" w:sz="8" w:space="0" w:color="auto"/>
              <w:left w:val="nil"/>
              <w:bottom w:val="single" w:sz="8" w:space="0" w:color="auto"/>
              <w:right w:val="single" w:sz="8" w:space="0" w:color="000000"/>
            </w:tcBorders>
            <w:vAlign w:val="center"/>
            <w:hideMark/>
          </w:tcPr>
          <w:p w14:paraId="1C9A316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CFC income</w:t>
            </w:r>
          </w:p>
        </w:tc>
        <w:tc>
          <w:tcPr>
            <w:tcW w:w="994" w:type="dxa"/>
            <w:tcBorders>
              <w:top w:val="nil"/>
              <w:left w:val="nil"/>
              <w:bottom w:val="single" w:sz="8" w:space="0" w:color="auto"/>
              <w:right w:val="single" w:sz="8" w:space="0" w:color="auto"/>
            </w:tcBorders>
            <w:vAlign w:val="center"/>
            <w:hideMark/>
          </w:tcPr>
          <w:p w14:paraId="6264E48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9.117</w:t>
            </w:r>
          </w:p>
        </w:tc>
        <w:tc>
          <w:tcPr>
            <w:tcW w:w="2553" w:type="dxa"/>
            <w:tcBorders>
              <w:top w:val="single" w:sz="8" w:space="0" w:color="auto"/>
              <w:left w:val="nil"/>
              <w:bottom w:val="single" w:sz="8" w:space="0" w:color="auto"/>
              <w:right w:val="single" w:sz="8" w:space="0" w:color="000000"/>
            </w:tcBorders>
            <w:vAlign w:val="center"/>
            <w:hideMark/>
          </w:tcPr>
          <w:p w14:paraId="53A0C34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CFC income</w:t>
            </w:r>
          </w:p>
        </w:tc>
        <w:tc>
          <w:tcPr>
            <w:tcW w:w="273" w:type="dxa"/>
            <w:vAlign w:val="center"/>
            <w:hideMark/>
          </w:tcPr>
          <w:p w14:paraId="59711ECA"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6AAA90C1" w14:textId="77777777" w:rsidTr="00743808">
        <w:trPr>
          <w:trHeight w:val="330"/>
        </w:trPr>
        <w:tc>
          <w:tcPr>
            <w:tcW w:w="977" w:type="dxa"/>
            <w:tcBorders>
              <w:top w:val="nil"/>
              <w:left w:val="single" w:sz="8" w:space="0" w:color="auto"/>
              <w:bottom w:val="single" w:sz="8" w:space="0" w:color="auto"/>
              <w:right w:val="single" w:sz="8" w:space="0" w:color="auto"/>
            </w:tcBorders>
            <w:noWrap/>
            <w:vAlign w:val="center"/>
            <w:hideMark/>
          </w:tcPr>
          <w:p w14:paraId="7E78971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7.115</w:t>
            </w:r>
          </w:p>
        </w:tc>
        <w:tc>
          <w:tcPr>
            <w:tcW w:w="2263" w:type="dxa"/>
            <w:gridSpan w:val="3"/>
            <w:tcBorders>
              <w:top w:val="single" w:sz="8" w:space="0" w:color="auto"/>
              <w:left w:val="nil"/>
              <w:bottom w:val="single" w:sz="8" w:space="0" w:color="auto"/>
              <w:right w:val="single" w:sz="8" w:space="0" w:color="000000"/>
            </w:tcBorders>
            <w:vAlign w:val="center"/>
            <w:hideMark/>
          </w:tcPr>
          <w:p w14:paraId="7348B5D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foreign rent</w:t>
            </w:r>
          </w:p>
        </w:tc>
        <w:tc>
          <w:tcPr>
            <w:tcW w:w="992" w:type="dxa"/>
            <w:tcBorders>
              <w:top w:val="single" w:sz="8" w:space="0" w:color="auto"/>
              <w:left w:val="nil"/>
              <w:bottom w:val="single" w:sz="8" w:space="0" w:color="auto"/>
              <w:right w:val="single" w:sz="8" w:space="0" w:color="000000"/>
            </w:tcBorders>
            <w:noWrap/>
            <w:vAlign w:val="center"/>
            <w:hideMark/>
          </w:tcPr>
          <w:p w14:paraId="47745EA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9.117</w:t>
            </w:r>
          </w:p>
        </w:tc>
        <w:tc>
          <w:tcPr>
            <w:tcW w:w="2410" w:type="dxa"/>
            <w:gridSpan w:val="6"/>
            <w:tcBorders>
              <w:top w:val="single" w:sz="8" w:space="0" w:color="auto"/>
              <w:left w:val="nil"/>
              <w:bottom w:val="single" w:sz="8" w:space="0" w:color="auto"/>
              <w:right w:val="single" w:sz="8" w:space="0" w:color="000000"/>
            </w:tcBorders>
            <w:vAlign w:val="center"/>
            <w:hideMark/>
          </w:tcPr>
          <w:p w14:paraId="5660286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foreign rent</w:t>
            </w:r>
          </w:p>
        </w:tc>
        <w:tc>
          <w:tcPr>
            <w:tcW w:w="992" w:type="dxa"/>
            <w:gridSpan w:val="2"/>
            <w:tcBorders>
              <w:top w:val="single" w:sz="8" w:space="0" w:color="auto"/>
              <w:left w:val="nil"/>
              <w:bottom w:val="single" w:sz="8" w:space="0" w:color="auto"/>
              <w:right w:val="single" w:sz="8" w:space="0" w:color="000000"/>
            </w:tcBorders>
            <w:vAlign w:val="center"/>
            <w:hideMark/>
          </w:tcPr>
          <w:p w14:paraId="41F9C07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9.118</w:t>
            </w:r>
          </w:p>
        </w:tc>
        <w:tc>
          <w:tcPr>
            <w:tcW w:w="2273" w:type="dxa"/>
            <w:gridSpan w:val="7"/>
            <w:tcBorders>
              <w:top w:val="single" w:sz="8" w:space="0" w:color="auto"/>
              <w:left w:val="nil"/>
              <w:bottom w:val="single" w:sz="8" w:space="0" w:color="auto"/>
              <w:right w:val="single" w:sz="8" w:space="0" w:color="000000"/>
            </w:tcBorders>
            <w:vAlign w:val="center"/>
            <w:hideMark/>
          </w:tcPr>
          <w:p w14:paraId="2558998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foreign rent</w:t>
            </w:r>
          </w:p>
        </w:tc>
        <w:tc>
          <w:tcPr>
            <w:tcW w:w="994" w:type="dxa"/>
            <w:tcBorders>
              <w:top w:val="nil"/>
              <w:left w:val="nil"/>
              <w:bottom w:val="single" w:sz="8" w:space="0" w:color="auto"/>
              <w:right w:val="single" w:sz="8" w:space="0" w:color="auto"/>
            </w:tcBorders>
            <w:vAlign w:val="center"/>
            <w:hideMark/>
          </w:tcPr>
          <w:p w14:paraId="530687C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9.118</w:t>
            </w:r>
          </w:p>
        </w:tc>
        <w:tc>
          <w:tcPr>
            <w:tcW w:w="2553" w:type="dxa"/>
            <w:tcBorders>
              <w:top w:val="single" w:sz="8" w:space="0" w:color="auto"/>
              <w:left w:val="nil"/>
              <w:bottom w:val="single" w:sz="8" w:space="0" w:color="auto"/>
              <w:right w:val="single" w:sz="8" w:space="0" w:color="000000"/>
            </w:tcBorders>
            <w:vAlign w:val="center"/>
            <w:hideMark/>
          </w:tcPr>
          <w:p w14:paraId="3C942F9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Net foreign rent</w:t>
            </w:r>
          </w:p>
        </w:tc>
        <w:tc>
          <w:tcPr>
            <w:tcW w:w="273" w:type="dxa"/>
            <w:vAlign w:val="center"/>
            <w:hideMark/>
          </w:tcPr>
          <w:p w14:paraId="1BF39512"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45C05DED"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2C80255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7.116</w:t>
            </w:r>
          </w:p>
        </w:tc>
        <w:tc>
          <w:tcPr>
            <w:tcW w:w="2263" w:type="dxa"/>
            <w:gridSpan w:val="3"/>
            <w:tcBorders>
              <w:top w:val="single" w:sz="8" w:space="0" w:color="auto"/>
              <w:left w:val="nil"/>
              <w:bottom w:val="single" w:sz="8" w:space="0" w:color="auto"/>
              <w:right w:val="single" w:sz="8" w:space="0" w:color="000000"/>
            </w:tcBorders>
            <w:vAlign w:val="center"/>
            <w:hideMark/>
          </w:tcPr>
          <w:p w14:paraId="4B2448C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distributions from trusts</w:t>
            </w:r>
          </w:p>
        </w:tc>
        <w:tc>
          <w:tcPr>
            <w:tcW w:w="992" w:type="dxa"/>
            <w:tcBorders>
              <w:top w:val="single" w:sz="8" w:space="0" w:color="auto"/>
              <w:left w:val="nil"/>
              <w:bottom w:val="single" w:sz="8" w:space="0" w:color="auto"/>
              <w:right w:val="single" w:sz="8" w:space="0" w:color="000000"/>
            </w:tcBorders>
            <w:noWrap/>
            <w:vAlign w:val="center"/>
            <w:hideMark/>
          </w:tcPr>
          <w:p w14:paraId="4A09B90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9.118</w:t>
            </w:r>
          </w:p>
        </w:tc>
        <w:tc>
          <w:tcPr>
            <w:tcW w:w="2410" w:type="dxa"/>
            <w:gridSpan w:val="6"/>
            <w:tcBorders>
              <w:top w:val="single" w:sz="8" w:space="0" w:color="auto"/>
              <w:left w:val="nil"/>
              <w:bottom w:val="single" w:sz="8" w:space="0" w:color="auto"/>
              <w:right w:val="single" w:sz="8" w:space="0" w:color="000000"/>
            </w:tcBorders>
            <w:vAlign w:val="center"/>
            <w:hideMark/>
          </w:tcPr>
          <w:p w14:paraId="720C82E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distributions from trusts</w:t>
            </w:r>
          </w:p>
        </w:tc>
        <w:tc>
          <w:tcPr>
            <w:tcW w:w="992" w:type="dxa"/>
            <w:gridSpan w:val="2"/>
            <w:tcBorders>
              <w:top w:val="single" w:sz="8" w:space="0" w:color="auto"/>
              <w:left w:val="nil"/>
              <w:bottom w:val="single" w:sz="8" w:space="0" w:color="auto"/>
              <w:right w:val="single" w:sz="8" w:space="0" w:color="000000"/>
            </w:tcBorders>
            <w:vAlign w:val="center"/>
            <w:hideMark/>
          </w:tcPr>
          <w:p w14:paraId="6507DD8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9.119</w:t>
            </w:r>
          </w:p>
        </w:tc>
        <w:tc>
          <w:tcPr>
            <w:tcW w:w="2273" w:type="dxa"/>
            <w:gridSpan w:val="7"/>
            <w:tcBorders>
              <w:top w:val="single" w:sz="8" w:space="0" w:color="auto"/>
              <w:left w:val="nil"/>
              <w:bottom w:val="single" w:sz="8" w:space="0" w:color="auto"/>
              <w:right w:val="single" w:sz="8" w:space="0" w:color="000000"/>
            </w:tcBorders>
            <w:vAlign w:val="center"/>
            <w:hideMark/>
          </w:tcPr>
          <w:p w14:paraId="79CB0BB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distributions from trusts</w:t>
            </w:r>
          </w:p>
        </w:tc>
        <w:tc>
          <w:tcPr>
            <w:tcW w:w="994" w:type="dxa"/>
            <w:tcBorders>
              <w:top w:val="nil"/>
              <w:left w:val="nil"/>
              <w:bottom w:val="single" w:sz="8" w:space="0" w:color="auto"/>
              <w:right w:val="single" w:sz="8" w:space="0" w:color="auto"/>
            </w:tcBorders>
            <w:vAlign w:val="center"/>
            <w:hideMark/>
          </w:tcPr>
          <w:p w14:paraId="7D8D4CB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9.119</w:t>
            </w:r>
          </w:p>
        </w:tc>
        <w:tc>
          <w:tcPr>
            <w:tcW w:w="2553" w:type="dxa"/>
            <w:tcBorders>
              <w:top w:val="single" w:sz="8" w:space="0" w:color="auto"/>
              <w:left w:val="nil"/>
              <w:bottom w:val="single" w:sz="8" w:space="0" w:color="auto"/>
              <w:right w:val="single" w:sz="8" w:space="0" w:color="000000"/>
            </w:tcBorders>
            <w:vAlign w:val="center"/>
            <w:hideMark/>
          </w:tcPr>
          <w:p w14:paraId="30C5BFC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Unfranked distributions from trusts</w:t>
            </w:r>
          </w:p>
        </w:tc>
        <w:tc>
          <w:tcPr>
            <w:tcW w:w="273" w:type="dxa"/>
            <w:vAlign w:val="center"/>
            <w:hideMark/>
          </w:tcPr>
          <w:p w14:paraId="2D5C374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B2F2900"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7FE0387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7.117</w:t>
            </w:r>
          </w:p>
        </w:tc>
        <w:tc>
          <w:tcPr>
            <w:tcW w:w="2263" w:type="dxa"/>
            <w:gridSpan w:val="3"/>
            <w:tcBorders>
              <w:top w:val="single" w:sz="8" w:space="0" w:color="auto"/>
              <w:left w:val="nil"/>
              <w:bottom w:val="single" w:sz="8" w:space="0" w:color="auto"/>
              <w:right w:val="single" w:sz="8" w:space="0" w:color="000000"/>
            </w:tcBorders>
            <w:vAlign w:val="center"/>
            <w:hideMark/>
          </w:tcPr>
          <w:p w14:paraId="57E3389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Franked distributions from trusts</w:t>
            </w:r>
          </w:p>
        </w:tc>
        <w:tc>
          <w:tcPr>
            <w:tcW w:w="992" w:type="dxa"/>
            <w:tcBorders>
              <w:top w:val="single" w:sz="8" w:space="0" w:color="auto"/>
              <w:left w:val="nil"/>
              <w:bottom w:val="single" w:sz="8" w:space="0" w:color="auto"/>
              <w:right w:val="single" w:sz="8" w:space="0" w:color="000000"/>
            </w:tcBorders>
            <w:noWrap/>
            <w:vAlign w:val="center"/>
            <w:hideMark/>
          </w:tcPr>
          <w:p w14:paraId="42FF19B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9.119</w:t>
            </w:r>
          </w:p>
        </w:tc>
        <w:tc>
          <w:tcPr>
            <w:tcW w:w="2410" w:type="dxa"/>
            <w:gridSpan w:val="6"/>
            <w:tcBorders>
              <w:top w:val="single" w:sz="8" w:space="0" w:color="auto"/>
              <w:left w:val="nil"/>
              <w:bottom w:val="single" w:sz="8" w:space="0" w:color="auto"/>
              <w:right w:val="single" w:sz="8" w:space="0" w:color="000000"/>
            </w:tcBorders>
            <w:vAlign w:val="center"/>
            <w:hideMark/>
          </w:tcPr>
          <w:p w14:paraId="4F8ACDB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Franked distributions from trusts</w:t>
            </w:r>
          </w:p>
        </w:tc>
        <w:tc>
          <w:tcPr>
            <w:tcW w:w="992" w:type="dxa"/>
            <w:gridSpan w:val="2"/>
            <w:tcBorders>
              <w:top w:val="single" w:sz="8" w:space="0" w:color="auto"/>
              <w:left w:val="nil"/>
              <w:bottom w:val="single" w:sz="8" w:space="0" w:color="auto"/>
              <w:right w:val="single" w:sz="8" w:space="0" w:color="000000"/>
            </w:tcBorders>
            <w:vAlign w:val="center"/>
            <w:hideMark/>
          </w:tcPr>
          <w:p w14:paraId="1B0384F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w:t>
            </w:r>
          </w:p>
        </w:tc>
        <w:tc>
          <w:tcPr>
            <w:tcW w:w="2273" w:type="dxa"/>
            <w:gridSpan w:val="7"/>
            <w:tcBorders>
              <w:top w:val="single" w:sz="8" w:space="0" w:color="auto"/>
              <w:left w:val="nil"/>
              <w:bottom w:val="single" w:sz="8" w:space="0" w:color="auto"/>
              <w:right w:val="single" w:sz="8" w:space="0" w:color="000000"/>
            </w:tcBorders>
            <w:vAlign w:val="center"/>
            <w:hideMark/>
          </w:tcPr>
          <w:p w14:paraId="7111694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Franked distributions from trusts</w:t>
            </w:r>
          </w:p>
        </w:tc>
        <w:tc>
          <w:tcPr>
            <w:tcW w:w="994" w:type="dxa"/>
            <w:tcBorders>
              <w:top w:val="nil"/>
              <w:left w:val="nil"/>
              <w:bottom w:val="single" w:sz="8" w:space="0" w:color="auto"/>
              <w:right w:val="single" w:sz="8" w:space="0" w:color="auto"/>
            </w:tcBorders>
            <w:vAlign w:val="center"/>
            <w:hideMark/>
          </w:tcPr>
          <w:p w14:paraId="440179D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w:t>
            </w:r>
          </w:p>
        </w:tc>
        <w:tc>
          <w:tcPr>
            <w:tcW w:w="2553" w:type="dxa"/>
            <w:tcBorders>
              <w:top w:val="single" w:sz="8" w:space="0" w:color="auto"/>
              <w:left w:val="nil"/>
              <w:bottom w:val="single" w:sz="8" w:space="0" w:color="auto"/>
              <w:right w:val="single" w:sz="8" w:space="0" w:color="000000"/>
            </w:tcBorders>
            <w:vAlign w:val="center"/>
            <w:hideMark/>
          </w:tcPr>
          <w:p w14:paraId="07AB7F2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Franked distributions from trusts</w:t>
            </w:r>
          </w:p>
        </w:tc>
        <w:tc>
          <w:tcPr>
            <w:tcW w:w="273" w:type="dxa"/>
            <w:vAlign w:val="center"/>
            <w:hideMark/>
          </w:tcPr>
          <w:p w14:paraId="593AADEC"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46907663"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1B44BEE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7.118</w:t>
            </w:r>
          </w:p>
        </w:tc>
        <w:tc>
          <w:tcPr>
            <w:tcW w:w="2263" w:type="dxa"/>
            <w:gridSpan w:val="3"/>
            <w:tcBorders>
              <w:top w:val="single" w:sz="8" w:space="0" w:color="auto"/>
              <w:left w:val="nil"/>
              <w:bottom w:val="single" w:sz="8" w:space="0" w:color="auto"/>
              <w:right w:val="single" w:sz="8" w:space="0" w:color="000000"/>
            </w:tcBorders>
            <w:vAlign w:val="center"/>
            <w:hideMark/>
          </w:tcPr>
          <w:p w14:paraId="375CEFA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Gross cash distribution</w:t>
            </w:r>
          </w:p>
        </w:tc>
        <w:tc>
          <w:tcPr>
            <w:tcW w:w="992" w:type="dxa"/>
            <w:tcBorders>
              <w:top w:val="single" w:sz="8" w:space="0" w:color="auto"/>
              <w:left w:val="nil"/>
              <w:bottom w:val="single" w:sz="8" w:space="0" w:color="auto"/>
              <w:right w:val="single" w:sz="8" w:space="0" w:color="000000"/>
            </w:tcBorders>
            <w:noWrap/>
            <w:vAlign w:val="center"/>
            <w:hideMark/>
          </w:tcPr>
          <w:p w14:paraId="0362889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w:t>
            </w:r>
          </w:p>
        </w:tc>
        <w:tc>
          <w:tcPr>
            <w:tcW w:w="2410" w:type="dxa"/>
            <w:gridSpan w:val="6"/>
            <w:tcBorders>
              <w:top w:val="single" w:sz="8" w:space="0" w:color="auto"/>
              <w:left w:val="nil"/>
              <w:bottom w:val="single" w:sz="8" w:space="0" w:color="auto"/>
              <w:right w:val="single" w:sz="8" w:space="0" w:color="000000"/>
            </w:tcBorders>
            <w:vAlign w:val="center"/>
            <w:hideMark/>
          </w:tcPr>
          <w:p w14:paraId="761E3E00"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Gross cash distribution</w:t>
            </w:r>
          </w:p>
        </w:tc>
        <w:tc>
          <w:tcPr>
            <w:tcW w:w="992" w:type="dxa"/>
            <w:gridSpan w:val="2"/>
            <w:tcBorders>
              <w:top w:val="single" w:sz="8" w:space="0" w:color="auto"/>
              <w:left w:val="nil"/>
              <w:bottom w:val="single" w:sz="8" w:space="0" w:color="auto"/>
              <w:right w:val="single" w:sz="8" w:space="0" w:color="000000"/>
            </w:tcBorders>
            <w:vAlign w:val="center"/>
            <w:hideMark/>
          </w:tcPr>
          <w:p w14:paraId="013D749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9.121</w:t>
            </w:r>
          </w:p>
        </w:tc>
        <w:tc>
          <w:tcPr>
            <w:tcW w:w="2273" w:type="dxa"/>
            <w:gridSpan w:val="7"/>
            <w:tcBorders>
              <w:top w:val="single" w:sz="8" w:space="0" w:color="auto"/>
              <w:left w:val="nil"/>
              <w:bottom w:val="single" w:sz="8" w:space="0" w:color="auto"/>
              <w:right w:val="single" w:sz="8" w:space="0" w:color="000000"/>
            </w:tcBorders>
            <w:vAlign w:val="center"/>
            <w:hideMark/>
          </w:tcPr>
          <w:p w14:paraId="2DAEC8F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Gross cash distribution</w:t>
            </w:r>
          </w:p>
        </w:tc>
        <w:tc>
          <w:tcPr>
            <w:tcW w:w="994" w:type="dxa"/>
            <w:tcBorders>
              <w:top w:val="nil"/>
              <w:left w:val="nil"/>
              <w:bottom w:val="single" w:sz="8" w:space="0" w:color="auto"/>
              <w:right w:val="single" w:sz="8" w:space="0" w:color="auto"/>
            </w:tcBorders>
            <w:vAlign w:val="center"/>
            <w:hideMark/>
          </w:tcPr>
          <w:p w14:paraId="25601B6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9.121</w:t>
            </w:r>
          </w:p>
        </w:tc>
        <w:tc>
          <w:tcPr>
            <w:tcW w:w="2553" w:type="dxa"/>
            <w:tcBorders>
              <w:top w:val="single" w:sz="8" w:space="0" w:color="auto"/>
              <w:left w:val="nil"/>
              <w:bottom w:val="single" w:sz="8" w:space="0" w:color="auto"/>
              <w:right w:val="single" w:sz="8" w:space="0" w:color="000000"/>
            </w:tcBorders>
            <w:vAlign w:val="center"/>
            <w:hideMark/>
          </w:tcPr>
          <w:p w14:paraId="7307E67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Gross cash distribution</w:t>
            </w:r>
          </w:p>
        </w:tc>
        <w:tc>
          <w:tcPr>
            <w:tcW w:w="273" w:type="dxa"/>
            <w:vAlign w:val="center"/>
            <w:hideMark/>
          </w:tcPr>
          <w:p w14:paraId="11215397"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55329D4B"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2F1A861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7.119</w:t>
            </w:r>
          </w:p>
        </w:tc>
        <w:tc>
          <w:tcPr>
            <w:tcW w:w="2263" w:type="dxa"/>
            <w:gridSpan w:val="3"/>
            <w:tcBorders>
              <w:top w:val="single" w:sz="8" w:space="0" w:color="auto"/>
              <w:left w:val="nil"/>
              <w:bottom w:val="single" w:sz="8" w:space="0" w:color="auto"/>
              <w:right w:val="single" w:sz="8" w:space="0" w:color="000000"/>
            </w:tcBorders>
            <w:vAlign w:val="center"/>
            <w:hideMark/>
          </w:tcPr>
          <w:p w14:paraId="2796D6D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Interest exempt from withholding</w:t>
            </w:r>
          </w:p>
        </w:tc>
        <w:tc>
          <w:tcPr>
            <w:tcW w:w="992" w:type="dxa"/>
            <w:tcBorders>
              <w:top w:val="single" w:sz="8" w:space="0" w:color="auto"/>
              <w:left w:val="nil"/>
              <w:bottom w:val="single" w:sz="8" w:space="0" w:color="auto"/>
              <w:right w:val="single" w:sz="8" w:space="0" w:color="000000"/>
            </w:tcBorders>
            <w:noWrap/>
            <w:vAlign w:val="center"/>
            <w:hideMark/>
          </w:tcPr>
          <w:p w14:paraId="60BC5EE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9.121</w:t>
            </w:r>
          </w:p>
        </w:tc>
        <w:tc>
          <w:tcPr>
            <w:tcW w:w="2410" w:type="dxa"/>
            <w:gridSpan w:val="6"/>
            <w:tcBorders>
              <w:top w:val="single" w:sz="8" w:space="0" w:color="auto"/>
              <w:left w:val="nil"/>
              <w:bottom w:val="single" w:sz="8" w:space="0" w:color="auto"/>
              <w:right w:val="single" w:sz="8" w:space="0" w:color="000000"/>
            </w:tcBorders>
            <w:vAlign w:val="center"/>
            <w:hideMark/>
          </w:tcPr>
          <w:p w14:paraId="3590ABB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Interest exempt from withholding</w:t>
            </w:r>
          </w:p>
        </w:tc>
        <w:tc>
          <w:tcPr>
            <w:tcW w:w="992" w:type="dxa"/>
            <w:gridSpan w:val="2"/>
            <w:tcBorders>
              <w:top w:val="single" w:sz="8" w:space="0" w:color="auto"/>
              <w:left w:val="nil"/>
              <w:bottom w:val="single" w:sz="8" w:space="0" w:color="auto"/>
              <w:right w:val="single" w:sz="8" w:space="0" w:color="000000"/>
            </w:tcBorders>
            <w:vAlign w:val="center"/>
            <w:hideMark/>
          </w:tcPr>
          <w:p w14:paraId="0A194EE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9.122</w:t>
            </w:r>
          </w:p>
        </w:tc>
        <w:tc>
          <w:tcPr>
            <w:tcW w:w="2273" w:type="dxa"/>
            <w:gridSpan w:val="7"/>
            <w:tcBorders>
              <w:top w:val="single" w:sz="8" w:space="0" w:color="auto"/>
              <w:left w:val="nil"/>
              <w:bottom w:val="single" w:sz="8" w:space="0" w:color="auto"/>
              <w:right w:val="single" w:sz="8" w:space="0" w:color="000000"/>
            </w:tcBorders>
            <w:vAlign w:val="center"/>
            <w:hideMark/>
          </w:tcPr>
          <w:p w14:paraId="07F3995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Interest exempt from withholding</w:t>
            </w:r>
          </w:p>
        </w:tc>
        <w:tc>
          <w:tcPr>
            <w:tcW w:w="994" w:type="dxa"/>
            <w:tcBorders>
              <w:top w:val="nil"/>
              <w:left w:val="nil"/>
              <w:bottom w:val="single" w:sz="8" w:space="0" w:color="auto"/>
              <w:right w:val="single" w:sz="8" w:space="0" w:color="auto"/>
            </w:tcBorders>
            <w:vAlign w:val="center"/>
            <w:hideMark/>
          </w:tcPr>
          <w:p w14:paraId="274EF17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9.122</w:t>
            </w:r>
          </w:p>
        </w:tc>
        <w:tc>
          <w:tcPr>
            <w:tcW w:w="2553" w:type="dxa"/>
            <w:tcBorders>
              <w:top w:val="single" w:sz="8" w:space="0" w:color="auto"/>
              <w:left w:val="nil"/>
              <w:bottom w:val="single" w:sz="8" w:space="0" w:color="auto"/>
              <w:right w:val="single" w:sz="8" w:space="0" w:color="000000"/>
            </w:tcBorders>
            <w:vAlign w:val="center"/>
            <w:hideMark/>
          </w:tcPr>
          <w:p w14:paraId="1A91CE3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Interest exempt from withholding</w:t>
            </w:r>
          </w:p>
        </w:tc>
        <w:tc>
          <w:tcPr>
            <w:tcW w:w="273" w:type="dxa"/>
            <w:vAlign w:val="center"/>
            <w:hideMark/>
          </w:tcPr>
          <w:p w14:paraId="66A14DCD"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03ED01F"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11C92EB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w:t>
            </w:r>
          </w:p>
        </w:tc>
        <w:tc>
          <w:tcPr>
            <w:tcW w:w="2263" w:type="dxa"/>
            <w:gridSpan w:val="3"/>
            <w:tcBorders>
              <w:top w:val="single" w:sz="8" w:space="0" w:color="auto"/>
              <w:left w:val="nil"/>
              <w:bottom w:val="single" w:sz="8" w:space="0" w:color="auto"/>
              <w:right w:val="single" w:sz="8" w:space="0" w:color="000000"/>
            </w:tcBorders>
            <w:vAlign w:val="center"/>
            <w:hideMark/>
          </w:tcPr>
          <w:p w14:paraId="6E11447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discount method – Taxable Australian property</w:t>
            </w:r>
          </w:p>
        </w:tc>
        <w:tc>
          <w:tcPr>
            <w:tcW w:w="992" w:type="dxa"/>
            <w:tcBorders>
              <w:top w:val="single" w:sz="8" w:space="0" w:color="auto"/>
              <w:left w:val="nil"/>
              <w:bottom w:val="single" w:sz="8" w:space="0" w:color="auto"/>
              <w:right w:val="single" w:sz="8" w:space="0" w:color="000000"/>
            </w:tcBorders>
            <w:noWrap/>
            <w:vAlign w:val="center"/>
            <w:hideMark/>
          </w:tcPr>
          <w:p w14:paraId="277BA4D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9.122</w:t>
            </w:r>
          </w:p>
        </w:tc>
        <w:tc>
          <w:tcPr>
            <w:tcW w:w="2410" w:type="dxa"/>
            <w:gridSpan w:val="6"/>
            <w:tcBorders>
              <w:top w:val="single" w:sz="8" w:space="0" w:color="auto"/>
              <w:left w:val="nil"/>
              <w:bottom w:val="single" w:sz="8" w:space="0" w:color="auto"/>
              <w:right w:val="single" w:sz="8" w:space="0" w:color="000000"/>
            </w:tcBorders>
            <w:vAlign w:val="center"/>
            <w:hideMark/>
          </w:tcPr>
          <w:p w14:paraId="4D6F239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discount method – Taxable Australian property</w:t>
            </w:r>
          </w:p>
        </w:tc>
        <w:tc>
          <w:tcPr>
            <w:tcW w:w="992" w:type="dxa"/>
            <w:gridSpan w:val="2"/>
            <w:tcBorders>
              <w:top w:val="single" w:sz="8" w:space="0" w:color="auto"/>
              <w:left w:val="nil"/>
              <w:bottom w:val="single" w:sz="8" w:space="0" w:color="auto"/>
              <w:right w:val="single" w:sz="8" w:space="0" w:color="000000"/>
            </w:tcBorders>
            <w:vAlign w:val="center"/>
            <w:hideMark/>
          </w:tcPr>
          <w:p w14:paraId="3BB4679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9.123</w:t>
            </w:r>
          </w:p>
        </w:tc>
        <w:tc>
          <w:tcPr>
            <w:tcW w:w="2273" w:type="dxa"/>
            <w:gridSpan w:val="7"/>
            <w:tcBorders>
              <w:top w:val="single" w:sz="8" w:space="0" w:color="auto"/>
              <w:left w:val="nil"/>
              <w:bottom w:val="single" w:sz="8" w:space="0" w:color="auto"/>
              <w:right w:val="single" w:sz="8" w:space="0" w:color="000000"/>
            </w:tcBorders>
            <w:vAlign w:val="center"/>
            <w:hideMark/>
          </w:tcPr>
          <w:p w14:paraId="12F7C82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discount method – Taxable Australian property</w:t>
            </w:r>
          </w:p>
        </w:tc>
        <w:tc>
          <w:tcPr>
            <w:tcW w:w="994" w:type="dxa"/>
            <w:tcBorders>
              <w:top w:val="nil"/>
              <w:left w:val="nil"/>
              <w:bottom w:val="single" w:sz="8" w:space="0" w:color="auto"/>
              <w:right w:val="single" w:sz="8" w:space="0" w:color="auto"/>
            </w:tcBorders>
            <w:vAlign w:val="center"/>
            <w:hideMark/>
          </w:tcPr>
          <w:p w14:paraId="46C5688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9.123</w:t>
            </w:r>
          </w:p>
        </w:tc>
        <w:tc>
          <w:tcPr>
            <w:tcW w:w="2553" w:type="dxa"/>
            <w:tcBorders>
              <w:top w:val="single" w:sz="8" w:space="0" w:color="auto"/>
              <w:left w:val="nil"/>
              <w:bottom w:val="single" w:sz="8" w:space="0" w:color="auto"/>
              <w:right w:val="single" w:sz="8" w:space="0" w:color="000000"/>
            </w:tcBorders>
            <w:vAlign w:val="center"/>
            <w:hideMark/>
          </w:tcPr>
          <w:p w14:paraId="1E47513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discount method – Taxable Australian property</w:t>
            </w:r>
          </w:p>
        </w:tc>
        <w:tc>
          <w:tcPr>
            <w:tcW w:w="273" w:type="dxa"/>
            <w:vAlign w:val="center"/>
            <w:hideMark/>
          </w:tcPr>
          <w:p w14:paraId="31038CD7"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62B4FA6"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34C3220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7.121</w:t>
            </w:r>
          </w:p>
        </w:tc>
        <w:tc>
          <w:tcPr>
            <w:tcW w:w="2263" w:type="dxa"/>
            <w:gridSpan w:val="3"/>
            <w:tcBorders>
              <w:top w:val="single" w:sz="8" w:space="0" w:color="auto"/>
              <w:left w:val="nil"/>
              <w:bottom w:val="single" w:sz="8" w:space="0" w:color="auto"/>
              <w:right w:val="single" w:sz="8" w:space="0" w:color="000000"/>
            </w:tcBorders>
            <w:vAlign w:val="center"/>
            <w:hideMark/>
          </w:tcPr>
          <w:p w14:paraId="3CFE696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discount method – Non-Taxable Australian property</w:t>
            </w:r>
          </w:p>
        </w:tc>
        <w:tc>
          <w:tcPr>
            <w:tcW w:w="992" w:type="dxa"/>
            <w:tcBorders>
              <w:top w:val="single" w:sz="8" w:space="0" w:color="auto"/>
              <w:left w:val="nil"/>
              <w:bottom w:val="single" w:sz="8" w:space="0" w:color="auto"/>
              <w:right w:val="single" w:sz="8" w:space="0" w:color="000000"/>
            </w:tcBorders>
            <w:noWrap/>
            <w:vAlign w:val="center"/>
            <w:hideMark/>
          </w:tcPr>
          <w:p w14:paraId="071E40A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9.123</w:t>
            </w:r>
          </w:p>
        </w:tc>
        <w:tc>
          <w:tcPr>
            <w:tcW w:w="2410" w:type="dxa"/>
            <w:gridSpan w:val="6"/>
            <w:tcBorders>
              <w:top w:val="single" w:sz="8" w:space="0" w:color="auto"/>
              <w:left w:val="nil"/>
              <w:bottom w:val="single" w:sz="8" w:space="0" w:color="auto"/>
              <w:right w:val="single" w:sz="8" w:space="0" w:color="000000"/>
            </w:tcBorders>
            <w:vAlign w:val="center"/>
            <w:hideMark/>
          </w:tcPr>
          <w:p w14:paraId="2EA21A6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discount method – Non-Taxable Australian property</w:t>
            </w:r>
          </w:p>
        </w:tc>
        <w:tc>
          <w:tcPr>
            <w:tcW w:w="992" w:type="dxa"/>
            <w:gridSpan w:val="2"/>
            <w:tcBorders>
              <w:top w:val="single" w:sz="8" w:space="0" w:color="auto"/>
              <w:left w:val="nil"/>
              <w:bottom w:val="single" w:sz="8" w:space="0" w:color="auto"/>
              <w:right w:val="single" w:sz="8" w:space="0" w:color="000000"/>
            </w:tcBorders>
            <w:vAlign w:val="center"/>
            <w:hideMark/>
          </w:tcPr>
          <w:p w14:paraId="1BDBF14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9.124</w:t>
            </w:r>
          </w:p>
        </w:tc>
        <w:tc>
          <w:tcPr>
            <w:tcW w:w="2273" w:type="dxa"/>
            <w:gridSpan w:val="7"/>
            <w:tcBorders>
              <w:top w:val="single" w:sz="8" w:space="0" w:color="auto"/>
              <w:left w:val="nil"/>
              <w:bottom w:val="single" w:sz="8" w:space="0" w:color="auto"/>
              <w:right w:val="single" w:sz="8" w:space="0" w:color="000000"/>
            </w:tcBorders>
            <w:vAlign w:val="center"/>
            <w:hideMark/>
          </w:tcPr>
          <w:p w14:paraId="5FC4276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discount method – Non-Taxable Australian property</w:t>
            </w:r>
          </w:p>
        </w:tc>
        <w:tc>
          <w:tcPr>
            <w:tcW w:w="994" w:type="dxa"/>
            <w:tcBorders>
              <w:top w:val="nil"/>
              <w:left w:val="nil"/>
              <w:bottom w:val="single" w:sz="8" w:space="0" w:color="auto"/>
              <w:right w:val="single" w:sz="8" w:space="0" w:color="auto"/>
            </w:tcBorders>
            <w:vAlign w:val="center"/>
            <w:hideMark/>
          </w:tcPr>
          <w:p w14:paraId="032888D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9.124</w:t>
            </w:r>
          </w:p>
        </w:tc>
        <w:tc>
          <w:tcPr>
            <w:tcW w:w="2553" w:type="dxa"/>
            <w:tcBorders>
              <w:top w:val="single" w:sz="8" w:space="0" w:color="auto"/>
              <w:left w:val="nil"/>
              <w:bottom w:val="single" w:sz="8" w:space="0" w:color="auto"/>
              <w:right w:val="single" w:sz="8" w:space="0" w:color="000000"/>
            </w:tcBorders>
            <w:vAlign w:val="center"/>
            <w:hideMark/>
          </w:tcPr>
          <w:p w14:paraId="4517561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discount method – Non-Taxable Australian property</w:t>
            </w:r>
          </w:p>
        </w:tc>
        <w:tc>
          <w:tcPr>
            <w:tcW w:w="273" w:type="dxa"/>
            <w:vAlign w:val="center"/>
            <w:hideMark/>
          </w:tcPr>
          <w:p w14:paraId="2B4E4EA1"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2256AF5"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769B995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7.122</w:t>
            </w:r>
          </w:p>
        </w:tc>
        <w:tc>
          <w:tcPr>
            <w:tcW w:w="2263" w:type="dxa"/>
            <w:gridSpan w:val="3"/>
            <w:tcBorders>
              <w:top w:val="single" w:sz="8" w:space="0" w:color="auto"/>
              <w:left w:val="nil"/>
              <w:bottom w:val="single" w:sz="8" w:space="0" w:color="auto"/>
              <w:right w:val="single" w:sz="8" w:space="0" w:color="000000"/>
            </w:tcBorders>
            <w:vAlign w:val="center"/>
            <w:hideMark/>
          </w:tcPr>
          <w:p w14:paraId="4A56E9E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other – Taxable Australian property</w:t>
            </w:r>
          </w:p>
        </w:tc>
        <w:tc>
          <w:tcPr>
            <w:tcW w:w="992" w:type="dxa"/>
            <w:tcBorders>
              <w:top w:val="single" w:sz="8" w:space="0" w:color="auto"/>
              <w:left w:val="nil"/>
              <w:bottom w:val="single" w:sz="8" w:space="0" w:color="auto"/>
              <w:right w:val="single" w:sz="8" w:space="0" w:color="000000"/>
            </w:tcBorders>
            <w:noWrap/>
            <w:vAlign w:val="center"/>
            <w:hideMark/>
          </w:tcPr>
          <w:p w14:paraId="03577B5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9.124</w:t>
            </w:r>
          </w:p>
        </w:tc>
        <w:tc>
          <w:tcPr>
            <w:tcW w:w="2410" w:type="dxa"/>
            <w:gridSpan w:val="6"/>
            <w:tcBorders>
              <w:top w:val="single" w:sz="8" w:space="0" w:color="auto"/>
              <w:left w:val="nil"/>
              <w:bottom w:val="single" w:sz="8" w:space="0" w:color="auto"/>
              <w:right w:val="single" w:sz="8" w:space="0" w:color="000000"/>
            </w:tcBorders>
            <w:vAlign w:val="center"/>
            <w:hideMark/>
          </w:tcPr>
          <w:p w14:paraId="4E2466B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other – Taxable Australian property</w:t>
            </w:r>
          </w:p>
        </w:tc>
        <w:tc>
          <w:tcPr>
            <w:tcW w:w="992" w:type="dxa"/>
            <w:gridSpan w:val="2"/>
            <w:tcBorders>
              <w:top w:val="single" w:sz="8" w:space="0" w:color="auto"/>
              <w:left w:val="nil"/>
              <w:bottom w:val="single" w:sz="8" w:space="0" w:color="auto"/>
              <w:right w:val="single" w:sz="8" w:space="0" w:color="000000"/>
            </w:tcBorders>
            <w:vAlign w:val="center"/>
            <w:hideMark/>
          </w:tcPr>
          <w:p w14:paraId="658562B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9.125</w:t>
            </w:r>
          </w:p>
        </w:tc>
        <w:tc>
          <w:tcPr>
            <w:tcW w:w="2273" w:type="dxa"/>
            <w:gridSpan w:val="7"/>
            <w:tcBorders>
              <w:top w:val="single" w:sz="8" w:space="0" w:color="auto"/>
              <w:left w:val="nil"/>
              <w:bottom w:val="single" w:sz="8" w:space="0" w:color="auto"/>
              <w:right w:val="single" w:sz="8" w:space="0" w:color="000000"/>
            </w:tcBorders>
            <w:vAlign w:val="center"/>
            <w:hideMark/>
          </w:tcPr>
          <w:p w14:paraId="492886A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other – Taxable Australian property</w:t>
            </w:r>
          </w:p>
        </w:tc>
        <w:tc>
          <w:tcPr>
            <w:tcW w:w="994" w:type="dxa"/>
            <w:tcBorders>
              <w:top w:val="nil"/>
              <w:left w:val="nil"/>
              <w:bottom w:val="single" w:sz="8" w:space="0" w:color="auto"/>
              <w:right w:val="single" w:sz="8" w:space="0" w:color="auto"/>
            </w:tcBorders>
            <w:vAlign w:val="center"/>
            <w:hideMark/>
          </w:tcPr>
          <w:p w14:paraId="32C1B64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9.125</w:t>
            </w:r>
          </w:p>
        </w:tc>
        <w:tc>
          <w:tcPr>
            <w:tcW w:w="2553" w:type="dxa"/>
            <w:tcBorders>
              <w:top w:val="single" w:sz="8" w:space="0" w:color="auto"/>
              <w:left w:val="nil"/>
              <w:bottom w:val="single" w:sz="8" w:space="0" w:color="auto"/>
              <w:right w:val="single" w:sz="8" w:space="0" w:color="000000"/>
            </w:tcBorders>
            <w:vAlign w:val="center"/>
            <w:hideMark/>
          </w:tcPr>
          <w:p w14:paraId="4C7A182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other – Taxable Australian property</w:t>
            </w:r>
          </w:p>
        </w:tc>
        <w:tc>
          <w:tcPr>
            <w:tcW w:w="273" w:type="dxa"/>
            <w:vAlign w:val="center"/>
            <w:hideMark/>
          </w:tcPr>
          <w:p w14:paraId="02FCAA7F"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6AEDD8A2"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608501E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7.123</w:t>
            </w:r>
          </w:p>
        </w:tc>
        <w:tc>
          <w:tcPr>
            <w:tcW w:w="2263" w:type="dxa"/>
            <w:gridSpan w:val="3"/>
            <w:tcBorders>
              <w:top w:val="single" w:sz="8" w:space="0" w:color="auto"/>
              <w:left w:val="nil"/>
              <w:bottom w:val="single" w:sz="8" w:space="0" w:color="auto"/>
              <w:right w:val="single" w:sz="8" w:space="0" w:color="000000"/>
            </w:tcBorders>
            <w:vAlign w:val="center"/>
            <w:hideMark/>
          </w:tcPr>
          <w:p w14:paraId="69A72E5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other – Non-Taxable Australian property</w:t>
            </w:r>
          </w:p>
        </w:tc>
        <w:tc>
          <w:tcPr>
            <w:tcW w:w="992" w:type="dxa"/>
            <w:tcBorders>
              <w:top w:val="single" w:sz="8" w:space="0" w:color="auto"/>
              <w:left w:val="nil"/>
              <w:bottom w:val="single" w:sz="8" w:space="0" w:color="auto"/>
              <w:right w:val="single" w:sz="8" w:space="0" w:color="000000"/>
            </w:tcBorders>
            <w:noWrap/>
            <w:vAlign w:val="center"/>
            <w:hideMark/>
          </w:tcPr>
          <w:p w14:paraId="4DAACD7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9.125</w:t>
            </w:r>
          </w:p>
        </w:tc>
        <w:tc>
          <w:tcPr>
            <w:tcW w:w="2410" w:type="dxa"/>
            <w:gridSpan w:val="6"/>
            <w:tcBorders>
              <w:top w:val="single" w:sz="8" w:space="0" w:color="auto"/>
              <w:left w:val="nil"/>
              <w:bottom w:val="single" w:sz="8" w:space="0" w:color="auto"/>
              <w:right w:val="single" w:sz="8" w:space="0" w:color="000000"/>
            </w:tcBorders>
            <w:vAlign w:val="center"/>
            <w:hideMark/>
          </w:tcPr>
          <w:p w14:paraId="2C99886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other – Non-Taxable Australian property</w:t>
            </w:r>
          </w:p>
        </w:tc>
        <w:tc>
          <w:tcPr>
            <w:tcW w:w="992" w:type="dxa"/>
            <w:gridSpan w:val="2"/>
            <w:tcBorders>
              <w:top w:val="single" w:sz="8" w:space="0" w:color="auto"/>
              <w:left w:val="nil"/>
              <w:bottom w:val="single" w:sz="8" w:space="0" w:color="auto"/>
              <w:right w:val="single" w:sz="8" w:space="0" w:color="000000"/>
            </w:tcBorders>
            <w:vAlign w:val="center"/>
            <w:hideMark/>
          </w:tcPr>
          <w:p w14:paraId="1913A5E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9.126</w:t>
            </w:r>
          </w:p>
        </w:tc>
        <w:tc>
          <w:tcPr>
            <w:tcW w:w="2273" w:type="dxa"/>
            <w:gridSpan w:val="7"/>
            <w:tcBorders>
              <w:top w:val="single" w:sz="8" w:space="0" w:color="auto"/>
              <w:left w:val="nil"/>
              <w:bottom w:val="single" w:sz="8" w:space="0" w:color="auto"/>
              <w:right w:val="single" w:sz="8" w:space="0" w:color="000000"/>
            </w:tcBorders>
            <w:vAlign w:val="center"/>
            <w:hideMark/>
          </w:tcPr>
          <w:p w14:paraId="21D03C6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other – Non-Taxable Australian property</w:t>
            </w:r>
          </w:p>
        </w:tc>
        <w:tc>
          <w:tcPr>
            <w:tcW w:w="994" w:type="dxa"/>
            <w:tcBorders>
              <w:top w:val="nil"/>
              <w:left w:val="nil"/>
              <w:bottom w:val="single" w:sz="8" w:space="0" w:color="auto"/>
              <w:right w:val="single" w:sz="8" w:space="0" w:color="auto"/>
            </w:tcBorders>
            <w:vAlign w:val="center"/>
            <w:hideMark/>
          </w:tcPr>
          <w:p w14:paraId="4CA9F8B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9.126</w:t>
            </w:r>
          </w:p>
        </w:tc>
        <w:tc>
          <w:tcPr>
            <w:tcW w:w="2553" w:type="dxa"/>
            <w:tcBorders>
              <w:top w:val="single" w:sz="8" w:space="0" w:color="auto"/>
              <w:left w:val="nil"/>
              <w:bottom w:val="single" w:sz="8" w:space="0" w:color="auto"/>
              <w:right w:val="single" w:sz="8" w:space="0" w:color="000000"/>
            </w:tcBorders>
            <w:vAlign w:val="center"/>
            <w:hideMark/>
          </w:tcPr>
          <w:p w14:paraId="2FB727E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Capital gains other – Non-Taxable Australian property</w:t>
            </w:r>
          </w:p>
        </w:tc>
        <w:tc>
          <w:tcPr>
            <w:tcW w:w="273" w:type="dxa"/>
            <w:vAlign w:val="center"/>
            <w:hideMark/>
          </w:tcPr>
          <w:p w14:paraId="20835F5B"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70582E8C"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419CAFF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7.124</w:t>
            </w:r>
          </w:p>
        </w:tc>
        <w:tc>
          <w:tcPr>
            <w:tcW w:w="2263" w:type="dxa"/>
            <w:gridSpan w:val="3"/>
            <w:tcBorders>
              <w:top w:val="single" w:sz="8" w:space="0" w:color="auto"/>
              <w:left w:val="nil"/>
              <w:bottom w:val="single" w:sz="8" w:space="0" w:color="auto"/>
              <w:right w:val="single" w:sz="8" w:space="0" w:color="000000"/>
            </w:tcBorders>
            <w:vAlign w:val="center"/>
            <w:hideMark/>
          </w:tcPr>
          <w:p w14:paraId="331887E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Non-assessable non-exempt amount</w:t>
            </w:r>
          </w:p>
        </w:tc>
        <w:tc>
          <w:tcPr>
            <w:tcW w:w="992" w:type="dxa"/>
            <w:tcBorders>
              <w:top w:val="single" w:sz="8" w:space="0" w:color="auto"/>
              <w:left w:val="nil"/>
              <w:bottom w:val="single" w:sz="8" w:space="0" w:color="auto"/>
              <w:right w:val="single" w:sz="8" w:space="0" w:color="000000"/>
            </w:tcBorders>
            <w:noWrap/>
            <w:vAlign w:val="center"/>
            <w:hideMark/>
          </w:tcPr>
          <w:p w14:paraId="4F22809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9.126</w:t>
            </w:r>
          </w:p>
        </w:tc>
        <w:tc>
          <w:tcPr>
            <w:tcW w:w="2410" w:type="dxa"/>
            <w:gridSpan w:val="6"/>
            <w:tcBorders>
              <w:top w:val="single" w:sz="8" w:space="0" w:color="auto"/>
              <w:left w:val="nil"/>
              <w:bottom w:val="single" w:sz="8" w:space="0" w:color="auto"/>
              <w:right w:val="single" w:sz="8" w:space="0" w:color="000000"/>
            </w:tcBorders>
            <w:vAlign w:val="center"/>
            <w:hideMark/>
          </w:tcPr>
          <w:p w14:paraId="79ABC1E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Non-assessable non-exempt amount</w:t>
            </w:r>
          </w:p>
        </w:tc>
        <w:tc>
          <w:tcPr>
            <w:tcW w:w="992" w:type="dxa"/>
            <w:gridSpan w:val="2"/>
            <w:tcBorders>
              <w:top w:val="single" w:sz="8" w:space="0" w:color="auto"/>
              <w:left w:val="nil"/>
              <w:bottom w:val="single" w:sz="8" w:space="0" w:color="auto"/>
              <w:right w:val="single" w:sz="8" w:space="0" w:color="000000"/>
            </w:tcBorders>
            <w:vAlign w:val="center"/>
            <w:hideMark/>
          </w:tcPr>
          <w:p w14:paraId="4D3A725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9.127</w:t>
            </w:r>
          </w:p>
        </w:tc>
        <w:tc>
          <w:tcPr>
            <w:tcW w:w="2273" w:type="dxa"/>
            <w:gridSpan w:val="7"/>
            <w:tcBorders>
              <w:top w:val="single" w:sz="8" w:space="0" w:color="auto"/>
              <w:left w:val="nil"/>
              <w:bottom w:val="single" w:sz="8" w:space="0" w:color="auto"/>
              <w:right w:val="single" w:sz="8" w:space="0" w:color="000000"/>
            </w:tcBorders>
            <w:vAlign w:val="center"/>
            <w:hideMark/>
          </w:tcPr>
          <w:p w14:paraId="5642438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Non-assessable non-exempt amount</w:t>
            </w:r>
          </w:p>
        </w:tc>
        <w:tc>
          <w:tcPr>
            <w:tcW w:w="994" w:type="dxa"/>
            <w:tcBorders>
              <w:top w:val="nil"/>
              <w:left w:val="nil"/>
              <w:bottom w:val="single" w:sz="8" w:space="0" w:color="auto"/>
              <w:right w:val="single" w:sz="8" w:space="0" w:color="auto"/>
            </w:tcBorders>
            <w:vAlign w:val="center"/>
            <w:hideMark/>
          </w:tcPr>
          <w:p w14:paraId="4724B76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9.127</w:t>
            </w:r>
          </w:p>
        </w:tc>
        <w:tc>
          <w:tcPr>
            <w:tcW w:w="2553" w:type="dxa"/>
            <w:tcBorders>
              <w:top w:val="single" w:sz="8" w:space="0" w:color="auto"/>
              <w:left w:val="nil"/>
              <w:bottom w:val="single" w:sz="8" w:space="0" w:color="auto"/>
              <w:right w:val="single" w:sz="8" w:space="0" w:color="000000"/>
            </w:tcBorders>
            <w:vAlign w:val="center"/>
            <w:hideMark/>
          </w:tcPr>
          <w:p w14:paraId="669BE65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Non-assessable non-exempt amount</w:t>
            </w:r>
          </w:p>
        </w:tc>
        <w:tc>
          <w:tcPr>
            <w:tcW w:w="273" w:type="dxa"/>
            <w:vAlign w:val="center"/>
            <w:hideMark/>
          </w:tcPr>
          <w:p w14:paraId="05DFA8B7"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F7410E1"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01FEA84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7.125</w:t>
            </w:r>
          </w:p>
        </w:tc>
        <w:tc>
          <w:tcPr>
            <w:tcW w:w="2263" w:type="dxa"/>
            <w:gridSpan w:val="3"/>
            <w:tcBorders>
              <w:top w:val="single" w:sz="8" w:space="0" w:color="auto"/>
              <w:left w:val="nil"/>
              <w:bottom w:val="single" w:sz="8" w:space="0" w:color="auto"/>
              <w:right w:val="single" w:sz="8" w:space="0" w:color="000000"/>
            </w:tcBorders>
            <w:vAlign w:val="center"/>
            <w:hideMark/>
          </w:tcPr>
          <w:p w14:paraId="218B33C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AMIT cost base net amount – excess</w:t>
            </w:r>
          </w:p>
        </w:tc>
        <w:tc>
          <w:tcPr>
            <w:tcW w:w="992" w:type="dxa"/>
            <w:tcBorders>
              <w:top w:val="single" w:sz="8" w:space="0" w:color="auto"/>
              <w:left w:val="nil"/>
              <w:bottom w:val="single" w:sz="8" w:space="0" w:color="auto"/>
              <w:right w:val="single" w:sz="8" w:space="0" w:color="000000"/>
            </w:tcBorders>
            <w:noWrap/>
            <w:vAlign w:val="center"/>
            <w:hideMark/>
          </w:tcPr>
          <w:p w14:paraId="744DBCF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9.127</w:t>
            </w:r>
          </w:p>
        </w:tc>
        <w:tc>
          <w:tcPr>
            <w:tcW w:w="2410" w:type="dxa"/>
            <w:gridSpan w:val="6"/>
            <w:tcBorders>
              <w:top w:val="single" w:sz="8" w:space="0" w:color="auto"/>
              <w:left w:val="nil"/>
              <w:bottom w:val="single" w:sz="8" w:space="0" w:color="auto"/>
              <w:right w:val="single" w:sz="8" w:space="0" w:color="000000"/>
            </w:tcBorders>
            <w:vAlign w:val="center"/>
            <w:hideMark/>
          </w:tcPr>
          <w:p w14:paraId="655773F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AMIT cost base net amount – excess</w:t>
            </w:r>
          </w:p>
        </w:tc>
        <w:tc>
          <w:tcPr>
            <w:tcW w:w="992" w:type="dxa"/>
            <w:gridSpan w:val="2"/>
            <w:tcBorders>
              <w:top w:val="single" w:sz="8" w:space="0" w:color="auto"/>
              <w:left w:val="nil"/>
              <w:bottom w:val="single" w:sz="8" w:space="0" w:color="auto"/>
              <w:right w:val="single" w:sz="8" w:space="0" w:color="000000"/>
            </w:tcBorders>
            <w:vAlign w:val="center"/>
            <w:hideMark/>
          </w:tcPr>
          <w:p w14:paraId="6708F74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9.128</w:t>
            </w:r>
          </w:p>
        </w:tc>
        <w:tc>
          <w:tcPr>
            <w:tcW w:w="2273" w:type="dxa"/>
            <w:gridSpan w:val="7"/>
            <w:tcBorders>
              <w:top w:val="single" w:sz="8" w:space="0" w:color="auto"/>
              <w:left w:val="nil"/>
              <w:bottom w:val="single" w:sz="8" w:space="0" w:color="auto"/>
              <w:right w:val="single" w:sz="8" w:space="0" w:color="000000"/>
            </w:tcBorders>
            <w:vAlign w:val="center"/>
            <w:hideMark/>
          </w:tcPr>
          <w:p w14:paraId="5E03B7E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AMIT cost base net amount – excess</w:t>
            </w:r>
          </w:p>
        </w:tc>
        <w:tc>
          <w:tcPr>
            <w:tcW w:w="994" w:type="dxa"/>
            <w:tcBorders>
              <w:top w:val="nil"/>
              <w:left w:val="nil"/>
              <w:bottom w:val="single" w:sz="8" w:space="0" w:color="auto"/>
              <w:right w:val="single" w:sz="8" w:space="0" w:color="auto"/>
            </w:tcBorders>
            <w:vAlign w:val="center"/>
            <w:hideMark/>
          </w:tcPr>
          <w:p w14:paraId="4FB434C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9.128</w:t>
            </w:r>
          </w:p>
        </w:tc>
        <w:tc>
          <w:tcPr>
            <w:tcW w:w="2553" w:type="dxa"/>
            <w:tcBorders>
              <w:top w:val="single" w:sz="8" w:space="0" w:color="auto"/>
              <w:left w:val="nil"/>
              <w:bottom w:val="single" w:sz="8" w:space="0" w:color="auto"/>
              <w:right w:val="single" w:sz="8" w:space="0" w:color="000000"/>
            </w:tcBorders>
            <w:vAlign w:val="center"/>
            <w:hideMark/>
          </w:tcPr>
          <w:p w14:paraId="4F5A624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AMIT cost base net amount – excess</w:t>
            </w:r>
          </w:p>
        </w:tc>
        <w:tc>
          <w:tcPr>
            <w:tcW w:w="273" w:type="dxa"/>
            <w:vAlign w:val="center"/>
            <w:hideMark/>
          </w:tcPr>
          <w:p w14:paraId="597A2F43"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3955BE08"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62B8650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7.126</w:t>
            </w:r>
          </w:p>
        </w:tc>
        <w:tc>
          <w:tcPr>
            <w:tcW w:w="2263" w:type="dxa"/>
            <w:gridSpan w:val="3"/>
            <w:tcBorders>
              <w:top w:val="single" w:sz="8" w:space="0" w:color="auto"/>
              <w:left w:val="nil"/>
              <w:bottom w:val="single" w:sz="8" w:space="0" w:color="auto"/>
              <w:right w:val="single" w:sz="8" w:space="0" w:color="000000"/>
            </w:tcBorders>
            <w:vAlign w:val="center"/>
            <w:hideMark/>
          </w:tcPr>
          <w:p w14:paraId="5708767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AMIT cost base net amount - shortfall</w:t>
            </w:r>
          </w:p>
        </w:tc>
        <w:tc>
          <w:tcPr>
            <w:tcW w:w="992" w:type="dxa"/>
            <w:tcBorders>
              <w:top w:val="single" w:sz="8" w:space="0" w:color="auto"/>
              <w:left w:val="nil"/>
              <w:bottom w:val="single" w:sz="8" w:space="0" w:color="auto"/>
              <w:right w:val="single" w:sz="8" w:space="0" w:color="000000"/>
            </w:tcBorders>
            <w:noWrap/>
            <w:vAlign w:val="center"/>
            <w:hideMark/>
          </w:tcPr>
          <w:p w14:paraId="7AB6750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9.128</w:t>
            </w:r>
          </w:p>
        </w:tc>
        <w:tc>
          <w:tcPr>
            <w:tcW w:w="2410" w:type="dxa"/>
            <w:gridSpan w:val="6"/>
            <w:tcBorders>
              <w:top w:val="single" w:sz="8" w:space="0" w:color="auto"/>
              <w:left w:val="nil"/>
              <w:bottom w:val="single" w:sz="8" w:space="0" w:color="auto"/>
              <w:right w:val="single" w:sz="8" w:space="0" w:color="000000"/>
            </w:tcBorders>
            <w:vAlign w:val="center"/>
            <w:hideMark/>
          </w:tcPr>
          <w:p w14:paraId="44B52CD1"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AMIT cost base net amount - shortfall</w:t>
            </w:r>
          </w:p>
        </w:tc>
        <w:tc>
          <w:tcPr>
            <w:tcW w:w="992" w:type="dxa"/>
            <w:gridSpan w:val="2"/>
            <w:tcBorders>
              <w:top w:val="single" w:sz="8" w:space="0" w:color="auto"/>
              <w:left w:val="nil"/>
              <w:bottom w:val="single" w:sz="8" w:space="0" w:color="auto"/>
              <w:right w:val="single" w:sz="8" w:space="0" w:color="000000"/>
            </w:tcBorders>
            <w:vAlign w:val="center"/>
            <w:hideMark/>
          </w:tcPr>
          <w:p w14:paraId="758537A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9.129</w:t>
            </w:r>
          </w:p>
        </w:tc>
        <w:tc>
          <w:tcPr>
            <w:tcW w:w="2273" w:type="dxa"/>
            <w:gridSpan w:val="7"/>
            <w:tcBorders>
              <w:top w:val="single" w:sz="8" w:space="0" w:color="auto"/>
              <w:left w:val="nil"/>
              <w:bottom w:val="single" w:sz="8" w:space="0" w:color="auto"/>
              <w:right w:val="single" w:sz="8" w:space="0" w:color="000000"/>
            </w:tcBorders>
            <w:vAlign w:val="center"/>
            <w:hideMark/>
          </w:tcPr>
          <w:p w14:paraId="12B4C076"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AMIT cost base net amount - shortfall</w:t>
            </w:r>
          </w:p>
        </w:tc>
        <w:tc>
          <w:tcPr>
            <w:tcW w:w="994" w:type="dxa"/>
            <w:tcBorders>
              <w:top w:val="nil"/>
              <w:left w:val="nil"/>
              <w:bottom w:val="single" w:sz="8" w:space="0" w:color="auto"/>
              <w:right w:val="single" w:sz="8" w:space="0" w:color="auto"/>
            </w:tcBorders>
            <w:vAlign w:val="center"/>
            <w:hideMark/>
          </w:tcPr>
          <w:p w14:paraId="3B482ABC"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9.129</w:t>
            </w:r>
          </w:p>
        </w:tc>
        <w:tc>
          <w:tcPr>
            <w:tcW w:w="2553" w:type="dxa"/>
            <w:tcBorders>
              <w:top w:val="single" w:sz="8" w:space="0" w:color="auto"/>
              <w:left w:val="nil"/>
              <w:bottom w:val="single" w:sz="8" w:space="0" w:color="auto"/>
              <w:right w:val="single" w:sz="8" w:space="0" w:color="000000"/>
            </w:tcBorders>
            <w:vAlign w:val="center"/>
            <w:hideMark/>
          </w:tcPr>
          <w:p w14:paraId="5A9C4D2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AMIT cost base net amount - shortfall</w:t>
            </w:r>
          </w:p>
        </w:tc>
        <w:tc>
          <w:tcPr>
            <w:tcW w:w="273" w:type="dxa"/>
            <w:vAlign w:val="center"/>
            <w:hideMark/>
          </w:tcPr>
          <w:p w14:paraId="3948CFB9"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02BF1FFF" w14:textId="77777777" w:rsidTr="00743808">
        <w:trPr>
          <w:trHeight w:val="330"/>
        </w:trPr>
        <w:tc>
          <w:tcPr>
            <w:tcW w:w="977" w:type="dxa"/>
            <w:tcBorders>
              <w:top w:val="nil"/>
              <w:left w:val="single" w:sz="8" w:space="0" w:color="auto"/>
              <w:bottom w:val="single" w:sz="8" w:space="0" w:color="auto"/>
              <w:right w:val="single" w:sz="8" w:space="0" w:color="auto"/>
            </w:tcBorders>
            <w:noWrap/>
            <w:vAlign w:val="center"/>
            <w:hideMark/>
          </w:tcPr>
          <w:p w14:paraId="2967F9D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7.127</w:t>
            </w:r>
          </w:p>
        </w:tc>
        <w:tc>
          <w:tcPr>
            <w:tcW w:w="2263" w:type="dxa"/>
            <w:gridSpan w:val="3"/>
            <w:tcBorders>
              <w:top w:val="single" w:sz="8" w:space="0" w:color="auto"/>
              <w:left w:val="nil"/>
              <w:bottom w:val="single" w:sz="8" w:space="0" w:color="auto"/>
              <w:right w:val="single" w:sz="8" w:space="0" w:color="000000"/>
            </w:tcBorders>
            <w:vAlign w:val="center"/>
            <w:hideMark/>
          </w:tcPr>
          <w:p w14:paraId="14E9A5F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income</w:t>
            </w:r>
          </w:p>
        </w:tc>
        <w:tc>
          <w:tcPr>
            <w:tcW w:w="992" w:type="dxa"/>
            <w:tcBorders>
              <w:top w:val="single" w:sz="8" w:space="0" w:color="auto"/>
              <w:left w:val="nil"/>
              <w:bottom w:val="single" w:sz="8" w:space="0" w:color="auto"/>
              <w:right w:val="single" w:sz="8" w:space="0" w:color="000000"/>
            </w:tcBorders>
            <w:noWrap/>
            <w:vAlign w:val="center"/>
            <w:hideMark/>
          </w:tcPr>
          <w:p w14:paraId="6291F423"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9.129</w:t>
            </w:r>
          </w:p>
        </w:tc>
        <w:tc>
          <w:tcPr>
            <w:tcW w:w="2410" w:type="dxa"/>
            <w:gridSpan w:val="6"/>
            <w:tcBorders>
              <w:top w:val="single" w:sz="8" w:space="0" w:color="auto"/>
              <w:left w:val="nil"/>
              <w:bottom w:val="single" w:sz="8" w:space="0" w:color="auto"/>
              <w:right w:val="single" w:sz="8" w:space="0" w:color="000000"/>
            </w:tcBorders>
            <w:vAlign w:val="center"/>
            <w:hideMark/>
          </w:tcPr>
          <w:p w14:paraId="144FCE0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income</w:t>
            </w:r>
          </w:p>
        </w:tc>
        <w:tc>
          <w:tcPr>
            <w:tcW w:w="992" w:type="dxa"/>
            <w:gridSpan w:val="2"/>
            <w:tcBorders>
              <w:top w:val="single" w:sz="8" w:space="0" w:color="auto"/>
              <w:left w:val="nil"/>
              <w:bottom w:val="single" w:sz="8" w:space="0" w:color="auto"/>
              <w:right w:val="single" w:sz="8" w:space="0" w:color="000000"/>
            </w:tcBorders>
            <w:vAlign w:val="center"/>
            <w:hideMark/>
          </w:tcPr>
          <w:p w14:paraId="549F272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w:t>
            </w:r>
          </w:p>
        </w:tc>
        <w:tc>
          <w:tcPr>
            <w:tcW w:w="2273" w:type="dxa"/>
            <w:gridSpan w:val="7"/>
            <w:tcBorders>
              <w:top w:val="single" w:sz="8" w:space="0" w:color="auto"/>
              <w:left w:val="nil"/>
              <w:bottom w:val="single" w:sz="8" w:space="0" w:color="auto"/>
              <w:right w:val="single" w:sz="8" w:space="0" w:color="000000"/>
            </w:tcBorders>
            <w:vAlign w:val="center"/>
            <w:hideMark/>
          </w:tcPr>
          <w:p w14:paraId="78ACCEE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income</w:t>
            </w:r>
          </w:p>
        </w:tc>
        <w:tc>
          <w:tcPr>
            <w:tcW w:w="994" w:type="dxa"/>
            <w:tcBorders>
              <w:top w:val="nil"/>
              <w:left w:val="nil"/>
              <w:bottom w:val="single" w:sz="8" w:space="0" w:color="auto"/>
              <w:right w:val="single" w:sz="8" w:space="0" w:color="auto"/>
            </w:tcBorders>
            <w:vAlign w:val="center"/>
            <w:hideMark/>
          </w:tcPr>
          <w:p w14:paraId="1889D99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w:t>
            </w:r>
          </w:p>
        </w:tc>
        <w:tc>
          <w:tcPr>
            <w:tcW w:w="2553" w:type="dxa"/>
            <w:tcBorders>
              <w:top w:val="single" w:sz="8" w:space="0" w:color="auto"/>
              <w:left w:val="nil"/>
              <w:bottom w:val="single" w:sz="8" w:space="0" w:color="auto"/>
              <w:right w:val="single" w:sz="8" w:space="0" w:color="000000"/>
            </w:tcBorders>
            <w:vAlign w:val="center"/>
            <w:hideMark/>
          </w:tcPr>
          <w:p w14:paraId="7B6E65A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Other income</w:t>
            </w:r>
          </w:p>
        </w:tc>
        <w:tc>
          <w:tcPr>
            <w:tcW w:w="273" w:type="dxa"/>
            <w:vAlign w:val="center"/>
            <w:hideMark/>
          </w:tcPr>
          <w:p w14:paraId="553F9189"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580634E9"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793B2A5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7.128</w:t>
            </w:r>
          </w:p>
        </w:tc>
        <w:tc>
          <w:tcPr>
            <w:tcW w:w="2263" w:type="dxa"/>
            <w:gridSpan w:val="3"/>
            <w:tcBorders>
              <w:top w:val="single" w:sz="8" w:space="0" w:color="auto"/>
              <w:left w:val="nil"/>
              <w:bottom w:val="single" w:sz="8" w:space="0" w:color="auto"/>
              <w:right w:val="single" w:sz="8" w:space="0" w:color="000000"/>
            </w:tcBorders>
            <w:vAlign w:val="center"/>
            <w:hideMark/>
          </w:tcPr>
          <w:p w14:paraId="6DD427FE"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Name of AMIT class</w:t>
            </w:r>
          </w:p>
        </w:tc>
        <w:tc>
          <w:tcPr>
            <w:tcW w:w="992" w:type="dxa"/>
            <w:tcBorders>
              <w:top w:val="single" w:sz="8" w:space="0" w:color="auto"/>
              <w:left w:val="nil"/>
              <w:bottom w:val="single" w:sz="8" w:space="0" w:color="auto"/>
              <w:right w:val="single" w:sz="8" w:space="0" w:color="000000"/>
            </w:tcBorders>
            <w:noWrap/>
            <w:vAlign w:val="center"/>
            <w:hideMark/>
          </w:tcPr>
          <w:p w14:paraId="7F0F2AB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w:t>
            </w:r>
          </w:p>
        </w:tc>
        <w:tc>
          <w:tcPr>
            <w:tcW w:w="2410" w:type="dxa"/>
            <w:gridSpan w:val="6"/>
            <w:tcBorders>
              <w:top w:val="single" w:sz="8" w:space="0" w:color="auto"/>
              <w:left w:val="nil"/>
              <w:bottom w:val="single" w:sz="8" w:space="0" w:color="auto"/>
              <w:right w:val="single" w:sz="8" w:space="0" w:color="000000"/>
            </w:tcBorders>
            <w:vAlign w:val="center"/>
            <w:hideMark/>
          </w:tcPr>
          <w:p w14:paraId="03E5A60A"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Name of AMIT class</w:t>
            </w:r>
          </w:p>
        </w:tc>
        <w:tc>
          <w:tcPr>
            <w:tcW w:w="992" w:type="dxa"/>
            <w:gridSpan w:val="2"/>
            <w:tcBorders>
              <w:top w:val="single" w:sz="8" w:space="0" w:color="auto"/>
              <w:left w:val="nil"/>
              <w:bottom w:val="single" w:sz="8" w:space="0" w:color="auto"/>
              <w:right w:val="single" w:sz="8" w:space="0" w:color="000000"/>
            </w:tcBorders>
            <w:vAlign w:val="center"/>
            <w:hideMark/>
          </w:tcPr>
          <w:p w14:paraId="1C1F8A1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9.131</w:t>
            </w:r>
          </w:p>
        </w:tc>
        <w:tc>
          <w:tcPr>
            <w:tcW w:w="2273" w:type="dxa"/>
            <w:gridSpan w:val="7"/>
            <w:tcBorders>
              <w:top w:val="single" w:sz="8" w:space="0" w:color="auto"/>
              <w:left w:val="nil"/>
              <w:bottom w:val="single" w:sz="8" w:space="0" w:color="auto"/>
              <w:right w:val="single" w:sz="8" w:space="0" w:color="000000"/>
            </w:tcBorders>
            <w:vAlign w:val="center"/>
            <w:hideMark/>
          </w:tcPr>
          <w:p w14:paraId="0101D154"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Name of AMIT class</w:t>
            </w:r>
          </w:p>
        </w:tc>
        <w:tc>
          <w:tcPr>
            <w:tcW w:w="994" w:type="dxa"/>
            <w:tcBorders>
              <w:top w:val="nil"/>
              <w:left w:val="nil"/>
              <w:bottom w:val="single" w:sz="8" w:space="0" w:color="auto"/>
              <w:right w:val="single" w:sz="8" w:space="0" w:color="auto"/>
            </w:tcBorders>
            <w:vAlign w:val="center"/>
            <w:hideMark/>
          </w:tcPr>
          <w:p w14:paraId="3DC83ABD"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9.131</w:t>
            </w:r>
          </w:p>
        </w:tc>
        <w:tc>
          <w:tcPr>
            <w:tcW w:w="2553" w:type="dxa"/>
            <w:tcBorders>
              <w:top w:val="single" w:sz="8" w:space="0" w:color="auto"/>
              <w:left w:val="nil"/>
              <w:bottom w:val="single" w:sz="8" w:space="0" w:color="auto"/>
              <w:right w:val="single" w:sz="8" w:space="0" w:color="000000"/>
            </w:tcBorders>
            <w:vAlign w:val="center"/>
            <w:hideMark/>
          </w:tcPr>
          <w:p w14:paraId="4582397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Name of AMIT class</w:t>
            </w:r>
          </w:p>
        </w:tc>
        <w:tc>
          <w:tcPr>
            <w:tcW w:w="273" w:type="dxa"/>
            <w:vAlign w:val="center"/>
            <w:hideMark/>
          </w:tcPr>
          <w:p w14:paraId="2FE3FA4D"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1DCC4A71" w14:textId="77777777" w:rsidTr="00743808">
        <w:trPr>
          <w:trHeight w:val="1020"/>
        </w:trPr>
        <w:tc>
          <w:tcPr>
            <w:tcW w:w="977" w:type="dxa"/>
            <w:tcBorders>
              <w:top w:val="nil"/>
              <w:left w:val="single" w:sz="8" w:space="0" w:color="auto"/>
              <w:bottom w:val="single" w:sz="8" w:space="0" w:color="auto"/>
              <w:right w:val="single" w:sz="8" w:space="0" w:color="auto"/>
            </w:tcBorders>
            <w:noWrap/>
            <w:vAlign w:val="center"/>
            <w:hideMark/>
          </w:tcPr>
          <w:p w14:paraId="0128BFC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7.129</w:t>
            </w:r>
          </w:p>
        </w:tc>
        <w:tc>
          <w:tcPr>
            <w:tcW w:w="2263" w:type="dxa"/>
            <w:gridSpan w:val="3"/>
            <w:tcBorders>
              <w:top w:val="single" w:sz="8" w:space="0" w:color="auto"/>
              <w:left w:val="nil"/>
              <w:bottom w:val="single" w:sz="8" w:space="0" w:color="auto"/>
              <w:right w:val="single" w:sz="8" w:space="0" w:color="000000"/>
            </w:tcBorders>
            <w:vAlign w:val="center"/>
            <w:hideMark/>
          </w:tcPr>
          <w:p w14:paraId="13526680" w14:textId="57819280"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Foreign Resident Capital Gains withholding credits</w:t>
            </w:r>
          </w:p>
        </w:tc>
        <w:tc>
          <w:tcPr>
            <w:tcW w:w="992" w:type="dxa"/>
            <w:tcBorders>
              <w:top w:val="single" w:sz="8" w:space="0" w:color="auto"/>
              <w:left w:val="nil"/>
              <w:bottom w:val="single" w:sz="8" w:space="0" w:color="auto"/>
              <w:right w:val="single" w:sz="8" w:space="0" w:color="000000"/>
            </w:tcBorders>
            <w:noWrap/>
            <w:vAlign w:val="center"/>
            <w:hideMark/>
          </w:tcPr>
          <w:p w14:paraId="5B33063B"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9.131</w:t>
            </w:r>
          </w:p>
        </w:tc>
        <w:tc>
          <w:tcPr>
            <w:tcW w:w="2410" w:type="dxa"/>
            <w:gridSpan w:val="6"/>
            <w:tcBorders>
              <w:top w:val="single" w:sz="8" w:space="0" w:color="auto"/>
              <w:left w:val="nil"/>
              <w:bottom w:val="single" w:sz="8" w:space="0" w:color="auto"/>
              <w:right w:val="single" w:sz="8" w:space="0" w:color="000000"/>
            </w:tcBorders>
            <w:vAlign w:val="center"/>
            <w:hideMark/>
          </w:tcPr>
          <w:p w14:paraId="4F82E095" w14:textId="31D2E29B"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w:t>
            </w:r>
            <w:r>
              <w:rPr>
                <w:rFonts w:ascii="Inter" w:eastAsia="Times New Roman" w:hAnsi="Inter"/>
                <w:color w:val="000000"/>
                <w:lang w:eastAsia="en-AU"/>
              </w:rPr>
              <w:t xml:space="preserve"> </w:t>
            </w:r>
            <w:r w:rsidRPr="005D29FE">
              <w:rPr>
                <w:rFonts w:ascii="Inter" w:eastAsia="Times New Roman" w:hAnsi="Inter"/>
                <w:color w:val="000000"/>
                <w:lang w:eastAsia="en-AU"/>
              </w:rPr>
              <w:t>Foreign Resident Capital Gains withholding credits</w:t>
            </w:r>
          </w:p>
        </w:tc>
        <w:tc>
          <w:tcPr>
            <w:tcW w:w="992" w:type="dxa"/>
            <w:gridSpan w:val="2"/>
            <w:tcBorders>
              <w:top w:val="single" w:sz="8" w:space="0" w:color="auto"/>
              <w:left w:val="nil"/>
              <w:bottom w:val="single" w:sz="8" w:space="0" w:color="auto"/>
              <w:right w:val="single" w:sz="8" w:space="0" w:color="000000"/>
            </w:tcBorders>
            <w:vAlign w:val="center"/>
            <w:hideMark/>
          </w:tcPr>
          <w:p w14:paraId="6AEE9FE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9.132</w:t>
            </w:r>
          </w:p>
        </w:tc>
        <w:tc>
          <w:tcPr>
            <w:tcW w:w="2273" w:type="dxa"/>
            <w:gridSpan w:val="7"/>
            <w:tcBorders>
              <w:top w:val="single" w:sz="8" w:space="0" w:color="auto"/>
              <w:left w:val="nil"/>
              <w:bottom w:val="single" w:sz="8" w:space="0" w:color="auto"/>
              <w:right w:val="single" w:sz="8" w:space="0" w:color="000000"/>
            </w:tcBorders>
            <w:vAlign w:val="center"/>
            <w:hideMark/>
          </w:tcPr>
          <w:p w14:paraId="5F7835DB"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Foreign Resident Capital Gains withholding credits</w:t>
            </w:r>
          </w:p>
        </w:tc>
        <w:tc>
          <w:tcPr>
            <w:tcW w:w="994" w:type="dxa"/>
            <w:tcBorders>
              <w:top w:val="nil"/>
              <w:left w:val="nil"/>
              <w:bottom w:val="single" w:sz="8" w:space="0" w:color="auto"/>
              <w:right w:val="single" w:sz="8" w:space="0" w:color="auto"/>
            </w:tcBorders>
            <w:vAlign w:val="center"/>
            <w:hideMark/>
          </w:tcPr>
          <w:p w14:paraId="21B6F88A"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9.132</w:t>
            </w:r>
          </w:p>
        </w:tc>
        <w:tc>
          <w:tcPr>
            <w:tcW w:w="2553" w:type="dxa"/>
            <w:tcBorders>
              <w:top w:val="single" w:sz="8" w:space="0" w:color="auto"/>
              <w:left w:val="nil"/>
              <w:bottom w:val="single" w:sz="8" w:space="0" w:color="auto"/>
              <w:right w:val="single" w:sz="8" w:space="0" w:color="000000"/>
            </w:tcBorders>
            <w:vAlign w:val="center"/>
            <w:hideMark/>
          </w:tcPr>
          <w:p w14:paraId="036981C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Foreign Resident Capital Gains withholding credits</w:t>
            </w:r>
          </w:p>
        </w:tc>
        <w:tc>
          <w:tcPr>
            <w:tcW w:w="273" w:type="dxa"/>
            <w:vAlign w:val="center"/>
            <w:hideMark/>
          </w:tcPr>
          <w:p w14:paraId="01A47940"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617DF7C9" w14:textId="77777777" w:rsidTr="00743808">
        <w:trPr>
          <w:trHeight w:val="765"/>
        </w:trPr>
        <w:tc>
          <w:tcPr>
            <w:tcW w:w="977" w:type="dxa"/>
            <w:tcBorders>
              <w:top w:val="nil"/>
              <w:left w:val="single" w:sz="8" w:space="0" w:color="auto"/>
              <w:bottom w:val="single" w:sz="8" w:space="0" w:color="auto"/>
              <w:right w:val="single" w:sz="8" w:space="0" w:color="auto"/>
            </w:tcBorders>
            <w:noWrap/>
            <w:vAlign w:val="center"/>
            <w:hideMark/>
          </w:tcPr>
          <w:p w14:paraId="4150A1C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7.13</w:t>
            </w:r>
          </w:p>
        </w:tc>
        <w:tc>
          <w:tcPr>
            <w:tcW w:w="2263" w:type="dxa"/>
            <w:gridSpan w:val="3"/>
            <w:tcBorders>
              <w:top w:val="single" w:sz="8" w:space="0" w:color="auto"/>
              <w:left w:val="nil"/>
              <w:bottom w:val="single" w:sz="8" w:space="0" w:color="auto"/>
              <w:right w:val="single" w:sz="8" w:space="0" w:color="000000"/>
            </w:tcBorders>
            <w:vAlign w:val="center"/>
            <w:hideMark/>
          </w:tcPr>
          <w:p w14:paraId="4D5A19C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Early Stage Investor tax offset</w:t>
            </w:r>
          </w:p>
        </w:tc>
        <w:tc>
          <w:tcPr>
            <w:tcW w:w="992" w:type="dxa"/>
            <w:tcBorders>
              <w:top w:val="single" w:sz="8" w:space="0" w:color="auto"/>
              <w:left w:val="nil"/>
              <w:bottom w:val="single" w:sz="8" w:space="0" w:color="auto"/>
              <w:right w:val="single" w:sz="8" w:space="0" w:color="000000"/>
            </w:tcBorders>
            <w:noWrap/>
            <w:vAlign w:val="center"/>
            <w:hideMark/>
          </w:tcPr>
          <w:p w14:paraId="149BD358"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9.132</w:t>
            </w:r>
          </w:p>
        </w:tc>
        <w:tc>
          <w:tcPr>
            <w:tcW w:w="2410" w:type="dxa"/>
            <w:gridSpan w:val="6"/>
            <w:tcBorders>
              <w:top w:val="single" w:sz="8" w:space="0" w:color="auto"/>
              <w:left w:val="nil"/>
              <w:bottom w:val="single" w:sz="8" w:space="0" w:color="auto"/>
              <w:right w:val="single" w:sz="8" w:space="0" w:color="000000"/>
            </w:tcBorders>
            <w:vAlign w:val="center"/>
            <w:hideMark/>
          </w:tcPr>
          <w:p w14:paraId="39078799" w14:textId="3B5B5926"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Early</w:t>
            </w:r>
            <w:r>
              <w:rPr>
                <w:rFonts w:ascii="Inter" w:eastAsia="Times New Roman" w:hAnsi="Inter"/>
                <w:color w:val="000000"/>
                <w:lang w:eastAsia="en-AU"/>
              </w:rPr>
              <w:t xml:space="preserve"> </w:t>
            </w:r>
            <w:r w:rsidRPr="005D29FE">
              <w:rPr>
                <w:rFonts w:ascii="Inter" w:eastAsia="Times New Roman" w:hAnsi="Inter"/>
                <w:color w:val="000000"/>
                <w:lang w:eastAsia="en-AU"/>
              </w:rPr>
              <w:t>Stage Investor tax offset</w:t>
            </w:r>
          </w:p>
        </w:tc>
        <w:tc>
          <w:tcPr>
            <w:tcW w:w="992" w:type="dxa"/>
            <w:gridSpan w:val="2"/>
            <w:tcBorders>
              <w:top w:val="single" w:sz="8" w:space="0" w:color="auto"/>
              <w:left w:val="nil"/>
              <w:bottom w:val="single" w:sz="8" w:space="0" w:color="auto"/>
              <w:right w:val="single" w:sz="8" w:space="0" w:color="000000"/>
            </w:tcBorders>
            <w:vAlign w:val="center"/>
            <w:hideMark/>
          </w:tcPr>
          <w:p w14:paraId="70E9CDF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9.133</w:t>
            </w:r>
          </w:p>
        </w:tc>
        <w:tc>
          <w:tcPr>
            <w:tcW w:w="2273" w:type="dxa"/>
            <w:gridSpan w:val="7"/>
            <w:tcBorders>
              <w:top w:val="single" w:sz="8" w:space="0" w:color="auto"/>
              <w:left w:val="nil"/>
              <w:bottom w:val="single" w:sz="8" w:space="0" w:color="auto"/>
              <w:right w:val="single" w:sz="8" w:space="0" w:color="000000"/>
            </w:tcBorders>
            <w:vAlign w:val="center"/>
            <w:hideMark/>
          </w:tcPr>
          <w:p w14:paraId="5490B28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Early Stage Investor tax offset</w:t>
            </w:r>
          </w:p>
        </w:tc>
        <w:tc>
          <w:tcPr>
            <w:tcW w:w="994" w:type="dxa"/>
            <w:tcBorders>
              <w:top w:val="nil"/>
              <w:left w:val="nil"/>
              <w:bottom w:val="single" w:sz="8" w:space="0" w:color="auto"/>
              <w:right w:val="single" w:sz="8" w:space="0" w:color="auto"/>
            </w:tcBorders>
            <w:vAlign w:val="center"/>
            <w:hideMark/>
          </w:tcPr>
          <w:p w14:paraId="4E1E183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9.133</w:t>
            </w:r>
          </w:p>
        </w:tc>
        <w:tc>
          <w:tcPr>
            <w:tcW w:w="2553" w:type="dxa"/>
            <w:tcBorders>
              <w:top w:val="single" w:sz="8" w:space="0" w:color="auto"/>
              <w:left w:val="nil"/>
              <w:bottom w:val="single" w:sz="8" w:space="0" w:color="auto"/>
              <w:right w:val="single" w:sz="8" w:space="0" w:color="000000"/>
            </w:tcBorders>
            <w:vAlign w:val="center"/>
            <w:hideMark/>
          </w:tcPr>
          <w:p w14:paraId="73931B9D"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Early Stage Investor tax offset</w:t>
            </w:r>
          </w:p>
        </w:tc>
        <w:tc>
          <w:tcPr>
            <w:tcW w:w="273" w:type="dxa"/>
            <w:vAlign w:val="center"/>
            <w:hideMark/>
          </w:tcPr>
          <w:p w14:paraId="6D9753FD"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49DF1F21" w14:textId="77777777" w:rsidTr="00743808">
        <w:trPr>
          <w:trHeight w:val="510"/>
        </w:trPr>
        <w:tc>
          <w:tcPr>
            <w:tcW w:w="977" w:type="dxa"/>
            <w:tcBorders>
              <w:top w:val="nil"/>
              <w:left w:val="single" w:sz="8" w:space="0" w:color="auto"/>
              <w:bottom w:val="single" w:sz="8" w:space="0" w:color="auto"/>
              <w:right w:val="single" w:sz="8" w:space="0" w:color="auto"/>
            </w:tcBorders>
            <w:noWrap/>
            <w:vAlign w:val="center"/>
            <w:hideMark/>
          </w:tcPr>
          <w:p w14:paraId="3897C2FF"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7.131</w:t>
            </w:r>
          </w:p>
        </w:tc>
        <w:tc>
          <w:tcPr>
            <w:tcW w:w="2263" w:type="dxa"/>
            <w:gridSpan w:val="3"/>
            <w:tcBorders>
              <w:top w:val="single" w:sz="8" w:space="0" w:color="auto"/>
              <w:left w:val="nil"/>
              <w:bottom w:val="single" w:sz="8" w:space="0" w:color="auto"/>
              <w:right w:val="single" w:sz="8" w:space="0" w:color="000000"/>
            </w:tcBorders>
            <w:vAlign w:val="center"/>
            <w:hideMark/>
          </w:tcPr>
          <w:p w14:paraId="31207679"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ESVCLP tax offset</w:t>
            </w:r>
          </w:p>
        </w:tc>
        <w:tc>
          <w:tcPr>
            <w:tcW w:w="992" w:type="dxa"/>
            <w:tcBorders>
              <w:top w:val="single" w:sz="8" w:space="0" w:color="auto"/>
              <w:left w:val="nil"/>
              <w:bottom w:val="single" w:sz="8" w:space="0" w:color="auto"/>
              <w:right w:val="single" w:sz="8" w:space="0" w:color="000000"/>
            </w:tcBorders>
            <w:noWrap/>
            <w:vAlign w:val="center"/>
            <w:hideMark/>
          </w:tcPr>
          <w:p w14:paraId="456DBE86"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9.133</w:t>
            </w:r>
          </w:p>
        </w:tc>
        <w:tc>
          <w:tcPr>
            <w:tcW w:w="2410" w:type="dxa"/>
            <w:gridSpan w:val="6"/>
            <w:tcBorders>
              <w:top w:val="single" w:sz="8" w:space="0" w:color="auto"/>
              <w:left w:val="nil"/>
              <w:bottom w:val="single" w:sz="8" w:space="0" w:color="auto"/>
              <w:right w:val="single" w:sz="8" w:space="0" w:color="000000"/>
            </w:tcBorders>
            <w:vAlign w:val="center"/>
            <w:hideMark/>
          </w:tcPr>
          <w:p w14:paraId="1E32E7D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ESVCLP tax offset</w:t>
            </w:r>
          </w:p>
        </w:tc>
        <w:tc>
          <w:tcPr>
            <w:tcW w:w="992" w:type="dxa"/>
            <w:gridSpan w:val="2"/>
            <w:tcBorders>
              <w:top w:val="single" w:sz="8" w:space="0" w:color="auto"/>
              <w:left w:val="nil"/>
              <w:bottom w:val="single" w:sz="8" w:space="0" w:color="auto"/>
              <w:right w:val="single" w:sz="8" w:space="0" w:color="000000"/>
            </w:tcBorders>
            <w:vAlign w:val="center"/>
            <w:hideMark/>
          </w:tcPr>
          <w:p w14:paraId="21F599D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9.134</w:t>
            </w:r>
          </w:p>
        </w:tc>
        <w:tc>
          <w:tcPr>
            <w:tcW w:w="2273" w:type="dxa"/>
            <w:gridSpan w:val="7"/>
            <w:tcBorders>
              <w:top w:val="single" w:sz="8" w:space="0" w:color="auto"/>
              <w:left w:val="nil"/>
              <w:bottom w:val="single" w:sz="8" w:space="0" w:color="auto"/>
              <w:right w:val="single" w:sz="8" w:space="0" w:color="000000"/>
            </w:tcBorders>
            <w:vAlign w:val="center"/>
            <w:hideMark/>
          </w:tcPr>
          <w:p w14:paraId="661BD2C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ESVCLP tax offset</w:t>
            </w:r>
          </w:p>
        </w:tc>
        <w:tc>
          <w:tcPr>
            <w:tcW w:w="994" w:type="dxa"/>
            <w:tcBorders>
              <w:top w:val="nil"/>
              <w:left w:val="nil"/>
              <w:bottom w:val="single" w:sz="8" w:space="0" w:color="auto"/>
              <w:right w:val="single" w:sz="8" w:space="0" w:color="auto"/>
            </w:tcBorders>
            <w:vAlign w:val="center"/>
            <w:hideMark/>
          </w:tcPr>
          <w:p w14:paraId="5471F7EE"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9.134</w:t>
            </w:r>
          </w:p>
        </w:tc>
        <w:tc>
          <w:tcPr>
            <w:tcW w:w="2553" w:type="dxa"/>
            <w:tcBorders>
              <w:top w:val="single" w:sz="8" w:space="0" w:color="auto"/>
              <w:left w:val="nil"/>
              <w:bottom w:val="single" w:sz="8" w:space="0" w:color="auto"/>
              <w:right w:val="single" w:sz="8" w:space="0" w:color="000000"/>
            </w:tcBorders>
            <w:vAlign w:val="center"/>
            <w:hideMark/>
          </w:tcPr>
          <w:p w14:paraId="334144E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Share of ESVCLP tax offset</w:t>
            </w:r>
          </w:p>
        </w:tc>
        <w:tc>
          <w:tcPr>
            <w:tcW w:w="273" w:type="dxa"/>
            <w:vAlign w:val="center"/>
            <w:hideMark/>
          </w:tcPr>
          <w:p w14:paraId="69FDD4F1"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16D9EAF0" w14:textId="77777777" w:rsidTr="00743808">
        <w:trPr>
          <w:trHeight w:val="330"/>
        </w:trPr>
        <w:tc>
          <w:tcPr>
            <w:tcW w:w="977" w:type="dxa"/>
            <w:tcBorders>
              <w:top w:val="nil"/>
              <w:left w:val="single" w:sz="8" w:space="0" w:color="auto"/>
              <w:bottom w:val="single" w:sz="8" w:space="0" w:color="auto"/>
              <w:right w:val="single" w:sz="8" w:space="0" w:color="auto"/>
            </w:tcBorders>
            <w:noWrap/>
            <w:vAlign w:val="center"/>
            <w:hideMark/>
          </w:tcPr>
          <w:p w14:paraId="0FBA1F51"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7.132</w:t>
            </w:r>
          </w:p>
        </w:tc>
        <w:tc>
          <w:tcPr>
            <w:tcW w:w="2263" w:type="dxa"/>
            <w:gridSpan w:val="3"/>
            <w:tcBorders>
              <w:top w:val="single" w:sz="8" w:space="0" w:color="auto"/>
              <w:left w:val="nil"/>
              <w:bottom w:val="single" w:sz="8" w:space="0" w:color="auto"/>
              <w:right w:val="single" w:sz="8" w:space="0" w:color="000000"/>
            </w:tcBorders>
            <w:vAlign w:val="center"/>
            <w:hideMark/>
          </w:tcPr>
          <w:p w14:paraId="7250103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Royalties</w:t>
            </w:r>
          </w:p>
        </w:tc>
        <w:tc>
          <w:tcPr>
            <w:tcW w:w="992" w:type="dxa"/>
            <w:tcBorders>
              <w:top w:val="single" w:sz="8" w:space="0" w:color="auto"/>
              <w:left w:val="nil"/>
              <w:bottom w:val="single" w:sz="8" w:space="0" w:color="auto"/>
              <w:right w:val="single" w:sz="8" w:space="0" w:color="000000"/>
            </w:tcBorders>
            <w:noWrap/>
            <w:vAlign w:val="center"/>
            <w:hideMark/>
          </w:tcPr>
          <w:p w14:paraId="048BB547"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9.135</w:t>
            </w:r>
          </w:p>
        </w:tc>
        <w:tc>
          <w:tcPr>
            <w:tcW w:w="2410" w:type="dxa"/>
            <w:gridSpan w:val="6"/>
            <w:tcBorders>
              <w:top w:val="single" w:sz="8" w:space="0" w:color="auto"/>
              <w:left w:val="nil"/>
              <w:bottom w:val="single" w:sz="8" w:space="0" w:color="auto"/>
              <w:right w:val="single" w:sz="8" w:space="0" w:color="000000"/>
            </w:tcBorders>
            <w:noWrap/>
            <w:vAlign w:val="center"/>
            <w:hideMark/>
          </w:tcPr>
          <w:p w14:paraId="7EB6126C"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Royalties</w:t>
            </w:r>
          </w:p>
        </w:tc>
        <w:tc>
          <w:tcPr>
            <w:tcW w:w="992" w:type="dxa"/>
            <w:gridSpan w:val="2"/>
            <w:tcBorders>
              <w:top w:val="single" w:sz="8" w:space="0" w:color="auto"/>
              <w:left w:val="nil"/>
              <w:bottom w:val="single" w:sz="8" w:space="0" w:color="auto"/>
              <w:right w:val="single" w:sz="8" w:space="0" w:color="000000"/>
            </w:tcBorders>
            <w:vAlign w:val="center"/>
            <w:hideMark/>
          </w:tcPr>
          <w:p w14:paraId="29EDAAD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9.135</w:t>
            </w:r>
          </w:p>
        </w:tc>
        <w:tc>
          <w:tcPr>
            <w:tcW w:w="2273" w:type="dxa"/>
            <w:gridSpan w:val="7"/>
            <w:tcBorders>
              <w:top w:val="single" w:sz="8" w:space="0" w:color="auto"/>
              <w:left w:val="nil"/>
              <w:bottom w:val="single" w:sz="8" w:space="0" w:color="auto"/>
              <w:right w:val="single" w:sz="8" w:space="0" w:color="000000"/>
            </w:tcBorders>
            <w:vAlign w:val="center"/>
            <w:hideMark/>
          </w:tcPr>
          <w:p w14:paraId="1DBF4895"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Royalties</w:t>
            </w:r>
          </w:p>
        </w:tc>
        <w:tc>
          <w:tcPr>
            <w:tcW w:w="994" w:type="dxa"/>
            <w:tcBorders>
              <w:top w:val="nil"/>
              <w:left w:val="nil"/>
              <w:bottom w:val="single" w:sz="8" w:space="0" w:color="auto"/>
              <w:right w:val="single" w:sz="8" w:space="0" w:color="auto"/>
            </w:tcBorders>
            <w:vAlign w:val="center"/>
            <w:hideMark/>
          </w:tcPr>
          <w:p w14:paraId="4E502D22"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9.135</w:t>
            </w:r>
          </w:p>
        </w:tc>
        <w:tc>
          <w:tcPr>
            <w:tcW w:w="2553" w:type="dxa"/>
            <w:tcBorders>
              <w:top w:val="single" w:sz="8" w:space="0" w:color="auto"/>
              <w:left w:val="nil"/>
              <w:bottom w:val="single" w:sz="8" w:space="0" w:color="auto"/>
              <w:right w:val="single" w:sz="8" w:space="0" w:color="000000"/>
            </w:tcBorders>
            <w:vAlign w:val="center"/>
            <w:hideMark/>
          </w:tcPr>
          <w:p w14:paraId="74E0433F"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Royalties</w:t>
            </w:r>
          </w:p>
        </w:tc>
        <w:tc>
          <w:tcPr>
            <w:tcW w:w="273" w:type="dxa"/>
            <w:vAlign w:val="center"/>
            <w:hideMark/>
          </w:tcPr>
          <w:p w14:paraId="5A80B62E"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9B4F83" w:rsidRPr="005D29FE" w14:paraId="3AD50796" w14:textId="77777777" w:rsidTr="000060C8">
        <w:trPr>
          <w:trHeight w:val="315"/>
        </w:trPr>
        <w:tc>
          <w:tcPr>
            <w:tcW w:w="977" w:type="dxa"/>
            <w:vMerge w:val="restart"/>
            <w:tcBorders>
              <w:top w:val="nil"/>
              <w:left w:val="single" w:sz="8" w:space="0" w:color="auto"/>
              <w:bottom w:val="nil"/>
              <w:right w:val="nil"/>
            </w:tcBorders>
            <w:shd w:val="thinDiagStripe" w:color="000000" w:fill="BFBFBF"/>
            <w:noWrap/>
            <w:vAlign w:val="center"/>
            <w:hideMark/>
          </w:tcPr>
          <w:p w14:paraId="4116C610"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1619" w:type="dxa"/>
            <w:gridSpan w:val="2"/>
            <w:vMerge w:val="restart"/>
            <w:tcBorders>
              <w:top w:val="nil"/>
              <w:left w:val="nil"/>
              <w:bottom w:val="nil"/>
              <w:right w:val="nil"/>
            </w:tcBorders>
            <w:shd w:val="thinDiagStripe" w:color="000000" w:fill="BFBFBF"/>
            <w:vAlign w:val="center"/>
            <w:hideMark/>
          </w:tcPr>
          <w:p w14:paraId="21B93B97"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372" w:type="dxa"/>
            <w:gridSpan w:val="6"/>
            <w:vMerge w:val="restart"/>
            <w:tcBorders>
              <w:top w:val="nil"/>
              <w:left w:val="nil"/>
              <w:bottom w:val="nil"/>
              <w:right w:val="nil"/>
            </w:tcBorders>
            <w:shd w:val="thinDiagStripe" w:color="000000" w:fill="BFBFBF"/>
            <w:noWrap/>
            <w:vAlign w:val="center"/>
            <w:hideMark/>
          </w:tcPr>
          <w:p w14:paraId="5A2FD949"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674" w:type="dxa"/>
            <w:gridSpan w:val="2"/>
            <w:vMerge w:val="restart"/>
            <w:tcBorders>
              <w:top w:val="nil"/>
              <w:left w:val="nil"/>
              <w:bottom w:val="nil"/>
              <w:right w:val="nil"/>
            </w:tcBorders>
            <w:shd w:val="thinDiagStripe" w:color="000000" w:fill="BFBFBF"/>
            <w:noWrap/>
            <w:vAlign w:val="center"/>
            <w:hideMark/>
          </w:tcPr>
          <w:p w14:paraId="78AF9FA8"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48CDD95"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9.136</w:t>
            </w:r>
          </w:p>
        </w:tc>
        <w:tc>
          <w:tcPr>
            <w:tcW w:w="2273"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2B1D3FD3"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NCMI – Non-primary production</w:t>
            </w:r>
          </w:p>
        </w:tc>
        <w:tc>
          <w:tcPr>
            <w:tcW w:w="994" w:type="dxa"/>
            <w:vMerge w:val="restart"/>
            <w:tcBorders>
              <w:top w:val="nil"/>
              <w:left w:val="single" w:sz="8" w:space="0" w:color="auto"/>
              <w:bottom w:val="single" w:sz="8" w:space="0" w:color="000000"/>
              <w:right w:val="single" w:sz="8" w:space="0" w:color="auto"/>
            </w:tcBorders>
            <w:vAlign w:val="center"/>
            <w:hideMark/>
          </w:tcPr>
          <w:p w14:paraId="1C2638F4" w14:textId="77777777" w:rsidR="005D29FE" w:rsidRPr="005D29FE" w:rsidRDefault="005D29FE"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9.136</w:t>
            </w:r>
          </w:p>
        </w:tc>
        <w:tc>
          <w:tcPr>
            <w:tcW w:w="2553" w:type="dxa"/>
            <w:vMerge w:val="restart"/>
            <w:tcBorders>
              <w:top w:val="single" w:sz="8" w:space="0" w:color="auto"/>
              <w:left w:val="single" w:sz="8" w:space="0" w:color="auto"/>
              <w:bottom w:val="single" w:sz="8" w:space="0" w:color="000000"/>
              <w:right w:val="single" w:sz="8" w:space="0" w:color="000000"/>
            </w:tcBorders>
            <w:vAlign w:val="center"/>
            <w:hideMark/>
          </w:tcPr>
          <w:p w14:paraId="01639E12" w14:textId="77777777" w:rsidR="005D29FE" w:rsidRPr="005D29FE" w:rsidRDefault="005D29FE"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NCMI – Non-primary production</w:t>
            </w:r>
          </w:p>
        </w:tc>
        <w:tc>
          <w:tcPr>
            <w:tcW w:w="273" w:type="dxa"/>
            <w:vAlign w:val="center"/>
            <w:hideMark/>
          </w:tcPr>
          <w:p w14:paraId="65B3B935" w14:textId="77777777" w:rsidR="005D29FE" w:rsidRPr="005D29FE" w:rsidRDefault="005D29FE" w:rsidP="005D29FE">
            <w:pPr>
              <w:spacing w:after="0" w:line="240" w:lineRule="auto"/>
              <w:rPr>
                <w:rFonts w:ascii="Times New Roman" w:eastAsia="Times New Roman" w:hAnsi="Times New Roman"/>
                <w:color w:val="auto"/>
                <w:lang w:eastAsia="en-AU"/>
              </w:rPr>
            </w:pPr>
          </w:p>
        </w:tc>
      </w:tr>
      <w:tr w:rsidR="00024038" w:rsidRPr="005D29FE" w14:paraId="23EAFD47" w14:textId="77777777" w:rsidTr="00743808">
        <w:trPr>
          <w:trHeight w:val="330"/>
        </w:trPr>
        <w:tc>
          <w:tcPr>
            <w:tcW w:w="977" w:type="dxa"/>
            <w:vMerge/>
            <w:tcBorders>
              <w:top w:val="nil"/>
              <w:left w:val="single" w:sz="8" w:space="0" w:color="auto"/>
              <w:right w:val="nil"/>
            </w:tcBorders>
            <w:vAlign w:val="center"/>
            <w:hideMark/>
          </w:tcPr>
          <w:p w14:paraId="1990E8ED" w14:textId="77777777" w:rsidR="005D29FE" w:rsidRPr="005D29FE" w:rsidRDefault="005D29FE" w:rsidP="005D29FE">
            <w:pPr>
              <w:spacing w:after="0" w:line="240" w:lineRule="auto"/>
              <w:rPr>
                <w:rFonts w:ascii="Inter" w:eastAsia="Times New Roman" w:hAnsi="Inter"/>
                <w:color w:val="000000"/>
                <w:lang w:eastAsia="en-AU"/>
              </w:rPr>
            </w:pPr>
          </w:p>
        </w:tc>
        <w:tc>
          <w:tcPr>
            <w:tcW w:w="1619" w:type="dxa"/>
            <w:gridSpan w:val="2"/>
            <w:vMerge/>
            <w:tcBorders>
              <w:top w:val="nil"/>
              <w:left w:val="nil"/>
              <w:right w:val="nil"/>
            </w:tcBorders>
            <w:vAlign w:val="center"/>
            <w:hideMark/>
          </w:tcPr>
          <w:p w14:paraId="674480FF" w14:textId="77777777" w:rsidR="005D29FE" w:rsidRPr="005D29FE" w:rsidRDefault="005D29FE" w:rsidP="005D29FE">
            <w:pPr>
              <w:spacing w:after="0" w:line="240" w:lineRule="auto"/>
              <w:rPr>
                <w:rFonts w:ascii="Inter" w:eastAsia="Times New Roman" w:hAnsi="Inter"/>
                <w:color w:val="000000"/>
                <w:lang w:eastAsia="en-AU"/>
              </w:rPr>
            </w:pPr>
          </w:p>
        </w:tc>
        <w:tc>
          <w:tcPr>
            <w:tcW w:w="3372" w:type="dxa"/>
            <w:gridSpan w:val="6"/>
            <w:vMerge/>
            <w:tcBorders>
              <w:top w:val="nil"/>
              <w:left w:val="nil"/>
              <w:right w:val="nil"/>
            </w:tcBorders>
            <w:vAlign w:val="center"/>
            <w:hideMark/>
          </w:tcPr>
          <w:p w14:paraId="4A15999E" w14:textId="77777777" w:rsidR="005D29FE" w:rsidRPr="005D29FE" w:rsidRDefault="005D29FE" w:rsidP="005D29FE">
            <w:pPr>
              <w:spacing w:after="0" w:line="240" w:lineRule="auto"/>
              <w:rPr>
                <w:rFonts w:ascii="Inter" w:eastAsia="Times New Roman" w:hAnsi="Inter"/>
                <w:color w:val="000000"/>
                <w:lang w:eastAsia="en-AU"/>
              </w:rPr>
            </w:pPr>
          </w:p>
        </w:tc>
        <w:tc>
          <w:tcPr>
            <w:tcW w:w="674" w:type="dxa"/>
            <w:gridSpan w:val="2"/>
            <w:vMerge/>
            <w:tcBorders>
              <w:top w:val="nil"/>
              <w:left w:val="nil"/>
              <w:right w:val="nil"/>
            </w:tcBorders>
            <w:vAlign w:val="center"/>
            <w:hideMark/>
          </w:tcPr>
          <w:p w14:paraId="39B31A37" w14:textId="77777777" w:rsidR="005D29FE" w:rsidRPr="005D29FE" w:rsidRDefault="005D29FE" w:rsidP="005D29FE">
            <w:pPr>
              <w:spacing w:after="0" w:line="240" w:lineRule="auto"/>
              <w:rPr>
                <w:rFonts w:ascii="Inter" w:eastAsia="Times New Roman" w:hAnsi="Inter"/>
                <w:color w:val="000000"/>
                <w:lang w:eastAsia="en-AU"/>
              </w:rPr>
            </w:pPr>
          </w:p>
        </w:tc>
        <w:tc>
          <w:tcPr>
            <w:tcW w:w="992" w:type="dxa"/>
            <w:gridSpan w:val="2"/>
            <w:vMerge/>
            <w:tcBorders>
              <w:top w:val="single" w:sz="8" w:space="0" w:color="auto"/>
              <w:left w:val="single" w:sz="8" w:space="0" w:color="auto"/>
              <w:bottom w:val="single" w:sz="8" w:space="0" w:color="000000"/>
              <w:right w:val="single" w:sz="8" w:space="0" w:color="000000"/>
            </w:tcBorders>
            <w:vAlign w:val="center"/>
            <w:hideMark/>
          </w:tcPr>
          <w:p w14:paraId="27018553" w14:textId="77777777" w:rsidR="005D29FE" w:rsidRPr="005D29FE" w:rsidRDefault="005D29FE" w:rsidP="005D29FE">
            <w:pPr>
              <w:spacing w:after="0" w:line="240" w:lineRule="auto"/>
              <w:rPr>
                <w:rFonts w:ascii="Inter" w:eastAsia="Times New Roman" w:hAnsi="Inter"/>
                <w:color w:val="000000"/>
                <w:lang w:eastAsia="en-AU"/>
              </w:rPr>
            </w:pPr>
          </w:p>
        </w:tc>
        <w:tc>
          <w:tcPr>
            <w:tcW w:w="2273" w:type="dxa"/>
            <w:gridSpan w:val="7"/>
            <w:vMerge/>
            <w:tcBorders>
              <w:top w:val="single" w:sz="8" w:space="0" w:color="auto"/>
              <w:left w:val="single" w:sz="8" w:space="0" w:color="auto"/>
              <w:bottom w:val="single" w:sz="8" w:space="0" w:color="000000"/>
              <w:right w:val="single" w:sz="8" w:space="0" w:color="000000"/>
            </w:tcBorders>
            <w:vAlign w:val="center"/>
            <w:hideMark/>
          </w:tcPr>
          <w:p w14:paraId="006496BA" w14:textId="77777777" w:rsidR="005D29FE" w:rsidRPr="005D29FE" w:rsidRDefault="005D29FE" w:rsidP="005D29FE">
            <w:pPr>
              <w:spacing w:after="0" w:line="240" w:lineRule="auto"/>
              <w:rPr>
                <w:rFonts w:ascii="Inter" w:eastAsia="Times New Roman" w:hAnsi="Inter"/>
                <w:color w:val="000000"/>
                <w:lang w:eastAsia="en-AU"/>
              </w:rPr>
            </w:pPr>
          </w:p>
        </w:tc>
        <w:tc>
          <w:tcPr>
            <w:tcW w:w="994" w:type="dxa"/>
            <w:vMerge/>
            <w:tcBorders>
              <w:top w:val="nil"/>
              <w:left w:val="single" w:sz="8" w:space="0" w:color="auto"/>
              <w:bottom w:val="single" w:sz="8" w:space="0" w:color="000000"/>
              <w:right w:val="single" w:sz="8" w:space="0" w:color="auto"/>
            </w:tcBorders>
            <w:vAlign w:val="center"/>
            <w:hideMark/>
          </w:tcPr>
          <w:p w14:paraId="2DF6FB51" w14:textId="77777777" w:rsidR="005D29FE" w:rsidRPr="005D29FE" w:rsidRDefault="005D29FE" w:rsidP="005D29FE">
            <w:pPr>
              <w:spacing w:after="0" w:line="240" w:lineRule="auto"/>
              <w:rPr>
                <w:rFonts w:ascii="Inter" w:eastAsia="Times New Roman" w:hAnsi="Inter"/>
                <w:color w:val="000000"/>
                <w:lang w:eastAsia="en-AU"/>
              </w:rPr>
            </w:pPr>
          </w:p>
        </w:tc>
        <w:tc>
          <w:tcPr>
            <w:tcW w:w="2553" w:type="dxa"/>
            <w:vMerge/>
            <w:tcBorders>
              <w:top w:val="single" w:sz="8" w:space="0" w:color="auto"/>
              <w:left w:val="single" w:sz="8" w:space="0" w:color="auto"/>
              <w:bottom w:val="single" w:sz="8" w:space="0" w:color="000000"/>
              <w:right w:val="single" w:sz="8" w:space="0" w:color="000000"/>
            </w:tcBorders>
            <w:vAlign w:val="center"/>
            <w:hideMark/>
          </w:tcPr>
          <w:p w14:paraId="77143089" w14:textId="77777777" w:rsidR="005D29FE" w:rsidRPr="005D29FE" w:rsidRDefault="005D29FE" w:rsidP="005D29FE">
            <w:pPr>
              <w:spacing w:after="0" w:line="240" w:lineRule="auto"/>
              <w:rPr>
                <w:rFonts w:ascii="Inter" w:eastAsia="Times New Roman" w:hAnsi="Inter"/>
                <w:color w:val="000000"/>
                <w:lang w:eastAsia="en-AU"/>
              </w:rPr>
            </w:pPr>
          </w:p>
        </w:tc>
        <w:tc>
          <w:tcPr>
            <w:tcW w:w="273" w:type="dxa"/>
            <w:tcBorders>
              <w:top w:val="nil"/>
              <w:left w:val="nil"/>
              <w:bottom w:val="nil"/>
              <w:right w:val="nil"/>
            </w:tcBorders>
            <w:noWrap/>
            <w:vAlign w:val="bottom"/>
            <w:hideMark/>
          </w:tcPr>
          <w:p w14:paraId="5C96E563" w14:textId="77777777" w:rsidR="005D29FE" w:rsidRPr="005D29FE" w:rsidRDefault="005D29FE" w:rsidP="005D29FE">
            <w:pPr>
              <w:spacing w:after="0" w:line="240" w:lineRule="auto"/>
              <w:rPr>
                <w:rFonts w:ascii="Inter" w:eastAsia="Times New Roman" w:hAnsi="Inter"/>
                <w:color w:val="000000"/>
                <w:lang w:eastAsia="en-AU"/>
              </w:rPr>
            </w:pPr>
          </w:p>
        </w:tc>
      </w:tr>
      <w:tr w:rsidR="00024038" w:rsidRPr="005D29FE" w14:paraId="1F9EF7E9" w14:textId="77777777" w:rsidTr="00743808">
        <w:trPr>
          <w:gridAfter w:val="1"/>
          <w:wAfter w:w="273" w:type="dxa"/>
          <w:trHeight w:val="510"/>
        </w:trPr>
        <w:tc>
          <w:tcPr>
            <w:tcW w:w="977" w:type="dxa"/>
            <w:tcBorders>
              <w:top w:val="nil"/>
              <w:left w:val="single" w:sz="8" w:space="0" w:color="auto"/>
              <w:right w:val="nil"/>
            </w:tcBorders>
            <w:shd w:val="thinDiagStripe" w:color="000000" w:fill="BFBFBF"/>
            <w:noWrap/>
            <w:vAlign w:val="center"/>
            <w:hideMark/>
          </w:tcPr>
          <w:p w14:paraId="09035F5E"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255" w:type="dxa"/>
            <w:gridSpan w:val="4"/>
            <w:tcBorders>
              <w:top w:val="nil"/>
              <w:left w:val="nil"/>
              <w:right w:val="nil"/>
            </w:tcBorders>
            <w:shd w:val="thinDiagStripe" w:color="000000" w:fill="BFBFBF"/>
            <w:vAlign w:val="center"/>
            <w:hideMark/>
          </w:tcPr>
          <w:p w14:paraId="616E5311"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top w:val="nil"/>
              <w:left w:val="nil"/>
              <w:right w:val="nil"/>
            </w:tcBorders>
            <w:shd w:val="thinDiagStripe" w:color="000000" w:fill="BFBFBF"/>
            <w:noWrap/>
            <w:vAlign w:val="center"/>
            <w:hideMark/>
          </w:tcPr>
          <w:p w14:paraId="60759CAC"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241" w:type="dxa"/>
            <w:tcBorders>
              <w:top w:val="nil"/>
              <w:left w:val="nil"/>
              <w:right w:val="nil"/>
            </w:tcBorders>
            <w:shd w:val="thinDiagStripe" w:color="000000" w:fill="BFBFBF"/>
            <w:noWrap/>
            <w:vAlign w:val="center"/>
            <w:hideMark/>
          </w:tcPr>
          <w:p w14:paraId="1B086919"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474" w:type="dxa"/>
            <w:gridSpan w:val="2"/>
            <w:tcBorders>
              <w:top w:val="nil"/>
              <w:left w:val="nil"/>
              <w:right w:val="nil"/>
            </w:tcBorders>
            <w:shd w:val="thinDiagStripe" w:color="000000" w:fill="BFBFBF"/>
            <w:noWrap/>
            <w:vAlign w:val="center"/>
            <w:hideMark/>
          </w:tcPr>
          <w:p w14:paraId="2CB4AC2A"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58" w:type="dxa"/>
            <w:tcBorders>
              <w:top w:val="nil"/>
              <w:left w:val="nil"/>
              <w:right w:val="single" w:sz="4" w:space="0" w:color="auto"/>
            </w:tcBorders>
            <w:shd w:val="thinDiagStripe" w:color="000000" w:fill="BFBFBF"/>
            <w:noWrap/>
            <w:vAlign w:val="center"/>
            <w:hideMark/>
          </w:tcPr>
          <w:p w14:paraId="2A3D970F"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gridSpan w:val="2"/>
            <w:tcBorders>
              <w:top w:val="single" w:sz="8" w:space="0" w:color="auto"/>
              <w:left w:val="single" w:sz="8" w:space="0" w:color="auto"/>
              <w:bottom w:val="single" w:sz="4" w:space="0" w:color="auto"/>
              <w:right w:val="single" w:sz="8" w:space="0" w:color="000000"/>
            </w:tcBorders>
            <w:vAlign w:val="center"/>
            <w:hideMark/>
          </w:tcPr>
          <w:p w14:paraId="75F31127"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9.137</w:t>
            </w:r>
          </w:p>
        </w:tc>
        <w:tc>
          <w:tcPr>
            <w:tcW w:w="2273" w:type="dxa"/>
            <w:gridSpan w:val="7"/>
            <w:tcBorders>
              <w:top w:val="single" w:sz="8" w:space="0" w:color="000000"/>
              <w:left w:val="nil"/>
              <w:bottom w:val="single" w:sz="4" w:space="0" w:color="auto"/>
              <w:right w:val="single" w:sz="8" w:space="0" w:color="000000"/>
            </w:tcBorders>
            <w:vAlign w:val="center"/>
            <w:hideMark/>
          </w:tcPr>
          <w:p w14:paraId="08E5EDEC"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NCMI – Primary production</w:t>
            </w:r>
          </w:p>
        </w:tc>
        <w:tc>
          <w:tcPr>
            <w:tcW w:w="994" w:type="dxa"/>
            <w:tcBorders>
              <w:top w:val="nil"/>
              <w:left w:val="nil"/>
              <w:bottom w:val="single" w:sz="4" w:space="0" w:color="auto"/>
              <w:right w:val="single" w:sz="8" w:space="0" w:color="auto"/>
            </w:tcBorders>
            <w:vAlign w:val="center"/>
            <w:hideMark/>
          </w:tcPr>
          <w:p w14:paraId="77E527CF"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9.137</w:t>
            </w:r>
          </w:p>
        </w:tc>
        <w:tc>
          <w:tcPr>
            <w:tcW w:w="2553" w:type="dxa"/>
            <w:tcBorders>
              <w:top w:val="single" w:sz="8" w:space="0" w:color="000000"/>
              <w:left w:val="nil"/>
              <w:bottom w:val="single" w:sz="4" w:space="0" w:color="auto"/>
              <w:right w:val="single" w:sz="8" w:space="0" w:color="000000"/>
            </w:tcBorders>
            <w:vAlign w:val="center"/>
            <w:hideMark/>
          </w:tcPr>
          <w:p w14:paraId="2D352F6E"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NCMI – Primary production</w:t>
            </w:r>
          </w:p>
        </w:tc>
      </w:tr>
      <w:tr w:rsidR="00024038" w:rsidRPr="005D29FE" w14:paraId="79A9E80D" w14:textId="77777777" w:rsidTr="00743808">
        <w:trPr>
          <w:gridAfter w:val="1"/>
          <w:wAfter w:w="273" w:type="dxa"/>
          <w:trHeight w:val="765"/>
        </w:trPr>
        <w:tc>
          <w:tcPr>
            <w:tcW w:w="977" w:type="dxa"/>
            <w:tcBorders>
              <w:left w:val="single" w:sz="8" w:space="0" w:color="auto"/>
              <w:bottom w:val="nil"/>
              <w:right w:val="nil"/>
            </w:tcBorders>
            <w:shd w:val="thinDiagStripe" w:color="000000" w:fill="BFBFBF"/>
            <w:noWrap/>
            <w:vAlign w:val="center"/>
            <w:hideMark/>
          </w:tcPr>
          <w:p w14:paraId="309966E9"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255" w:type="dxa"/>
            <w:gridSpan w:val="4"/>
            <w:tcBorders>
              <w:left w:val="nil"/>
              <w:bottom w:val="nil"/>
              <w:right w:val="nil"/>
            </w:tcBorders>
            <w:shd w:val="thinDiagStripe" w:color="000000" w:fill="BFBFBF"/>
            <w:vAlign w:val="center"/>
            <w:hideMark/>
          </w:tcPr>
          <w:p w14:paraId="080DB424"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left w:val="nil"/>
              <w:bottom w:val="nil"/>
              <w:right w:val="nil"/>
            </w:tcBorders>
            <w:shd w:val="thinDiagStripe" w:color="000000" w:fill="BFBFBF"/>
            <w:noWrap/>
            <w:vAlign w:val="center"/>
            <w:hideMark/>
          </w:tcPr>
          <w:p w14:paraId="10C48519"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99" w:type="dxa"/>
            <w:gridSpan w:val="2"/>
            <w:tcBorders>
              <w:left w:val="nil"/>
              <w:bottom w:val="nil"/>
              <w:right w:val="nil"/>
            </w:tcBorders>
            <w:shd w:val="thinDiagStripe" w:color="000000" w:fill="BFBFBF"/>
            <w:noWrap/>
            <w:vAlign w:val="center"/>
            <w:hideMark/>
          </w:tcPr>
          <w:p w14:paraId="5E32D683"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16" w:type="dxa"/>
            <w:tcBorders>
              <w:left w:val="nil"/>
              <w:bottom w:val="nil"/>
              <w:right w:val="nil"/>
            </w:tcBorders>
            <w:shd w:val="thinDiagStripe" w:color="000000" w:fill="BFBFBF"/>
            <w:noWrap/>
            <w:vAlign w:val="center"/>
            <w:hideMark/>
          </w:tcPr>
          <w:p w14:paraId="5F5C55E6"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58" w:type="dxa"/>
            <w:tcBorders>
              <w:left w:val="nil"/>
              <w:bottom w:val="nil"/>
              <w:right w:val="single" w:sz="4" w:space="0" w:color="auto"/>
            </w:tcBorders>
            <w:shd w:val="thinDiagStripe" w:color="000000" w:fill="BFBFBF"/>
            <w:noWrap/>
            <w:vAlign w:val="center"/>
            <w:hideMark/>
          </w:tcPr>
          <w:p w14:paraId="7458517C"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gridSpan w:val="2"/>
            <w:tcBorders>
              <w:top w:val="single" w:sz="4" w:space="0" w:color="auto"/>
              <w:left w:val="single" w:sz="8" w:space="0" w:color="auto"/>
              <w:bottom w:val="single" w:sz="8" w:space="0" w:color="auto"/>
              <w:right w:val="single" w:sz="8" w:space="0" w:color="000000"/>
            </w:tcBorders>
            <w:vAlign w:val="center"/>
            <w:hideMark/>
          </w:tcPr>
          <w:p w14:paraId="22C957E0"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9.138</w:t>
            </w:r>
          </w:p>
        </w:tc>
        <w:tc>
          <w:tcPr>
            <w:tcW w:w="2273" w:type="dxa"/>
            <w:gridSpan w:val="7"/>
            <w:tcBorders>
              <w:top w:val="single" w:sz="4" w:space="0" w:color="auto"/>
              <w:left w:val="nil"/>
              <w:bottom w:val="single" w:sz="8" w:space="0" w:color="auto"/>
              <w:right w:val="single" w:sz="8" w:space="0" w:color="000000"/>
            </w:tcBorders>
            <w:vAlign w:val="center"/>
            <w:hideMark/>
          </w:tcPr>
          <w:p w14:paraId="213D03AB"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Excluded from NCMI – Non-primary production</w:t>
            </w:r>
          </w:p>
        </w:tc>
        <w:tc>
          <w:tcPr>
            <w:tcW w:w="994" w:type="dxa"/>
            <w:tcBorders>
              <w:top w:val="single" w:sz="4" w:space="0" w:color="auto"/>
              <w:left w:val="nil"/>
              <w:bottom w:val="single" w:sz="8" w:space="0" w:color="auto"/>
              <w:right w:val="single" w:sz="8" w:space="0" w:color="auto"/>
            </w:tcBorders>
            <w:vAlign w:val="center"/>
            <w:hideMark/>
          </w:tcPr>
          <w:p w14:paraId="3CC2820D"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9.138</w:t>
            </w:r>
          </w:p>
        </w:tc>
        <w:tc>
          <w:tcPr>
            <w:tcW w:w="2553" w:type="dxa"/>
            <w:tcBorders>
              <w:top w:val="single" w:sz="4" w:space="0" w:color="auto"/>
              <w:left w:val="nil"/>
              <w:bottom w:val="single" w:sz="8" w:space="0" w:color="auto"/>
              <w:right w:val="single" w:sz="8" w:space="0" w:color="000000"/>
            </w:tcBorders>
            <w:vAlign w:val="center"/>
            <w:hideMark/>
          </w:tcPr>
          <w:p w14:paraId="0D03F8C7"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Excluded from NCMI – Non-primary production</w:t>
            </w:r>
          </w:p>
        </w:tc>
      </w:tr>
      <w:tr w:rsidR="00024038" w:rsidRPr="005D29FE" w14:paraId="0EB802B2" w14:textId="77777777" w:rsidTr="00743808">
        <w:trPr>
          <w:gridAfter w:val="1"/>
          <w:wAfter w:w="273" w:type="dxa"/>
          <w:trHeight w:val="765"/>
        </w:trPr>
        <w:tc>
          <w:tcPr>
            <w:tcW w:w="977" w:type="dxa"/>
            <w:tcBorders>
              <w:top w:val="nil"/>
              <w:left w:val="single" w:sz="8" w:space="0" w:color="auto"/>
              <w:bottom w:val="nil"/>
              <w:right w:val="nil"/>
            </w:tcBorders>
            <w:shd w:val="thinDiagStripe" w:color="000000" w:fill="BFBFBF"/>
            <w:noWrap/>
            <w:vAlign w:val="center"/>
            <w:hideMark/>
          </w:tcPr>
          <w:p w14:paraId="0638372F"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255" w:type="dxa"/>
            <w:gridSpan w:val="4"/>
            <w:tcBorders>
              <w:top w:val="nil"/>
              <w:left w:val="nil"/>
              <w:bottom w:val="nil"/>
              <w:right w:val="nil"/>
            </w:tcBorders>
            <w:shd w:val="thinDiagStripe" w:color="000000" w:fill="BFBFBF"/>
            <w:vAlign w:val="center"/>
            <w:hideMark/>
          </w:tcPr>
          <w:p w14:paraId="35A9AE50"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top w:val="nil"/>
              <w:left w:val="nil"/>
              <w:bottom w:val="nil"/>
              <w:right w:val="nil"/>
            </w:tcBorders>
            <w:shd w:val="thinDiagStripe" w:color="000000" w:fill="BFBFBF"/>
            <w:noWrap/>
            <w:vAlign w:val="center"/>
            <w:hideMark/>
          </w:tcPr>
          <w:p w14:paraId="4990FB4B"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99" w:type="dxa"/>
            <w:gridSpan w:val="2"/>
            <w:tcBorders>
              <w:top w:val="nil"/>
              <w:left w:val="nil"/>
              <w:bottom w:val="nil"/>
              <w:right w:val="nil"/>
            </w:tcBorders>
            <w:shd w:val="thinDiagStripe" w:color="000000" w:fill="BFBFBF"/>
            <w:noWrap/>
            <w:vAlign w:val="center"/>
            <w:hideMark/>
          </w:tcPr>
          <w:p w14:paraId="5A0549FB"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16" w:type="dxa"/>
            <w:tcBorders>
              <w:top w:val="nil"/>
              <w:left w:val="nil"/>
              <w:bottom w:val="nil"/>
              <w:right w:val="nil"/>
            </w:tcBorders>
            <w:shd w:val="thinDiagStripe" w:color="000000" w:fill="BFBFBF"/>
            <w:noWrap/>
            <w:vAlign w:val="center"/>
            <w:hideMark/>
          </w:tcPr>
          <w:p w14:paraId="17F404F1"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58" w:type="dxa"/>
            <w:tcBorders>
              <w:top w:val="nil"/>
              <w:left w:val="nil"/>
              <w:bottom w:val="nil"/>
              <w:right w:val="single" w:sz="4" w:space="0" w:color="auto"/>
            </w:tcBorders>
            <w:shd w:val="thinDiagStripe" w:color="000000" w:fill="BFBFBF"/>
            <w:noWrap/>
            <w:vAlign w:val="center"/>
            <w:hideMark/>
          </w:tcPr>
          <w:p w14:paraId="076E5477"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gridSpan w:val="2"/>
            <w:tcBorders>
              <w:top w:val="single" w:sz="8" w:space="0" w:color="auto"/>
              <w:left w:val="single" w:sz="8" w:space="0" w:color="auto"/>
              <w:bottom w:val="single" w:sz="8" w:space="0" w:color="auto"/>
              <w:right w:val="single" w:sz="8" w:space="0" w:color="000000"/>
            </w:tcBorders>
            <w:vAlign w:val="center"/>
            <w:hideMark/>
          </w:tcPr>
          <w:p w14:paraId="74411FD8"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9.139</w:t>
            </w:r>
          </w:p>
        </w:tc>
        <w:tc>
          <w:tcPr>
            <w:tcW w:w="2273" w:type="dxa"/>
            <w:gridSpan w:val="7"/>
            <w:tcBorders>
              <w:top w:val="single" w:sz="8" w:space="0" w:color="auto"/>
              <w:left w:val="nil"/>
              <w:bottom w:val="single" w:sz="8" w:space="0" w:color="auto"/>
              <w:right w:val="single" w:sz="8" w:space="0" w:color="000000"/>
            </w:tcBorders>
            <w:vAlign w:val="center"/>
            <w:hideMark/>
          </w:tcPr>
          <w:p w14:paraId="016F9683"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Excluded from NCMI- Primary production</w:t>
            </w:r>
          </w:p>
        </w:tc>
        <w:tc>
          <w:tcPr>
            <w:tcW w:w="994" w:type="dxa"/>
            <w:tcBorders>
              <w:top w:val="nil"/>
              <w:left w:val="nil"/>
              <w:bottom w:val="single" w:sz="8" w:space="0" w:color="auto"/>
              <w:right w:val="single" w:sz="8" w:space="0" w:color="auto"/>
            </w:tcBorders>
            <w:vAlign w:val="center"/>
            <w:hideMark/>
          </w:tcPr>
          <w:p w14:paraId="30EDC894"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9.139</w:t>
            </w:r>
          </w:p>
        </w:tc>
        <w:tc>
          <w:tcPr>
            <w:tcW w:w="2553" w:type="dxa"/>
            <w:tcBorders>
              <w:top w:val="single" w:sz="8" w:space="0" w:color="auto"/>
              <w:left w:val="nil"/>
              <w:bottom w:val="single" w:sz="8" w:space="0" w:color="auto"/>
              <w:right w:val="single" w:sz="8" w:space="0" w:color="000000"/>
            </w:tcBorders>
            <w:vAlign w:val="center"/>
            <w:hideMark/>
          </w:tcPr>
          <w:p w14:paraId="2D3496F5"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Excluded from NCMI- Primary production</w:t>
            </w:r>
          </w:p>
        </w:tc>
      </w:tr>
      <w:tr w:rsidR="00024038" w:rsidRPr="005D29FE" w14:paraId="0003C6CE" w14:textId="77777777" w:rsidTr="00743808">
        <w:trPr>
          <w:gridAfter w:val="1"/>
          <w:wAfter w:w="273" w:type="dxa"/>
          <w:trHeight w:val="330"/>
        </w:trPr>
        <w:tc>
          <w:tcPr>
            <w:tcW w:w="977" w:type="dxa"/>
            <w:tcBorders>
              <w:top w:val="nil"/>
              <w:left w:val="single" w:sz="8" w:space="0" w:color="auto"/>
              <w:bottom w:val="nil"/>
              <w:right w:val="nil"/>
            </w:tcBorders>
            <w:shd w:val="thinDiagStripe" w:color="000000" w:fill="BFBFBF"/>
            <w:noWrap/>
            <w:vAlign w:val="center"/>
            <w:hideMark/>
          </w:tcPr>
          <w:p w14:paraId="444C2D19"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255" w:type="dxa"/>
            <w:gridSpan w:val="4"/>
            <w:tcBorders>
              <w:top w:val="nil"/>
              <w:left w:val="nil"/>
              <w:bottom w:val="nil"/>
              <w:right w:val="nil"/>
            </w:tcBorders>
            <w:shd w:val="thinDiagStripe" w:color="000000" w:fill="BFBFBF"/>
            <w:vAlign w:val="center"/>
            <w:hideMark/>
          </w:tcPr>
          <w:p w14:paraId="396AE808"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top w:val="nil"/>
              <w:left w:val="nil"/>
              <w:bottom w:val="nil"/>
              <w:right w:val="nil"/>
            </w:tcBorders>
            <w:shd w:val="thinDiagStripe" w:color="000000" w:fill="BFBFBF"/>
            <w:noWrap/>
            <w:vAlign w:val="center"/>
            <w:hideMark/>
          </w:tcPr>
          <w:p w14:paraId="55544D7A"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99" w:type="dxa"/>
            <w:gridSpan w:val="2"/>
            <w:tcBorders>
              <w:top w:val="nil"/>
              <w:left w:val="nil"/>
              <w:bottom w:val="nil"/>
              <w:right w:val="nil"/>
            </w:tcBorders>
            <w:shd w:val="thinDiagStripe" w:color="000000" w:fill="BFBFBF"/>
            <w:noWrap/>
            <w:vAlign w:val="center"/>
            <w:hideMark/>
          </w:tcPr>
          <w:p w14:paraId="1E2D219B"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16" w:type="dxa"/>
            <w:tcBorders>
              <w:top w:val="nil"/>
              <w:left w:val="nil"/>
              <w:bottom w:val="nil"/>
              <w:right w:val="nil"/>
            </w:tcBorders>
            <w:shd w:val="thinDiagStripe" w:color="000000" w:fill="BFBFBF"/>
            <w:noWrap/>
            <w:vAlign w:val="center"/>
            <w:hideMark/>
          </w:tcPr>
          <w:p w14:paraId="446EFA72"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58" w:type="dxa"/>
            <w:tcBorders>
              <w:top w:val="nil"/>
              <w:left w:val="nil"/>
              <w:bottom w:val="nil"/>
              <w:right w:val="single" w:sz="4" w:space="0" w:color="auto"/>
            </w:tcBorders>
            <w:shd w:val="thinDiagStripe" w:color="000000" w:fill="BFBFBF"/>
            <w:noWrap/>
            <w:vAlign w:val="center"/>
            <w:hideMark/>
          </w:tcPr>
          <w:p w14:paraId="708AB7A9"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gridSpan w:val="2"/>
            <w:tcBorders>
              <w:top w:val="single" w:sz="8" w:space="0" w:color="auto"/>
              <w:left w:val="single" w:sz="8" w:space="0" w:color="auto"/>
              <w:bottom w:val="single" w:sz="8" w:space="0" w:color="auto"/>
              <w:right w:val="single" w:sz="8" w:space="0" w:color="000000"/>
            </w:tcBorders>
            <w:vAlign w:val="center"/>
            <w:hideMark/>
          </w:tcPr>
          <w:p w14:paraId="74BD540D"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9.14</w:t>
            </w:r>
          </w:p>
        </w:tc>
        <w:tc>
          <w:tcPr>
            <w:tcW w:w="2273" w:type="dxa"/>
            <w:gridSpan w:val="7"/>
            <w:tcBorders>
              <w:top w:val="single" w:sz="8" w:space="0" w:color="auto"/>
              <w:left w:val="nil"/>
              <w:bottom w:val="single" w:sz="8" w:space="0" w:color="auto"/>
              <w:right w:val="single" w:sz="8" w:space="0" w:color="000000"/>
            </w:tcBorders>
            <w:vAlign w:val="center"/>
            <w:hideMark/>
          </w:tcPr>
          <w:p w14:paraId="1E4E6FA9"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NCMI Capital Gains</w:t>
            </w:r>
          </w:p>
        </w:tc>
        <w:tc>
          <w:tcPr>
            <w:tcW w:w="994" w:type="dxa"/>
            <w:tcBorders>
              <w:top w:val="nil"/>
              <w:left w:val="nil"/>
              <w:bottom w:val="single" w:sz="8" w:space="0" w:color="auto"/>
              <w:right w:val="single" w:sz="8" w:space="0" w:color="auto"/>
            </w:tcBorders>
            <w:vAlign w:val="center"/>
            <w:hideMark/>
          </w:tcPr>
          <w:p w14:paraId="421E6077"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9.14</w:t>
            </w:r>
          </w:p>
        </w:tc>
        <w:tc>
          <w:tcPr>
            <w:tcW w:w="2553" w:type="dxa"/>
            <w:tcBorders>
              <w:top w:val="single" w:sz="8" w:space="0" w:color="auto"/>
              <w:left w:val="nil"/>
              <w:bottom w:val="single" w:sz="8" w:space="0" w:color="auto"/>
              <w:right w:val="single" w:sz="8" w:space="0" w:color="000000"/>
            </w:tcBorders>
            <w:vAlign w:val="center"/>
            <w:hideMark/>
          </w:tcPr>
          <w:p w14:paraId="2267864E"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NCMI Capital Gains</w:t>
            </w:r>
          </w:p>
        </w:tc>
      </w:tr>
      <w:tr w:rsidR="00024038" w:rsidRPr="005D29FE" w14:paraId="080FA53A" w14:textId="77777777" w:rsidTr="00743808">
        <w:trPr>
          <w:gridAfter w:val="1"/>
          <w:wAfter w:w="273" w:type="dxa"/>
          <w:trHeight w:val="510"/>
        </w:trPr>
        <w:tc>
          <w:tcPr>
            <w:tcW w:w="977" w:type="dxa"/>
            <w:tcBorders>
              <w:top w:val="nil"/>
              <w:left w:val="single" w:sz="8" w:space="0" w:color="auto"/>
              <w:bottom w:val="nil"/>
              <w:right w:val="nil"/>
            </w:tcBorders>
            <w:shd w:val="thinDiagStripe" w:color="000000" w:fill="BFBFBF"/>
            <w:noWrap/>
            <w:vAlign w:val="center"/>
            <w:hideMark/>
          </w:tcPr>
          <w:p w14:paraId="2BEE6F3B"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255" w:type="dxa"/>
            <w:gridSpan w:val="4"/>
            <w:tcBorders>
              <w:top w:val="nil"/>
              <w:left w:val="nil"/>
              <w:bottom w:val="nil"/>
              <w:right w:val="nil"/>
            </w:tcBorders>
            <w:shd w:val="thinDiagStripe" w:color="000000" w:fill="BFBFBF"/>
            <w:vAlign w:val="center"/>
            <w:hideMark/>
          </w:tcPr>
          <w:p w14:paraId="752DEC38"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top w:val="nil"/>
              <w:left w:val="nil"/>
              <w:bottom w:val="nil"/>
              <w:right w:val="nil"/>
            </w:tcBorders>
            <w:shd w:val="thinDiagStripe" w:color="000000" w:fill="BFBFBF"/>
            <w:noWrap/>
            <w:vAlign w:val="center"/>
            <w:hideMark/>
          </w:tcPr>
          <w:p w14:paraId="7DCC1A70"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399" w:type="dxa"/>
            <w:gridSpan w:val="2"/>
            <w:tcBorders>
              <w:top w:val="nil"/>
              <w:left w:val="nil"/>
              <w:bottom w:val="nil"/>
              <w:right w:val="nil"/>
            </w:tcBorders>
            <w:shd w:val="thinDiagStripe" w:color="000000" w:fill="BFBFBF"/>
            <w:noWrap/>
            <w:vAlign w:val="center"/>
            <w:hideMark/>
          </w:tcPr>
          <w:p w14:paraId="1A1F271D"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16" w:type="dxa"/>
            <w:tcBorders>
              <w:top w:val="nil"/>
              <w:left w:val="nil"/>
              <w:bottom w:val="nil"/>
              <w:right w:val="nil"/>
            </w:tcBorders>
            <w:shd w:val="thinDiagStripe" w:color="000000" w:fill="BFBFBF"/>
            <w:noWrap/>
            <w:vAlign w:val="center"/>
            <w:hideMark/>
          </w:tcPr>
          <w:p w14:paraId="382C30B8"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358" w:type="dxa"/>
            <w:tcBorders>
              <w:top w:val="nil"/>
              <w:left w:val="nil"/>
              <w:bottom w:val="nil"/>
              <w:right w:val="single" w:sz="4" w:space="0" w:color="auto"/>
            </w:tcBorders>
            <w:shd w:val="thinDiagStripe" w:color="000000" w:fill="BFBFBF"/>
            <w:noWrap/>
            <w:vAlign w:val="center"/>
            <w:hideMark/>
          </w:tcPr>
          <w:p w14:paraId="1255CAA1"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gridSpan w:val="2"/>
            <w:tcBorders>
              <w:top w:val="single" w:sz="8" w:space="0" w:color="auto"/>
              <w:left w:val="single" w:sz="8" w:space="0" w:color="auto"/>
              <w:bottom w:val="single" w:sz="8" w:space="0" w:color="auto"/>
              <w:right w:val="single" w:sz="8" w:space="0" w:color="000000"/>
            </w:tcBorders>
            <w:vAlign w:val="center"/>
            <w:hideMark/>
          </w:tcPr>
          <w:p w14:paraId="607355A0"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9.141</w:t>
            </w:r>
          </w:p>
        </w:tc>
        <w:tc>
          <w:tcPr>
            <w:tcW w:w="2273" w:type="dxa"/>
            <w:gridSpan w:val="7"/>
            <w:tcBorders>
              <w:top w:val="single" w:sz="8" w:space="0" w:color="auto"/>
              <w:left w:val="nil"/>
              <w:bottom w:val="single" w:sz="8" w:space="0" w:color="auto"/>
              <w:right w:val="single" w:sz="8" w:space="0" w:color="000000"/>
            </w:tcBorders>
            <w:vAlign w:val="center"/>
            <w:hideMark/>
          </w:tcPr>
          <w:p w14:paraId="43A8C227"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Excluded from NCMI Capital Gains</w:t>
            </w:r>
          </w:p>
        </w:tc>
        <w:tc>
          <w:tcPr>
            <w:tcW w:w="994" w:type="dxa"/>
            <w:tcBorders>
              <w:top w:val="nil"/>
              <w:left w:val="nil"/>
              <w:bottom w:val="single" w:sz="8" w:space="0" w:color="auto"/>
              <w:right w:val="single" w:sz="8" w:space="0" w:color="auto"/>
            </w:tcBorders>
            <w:vAlign w:val="center"/>
            <w:hideMark/>
          </w:tcPr>
          <w:p w14:paraId="3C2D3107" w14:textId="77777777" w:rsidR="00024038" w:rsidRPr="005D29FE" w:rsidRDefault="00024038" w:rsidP="005D29FE">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9.141</w:t>
            </w:r>
          </w:p>
        </w:tc>
        <w:tc>
          <w:tcPr>
            <w:tcW w:w="2553" w:type="dxa"/>
            <w:tcBorders>
              <w:top w:val="single" w:sz="8" w:space="0" w:color="auto"/>
              <w:left w:val="nil"/>
              <w:bottom w:val="single" w:sz="8" w:space="0" w:color="auto"/>
              <w:right w:val="single" w:sz="8" w:space="0" w:color="000000"/>
            </w:tcBorders>
            <w:vAlign w:val="center"/>
            <w:hideMark/>
          </w:tcPr>
          <w:p w14:paraId="2CBEB1BC" w14:textId="77777777" w:rsidR="00024038" w:rsidRPr="005D29FE" w:rsidRDefault="00024038" w:rsidP="005D29FE">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Excluded from NCMI Capital Gains</w:t>
            </w:r>
          </w:p>
        </w:tc>
      </w:tr>
      <w:tr w:rsidR="000060C8" w:rsidRPr="005D29FE" w14:paraId="03C9C672" w14:textId="77777777" w:rsidTr="00743808">
        <w:trPr>
          <w:gridAfter w:val="1"/>
          <w:wAfter w:w="273" w:type="dxa"/>
          <w:trHeight w:val="20"/>
        </w:trPr>
        <w:tc>
          <w:tcPr>
            <w:tcW w:w="1400" w:type="dxa"/>
            <w:gridSpan w:val="2"/>
            <w:tcBorders>
              <w:top w:val="nil"/>
              <w:left w:val="single" w:sz="8" w:space="0" w:color="auto"/>
              <w:bottom w:val="nil"/>
              <w:right w:val="nil"/>
            </w:tcBorders>
            <w:shd w:val="thinDiagStripe" w:color="000000" w:fill="BFBFBF"/>
            <w:noWrap/>
            <w:vAlign w:val="center"/>
            <w:hideMark/>
          </w:tcPr>
          <w:p w14:paraId="5B42680D" w14:textId="77777777"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2832" w:type="dxa"/>
            <w:gridSpan w:val="3"/>
            <w:tcBorders>
              <w:top w:val="nil"/>
              <w:left w:val="nil"/>
              <w:bottom w:val="nil"/>
              <w:right w:val="nil"/>
            </w:tcBorders>
            <w:shd w:val="thinDiagStripe" w:color="000000" w:fill="BFBFBF"/>
            <w:vAlign w:val="center"/>
            <w:hideMark/>
          </w:tcPr>
          <w:p w14:paraId="1D9EAD97"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top w:val="nil"/>
              <w:left w:val="nil"/>
              <w:bottom w:val="nil"/>
              <w:right w:val="nil"/>
            </w:tcBorders>
            <w:shd w:val="thinDiagStripe" w:color="000000" w:fill="BFBFBF"/>
            <w:noWrap/>
            <w:vAlign w:val="center"/>
            <w:hideMark/>
          </w:tcPr>
          <w:p w14:paraId="6B763ECA" w14:textId="77777777"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1073" w:type="dxa"/>
            <w:gridSpan w:val="4"/>
            <w:tcBorders>
              <w:top w:val="nil"/>
              <w:left w:val="nil"/>
              <w:bottom w:val="nil"/>
              <w:right w:val="nil"/>
            </w:tcBorders>
            <w:shd w:val="thinDiagStripe" w:color="000000" w:fill="BFBFBF"/>
            <w:noWrap/>
            <w:vAlign w:val="center"/>
            <w:hideMark/>
          </w:tcPr>
          <w:p w14:paraId="3253A96B"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377" w:type="dxa"/>
            <w:gridSpan w:val="7"/>
            <w:tcBorders>
              <w:top w:val="nil"/>
              <w:left w:val="nil"/>
              <w:bottom w:val="nil"/>
              <w:right w:val="nil"/>
            </w:tcBorders>
            <w:shd w:val="thinDiagStripe" w:color="000000" w:fill="BFBFBF"/>
            <w:vAlign w:val="center"/>
            <w:hideMark/>
          </w:tcPr>
          <w:p w14:paraId="4E974636"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888" w:type="dxa"/>
            <w:gridSpan w:val="2"/>
            <w:tcBorders>
              <w:top w:val="nil"/>
              <w:left w:val="nil"/>
              <w:bottom w:val="nil"/>
              <w:right w:val="nil"/>
            </w:tcBorders>
            <w:shd w:val="thinDiagStripe" w:color="000000" w:fill="BFBFBF"/>
            <w:vAlign w:val="center"/>
            <w:hideMark/>
          </w:tcPr>
          <w:p w14:paraId="1C6D6561"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4" w:type="dxa"/>
            <w:tcBorders>
              <w:top w:val="nil"/>
              <w:left w:val="single" w:sz="8" w:space="0" w:color="auto"/>
              <w:bottom w:val="single" w:sz="8" w:space="0" w:color="auto"/>
              <w:right w:val="single" w:sz="8" w:space="0" w:color="auto"/>
            </w:tcBorders>
            <w:vAlign w:val="center"/>
          </w:tcPr>
          <w:p w14:paraId="2BD6F2F6" w14:textId="56D66B5A"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9.142</w:t>
            </w:r>
          </w:p>
        </w:tc>
        <w:tc>
          <w:tcPr>
            <w:tcW w:w="2553" w:type="dxa"/>
            <w:tcBorders>
              <w:top w:val="single" w:sz="8" w:space="0" w:color="auto"/>
              <w:left w:val="nil"/>
              <w:bottom w:val="single" w:sz="8" w:space="0" w:color="auto"/>
              <w:right w:val="single" w:sz="8" w:space="0" w:color="000000"/>
            </w:tcBorders>
            <w:vAlign w:val="center"/>
          </w:tcPr>
          <w:p w14:paraId="70338E19" w14:textId="7AE14AE3"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BTR entity or payment recipient</w:t>
            </w:r>
          </w:p>
        </w:tc>
      </w:tr>
      <w:tr w:rsidR="000060C8" w:rsidRPr="005D29FE" w14:paraId="01FD78E8" w14:textId="77777777" w:rsidTr="00743808">
        <w:trPr>
          <w:gridAfter w:val="1"/>
          <w:wAfter w:w="273" w:type="dxa"/>
          <w:trHeight w:val="20"/>
        </w:trPr>
        <w:tc>
          <w:tcPr>
            <w:tcW w:w="1400" w:type="dxa"/>
            <w:gridSpan w:val="2"/>
            <w:tcBorders>
              <w:top w:val="nil"/>
              <w:left w:val="single" w:sz="8" w:space="0" w:color="auto"/>
              <w:right w:val="nil"/>
            </w:tcBorders>
            <w:shd w:val="thinDiagStripe" w:color="000000" w:fill="BFBFBF"/>
            <w:noWrap/>
            <w:vAlign w:val="center"/>
            <w:hideMark/>
          </w:tcPr>
          <w:p w14:paraId="6ECEC5CC" w14:textId="77777777"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2832" w:type="dxa"/>
            <w:gridSpan w:val="3"/>
            <w:tcBorders>
              <w:top w:val="nil"/>
              <w:left w:val="nil"/>
              <w:right w:val="nil"/>
            </w:tcBorders>
            <w:shd w:val="thinDiagStripe" w:color="000000" w:fill="BFBFBF"/>
            <w:vAlign w:val="center"/>
            <w:hideMark/>
          </w:tcPr>
          <w:p w14:paraId="0D8720C4"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top w:val="nil"/>
              <w:left w:val="nil"/>
              <w:right w:val="nil"/>
            </w:tcBorders>
            <w:shd w:val="thinDiagStripe" w:color="000000" w:fill="BFBFBF"/>
            <w:noWrap/>
            <w:vAlign w:val="center"/>
            <w:hideMark/>
          </w:tcPr>
          <w:p w14:paraId="1400CA36" w14:textId="77777777"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1073" w:type="dxa"/>
            <w:gridSpan w:val="4"/>
            <w:tcBorders>
              <w:top w:val="nil"/>
              <w:left w:val="nil"/>
              <w:right w:val="nil"/>
            </w:tcBorders>
            <w:shd w:val="thinDiagStripe" w:color="000000" w:fill="BFBFBF"/>
            <w:noWrap/>
            <w:vAlign w:val="center"/>
            <w:hideMark/>
          </w:tcPr>
          <w:p w14:paraId="7D5A2645"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377" w:type="dxa"/>
            <w:gridSpan w:val="7"/>
            <w:tcBorders>
              <w:top w:val="nil"/>
              <w:left w:val="nil"/>
              <w:right w:val="nil"/>
            </w:tcBorders>
            <w:shd w:val="thinDiagStripe" w:color="000000" w:fill="BFBFBF"/>
            <w:vAlign w:val="center"/>
            <w:hideMark/>
          </w:tcPr>
          <w:p w14:paraId="067B2F2A"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888" w:type="dxa"/>
            <w:gridSpan w:val="2"/>
            <w:tcBorders>
              <w:top w:val="nil"/>
              <w:left w:val="nil"/>
              <w:right w:val="nil"/>
            </w:tcBorders>
            <w:shd w:val="thinDiagStripe" w:color="000000" w:fill="BFBFBF"/>
            <w:vAlign w:val="center"/>
            <w:hideMark/>
          </w:tcPr>
          <w:p w14:paraId="3ECD08BE"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4" w:type="dxa"/>
            <w:tcBorders>
              <w:top w:val="nil"/>
              <w:left w:val="single" w:sz="8" w:space="0" w:color="auto"/>
              <w:bottom w:val="single" w:sz="8" w:space="0" w:color="auto"/>
              <w:right w:val="single" w:sz="8" w:space="0" w:color="auto"/>
            </w:tcBorders>
            <w:vAlign w:val="center"/>
          </w:tcPr>
          <w:p w14:paraId="5AD53A7D" w14:textId="3002D596"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9.143</w:t>
            </w:r>
          </w:p>
        </w:tc>
        <w:tc>
          <w:tcPr>
            <w:tcW w:w="2553" w:type="dxa"/>
            <w:tcBorders>
              <w:top w:val="single" w:sz="8" w:space="0" w:color="auto"/>
              <w:left w:val="nil"/>
              <w:bottom w:val="single" w:sz="8" w:space="0" w:color="auto"/>
              <w:right w:val="single" w:sz="8" w:space="0" w:color="000000"/>
            </w:tcBorders>
            <w:vAlign w:val="center"/>
          </w:tcPr>
          <w:p w14:paraId="4131A29B" w14:textId="77C89D5A"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ATO BTR development ID</w:t>
            </w:r>
          </w:p>
        </w:tc>
      </w:tr>
      <w:tr w:rsidR="000060C8" w:rsidRPr="005D29FE" w14:paraId="192F47B7" w14:textId="77777777" w:rsidTr="00743808">
        <w:trPr>
          <w:gridAfter w:val="1"/>
          <w:wAfter w:w="273" w:type="dxa"/>
          <w:trHeight w:val="20"/>
        </w:trPr>
        <w:tc>
          <w:tcPr>
            <w:tcW w:w="1400" w:type="dxa"/>
            <w:gridSpan w:val="2"/>
            <w:tcBorders>
              <w:top w:val="nil"/>
              <w:left w:val="single" w:sz="8" w:space="0" w:color="auto"/>
              <w:right w:val="nil"/>
            </w:tcBorders>
            <w:shd w:val="thinDiagStripe" w:color="000000" w:fill="BFBFBF"/>
            <w:noWrap/>
            <w:vAlign w:val="center"/>
            <w:hideMark/>
          </w:tcPr>
          <w:p w14:paraId="74141347" w14:textId="77777777"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2832" w:type="dxa"/>
            <w:gridSpan w:val="3"/>
            <w:tcBorders>
              <w:top w:val="nil"/>
              <w:left w:val="nil"/>
              <w:right w:val="nil"/>
            </w:tcBorders>
            <w:shd w:val="thinDiagStripe" w:color="000000" w:fill="BFBFBF"/>
            <w:vAlign w:val="center"/>
            <w:hideMark/>
          </w:tcPr>
          <w:p w14:paraId="41347113"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top w:val="nil"/>
              <w:left w:val="nil"/>
              <w:right w:val="nil"/>
            </w:tcBorders>
            <w:shd w:val="thinDiagStripe" w:color="000000" w:fill="BFBFBF"/>
            <w:noWrap/>
            <w:vAlign w:val="center"/>
            <w:hideMark/>
          </w:tcPr>
          <w:p w14:paraId="13E2AE10" w14:textId="77777777"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1073" w:type="dxa"/>
            <w:gridSpan w:val="4"/>
            <w:tcBorders>
              <w:top w:val="nil"/>
              <w:left w:val="nil"/>
              <w:right w:val="nil"/>
            </w:tcBorders>
            <w:shd w:val="thinDiagStripe" w:color="000000" w:fill="BFBFBF"/>
            <w:noWrap/>
            <w:vAlign w:val="center"/>
            <w:hideMark/>
          </w:tcPr>
          <w:p w14:paraId="7A3C4C37"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377" w:type="dxa"/>
            <w:gridSpan w:val="7"/>
            <w:tcBorders>
              <w:top w:val="nil"/>
              <w:left w:val="nil"/>
              <w:right w:val="nil"/>
            </w:tcBorders>
            <w:shd w:val="thinDiagStripe" w:color="000000" w:fill="BFBFBF"/>
            <w:vAlign w:val="center"/>
            <w:hideMark/>
          </w:tcPr>
          <w:p w14:paraId="7644C0DB"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888" w:type="dxa"/>
            <w:gridSpan w:val="2"/>
            <w:tcBorders>
              <w:top w:val="nil"/>
              <w:left w:val="nil"/>
              <w:right w:val="nil"/>
            </w:tcBorders>
            <w:shd w:val="thinDiagStripe" w:color="000000" w:fill="BFBFBF"/>
            <w:vAlign w:val="center"/>
            <w:hideMark/>
          </w:tcPr>
          <w:p w14:paraId="46A77A88"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4" w:type="dxa"/>
            <w:tcBorders>
              <w:top w:val="nil"/>
              <w:left w:val="single" w:sz="8" w:space="0" w:color="auto"/>
              <w:bottom w:val="single" w:sz="4" w:space="0" w:color="auto"/>
              <w:right w:val="single" w:sz="8" w:space="0" w:color="auto"/>
            </w:tcBorders>
            <w:vAlign w:val="center"/>
          </w:tcPr>
          <w:p w14:paraId="22149FAE" w14:textId="664978EF" w:rsidR="000060C8" w:rsidRPr="00024038"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9.144</w:t>
            </w:r>
          </w:p>
        </w:tc>
        <w:tc>
          <w:tcPr>
            <w:tcW w:w="2553" w:type="dxa"/>
            <w:tcBorders>
              <w:top w:val="single" w:sz="8" w:space="0" w:color="auto"/>
              <w:left w:val="nil"/>
              <w:bottom w:val="single" w:sz="4" w:space="0" w:color="auto"/>
              <w:right w:val="single" w:sz="8" w:space="0" w:color="000000"/>
            </w:tcBorders>
            <w:vAlign w:val="center"/>
          </w:tcPr>
          <w:p w14:paraId="0C3E9BBF" w14:textId="2BB150C0"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BTR excluded from NCMI – non primary production</w:t>
            </w:r>
          </w:p>
        </w:tc>
      </w:tr>
      <w:tr w:rsidR="000060C8" w:rsidRPr="005D29FE" w14:paraId="2C87A2D6" w14:textId="77777777" w:rsidTr="00743808">
        <w:trPr>
          <w:gridAfter w:val="1"/>
          <w:wAfter w:w="273" w:type="dxa"/>
          <w:trHeight w:val="20"/>
        </w:trPr>
        <w:tc>
          <w:tcPr>
            <w:tcW w:w="1400" w:type="dxa"/>
            <w:gridSpan w:val="2"/>
            <w:tcBorders>
              <w:left w:val="single" w:sz="8" w:space="0" w:color="auto"/>
              <w:bottom w:val="nil"/>
              <w:right w:val="nil"/>
            </w:tcBorders>
            <w:shd w:val="thinDiagStripe" w:color="000000" w:fill="BFBFBF"/>
            <w:noWrap/>
            <w:vAlign w:val="center"/>
            <w:hideMark/>
          </w:tcPr>
          <w:p w14:paraId="45DEECE8" w14:textId="77777777"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2832" w:type="dxa"/>
            <w:gridSpan w:val="3"/>
            <w:tcBorders>
              <w:left w:val="nil"/>
              <w:bottom w:val="nil"/>
              <w:right w:val="nil"/>
            </w:tcBorders>
            <w:shd w:val="thinDiagStripe" w:color="000000" w:fill="BFBFBF"/>
            <w:vAlign w:val="center"/>
            <w:hideMark/>
          </w:tcPr>
          <w:p w14:paraId="14334751"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337" w:type="dxa"/>
            <w:gridSpan w:val="2"/>
            <w:tcBorders>
              <w:left w:val="nil"/>
              <w:bottom w:val="nil"/>
              <w:right w:val="nil"/>
            </w:tcBorders>
            <w:shd w:val="thinDiagStripe" w:color="000000" w:fill="BFBFBF"/>
            <w:noWrap/>
            <w:vAlign w:val="center"/>
            <w:hideMark/>
          </w:tcPr>
          <w:p w14:paraId="0E43A966" w14:textId="77777777" w:rsidR="000060C8" w:rsidRPr="005D29FE"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 </w:t>
            </w:r>
          </w:p>
        </w:tc>
        <w:tc>
          <w:tcPr>
            <w:tcW w:w="1073" w:type="dxa"/>
            <w:gridSpan w:val="4"/>
            <w:tcBorders>
              <w:left w:val="nil"/>
              <w:bottom w:val="nil"/>
              <w:right w:val="nil"/>
            </w:tcBorders>
            <w:shd w:val="thinDiagStripe" w:color="000000" w:fill="BFBFBF"/>
            <w:noWrap/>
            <w:vAlign w:val="center"/>
            <w:hideMark/>
          </w:tcPr>
          <w:p w14:paraId="54C65FA8"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377" w:type="dxa"/>
            <w:gridSpan w:val="7"/>
            <w:tcBorders>
              <w:left w:val="nil"/>
              <w:bottom w:val="nil"/>
              <w:right w:val="nil"/>
            </w:tcBorders>
            <w:shd w:val="thinDiagStripe" w:color="000000" w:fill="BFBFBF"/>
            <w:vAlign w:val="center"/>
            <w:hideMark/>
          </w:tcPr>
          <w:p w14:paraId="5950934F"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888" w:type="dxa"/>
            <w:gridSpan w:val="2"/>
            <w:tcBorders>
              <w:left w:val="nil"/>
              <w:bottom w:val="nil"/>
              <w:right w:val="nil"/>
            </w:tcBorders>
            <w:shd w:val="thinDiagStripe" w:color="000000" w:fill="BFBFBF"/>
            <w:vAlign w:val="center"/>
            <w:hideMark/>
          </w:tcPr>
          <w:p w14:paraId="03303164"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4" w:type="dxa"/>
            <w:tcBorders>
              <w:top w:val="single" w:sz="4" w:space="0" w:color="auto"/>
              <w:left w:val="single" w:sz="8" w:space="0" w:color="auto"/>
              <w:bottom w:val="single" w:sz="8" w:space="0" w:color="auto"/>
              <w:right w:val="single" w:sz="8" w:space="0" w:color="auto"/>
            </w:tcBorders>
            <w:vAlign w:val="center"/>
          </w:tcPr>
          <w:p w14:paraId="6AE38E2F" w14:textId="4C73AD1E" w:rsidR="000060C8" w:rsidRPr="00024038" w:rsidRDefault="000060C8" w:rsidP="000060C8">
            <w:pPr>
              <w:spacing w:after="0" w:line="240" w:lineRule="auto"/>
              <w:jc w:val="center"/>
              <w:rPr>
                <w:rFonts w:ascii="Inter" w:eastAsia="Times New Roman" w:hAnsi="Inter"/>
                <w:color w:val="000000"/>
                <w:lang w:eastAsia="en-AU"/>
              </w:rPr>
            </w:pPr>
            <w:r w:rsidRPr="005D29FE">
              <w:rPr>
                <w:rFonts w:ascii="Inter" w:eastAsia="Times New Roman" w:hAnsi="Inter"/>
                <w:color w:val="000000"/>
                <w:lang w:eastAsia="en-AU"/>
              </w:rPr>
              <w:t>9.145</w:t>
            </w:r>
          </w:p>
        </w:tc>
        <w:tc>
          <w:tcPr>
            <w:tcW w:w="2553" w:type="dxa"/>
            <w:tcBorders>
              <w:top w:val="single" w:sz="4" w:space="0" w:color="auto"/>
              <w:left w:val="nil"/>
              <w:bottom w:val="single" w:sz="8" w:space="0" w:color="auto"/>
              <w:right w:val="single" w:sz="8" w:space="0" w:color="000000"/>
            </w:tcBorders>
            <w:vAlign w:val="center"/>
          </w:tcPr>
          <w:p w14:paraId="36D29E82" w14:textId="0CC529CC" w:rsidR="000060C8" w:rsidRPr="00024038"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BTR excluded from NCMI capital gains</w:t>
            </w:r>
          </w:p>
        </w:tc>
      </w:tr>
      <w:tr w:rsidR="000060C8" w:rsidRPr="005D29FE" w14:paraId="30858665" w14:textId="77777777" w:rsidTr="00743808">
        <w:trPr>
          <w:gridAfter w:val="1"/>
          <w:wAfter w:w="273" w:type="dxa"/>
          <w:trHeight w:val="510"/>
        </w:trPr>
        <w:tc>
          <w:tcPr>
            <w:tcW w:w="977" w:type="dxa"/>
            <w:tcBorders>
              <w:top w:val="nil"/>
              <w:left w:val="single" w:sz="8" w:space="0" w:color="auto"/>
              <w:bottom w:val="single" w:sz="8" w:space="0" w:color="auto"/>
              <w:right w:val="nil"/>
            </w:tcBorders>
            <w:shd w:val="thinDiagStripe" w:color="000000" w:fill="BFBFBF"/>
            <w:noWrap/>
            <w:vAlign w:val="center"/>
            <w:hideMark/>
          </w:tcPr>
          <w:p w14:paraId="6A7EA8CE"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423" w:type="dxa"/>
            <w:tcBorders>
              <w:top w:val="nil"/>
              <w:left w:val="nil"/>
              <w:bottom w:val="single" w:sz="8" w:space="0" w:color="auto"/>
              <w:right w:val="nil"/>
            </w:tcBorders>
            <w:shd w:val="thinDiagStripe" w:color="000000" w:fill="BFBFBF"/>
            <w:noWrap/>
            <w:vAlign w:val="center"/>
            <w:hideMark/>
          </w:tcPr>
          <w:p w14:paraId="181EE877"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1840" w:type="dxa"/>
            <w:gridSpan w:val="2"/>
            <w:tcBorders>
              <w:top w:val="nil"/>
              <w:left w:val="nil"/>
              <w:bottom w:val="single" w:sz="8" w:space="0" w:color="auto"/>
              <w:right w:val="nil"/>
            </w:tcBorders>
            <w:shd w:val="thinDiagStripe" w:color="000000" w:fill="BFBFBF"/>
            <w:noWrap/>
            <w:vAlign w:val="center"/>
            <w:hideMark/>
          </w:tcPr>
          <w:p w14:paraId="74C8D9D8"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2" w:type="dxa"/>
            <w:tcBorders>
              <w:top w:val="nil"/>
              <w:left w:val="nil"/>
              <w:bottom w:val="single" w:sz="8" w:space="0" w:color="auto"/>
              <w:right w:val="nil"/>
            </w:tcBorders>
            <w:shd w:val="thinDiagStripe" w:color="000000" w:fill="BFBFBF"/>
            <w:noWrap/>
            <w:vAlign w:val="center"/>
            <w:hideMark/>
          </w:tcPr>
          <w:p w14:paraId="585A31A6"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36" w:type="dxa"/>
            <w:tcBorders>
              <w:top w:val="nil"/>
              <w:left w:val="nil"/>
              <w:bottom w:val="single" w:sz="8" w:space="0" w:color="auto"/>
              <w:right w:val="nil"/>
            </w:tcBorders>
            <w:shd w:val="thinDiagStripe" w:color="000000" w:fill="BFBFBF"/>
            <w:noWrap/>
            <w:vAlign w:val="center"/>
            <w:hideMark/>
          </w:tcPr>
          <w:p w14:paraId="172F82A7"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559" w:type="dxa"/>
            <w:gridSpan w:val="6"/>
            <w:tcBorders>
              <w:top w:val="nil"/>
              <w:left w:val="nil"/>
              <w:bottom w:val="single" w:sz="8" w:space="0" w:color="auto"/>
              <w:right w:val="nil"/>
            </w:tcBorders>
            <w:shd w:val="thinDiagStripe" w:color="000000" w:fill="BFBFBF"/>
            <w:noWrap/>
            <w:vAlign w:val="center"/>
            <w:hideMark/>
          </w:tcPr>
          <w:p w14:paraId="14B3EFE0"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607" w:type="dxa"/>
            <w:tcBorders>
              <w:top w:val="nil"/>
              <w:left w:val="nil"/>
              <w:bottom w:val="single" w:sz="8" w:space="0" w:color="auto"/>
              <w:right w:val="nil"/>
            </w:tcBorders>
            <w:shd w:val="thinDiagStripe" w:color="000000" w:fill="BFBFBF"/>
            <w:noWrap/>
            <w:vAlign w:val="center"/>
            <w:hideMark/>
          </w:tcPr>
          <w:p w14:paraId="5606287C" w14:textId="2E40D21C"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36" w:type="dxa"/>
            <w:tcBorders>
              <w:top w:val="nil"/>
              <w:left w:val="nil"/>
              <w:bottom w:val="single" w:sz="8" w:space="0" w:color="auto"/>
              <w:right w:val="nil"/>
            </w:tcBorders>
            <w:shd w:val="thinDiagStripe" w:color="000000" w:fill="BFBFBF"/>
            <w:noWrap/>
            <w:vAlign w:val="center"/>
          </w:tcPr>
          <w:p w14:paraId="454BFB28" w14:textId="07C93A9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36" w:type="dxa"/>
            <w:tcBorders>
              <w:top w:val="nil"/>
              <w:left w:val="nil"/>
              <w:bottom w:val="single" w:sz="8" w:space="0" w:color="auto"/>
              <w:right w:val="nil"/>
            </w:tcBorders>
            <w:shd w:val="thinDiagStripe" w:color="000000" w:fill="BFBFBF"/>
            <w:noWrap/>
            <w:vAlign w:val="center"/>
          </w:tcPr>
          <w:p w14:paraId="0EEF0CC5" w14:textId="1B8638F8" w:rsidR="000060C8" w:rsidRPr="005D29FE" w:rsidRDefault="000060C8" w:rsidP="000060C8">
            <w:pPr>
              <w:spacing w:after="0" w:line="240" w:lineRule="auto"/>
              <w:rPr>
                <w:rFonts w:ascii="Inter" w:eastAsia="Times New Roman" w:hAnsi="Inter"/>
                <w:color w:val="000000"/>
                <w:lang w:eastAsia="en-AU"/>
              </w:rPr>
            </w:pPr>
          </w:p>
        </w:tc>
        <w:tc>
          <w:tcPr>
            <w:tcW w:w="239" w:type="dxa"/>
            <w:tcBorders>
              <w:top w:val="nil"/>
              <w:left w:val="nil"/>
              <w:bottom w:val="single" w:sz="8" w:space="0" w:color="auto"/>
              <w:right w:val="nil"/>
            </w:tcBorders>
            <w:shd w:val="thinDiagStripe" w:color="000000" w:fill="BFBFBF"/>
            <w:noWrap/>
            <w:vAlign w:val="center"/>
            <w:hideMark/>
          </w:tcPr>
          <w:p w14:paraId="03C98FE0"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236" w:type="dxa"/>
            <w:tcBorders>
              <w:top w:val="nil"/>
              <w:left w:val="nil"/>
              <w:bottom w:val="single" w:sz="8" w:space="0" w:color="auto"/>
              <w:right w:val="nil"/>
            </w:tcBorders>
            <w:shd w:val="thinDiagStripe" w:color="000000" w:fill="BFBFBF"/>
            <w:noWrap/>
            <w:vAlign w:val="center"/>
            <w:hideMark/>
          </w:tcPr>
          <w:p w14:paraId="66A14197"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755" w:type="dxa"/>
            <w:gridSpan w:val="2"/>
            <w:tcBorders>
              <w:top w:val="nil"/>
              <w:left w:val="nil"/>
              <w:bottom w:val="single" w:sz="8" w:space="0" w:color="auto"/>
              <w:right w:val="nil"/>
            </w:tcBorders>
            <w:shd w:val="thinDiagStripe" w:color="000000" w:fill="BFBFBF"/>
            <w:noWrap/>
            <w:vAlign w:val="center"/>
            <w:hideMark/>
          </w:tcPr>
          <w:p w14:paraId="535E270E"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571" w:type="dxa"/>
            <w:tcBorders>
              <w:top w:val="nil"/>
              <w:left w:val="nil"/>
              <w:bottom w:val="single" w:sz="8" w:space="0" w:color="auto"/>
              <w:right w:val="nil"/>
            </w:tcBorders>
            <w:shd w:val="thinDiagStripe" w:color="000000" w:fill="BFBFBF"/>
            <w:noWrap/>
            <w:vAlign w:val="center"/>
            <w:hideMark/>
          </w:tcPr>
          <w:p w14:paraId="5E0D1ED3" w14:textId="77777777" w:rsidR="000060C8" w:rsidRPr="005D29FE" w:rsidRDefault="000060C8" w:rsidP="000060C8">
            <w:pPr>
              <w:spacing w:after="0" w:line="240" w:lineRule="auto"/>
              <w:rPr>
                <w:rFonts w:ascii="Inter" w:eastAsia="Times New Roman" w:hAnsi="Inter"/>
                <w:color w:val="000000"/>
                <w:lang w:eastAsia="en-AU"/>
              </w:rPr>
            </w:pPr>
            <w:r w:rsidRPr="005D29FE">
              <w:rPr>
                <w:rFonts w:ascii="Inter" w:eastAsia="Times New Roman" w:hAnsi="Inter"/>
                <w:color w:val="000000"/>
                <w:lang w:eastAsia="en-AU"/>
              </w:rPr>
              <w:t> </w:t>
            </w:r>
          </w:p>
        </w:tc>
        <w:tc>
          <w:tcPr>
            <w:tcW w:w="994" w:type="dxa"/>
            <w:tcBorders>
              <w:top w:val="nil"/>
              <w:left w:val="single" w:sz="8" w:space="0" w:color="auto"/>
              <w:bottom w:val="single" w:sz="8" w:space="0" w:color="auto"/>
              <w:right w:val="single" w:sz="8" w:space="0" w:color="auto"/>
            </w:tcBorders>
            <w:vAlign w:val="center"/>
          </w:tcPr>
          <w:p w14:paraId="59BABBA9" w14:textId="3B65B029" w:rsidR="000060C8" w:rsidRPr="005D29FE" w:rsidRDefault="000060C8" w:rsidP="000060C8">
            <w:pPr>
              <w:spacing w:after="0" w:line="240" w:lineRule="auto"/>
              <w:jc w:val="center"/>
              <w:rPr>
                <w:rFonts w:ascii="Inter" w:eastAsia="Times New Roman" w:hAnsi="Inter"/>
                <w:color w:val="000000"/>
                <w:lang w:eastAsia="en-AU"/>
              </w:rPr>
            </w:pPr>
            <w:r w:rsidRPr="000060C8">
              <w:rPr>
                <w:rFonts w:ascii="Inter" w:eastAsia="Times New Roman" w:hAnsi="Inter"/>
                <w:color w:val="000000"/>
                <w:lang w:eastAsia="en-AU"/>
              </w:rPr>
              <w:t>9.146</w:t>
            </w:r>
          </w:p>
        </w:tc>
        <w:tc>
          <w:tcPr>
            <w:tcW w:w="2553" w:type="dxa"/>
            <w:tcBorders>
              <w:top w:val="single" w:sz="8" w:space="0" w:color="auto"/>
              <w:left w:val="nil"/>
              <w:bottom w:val="single" w:sz="8" w:space="0" w:color="auto"/>
              <w:right w:val="single" w:sz="8" w:space="0" w:color="000000"/>
            </w:tcBorders>
            <w:vAlign w:val="center"/>
          </w:tcPr>
          <w:p w14:paraId="6BBE309D" w14:textId="55E0FB15" w:rsidR="000060C8" w:rsidRPr="005D29FE" w:rsidRDefault="000060C8" w:rsidP="00743808">
            <w:pPr>
              <w:spacing w:after="0" w:line="240" w:lineRule="auto"/>
              <w:rPr>
                <w:rFonts w:ascii="Inter" w:eastAsia="Times New Roman" w:hAnsi="Inter"/>
                <w:color w:val="000000"/>
                <w:lang w:eastAsia="en-AU"/>
              </w:rPr>
            </w:pPr>
            <w:r w:rsidRPr="000060C8">
              <w:rPr>
                <w:rFonts w:ascii="Inter" w:eastAsia="Times New Roman" w:hAnsi="Inter"/>
                <w:color w:val="000000"/>
                <w:lang w:eastAsia="en-AU"/>
              </w:rPr>
              <w:t>Active BTR withholding</w:t>
            </w:r>
          </w:p>
        </w:tc>
      </w:tr>
    </w:tbl>
    <w:p w14:paraId="56F44804" w14:textId="77777777" w:rsidR="00F96FF9" w:rsidRDefault="00F96FF9" w:rsidP="00115458"/>
    <w:p w14:paraId="76C97ACA" w14:textId="77777777" w:rsidR="001F23F6" w:rsidRDefault="001F23F6" w:rsidP="00115458"/>
    <w:p w14:paraId="081E7C6F" w14:textId="77777777" w:rsidR="00F96FF9" w:rsidRDefault="00F96FF9" w:rsidP="00115458">
      <w:pPr>
        <w:sectPr w:rsidR="00F96FF9" w:rsidSect="00340977">
          <w:pgSz w:w="16838" w:h="11906" w:orient="landscape" w:code="9"/>
          <w:pgMar w:top="1304" w:right="1418" w:bottom="1304" w:left="1701" w:header="425" w:footer="0" w:gutter="0"/>
          <w:cols w:space="708"/>
          <w:formProt w:val="0"/>
          <w:titlePg/>
          <w:docGrid w:linePitch="360"/>
        </w:sectPr>
      </w:pPr>
    </w:p>
    <w:p w14:paraId="1EB7E509" w14:textId="77777777" w:rsidR="00115458" w:rsidRDefault="00115458" w:rsidP="00115458">
      <w:pPr>
        <w:pStyle w:val="Heading2"/>
      </w:pPr>
      <w:bookmarkStart w:id="2022" w:name="_Appendix_D–_ATO"/>
      <w:bookmarkStart w:id="2023" w:name="_Toc5193050"/>
      <w:bookmarkStart w:id="2024" w:name="_Hlk77677862"/>
      <w:bookmarkStart w:id="2025" w:name="_Toc232191396"/>
      <w:bookmarkEnd w:id="2022"/>
      <w:r w:rsidRPr="00B35C0A">
        <w:t xml:space="preserve">Appendix </w:t>
      </w:r>
      <w:r>
        <w:t>D–</w:t>
      </w:r>
      <w:r w:rsidRPr="00B35C0A">
        <w:t xml:space="preserve"> </w:t>
      </w:r>
      <w:r>
        <w:t>ATO lodgment validations – corrective action</w:t>
      </w:r>
      <w:bookmarkEnd w:id="2023"/>
      <w:bookmarkEnd w:id="2025"/>
    </w:p>
    <w:bookmarkEnd w:id="2024"/>
    <w:p w14:paraId="0FDA44B8" w14:textId="54A4BFFE" w:rsidR="00115458" w:rsidRPr="00944B5E" w:rsidRDefault="00115458" w:rsidP="00F4606C">
      <w:pPr>
        <w:spacing w:after="0" w:line="240" w:lineRule="auto"/>
        <w:rPr>
          <w:b/>
          <w:color w:val="000000"/>
        </w:rPr>
      </w:pPr>
      <w:r w:rsidRPr="00944B5E">
        <w:rPr>
          <w:b/>
        </w:rPr>
        <w:t>This information is based on the current 202</w:t>
      </w:r>
      <w:r w:rsidR="00830281">
        <w:rPr>
          <w:b/>
        </w:rPr>
        <w:t>6</w:t>
      </w:r>
      <w:r w:rsidRPr="00944B5E">
        <w:rPr>
          <w:b/>
        </w:rPr>
        <w:t xml:space="preserve"> validations. </w:t>
      </w:r>
      <w:r w:rsidRPr="00944B5E">
        <w:rPr>
          <w:b/>
          <w:color w:val="000000"/>
        </w:rPr>
        <w:t>Applies to file transfer lodgments only.</w:t>
      </w:r>
    </w:p>
    <w:p w14:paraId="438AEE08" w14:textId="77777777" w:rsidR="00115458" w:rsidRPr="00F4606C" w:rsidRDefault="00115458" w:rsidP="00F4606C">
      <w:pPr>
        <w:spacing w:after="0" w:line="240" w:lineRule="auto"/>
        <w:rPr>
          <w:rFonts w:cs="Arial"/>
          <w:color w:val="000000"/>
        </w:rPr>
      </w:pPr>
    </w:p>
    <w:p w14:paraId="43DA82AC" w14:textId="77777777" w:rsidR="00115458" w:rsidRPr="00944B5E" w:rsidRDefault="00115458" w:rsidP="00F4606C">
      <w:pPr>
        <w:spacing w:after="0" w:line="240" w:lineRule="auto"/>
        <w:rPr>
          <w:rFonts w:cs="Arial"/>
          <w:color w:val="000000"/>
        </w:rPr>
      </w:pPr>
      <w:r w:rsidRPr="00944B5E">
        <w:rPr>
          <w:rFonts w:cs="Arial"/>
          <w:b/>
        </w:rPr>
        <w:t>Critical Errors</w:t>
      </w:r>
      <w:r w:rsidRPr="00944B5E">
        <w:rPr>
          <w:rFonts w:cs="Arial"/>
        </w:rPr>
        <w:t xml:space="preserve"> -</w:t>
      </w:r>
      <w:r w:rsidRPr="00944B5E">
        <w:rPr>
          <w:rFonts w:cs="Arial"/>
          <w:color w:val="000000"/>
        </w:rPr>
        <w:t xml:space="preserve"> Reports cannot be lodged with critical errors therefore corrective action needs to be taken before the file will be accepted by us.</w:t>
      </w:r>
    </w:p>
    <w:p w14:paraId="30D3CB30" w14:textId="77777777" w:rsidR="00115458" w:rsidRPr="00F4606C" w:rsidRDefault="00115458" w:rsidP="00F4606C">
      <w:pPr>
        <w:spacing w:after="0" w:line="240" w:lineRule="auto"/>
        <w:rPr>
          <w:rFonts w:cs="Arial"/>
          <w:color w:val="000000"/>
        </w:rPr>
      </w:pPr>
    </w:p>
    <w:p w14:paraId="4826CDF3" w14:textId="77777777" w:rsidR="00115458" w:rsidRPr="00944B5E" w:rsidRDefault="00115458" w:rsidP="00F4606C">
      <w:pPr>
        <w:spacing w:after="0" w:line="240" w:lineRule="auto"/>
        <w:rPr>
          <w:rFonts w:cs="Arial"/>
          <w:color w:val="000000"/>
        </w:rPr>
      </w:pPr>
      <w:r w:rsidRPr="00944B5E">
        <w:rPr>
          <w:rFonts w:cs="Arial"/>
          <w:color w:val="000000"/>
        </w:rPr>
        <w:t>GE, FS and VR codes are critical errors.</w:t>
      </w:r>
    </w:p>
    <w:p w14:paraId="13B7B122" w14:textId="77777777" w:rsidR="00115458" w:rsidRPr="00F4606C" w:rsidRDefault="00115458" w:rsidP="00F4606C">
      <w:pPr>
        <w:spacing w:after="0" w:line="240" w:lineRule="auto"/>
        <w:rPr>
          <w:rFonts w:cs="Arial"/>
          <w:color w:val="000000"/>
        </w:rPr>
      </w:pPr>
    </w:p>
    <w:tbl>
      <w:tblPr>
        <w:tblW w:w="5000" w:type="pct"/>
        <w:tblLayout w:type="fixed"/>
        <w:tblLook w:val="04A0" w:firstRow="1" w:lastRow="0" w:firstColumn="1" w:lastColumn="0" w:noHBand="0" w:noVBand="1"/>
      </w:tblPr>
      <w:tblGrid>
        <w:gridCol w:w="1148"/>
        <w:gridCol w:w="2658"/>
        <w:gridCol w:w="6106"/>
      </w:tblGrid>
      <w:tr w:rsidR="00115458" w:rsidRPr="00944B5E" w14:paraId="04A62B28" w14:textId="77777777" w:rsidTr="000C1365">
        <w:trPr>
          <w:trHeight w:val="300"/>
          <w:tblHeader/>
        </w:trPr>
        <w:tc>
          <w:tcPr>
            <w:tcW w:w="579"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09130E44" w14:textId="77777777" w:rsidR="00115458" w:rsidRPr="00944B5E" w:rsidRDefault="00115458" w:rsidP="00F4606C">
            <w:pPr>
              <w:spacing w:after="0" w:line="240" w:lineRule="auto"/>
              <w:ind w:right="-80"/>
              <w:rPr>
                <w:rFonts w:cs="Arial"/>
                <w:b/>
                <w:bCs/>
              </w:rPr>
            </w:pPr>
            <w:r w:rsidRPr="00944B5E">
              <w:rPr>
                <w:rFonts w:cs="Arial"/>
                <w:b/>
                <w:bCs/>
              </w:rPr>
              <w:t>Code</w:t>
            </w:r>
          </w:p>
        </w:tc>
        <w:tc>
          <w:tcPr>
            <w:tcW w:w="1341" w:type="pct"/>
            <w:tcBorders>
              <w:top w:val="single" w:sz="4" w:space="0" w:color="auto"/>
              <w:left w:val="single" w:sz="4" w:space="0" w:color="auto"/>
              <w:bottom w:val="single" w:sz="4" w:space="0" w:color="auto"/>
              <w:right w:val="single" w:sz="4" w:space="0" w:color="auto"/>
            </w:tcBorders>
            <w:shd w:val="clear" w:color="000000" w:fill="C0C0C0"/>
          </w:tcPr>
          <w:p w14:paraId="3B1700EC" w14:textId="5EA5E23B" w:rsidR="00115458" w:rsidRPr="00944B5E" w:rsidRDefault="00115458" w:rsidP="00F4606C">
            <w:pPr>
              <w:spacing w:after="0" w:line="240" w:lineRule="auto"/>
              <w:ind w:right="-80"/>
              <w:rPr>
                <w:rFonts w:cs="Arial"/>
                <w:b/>
                <w:bCs/>
                <w:color w:val="000000"/>
              </w:rPr>
            </w:pPr>
            <w:r w:rsidRPr="00944B5E">
              <w:rPr>
                <w:rFonts w:cs="Arial"/>
                <w:b/>
                <w:bCs/>
                <w:color w:val="000000"/>
              </w:rPr>
              <w:t xml:space="preserve">AIIR ERS field references </w:t>
            </w:r>
            <w:r w:rsidR="000D1921">
              <w:rPr>
                <w:rFonts w:cs="Arial"/>
                <w:b/>
                <w:bCs/>
                <w:color w:val="000000"/>
              </w:rPr>
              <w:t>v14</w:t>
            </w:r>
          </w:p>
        </w:tc>
        <w:tc>
          <w:tcPr>
            <w:tcW w:w="3080"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7C8B3CBD" w14:textId="77777777" w:rsidR="00115458" w:rsidRPr="00944B5E" w:rsidRDefault="00115458" w:rsidP="00F4606C">
            <w:pPr>
              <w:spacing w:after="0" w:line="240" w:lineRule="auto"/>
              <w:ind w:right="-80"/>
              <w:rPr>
                <w:rFonts w:cs="Arial"/>
                <w:b/>
                <w:bCs/>
                <w:color w:val="000000"/>
              </w:rPr>
            </w:pPr>
            <w:r w:rsidRPr="00944B5E">
              <w:rPr>
                <w:rFonts w:cs="Arial"/>
                <w:b/>
                <w:bCs/>
                <w:color w:val="000000"/>
              </w:rPr>
              <w:t>Action Required</w:t>
            </w:r>
          </w:p>
        </w:tc>
      </w:tr>
      <w:tr w:rsidR="00115458" w:rsidRPr="00944B5E" w14:paraId="06DA7496" w14:textId="77777777" w:rsidTr="00427C84">
        <w:trPr>
          <w:trHeight w:val="30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5D240D2" w14:textId="77777777" w:rsidR="00115458" w:rsidRPr="00944B5E" w:rsidRDefault="00115458" w:rsidP="00F4606C">
            <w:pPr>
              <w:spacing w:after="0" w:line="240" w:lineRule="auto"/>
              <w:ind w:right="-80"/>
              <w:rPr>
                <w:rFonts w:cs="Arial"/>
                <w:color w:val="000000"/>
              </w:rPr>
            </w:pPr>
          </w:p>
          <w:p w14:paraId="1E0DA756" w14:textId="77777777" w:rsidR="00115458" w:rsidRPr="00944B5E" w:rsidRDefault="00115458" w:rsidP="00F4606C">
            <w:pPr>
              <w:spacing w:after="0" w:line="240" w:lineRule="auto"/>
              <w:ind w:right="-80"/>
              <w:rPr>
                <w:rFonts w:cs="Arial"/>
                <w:b/>
                <w:color w:val="000000"/>
              </w:rPr>
            </w:pPr>
            <w:r w:rsidRPr="00944B5E">
              <w:rPr>
                <w:rFonts w:cs="Arial"/>
                <w:b/>
                <w:color w:val="000000"/>
              </w:rPr>
              <w:t>Generic Errors</w:t>
            </w:r>
          </w:p>
          <w:p w14:paraId="0CD94937" w14:textId="77777777" w:rsidR="00115458" w:rsidRPr="00944B5E" w:rsidRDefault="00115458" w:rsidP="00F4606C">
            <w:pPr>
              <w:spacing w:after="0" w:line="240" w:lineRule="auto"/>
              <w:ind w:right="-80"/>
              <w:rPr>
                <w:rFonts w:cs="Arial"/>
                <w:color w:val="000000"/>
              </w:rPr>
            </w:pPr>
          </w:p>
        </w:tc>
      </w:tr>
      <w:tr w:rsidR="00115458" w:rsidRPr="00944B5E" w14:paraId="79C30EF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05B75B6A" w14:textId="77777777" w:rsidR="00115458" w:rsidRPr="00944B5E" w:rsidRDefault="00115458" w:rsidP="00F4606C">
            <w:pPr>
              <w:spacing w:after="0" w:line="240" w:lineRule="auto"/>
              <w:ind w:right="-80"/>
              <w:rPr>
                <w:rFonts w:cs="Arial"/>
              </w:rPr>
            </w:pPr>
            <w:r w:rsidRPr="00944B5E">
              <w:rPr>
                <w:rFonts w:cs="Arial"/>
              </w:rPr>
              <w:t>GE1</w:t>
            </w:r>
          </w:p>
        </w:tc>
        <w:tc>
          <w:tcPr>
            <w:tcW w:w="1341" w:type="pct"/>
            <w:tcBorders>
              <w:top w:val="single" w:sz="4" w:space="0" w:color="auto"/>
              <w:left w:val="single" w:sz="4" w:space="0" w:color="auto"/>
              <w:bottom w:val="single" w:sz="4" w:space="0" w:color="auto"/>
              <w:right w:val="single" w:sz="4" w:space="0" w:color="auto"/>
            </w:tcBorders>
            <w:vAlign w:val="center"/>
          </w:tcPr>
          <w:p w14:paraId="663A9878"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70F81ED0" w14:textId="77777777" w:rsidR="00115458" w:rsidRPr="00944B5E" w:rsidRDefault="00115458" w:rsidP="00F4606C">
            <w:pPr>
              <w:spacing w:after="0" w:line="240" w:lineRule="auto"/>
              <w:ind w:right="-80"/>
              <w:rPr>
                <w:rFonts w:cs="Arial"/>
              </w:rPr>
            </w:pPr>
            <w:r w:rsidRPr="00944B5E">
              <w:rPr>
                <w:rFonts w:cs="Arial"/>
              </w:rPr>
              <w:t>Remove non-ASCII characters.</w:t>
            </w:r>
          </w:p>
        </w:tc>
      </w:tr>
      <w:tr w:rsidR="00115458" w:rsidRPr="00944B5E" w14:paraId="7EDB955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4B2302CF" w14:textId="77777777" w:rsidR="00115458" w:rsidRPr="00944B5E" w:rsidRDefault="00115458" w:rsidP="00F4606C">
            <w:pPr>
              <w:spacing w:after="0" w:line="240" w:lineRule="auto"/>
              <w:ind w:right="-80"/>
              <w:rPr>
                <w:rFonts w:cs="Arial"/>
              </w:rPr>
            </w:pPr>
            <w:r w:rsidRPr="00944B5E">
              <w:rPr>
                <w:rFonts w:cs="Arial"/>
              </w:rPr>
              <w:t>GE2</w:t>
            </w:r>
          </w:p>
        </w:tc>
        <w:tc>
          <w:tcPr>
            <w:tcW w:w="1341" w:type="pct"/>
            <w:tcBorders>
              <w:top w:val="single" w:sz="4" w:space="0" w:color="auto"/>
              <w:left w:val="single" w:sz="4" w:space="0" w:color="auto"/>
              <w:bottom w:val="single" w:sz="4" w:space="0" w:color="auto"/>
              <w:right w:val="single" w:sz="4" w:space="0" w:color="auto"/>
            </w:tcBorders>
            <w:vAlign w:val="center"/>
          </w:tcPr>
          <w:p w14:paraId="192FA5A1"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53F1D094" w14:textId="77777777" w:rsidR="00115458" w:rsidRPr="00944B5E" w:rsidRDefault="00115458" w:rsidP="00F4606C">
            <w:pPr>
              <w:spacing w:after="0" w:line="240" w:lineRule="auto"/>
              <w:ind w:right="-80"/>
              <w:rPr>
                <w:rFonts w:cs="Arial"/>
              </w:rPr>
            </w:pPr>
            <w:r w:rsidRPr="00944B5E">
              <w:rPr>
                <w:rFonts w:cs="Arial"/>
              </w:rPr>
              <w:t>The compressed file is corrupt and cannot be processed.</w:t>
            </w:r>
          </w:p>
        </w:tc>
      </w:tr>
      <w:tr w:rsidR="00115458" w:rsidRPr="00944B5E" w14:paraId="0DA1342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48FDAADC" w14:textId="77777777" w:rsidR="00115458" w:rsidRPr="00944B5E" w:rsidRDefault="00115458" w:rsidP="00F4606C">
            <w:pPr>
              <w:spacing w:after="0" w:line="240" w:lineRule="auto"/>
              <w:ind w:right="-80"/>
              <w:rPr>
                <w:rFonts w:cs="Arial"/>
                <w:color w:val="000000"/>
              </w:rPr>
            </w:pPr>
            <w:r w:rsidRPr="00944B5E">
              <w:rPr>
                <w:rFonts w:cs="Arial"/>
                <w:color w:val="000000"/>
              </w:rPr>
              <w:t>GE3</w:t>
            </w:r>
          </w:p>
        </w:tc>
        <w:tc>
          <w:tcPr>
            <w:tcW w:w="1341" w:type="pct"/>
            <w:tcBorders>
              <w:top w:val="single" w:sz="4" w:space="0" w:color="auto"/>
              <w:left w:val="single" w:sz="4" w:space="0" w:color="auto"/>
              <w:bottom w:val="single" w:sz="4" w:space="0" w:color="auto"/>
              <w:right w:val="single" w:sz="4" w:space="0" w:color="auto"/>
            </w:tcBorders>
            <w:vAlign w:val="center"/>
          </w:tcPr>
          <w:p w14:paraId="46909BDA"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34B7E38C" w14:textId="77777777" w:rsidR="00115458" w:rsidRPr="00944B5E" w:rsidRDefault="00115458" w:rsidP="00F4606C">
            <w:pPr>
              <w:spacing w:after="0" w:line="240" w:lineRule="auto"/>
              <w:ind w:right="-80"/>
              <w:rPr>
                <w:rFonts w:cs="Arial"/>
              </w:rPr>
            </w:pPr>
            <w:r w:rsidRPr="00944B5E">
              <w:rPr>
                <w:rFonts w:cs="Arial"/>
              </w:rPr>
              <w:t>The file cannot be processed, a virus has been detected.</w:t>
            </w:r>
          </w:p>
        </w:tc>
      </w:tr>
      <w:tr w:rsidR="00115458" w:rsidRPr="00944B5E" w14:paraId="1D12D6D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7C5B4C4E" w14:textId="77777777" w:rsidR="00115458" w:rsidRPr="00944B5E" w:rsidRDefault="00115458" w:rsidP="00F4606C">
            <w:pPr>
              <w:spacing w:after="0" w:line="240" w:lineRule="auto"/>
              <w:ind w:right="-80"/>
              <w:rPr>
                <w:rFonts w:cs="Arial"/>
                <w:color w:val="000000"/>
              </w:rPr>
            </w:pPr>
            <w:r w:rsidRPr="00944B5E">
              <w:rPr>
                <w:rFonts w:cs="Arial"/>
                <w:color w:val="000000"/>
              </w:rPr>
              <w:t>GE4</w:t>
            </w:r>
          </w:p>
        </w:tc>
        <w:tc>
          <w:tcPr>
            <w:tcW w:w="1341" w:type="pct"/>
            <w:tcBorders>
              <w:top w:val="single" w:sz="4" w:space="0" w:color="auto"/>
              <w:left w:val="single" w:sz="4" w:space="0" w:color="auto"/>
              <w:bottom w:val="single" w:sz="4" w:space="0" w:color="auto"/>
              <w:right w:val="single" w:sz="4" w:space="0" w:color="auto"/>
            </w:tcBorders>
            <w:vAlign w:val="center"/>
          </w:tcPr>
          <w:p w14:paraId="558B41BF"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5A662E80" w14:textId="77777777" w:rsidR="00115458" w:rsidRPr="00944B5E" w:rsidRDefault="00115458" w:rsidP="00F4606C">
            <w:pPr>
              <w:spacing w:after="0" w:line="240" w:lineRule="auto"/>
              <w:ind w:right="-80"/>
              <w:rPr>
                <w:rFonts w:cs="Arial"/>
              </w:rPr>
            </w:pPr>
            <w:r w:rsidRPr="00944B5E">
              <w:rPr>
                <w:rFonts w:cs="Arial"/>
              </w:rPr>
              <w:t>The file supplied is empty – it contains zero bytes.</w:t>
            </w:r>
          </w:p>
        </w:tc>
      </w:tr>
      <w:tr w:rsidR="00115458" w:rsidRPr="00944B5E" w14:paraId="7D09CE6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76C8D6FC" w14:textId="77777777" w:rsidR="00115458" w:rsidRPr="00944B5E" w:rsidRDefault="00115458" w:rsidP="00F4606C">
            <w:pPr>
              <w:spacing w:after="0" w:line="240" w:lineRule="auto"/>
              <w:ind w:right="-80"/>
              <w:rPr>
                <w:rFonts w:cs="Arial"/>
                <w:color w:val="000000"/>
              </w:rPr>
            </w:pPr>
            <w:r w:rsidRPr="00944B5E">
              <w:rPr>
                <w:rFonts w:cs="Arial"/>
                <w:color w:val="000000"/>
              </w:rPr>
              <w:t>GE6</w:t>
            </w:r>
          </w:p>
        </w:tc>
        <w:tc>
          <w:tcPr>
            <w:tcW w:w="1341" w:type="pct"/>
            <w:tcBorders>
              <w:top w:val="single" w:sz="4" w:space="0" w:color="auto"/>
              <w:left w:val="single" w:sz="4" w:space="0" w:color="auto"/>
              <w:bottom w:val="single" w:sz="4" w:space="0" w:color="auto"/>
              <w:right w:val="single" w:sz="4" w:space="0" w:color="auto"/>
            </w:tcBorders>
            <w:vAlign w:val="center"/>
          </w:tcPr>
          <w:p w14:paraId="11EC7C6F"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386E5D9B" w14:textId="15D586D7" w:rsidR="00115458" w:rsidRPr="00944B5E" w:rsidRDefault="00756C68" w:rsidP="00F4606C">
            <w:pPr>
              <w:spacing w:after="0" w:line="240" w:lineRule="auto"/>
              <w:ind w:right="-80"/>
              <w:rPr>
                <w:rFonts w:cs="Arial"/>
              </w:rPr>
            </w:pPr>
            <w:r>
              <w:rPr>
                <w:rFonts w:cs="Arial"/>
              </w:rPr>
              <w:t>Check if user is authorised for file type – only authorised file types will be accepted.</w:t>
            </w:r>
          </w:p>
        </w:tc>
      </w:tr>
      <w:tr w:rsidR="00115458" w:rsidRPr="00944B5E" w14:paraId="499FB2C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7C3F85F3" w14:textId="77777777" w:rsidR="00115458" w:rsidRPr="00944B5E" w:rsidRDefault="00115458" w:rsidP="00F4606C">
            <w:pPr>
              <w:spacing w:after="0" w:line="240" w:lineRule="auto"/>
              <w:ind w:right="-80"/>
              <w:rPr>
                <w:rFonts w:cs="Arial"/>
              </w:rPr>
            </w:pPr>
            <w:r w:rsidRPr="00944B5E">
              <w:rPr>
                <w:rFonts w:cs="Arial"/>
              </w:rPr>
              <w:t>GE7</w:t>
            </w:r>
          </w:p>
        </w:tc>
        <w:tc>
          <w:tcPr>
            <w:tcW w:w="1341" w:type="pct"/>
            <w:tcBorders>
              <w:top w:val="single" w:sz="4" w:space="0" w:color="auto"/>
              <w:left w:val="single" w:sz="4" w:space="0" w:color="auto"/>
              <w:bottom w:val="single" w:sz="4" w:space="0" w:color="auto"/>
              <w:right w:val="single" w:sz="4" w:space="0" w:color="auto"/>
            </w:tcBorders>
            <w:vAlign w:val="center"/>
          </w:tcPr>
          <w:p w14:paraId="2C02C153"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00BF6559" w14:textId="02E711B6" w:rsidR="00115458" w:rsidRPr="00944B5E" w:rsidRDefault="00115458" w:rsidP="00F4606C">
            <w:pPr>
              <w:spacing w:after="0" w:line="240" w:lineRule="auto"/>
              <w:ind w:right="-80"/>
              <w:rPr>
                <w:rFonts w:cs="Arial"/>
              </w:rPr>
            </w:pPr>
            <w:r w:rsidRPr="00944B5E">
              <w:rPr>
                <w:rFonts w:cs="Arial"/>
              </w:rPr>
              <w:t>The version of this file type cannot be sent by this channel. More information can be found at: www.ato.gov.au/filetransfer or contact your software developer.</w:t>
            </w:r>
          </w:p>
        </w:tc>
      </w:tr>
      <w:tr w:rsidR="00115458" w:rsidRPr="00944B5E" w14:paraId="4C205F7B"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0E9AD6B7" w14:textId="77777777" w:rsidR="00115458" w:rsidRPr="00944B5E" w:rsidRDefault="00115458" w:rsidP="00F4606C">
            <w:pPr>
              <w:spacing w:after="0" w:line="240" w:lineRule="auto"/>
              <w:ind w:right="-80"/>
              <w:rPr>
                <w:rFonts w:cs="Arial"/>
              </w:rPr>
            </w:pPr>
            <w:r w:rsidRPr="00944B5E">
              <w:rPr>
                <w:rFonts w:cs="Arial"/>
              </w:rPr>
              <w:t>GE8</w:t>
            </w:r>
          </w:p>
        </w:tc>
        <w:tc>
          <w:tcPr>
            <w:tcW w:w="1341" w:type="pct"/>
            <w:tcBorders>
              <w:top w:val="single" w:sz="4" w:space="0" w:color="auto"/>
              <w:left w:val="single" w:sz="4" w:space="0" w:color="auto"/>
              <w:bottom w:val="single" w:sz="4" w:space="0" w:color="auto"/>
              <w:right w:val="single" w:sz="4" w:space="0" w:color="auto"/>
            </w:tcBorders>
            <w:vAlign w:val="center"/>
          </w:tcPr>
          <w:p w14:paraId="652BD590"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5DACE029" w14:textId="77777777" w:rsidR="00115458" w:rsidRPr="00944B5E" w:rsidRDefault="00115458" w:rsidP="00F4606C">
            <w:pPr>
              <w:spacing w:after="0" w:line="240" w:lineRule="auto"/>
              <w:ind w:right="-80"/>
              <w:rPr>
                <w:rFonts w:cs="Arial"/>
              </w:rPr>
            </w:pPr>
            <w:r w:rsidRPr="00944B5E">
              <w:rPr>
                <w:rFonts w:cs="Arial"/>
              </w:rPr>
              <w:t>Please contact your software developer. The file size is not a correct multiple of the record length.</w:t>
            </w:r>
          </w:p>
        </w:tc>
      </w:tr>
      <w:tr w:rsidR="00115458" w:rsidRPr="00944B5E" w14:paraId="64A7B3DF"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10FBE2AE" w14:textId="77777777" w:rsidR="00115458" w:rsidRPr="00944B5E" w:rsidRDefault="00115458" w:rsidP="00F4606C">
            <w:pPr>
              <w:spacing w:after="0" w:line="240" w:lineRule="auto"/>
              <w:ind w:right="-80"/>
              <w:rPr>
                <w:rFonts w:cs="Arial"/>
              </w:rPr>
            </w:pPr>
            <w:r w:rsidRPr="00944B5E">
              <w:rPr>
                <w:rFonts w:cs="Arial"/>
              </w:rPr>
              <w:t>GE9</w:t>
            </w:r>
          </w:p>
        </w:tc>
        <w:tc>
          <w:tcPr>
            <w:tcW w:w="1341" w:type="pct"/>
            <w:tcBorders>
              <w:top w:val="single" w:sz="4" w:space="0" w:color="auto"/>
              <w:left w:val="single" w:sz="4" w:space="0" w:color="auto"/>
              <w:bottom w:val="single" w:sz="4" w:space="0" w:color="auto"/>
              <w:right w:val="single" w:sz="4" w:space="0" w:color="auto"/>
            </w:tcBorders>
            <w:vAlign w:val="center"/>
          </w:tcPr>
          <w:p w14:paraId="2A33DD64"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22C1174D" w14:textId="77777777" w:rsidR="00115458" w:rsidRPr="00944B5E" w:rsidRDefault="00115458" w:rsidP="00F4606C">
            <w:pPr>
              <w:spacing w:after="0" w:line="240" w:lineRule="auto"/>
              <w:ind w:right="-80"/>
              <w:rPr>
                <w:rFonts w:cs="Arial"/>
              </w:rPr>
            </w:pPr>
            <w:r w:rsidRPr="00944B5E">
              <w:rPr>
                <w:rFonts w:cs="Arial"/>
                <w:color w:val="000000"/>
              </w:rPr>
              <w:t>The file is an invalid format. To lodge a file electronically you must first create a file that is generated from your software in a format and version supported by our systems. Scanned images or forms, screen prints, spreadsheets and word processing files (for example .pdf, .doc, .xls, .jpg, .tiff) cannot be lodged via the file transfer function on our portals. More information can be found at: www.ato.gov.au/filetransfer or contact your software developer.</w:t>
            </w:r>
          </w:p>
        </w:tc>
      </w:tr>
      <w:tr w:rsidR="00115458" w:rsidRPr="00944B5E" w14:paraId="4551F2A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10AC561E" w14:textId="77777777" w:rsidR="00115458" w:rsidRPr="00944B5E" w:rsidRDefault="00115458" w:rsidP="00F4606C">
            <w:pPr>
              <w:spacing w:after="0" w:line="240" w:lineRule="auto"/>
              <w:ind w:right="-80"/>
              <w:rPr>
                <w:rFonts w:cs="Arial"/>
              </w:rPr>
            </w:pPr>
            <w:r w:rsidRPr="00944B5E">
              <w:rPr>
                <w:rFonts w:cs="Arial"/>
              </w:rPr>
              <w:t>GE10</w:t>
            </w:r>
          </w:p>
        </w:tc>
        <w:tc>
          <w:tcPr>
            <w:tcW w:w="1341" w:type="pct"/>
            <w:tcBorders>
              <w:top w:val="single" w:sz="4" w:space="0" w:color="auto"/>
              <w:left w:val="single" w:sz="4" w:space="0" w:color="auto"/>
              <w:bottom w:val="single" w:sz="4" w:space="0" w:color="auto"/>
              <w:right w:val="single" w:sz="4" w:space="0" w:color="auto"/>
            </w:tcBorders>
            <w:vAlign w:val="center"/>
          </w:tcPr>
          <w:p w14:paraId="3E708A26"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7E70B80E" w14:textId="77777777" w:rsidR="00115458" w:rsidRPr="00944B5E" w:rsidRDefault="00115458" w:rsidP="00F4606C">
            <w:pPr>
              <w:spacing w:after="0" w:line="240" w:lineRule="auto"/>
              <w:ind w:right="-80"/>
              <w:rPr>
                <w:rFonts w:cs="Arial"/>
              </w:rPr>
            </w:pPr>
            <w:r w:rsidRPr="00944B5E">
              <w:rPr>
                <w:rFonts w:cs="Arial"/>
                <w:color w:val="000000"/>
              </w:rPr>
              <w:t>The file cannot be processed as it contains a compressed file within a compressed file.</w:t>
            </w:r>
          </w:p>
        </w:tc>
      </w:tr>
      <w:tr w:rsidR="00115458" w:rsidRPr="00944B5E" w14:paraId="692A870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73D6334D" w14:textId="77777777" w:rsidR="00115458" w:rsidRPr="00944B5E" w:rsidRDefault="00115458" w:rsidP="00F4606C">
            <w:pPr>
              <w:spacing w:after="0" w:line="240" w:lineRule="auto"/>
              <w:ind w:right="-80"/>
              <w:rPr>
                <w:rFonts w:cs="Arial"/>
              </w:rPr>
            </w:pPr>
            <w:r w:rsidRPr="00944B5E">
              <w:rPr>
                <w:rFonts w:cs="Arial"/>
              </w:rPr>
              <w:t>GE11</w:t>
            </w:r>
          </w:p>
        </w:tc>
        <w:tc>
          <w:tcPr>
            <w:tcW w:w="1341" w:type="pct"/>
            <w:tcBorders>
              <w:top w:val="single" w:sz="4" w:space="0" w:color="auto"/>
              <w:left w:val="single" w:sz="4" w:space="0" w:color="auto"/>
              <w:bottom w:val="single" w:sz="4" w:space="0" w:color="auto"/>
              <w:right w:val="single" w:sz="4" w:space="0" w:color="auto"/>
            </w:tcBorders>
            <w:vAlign w:val="center"/>
          </w:tcPr>
          <w:p w14:paraId="7B7AF3E0"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36EACF96" w14:textId="77777777" w:rsidR="00115458" w:rsidRPr="00944B5E" w:rsidRDefault="00115458" w:rsidP="00F4606C">
            <w:pPr>
              <w:spacing w:after="0" w:line="240" w:lineRule="auto"/>
              <w:ind w:right="-80"/>
              <w:rPr>
                <w:rFonts w:cs="Arial"/>
              </w:rPr>
            </w:pPr>
            <w:r w:rsidRPr="00944B5E">
              <w:rPr>
                <w:rFonts w:cs="Arial"/>
              </w:rPr>
              <w:t>Complete the declaration.</w:t>
            </w:r>
          </w:p>
        </w:tc>
      </w:tr>
      <w:tr w:rsidR="00115458" w:rsidRPr="00944B5E" w14:paraId="0B1CA09F"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1F8B1A12" w14:textId="77777777" w:rsidR="00115458" w:rsidRPr="00944B5E" w:rsidRDefault="00115458" w:rsidP="00F4606C">
            <w:pPr>
              <w:spacing w:after="0" w:line="240" w:lineRule="auto"/>
              <w:ind w:right="-80"/>
              <w:rPr>
                <w:rFonts w:cs="Arial"/>
              </w:rPr>
            </w:pPr>
            <w:r w:rsidRPr="00944B5E">
              <w:rPr>
                <w:rFonts w:cs="Arial"/>
              </w:rPr>
              <w:t>GE12</w:t>
            </w:r>
          </w:p>
        </w:tc>
        <w:tc>
          <w:tcPr>
            <w:tcW w:w="1341" w:type="pct"/>
            <w:tcBorders>
              <w:top w:val="single" w:sz="4" w:space="0" w:color="auto"/>
              <w:left w:val="single" w:sz="4" w:space="0" w:color="auto"/>
              <w:bottom w:val="single" w:sz="4" w:space="0" w:color="auto"/>
              <w:right w:val="single" w:sz="4" w:space="0" w:color="auto"/>
            </w:tcBorders>
            <w:vAlign w:val="center"/>
          </w:tcPr>
          <w:p w14:paraId="3673E80D"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179A0774" w14:textId="77777777" w:rsidR="00115458" w:rsidRPr="00944B5E" w:rsidRDefault="00115458" w:rsidP="00F4606C">
            <w:pPr>
              <w:spacing w:after="0" w:line="240" w:lineRule="auto"/>
              <w:ind w:right="-80"/>
              <w:rPr>
                <w:rFonts w:cs="Arial"/>
              </w:rPr>
            </w:pPr>
            <w:r w:rsidRPr="00944B5E">
              <w:rPr>
                <w:rFonts w:cs="Arial"/>
              </w:rPr>
              <w:t>Select T to test or P to lodge</w:t>
            </w:r>
          </w:p>
        </w:tc>
      </w:tr>
      <w:tr w:rsidR="00115458" w:rsidRPr="00944B5E" w14:paraId="6A1301B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644A9F12" w14:textId="77777777" w:rsidR="00115458" w:rsidRPr="00944B5E" w:rsidRDefault="00115458" w:rsidP="00F4606C">
            <w:pPr>
              <w:spacing w:after="0" w:line="240" w:lineRule="auto"/>
              <w:ind w:right="-80"/>
              <w:rPr>
                <w:rFonts w:cs="Arial"/>
              </w:rPr>
            </w:pPr>
            <w:r w:rsidRPr="00944B5E">
              <w:rPr>
                <w:rFonts w:cs="Arial"/>
              </w:rPr>
              <w:t>GE13</w:t>
            </w:r>
          </w:p>
        </w:tc>
        <w:tc>
          <w:tcPr>
            <w:tcW w:w="1341" w:type="pct"/>
            <w:tcBorders>
              <w:top w:val="single" w:sz="4" w:space="0" w:color="auto"/>
              <w:left w:val="single" w:sz="4" w:space="0" w:color="auto"/>
              <w:bottom w:val="single" w:sz="4" w:space="0" w:color="auto"/>
              <w:right w:val="single" w:sz="4" w:space="0" w:color="auto"/>
            </w:tcBorders>
            <w:vAlign w:val="center"/>
          </w:tcPr>
          <w:p w14:paraId="1DC54EEE"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3571CEB0" w14:textId="77777777" w:rsidR="00115458" w:rsidRPr="00944B5E" w:rsidRDefault="00115458" w:rsidP="00F4606C">
            <w:pPr>
              <w:spacing w:after="0" w:line="240" w:lineRule="auto"/>
              <w:ind w:right="-80"/>
              <w:rPr>
                <w:rFonts w:cs="Arial"/>
              </w:rPr>
            </w:pPr>
            <w:r w:rsidRPr="00944B5E">
              <w:rPr>
                <w:rFonts w:cs="Arial"/>
              </w:rPr>
              <w:t>Re-lodge as the file was not received</w:t>
            </w:r>
          </w:p>
        </w:tc>
      </w:tr>
      <w:tr w:rsidR="00115458" w:rsidRPr="00944B5E" w14:paraId="0B81F7AA" w14:textId="77777777" w:rsidTr="00427C84">
        <w:trPr>
          <w:trHeight w:val="432"/>
        </w:trPr>
        <w:tc>
          <w:tcPr>
            <w:tcW w:w="579" w:type="pct"/>
            <w:tcBorders>
              <w:top w:val="single" w:sz="4" w:space="0" w:color="auto"/>
              <w:left w:val="single" w:sz="4" w:space="0" w:color="auto"/>
              <w:bottom w:val="single" w:sz="4" w:space="0" w:color="auto"/>
              <w:right w:val="single" w:sz="4" w:space="0" w:color="auto"/>
            </w:tcBorders>
            <w:vAlign w:val="center"/>
            <w:hideMark/>
          </w:tcPr>
          <w:p w14:paraId="7634AF46" w14:textId="77777777" w:rsidR="00115458" w:rsidRPr="00944B5E" w:rsidRDefault="00115458" w:rsidP="00F4606C">
            <w:pPr>
              <w:spacing w:after="0" w:line="240" w:lineRule="auto"/>
              <w:ind w:right="-80"/>
              <w:rPr>
                <w:rFonts w:cs="Arial"/>
              </w:rPr>
            </w:pPr>
            <w:r w:rsidRPr="00944B5E">
              <w:rPr>
                <w:rFonts w:cs="Arial"/>
              </w:rPr>
              <w:t>GE14</w:t>
            </w:r>
          </w:p>
        </w:tc>
        <w:tc>
          <w:tcPr>
            <w:tcW w:w="1341" w:type="pct"/>
            <w:tcBorders>
              <w:top w:val="single" w:sz="4" w:space="0" w:color="auto"/>
              <w:left w:val="single" w:sz="4" w:space="0" w:color="auto"/>
              <w:bottom w:val="single" w:sz="4" w:space="0" w:color="auto"/>
              <w:right w:val="single" w:sz="4" w:space="0" w:color="auto"/>
            </w:tcBorders>
            <w:vAlign w:val="center"/>
          </w:tcPr>
          <w:p w14:paraId="5E3517AC"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35DA1C71" w14:textId="77777777" w:rsidR="00115458" w:rsidRPr="00944B5E" w:rsidRDefault="00115458" w:rsidP="00F4606C">
            <w:pPr>
              <w:spacing w:after="0" w:line="240" w:lineRule="auto"/>
              <w:ind w:right="-80"/>
              <w:rPr>
                <w:rFonts w:cs="Arial"/>
              </w:rPr>
            </w:pPr>
            <w:r w:rsidRPr="00944B5E">
              <w:rPr>
                <w:rFonts w:cs="Arial"/>
              </w:rPr>
              <w:t>Check the validation report for the original file to confirm it was successfully lodged. If so, this is a duplicate. If not contact us.</w:t>
            </w:r>
          </w:p>
        </w:tc>
      </w:tr>
      <w:tr w:rsidR="00115458" w:rsidRPr="00944B5E" w14:paraId="32B41991"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1406FBB8" w14:textId="77777777" w:rsidR="00115458" w:rsidRPr="00944B5E" w:rsidRDefault="00115458" w:rsidP="00F4606C">
            <w:pPr>
              <w:spacing w:after="0" w:line="240" w:lineRule="auto"/>
              <w:ind w:right="-80"/>
              <w:rPr>
                <w:rFonts w:cs="Arial"/>
              </w:rPr>
            </w:pPr>
            <w:r w:rsidRPr="00944B5E">
              <w:rPr>
                <w:rFonts w:cs="Arial"/>
              </w:rPr>
              <w:t>GE15</w:t>
            </w:r>
          </w:p>
        </w:tc>
        <w:tc>
          <w:tcPr>
            <w:tcW w:w="1341" w:type="pct"/>
            <w:tcBorders>
              <w:top w:val="single" w:sz="4" w:space="0" w:color="auto"/>
              <w:left w:val="single" w:sz="4" w:space="0" w:color="auto"/>
              <w:bottom w:val="single" w:sz="4" w:space="0" w:color="auto"/>
              <w:right w:val="single" w:sz="4" w:space="0" w:color="auto"/>
            </w:tcBorders>
            <w:vAlign w:val="center"/>
          </w:tcPr>
          <w:p w14:paraId="6AF375D7"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18FCBB8F" w14:textId="77777777" w:rsidR="00115458" w:rsidRPr="00944B5E" w:rsidRDefault="00115458" w:rsidP="00F4606C">
            <w:pPr>
              <w:spacing w:after="0" w:line="240" w:lineRule="auto"/>
              <w:ind w:right="-80"/>
              <w:rPr>
                <w:rFonts w:cs="Arial"/>
              </w:rPr>
            </w:pPr>
            <w:r w:rsidRPr="00944B5E">
              <w:rPr>
                <w:rFonts w:cs="Arial"/>
              </w:rPr>
              <w:t xml:space="preserve">The compressed file contains no files.  </w:t>
            </w:r>
          </w:p>
        </w:tc>
      </w:tr>
      <w:tr w:rsidR="00115458" w:rsidRPr="00944B5E" w14:paraId="1CB835B5"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245A77E" w14:textId="77777777" w:rsidR="00115458" w:rsidRPr="00944B5E" w:rsidRDefault="00115458" w:rsidP="00F4606C">
            <w:pPr>
              <w:spacing w:after="0" w:line="240" w:lineRule="auto"/>
              <w:ind w:right="-80"/>
              <w:rPr>
                <w:rFonts w:cs="Arial"/>
              </w:rPr>
            </w:pPr>
            <w:r w:rsidRPr="00944B5E">
              <w:rPr>
                <w:rFonts w:cs="Arial"/>
              </w:rPr>
              <w:t>GE16</w:t>
            </w:r>
          </w:p>
        </w:tc>
        <w:tc>
          <w:tcPr>
            <w:tcW w:w="1341" w:type="pct"/>
            <w:tcBorders>
              <w:top w:val="single" w:sz="4" w:space="0" w:color="auto"/>
              <w:left w:val="single" w:sz="4" w:space="0" w:color="auto"/>
              <w:bottom w:val="single" w:sz="4" w:space="0" w:color="auto"/>
              <w:right w:val="single" w:sz="4" w:space="0" w:color="auto"/>
            </w:tcBorders>
            <w:vAlign w:val="center"/>
          </w:tcPr>
          <w:p w14:paraId="0537621F"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tcPr>
          <w:p w14:paraId="38BBEE78" w14:textId="77777777" w:rsidR="00115458" w:rsidRPr="00944B5E" w:rsidRDefault="00115458" w:rsidP="00F4606C">
            <w:pPr>
              <w:spacing w:after="0" w:line="240" w:lineRule="auto"/>
              <w:ind w:right="-80"/>
              <w:rPr>
                <w:rFonts w:cs="Arial"/>
              </w:rPr>
            </w:pPr>
            <w:r w:rsidRPr="00944B5E">
              <w:rPr>
                <w:rFonts w:cs="Arial"/>
              </w:rPr>
              <w:t>An error was found. To lodge a file electronically you must first create a file that is generated from your software in a format and version supported by our systems. Scanned images or forms, screen prints, spreadsheets and word processing files (for example .pdf, .doc, .xls, .jpg, .tiff) cannot be lodged via the file transfer function on our portals. More information can be found at: www.ato.gov.au/filetransfer. If the error persists contact the ATO.</w:t>
            </w:r>
          </w:p>
        </w:tc>
      </w:tr>
      <w:tr w:rsidR="00115458" w:rsidRPr="00944B5E" w14:paraId="4AD2BD1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1F11880" w14:textId="77777777" w:rsidR="00115458" w:rsidRPr="00944B5E" w:rsidRDefault="00115458" w:rsidP="00F4606C">
            <w:pPr>
              <w:spacing w:after="0" w:line="240" w:lineRule="auto"/>
              <w:ind w:right="-80"/>
              <w:rPr>
                <w:rFonts w:cs="Arial"/>
              </w:rPr>
            </w:pPr>
            <w:r w:rsidRPr="00944B5E">
              <w:rPr>
                <w:rFonts w:cs="Arial"/>
              </w:rPr>
              <w:t>GE18</w:t>
            </w:r>
          </w:p>
        </w:tc>
        <w:tc>
          <w:tcPr>
            <w:tcW w:w="1341" w:type="pct"/>
            <w:tcBorders>
              <w:top w:val="single" w:sz="4" w:space="0" w:color="auto"/>
              <w:left w:val="single" w:sz="4" w:space="0" w:color="auto"/>
              <w:bottom w:val="single" w:sz="4" w:space="0" w:color="auto"/>
              <w:right w:val="single" w:sz="4" w:space="0" w:color="auto"/>
            </w:tcBorders>
            <w:vAlign w:val="center"/>
          </w:tcPr>
          <w:p w14:paraId="7945C5BB"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tcPr>
          <w:p w14:paraId="04BF91F8" w14:textId="77777777" w:rsidR="00115458" w:rsidRPr="00944B5E" w:rsidRDefault="00115458" w:rsidP="00F4606C">
            <w:pPr>
              <w:spacing w:after="0" w:line="240" w:lineRule="auto"/>
              <w:rPr>
                <w:rFonts w:cs="Arial"/>
              </w:rPr>
            </w:pPr>
            <w:r w:rsidRPr="00944B5E">
              <w:t>This file contains more than the allowable number of non-ASCII characters and cannot be processed.</w:t>
            </w:r>
          </w:p>
          <w:p w14:paraId="444F9476" w14:textId="77777777" w:rsidR="00115458" w:rsidRPr="00F4606C" w:rsidRDefault="00115458" w:rsidP="00F4606C">
            <w:pPr>
              <w:spacing w:after="0" w:line="240" w:lineRule="auto"/>
              <w:rPr>
                <w:rFonts w:cs="Calibri"/>
              </w:rPr>
            </w:pPr>
            <w:r w:rsidRPr="00944B5E">
              <w:t>To lodge a file electronically you must first create a file that is generated from your software in a format and version supported by our systems.</w:t>
            </w:r>
          </w:p>
          <w:p w14:paraId="3BFF43A4" w14:textId="77777777" w:rsidR="00115458" w:rsidRPr="00944B5E" w:rsidRDefault="00115458" w:rsidP="00F4606C">
            <w:pPr>
              <w:spacing w:after="0" w:line="240" w:lineRule="auto"/>
              <w:ind w:right="-80"/>
              <w:rPr>
                <w:rFonts w:cs="Arial"/>
              </w:rPr>
            </w:pPr>
            <w:r w:rsidRPr="00944B5E">
              <w:t xml:space="preserve">More information can be found at: </w:t>
            </w:r>
            <w:hyperlink r:id="rId53" w:history="1">
              <w:r w:rsidRPr="00944B5E">
                <w:rPr>
                  <w:rStyle w:val="Hyperlink"/>
                </w:rPr>
                <w:t>www.ato.gov.au/filetransfer</w:t>
              </w:r>
            </w:hyperlink>
            <w:r w:rsidRPr="00944B5E">
              <w:t xml:space="preserve"> or contact your software developer.</w:t>
            </w:r>
          </w:p>
        </w:tc>
      </w:tr>
      <w:tr w:rsidR="00115458" w:rsidRPr="00944B5E" w14:paraId="44BB44E4"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11AC5B38" w14:textId="77777777" w:rsidR="00115458" w:rsidRPr="00944B5E" w:rsidRDefault="00115458" w:rsidP="00F4606C">
            <w:pPr>
              <w:spacing w:after="0" w:line="240" w:lineRule="auto"/>
              <w:ind w:right="-80"/>
              <w:rPr>
                <w:rFonts w:cs="Arial"/>
              </w:rPr>
            </w:pPr>
            <w:r w:rsidRPr="00944B5E">
              <w:rPr>
                <w:rFonts w:cs="Arial"/>
              </w:rPr>
              <w:t>MAX1</w:t>
            </w:r>
          </w:p>
        </w:tc>
        <w:tc>
          <w:tcPr>
            <w:tcW w:w="1341" w:type="pct"/>
            <w:tcBorders>
              <w:top w:val="single" w:sz="4" w:space="0" w:color="auto"/>
              <w:left w:val="single" w:sz="4" w:space="0" w:color="auto"/>
              <w:bottom w:val="single" w:sz="4" w:space="0" w:color="auto"/>
              <w:right w:val="single" w:sz="4" w:space="0" w:color="auto"/>
            </w:tcBorders>
            <w:vAlign w:val="center"/>
          </w:tcPr>
          <w:p w14:paraId="1C343A9A"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1AB8F5D2" w14:textId="77777777" w:rsidR="00115458" w:rsidRPr="00944B5E" w:rsidRDefault="00115458" w:rsidP="00F4606C">
            <w:pPr>
              <w:spacing w:after="0" w:line="240" w:lineRule="auto"/>
              <w:ind w:right="-80"/>
              <w:rPr>
                <w:rFonts w:cs="Arial"/>
              </w:rPr>
            </w:pPr>
            <w:r w:rsidRPr="00944B5E">
              <w:rPr>
                <w:rFonts w:cs="Arial"/>
              </w:rPr>
              <w:t>The maximum number of errors and warnings has been reached.  Correct errors and re-lodge.</w:t>
            </w:r>
          </w:p>
        </w:tc>
      </w:tr>
      <w:tr w:rsidR="00115458" w:rsidRPr="00944B5E" w14:paraId="3CF59BAE" w14:textId="77777777" w:rsidTr="00427C84">
        <w:trPr>
          <w:trHeight w:val="30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F4EC33B" w14:textId="77777777" w:rsidR="00115458" w:rsidRPr="00944B5E" w:rsidRDefault="00115458" w:rsidP="00F4606C">
            <w:pPr>
              <w:spacing w:after="0" w:line="240" w:lineRule="auto"/>
              <w:ind w:right="-80"/>
              <w:rPr>
                <w:rFonts w:cs="Arial"/>
              </w:rPr>
            </w:pPr>
          </w:p>
          <w:p w14:paraId="6BA4978E" w14:textId="77777777" w:rsidR="00115458" w:rsidRPr="00944B5E" w:rsidRDefault="00115458" w:rsidP="00F4606C">
            <w:pPr>
              <w:spacing w:after="0" w:line="240" w:lineRule="auto"/>
              <w:ind w:right="-80"/>
              <w:rPr>
                <w:rFonts w:cs="Arial"/>
                <w:b/>
              </w:rPr>
            </w:pPr>
            <w:r w:rsidRPr="00944B5E">
              <w:rPr>
                <w:rFonts w:cs="Arial"/>
                <w:b/>
              </w:rPr>
              <w:t>File structure errors</w:t>
            </w:r>
          </w:p>
          <w:p w14:paraId="24571CB9" w14:textId="77777777" w:rsidR="00115458" w:rsidRPr="00944B5E" w:rsidRDefault="00115458" w:rsidP="00F4606C">
            <w:pPr>
              <w:spacing w:after="0" w:line="240" w:lineRule="auto"/>
              <w:ind w:right="-80"/>
              <w:rPr>
                <w:rFonts w:cs="Arial"/>
              </w:rPr>
            </w:pPr>
          </w:p>
        </w:tc>
      </w:tr>
      <w:tr w:rsidR="00115458" w:rsidRPr="00944B5E" w14:paraId="13C60555"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35623E13" w14:textId="77777777" w:rsidR="00115458" w:rsidRPr="00944B5E" w:rsidRDefault="00115458" w:rsidP="00F4606C">
            <w:pPr>
              <w:spacing w:after="0" w:line="240" w:lineRule="auto"/>
              <w:ind w:right="-80"/>
              <w:rPr>
                <w:rFonts w:cs="Arial"/>
              </w:rPr>
            </w:pPr>
            <w:r w:rsidRPr="00944B5E">
              <w:rPr>
                <w:rFonts w:cs="Arial"/>
              </w:rPr>
              <w:t>FS01</w:t>
            </w:r>
          </w:p>
        </w:tc>
        <w:tc>
          <w:tcPr>
            <w:tcW w:w="1341" w:type="pct"/>
            <w:tcBorders>
              <w:top w:val="single" w:sz="4" w:space="0" w:color="auto"/>
              <w:left w:val="single" w:sz="4" w:space="0" w:color="auto"/>
              <w:bottom w:val="single" w:sz="4" w:space="0" w:color="auto"/>
              <w:right w:val="single" w:sz="4" w:space="0" w:color="auto"/>
            </w:tcBorders>
            <w:vAlign w:val="center"/>
          </w:tcPr>
          <w:p w14:paraId="14F42CE8"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766B7720" w14:textId="77777777" w:rsidR="00115458" w:rsidRPr="00944B5E" w:rsidRDefault="00115458" w:rsidP="00F4606C">
            <w:pPr>
              <w:spacing w:after="0" w:line="240" w:lineRule="auto"/>
              <w:ind w:right="-80"/>
              <w:rPr>
                <w:rFonts w:cs="Arial"/>
              </w:rPr>
            </w:pPr>
            <w:r w:rsidRPr="00944B5E">
              <w:rPr>
                <w:rFonts w:cs="Arial"/>
                <w:color w:val="000000"/>
              </w:rPr>
              <w:t>The file contains an unexpected End of File (EOF) marker. Contact your software developer.</w:t>
            </w:r>
          </w:p>
        </w:tc>
      </w:tr>
      <w:tr w:rsidR="00115458" w:rsidRPr="00944B5E" w14:paraId="14FAAA9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2EC7475A" w14:textId="77777777" w:rsidR="00115458" w:rsidRPr="00944B5E" w:rsidRDefault="00115458" w:rsidP="00F4606C">
            <w:pPr>
              <w:spacing w:after="0" w:line="240" w:lineRule="auto"/>
              <w:ind w:right="-80"/>
              <w:rPr>
                <w:rFonts w:cs="Arial"/>
              </w:rPr>
            </w:pPr>
            <w:r w:rsidRPr="00944B5E">
              <w:rPr>
                <w:rFonts w:cs="Arial"/>
              </w:rPr>
              <w:t>FS02</w:t>
            </w:r>
          </w:p>
        </w:tc>
        <w:tc>
          <w:tcPr>
            <w:tcW w:w="1341" w:type="pct"/>
            <w:tcBorders>
              <w:top w:val="single" w:sz="4" w:space="0" w:color="auto"/>
              <w:left w:val="single" w:sz="4" w:space="0" w:color="auto"/>
              <w:bottom w:val="single" w:sz="4" w:space="0" w:color="auto"/>
              <w:right w:val="single" w:sz="4" w:space="0" w:color="auto"/>
            </w:tcBorders>
            <w:vAlign w:val="center"/>
          </w:tcPr>
          <w:p w14:paraId="2E090763"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2B6D2394" w14:textId="3885E3AF" w:rsidR="00115458" w:rsidRPr="00944B5E" w:rsidRDefault="00115458" w:rsidP="00F4606C">
            <w:pPr>
              <w:spacing w:after="0" w:line="240" w:lineRule="auto"/>
              <w:ind w:right="-80"/>
              <w:rPr>
                <w:rFonts w:cs="Arial"/>
              </w:rPr>
            </w:pPr>
            <w:r w:rsidRPr="00944B5E">
              <w:rPr>
                <w:rFonts w:cs="Arial"/>
                <w:color w:val="000000"/>
              </w:rPr>
              <w:t>The file</w:t>
            </w:r>
            <w:r w:rsidRPr="00944B5E">
              <w:rPr>
                <w:rFonts w:cs="Arial"/>
                <w:i/>
                <w:iCs/>
                <w:color w:val="000000"/>
              </w:rPr>
              <w:t xml:space="preserve"> </w:t>
            </w:r>
            <w:r w:rsidRPr="00944B5E">
              <w:rPr>
                <w:rFonts w:cs="Arial"/>
                <w:color w:val="000000"/>
              </w:rPr>
              <w:t>contains unexpected Carriage Return/Line Feed characters. Contact your software developer.</w:t>
            </w:r>
          </w:p>
        </w:tc>
      </w:tr>
      <w:tr w:rsidR="00115458" w:rsidRPr="00944B5E" w14:paraId="62DF6875"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6F6F9482" w14:textId="77777777" w:rsidR="00115458" w:rsidRPr="00944B5E" w:rsidRDefault="00115458" w:rsidP="00F4606C">
            <w:pPr>
              <w:spacing w:after="0" w:line="240" w:lineRule="auto"/>
              <w:ind w:right="-80"/>
              <w:rPr>
                <w:rFonts w:cs="Arial"/>
              </w:rPr>
            </w:pPr>
            <w:r w:rsidRPr="00944B5E">
              <w:rPr>
                <w:rFonts w:cs="Arial"/>
              </w:rPr>
              <w:t>FS03</w:t>
            </w:r>
          </w:p>
        </w:tc>
        <w:tc>
          <w:tcPr>
            <w:tcW w:w="1341" w:type="pct"/>
            <w:tcBorders>
              <w:top w:val="single" w:sz="4" w:space="0" w:color="auto"/>
              <w:left w:val="single" w:sz="4" w:space="0" w:color="auto"/>
              <w:bottom w:val="single" w:sz="4" w:space="0" w:color="auto"/>
              <w:right w:val="single" w:sz="4" w:space="0" w:color="auto"/>
            </w:tcBorders>
            <w:vAlign w:val="center"/>
          </w:tcPr>
          <w:p w14:paraId="26A132C5"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112566A4" w14:textId="77777777" w:rsidR="00115458" w:rsidRPr="00944B5E" w:rsidRDefault="00115458" w:rsidP="00F4606C">
            <w:pPr>
              <w:spacing w:after="0" w:line="240" w:lineRule="auto"/>
              <w:ind w:right="-80"/>
              <w:rPr>
                <w:rFonts w:cs="Arial"/>
              </w:rPr>
            </w:pPr>
            <w:r w:rsidRPr="00944B5E">
              <w:rPr>
                <w:rFonts w:cs="Arial"/>
                <w:color w:val="000000"/>
              </w:rPr>
              <w:t>The file contains a Carriage Return character without a detected Line Feed character or contains a Line Feed character without a preceding Carriage return character. Contact your software developer.</w:t>
            </w:r>
          </w:p>
        </w:tc>
      </w:tr>
      <w:tr w:rsidR="00115458" w:rsidRPr="00944B5E" w14:paraId="615B45B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2FB74A44" w14:textId="77777777" w:rsidR="00115458" w:rsidRPr="00944B5E" w:rsidRDefault="00115458" w:rsidP="00F4606C">
            <w:pPr>
              <w:spacing w:after="0" w:line="240" w:lineRule="auto"/>
              <w:ind w:right="-80"/>
              <w:rPr>
                <w:rFonts w:cs="Arial"/>
              </w:rPr>
            </w:pPr>
            <w:r w:rsidRPr="00944B5E">
              <w:rPr>
                <w:rFonts w:cs="Arial"/>
              </w:rPr>
              <w:t>FS05</w:t>
            </w:r>
          </w:p>
        </w:tc>
        <w:tc>
          <w:tcPr>
            <w:tcW w:w="1341" w:type="pct"/>
            <w:tcBorders>
              <w:top w:val="single" w:sz="4" w:space="0" w:color="auto"/>
              <w:left w:val="single" w:sz="4" w:space="0" w:color="auto"/>
              <w:bottom w:val="single" w:sz="4" w:space="0" w:color="auto"/>
              <w:right w:val="single" w:sz="4" w:space="0" w:color="auto"/>
            </w:tcBorders>
            <w:vAlign w:val="center"/>
          </w:tcPr>
          <w:p w14:paraId="25A8CC8D" w14:textId="77777777" w:rsidR="00115458" w:rsidRPr="00944B5E" w:rsidRDefault="00115458" w:rsidP="00F4606C">
            <w:pPr>
              <w:spacing w:after="0" w:line="240" w:lineRule="auto"/>
              <w:ind w:right="-80"/>
              <w:rPr>
                <w:rFonts w:cs="Arial"/>
              </w:rPr>
            </w:pPr>
            <w:r w:rsidRPr="00944B5E">
              <w:rPr>
                <w:rFonts w:cs="Arial"/>
              </w:rPr>
              <w:t>Entire file</w:t>
            </w:r>
          </w:p>
        </w:tc>
        <w:tc>
          <w:tcPr>
            <w:tcW w:w="3080" w:type="pct"/>
            <w:tcBorders>
              <w:top w:val="single" w:sz="4" w:space="0" w:color="auto"/>
              <w:left w:val="single" w:sz="4" w:space="0" w:color="auto"/>
              <w:bottom w:val="single" w:sz="4" w:space="0" w:color="auto"/>
              <w:right w:val="single" w:sz="4" w:space="0" w:color="auto"/>
            </w:tcBorders>
            <w:vAlign w:val="center"/>
            <w:hideMark/>
          </w:tcPr>
          <w:p w14:paraId="57BBF964" w14:textId="4BAFAB1F" w:rsidR="00115458" w:rsidRPr="00944B5E" w:rsidRDefault="00115458" w:rsidP="00F4606C">
            <w:pPr>
              <w:spacing w:after="0" w:line="240" w:lineRule="auto"/>
              <w:ind w:right="-80"/>
              <w:rPr>
                <w:rFonts w:cs="Arial"/>
              </w:rPr>
            </w:pPr>
            <w:r w:rsidRPr="00944B5E">
              <w:rPr>
                <w:rFonts w:cs="Arial"/>
                <w:color w:val="000000"/>
              </w:rPr>
              <w:t>The file does not contain expected Carriage Return/Line feed characters. Contact your software developer.</w:t>
            </w:r>
          </w:p>
        </w:tc>
      </w:tr>
      <w:tr w:rsidR="00115458" w:rsidRPr="00944B5E" w14:paraId="761D8FD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58DABBD" w14:textId="77777777" w:rsidR="00115458" w:rsidRPr="00944B5E" w:rsidRDefault="00115458" w:rsidP="00F4606C">
            <w:pPr>
              <w:spacing w:after="0" w:line="240" w:lineRule="auto"/>
              <w:ind w:right="-80"/>
              <w:rPr>
                <w:rFonts w:cs="Arial"/>
              </w:rPr>
            </w:pPr>
            <w:r w:rsidRPr="00944B5E">
              <w:rPr>
                <w:rFonts w:cs="Arial"/>
              </w:rPr>
              <w:t>VR161</w:t>
            </w:r>
          </w:p>
        </w:tc>
        <w:tc>
          <w:tcPr>
            <w:tcW w:w="1341" w:type="pct"/>
            <w:tcBorders>
              <w:top w:val="single" w:sz="4" w:space="0" w:color="auto"/>
              <w:left w:val="single" w:sz="4" w:space="0" w:color="auto"/>
              <w:bottom w:val="single" w:sz="4" w:space="0" w:color="auto"/>
              <w:right w:val="single" w:sz="4" w:space="0" w:color="auto"/>
            </w:tcBorders>
            <w:vAlign w:val="center"/>
          </w:tcPr>
          <w:p w14:paraId="27021E9E"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175D6CA4" w14:textId="77777777" w:rsidR="00115458" w:rsidRPr="00944B5E" w:rsidRDefault="00115458" w:rsidP="00F4606C">
            <w:pPr>
              <w:spacing w:after="0" w:line="240" w:lineRule="auto"/>
              <w:ind w:right="-80"/>
              <w:rPr>
                <w:rFonts w:cs="Arial"/>
                <w:color w:val="000000"/>
              </w:rPr>
            </w:pPr>
            <w:r w:rsidRPr="00944B5E">
              <w:rPr>
                <w:color w:val="000000"/>
              </w:rPr>
              <w:t>Exceeded maximum of 99 Investor Data Records per account record.</w:t>
            </w:r>
          </w:p>
        </w:tc>
      </w:tr>
      <w:tr w:rsidR="00115458" w:rsidRPr="00944B5E" w14:paraId="029D351F"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7250BA4" w14:textId="77777777" w:rsidR="00115458" w:rsidRPr="00944B5E" w:rsidRDefault="00115458" w:rsidP="00F4606C">
            <w:pPr>
              <w:spacing w:after="0" w:line="240" w:lineRule="auto"/>
              <w:ind w:right="-80"/>
              <w:rPr>
                <w:rFonts w:cs="Arial"/>
              </w:rPr>
            </w:pPr>
            <w:r w:rsidRPr="00944B5E">
              <w:rPr>
                <w:rFonts w:cs="Arial"/>
              </w:rPr>
              <w:t>VR163</w:t>
            </w:r>
          </w:p>
        </w:tc>
        <w:tc>
          <w:tcPr>
            <w:tcW w:w="1341" w:type="pct"/>
            <w:tcBorders>
              <w:top w:val="single" w:sz="4" w:space="0" w:color="auto"/>
              <w:left w:val="single" w:sz="4" w:space="0" w:color="auto"/>
              <w:bottom w:val="single" w:sz="4" w:space="0" w:color="auto"/>
              <w:right w:val="single" w:sz="4" w:space="0" w:color="auto"/>
            </w:tcBorders>
            <w:vAlign w:val="center"/>
          </w:tcPr>
          <w:p w14:paraId="133C843F" w14:textId="45EF6A4E"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13AA2D6C" w14:textId="77777777" w:rsidR="00115458" w:rsidRPr="00944B5E" w:rsidRDefault="00115458" w:rsidP="00F4606C">
            <w:pPr>
              <w:spacing w:after="0" w:line="240" w:lineRule="auto"/>
              <w:ind w:right="-80"/>
              <w:rPr>
                <w:rFonts w:cs="Arial"/>
                <w:color w:val="000000"/>
              </w:rPr>
            </w:pPr>
            <w:r w:rsidRPr="00944B5E">
              <w:rPr>
                <w:rFonts w:cs="Arial"/>
                <w:color w:val="000000"/>
              </w:rPr>
              <w:t>Supplementary income account data record must be provided for the Type of payment.</w:t>
            </w:r>
          </w:p>
        </w:tc>
      </w:tr>
      <w:tr w:rsidR="00115458" w:rsidRPr="00944B5E" w14:paraId="23A0B81C"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40B922B" w14:textId="77777777" w:rsidR="00115458" w:rsidRPr="00944B5E" w:rsidRDefault="00115458" w:rsidP="00F4606C">
            <w:pPr>
              <w:spacing w:after="0" w:line="240" w:lineRule="auto"/>
              <w:ind w:right="-80"/>
              <w:rPr>
                <w:rFonts w:cs="Arial"/>
              </w:rPr>
            </w:pPr>
            <w:r w:rsidRPr="00944B5E">
              <w:rPr>
                <w:rFonts w:cs="Arial"/>
              </w:rPr>
              <w:t>VR216</w:t>
            </w:r>
          </w:p>
        </w:tc>
        <w:tc>
          <w:tcPr>
            <w:tcW w:w="1341" w:type="pct"/>
            <w:tcBorders>
              <w:top w:val="single" w:sz="4" w:space="0" w:color="auto"/>
              <w:left w:val="single" w:sz="4" w:space="0" w:color="auto"/>
              <w:bottom w:val="single" w:sz="4" w:space="0" w:color="auto"/>
              <w:right w:val="single" w:sz="4" w:space="0" w:color="auto"/>
            </w:tcBorders>
            <w:vAlign w:val="center"/>
          </w:tcPr>
          <w:p w14:paraId="2AF36666"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56AC1B50" w14:textId="77777777" w:rsidR="00115458" w:rsidRPr="00944B5E" w:rsidRDefault="00115458" w:rsidP="00F4606C">
            <w:pPr>
              <w:spacing w:after="0" w:line="240" w:lineRule="auto"/>
              <w:ind w:right="-80"/>
              <w:rPr>
                <w:rFonts w:cs="Arial"/>
                <w:color w:val="000000"/>
              </w:rPr>
            </w:pPr>
            <w:r w:rsidRPr="00944B5E">
              <w:rPr>
                <w:rFonts w:cs="Arial"/>
              </w:rPr>
              <w:t>The file is missing an Investor data record or contains an invalid Investor data record identifier.</w:t>
            </w:r>
          </w:p>
        </w:tc>
      </w:tr>
      <w:tr w:rsidR="00115458" w:rsidRPr="00944B5E" w14:paraId="7C481FF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7C3E129" w14:textId="77777777" w:rsidR="00115458" w:rsidRPr="00944B5E" w:rsidRDefault="00115458" w:rsidP="00F4606C">
            <w:pPr>
              <w:spacing w:after="0" w:line="240" w:lineRule="auto"/>
              <w:ind w:right="-80"/>
              <w:rPr>
                <w:rFonts w:cs="Arial"/>
              </w:rPr>
            </w:pPr>
            <w:r w:rsidRPr="00944B5E">
              <w:rPr>
                <w:rFonts w:cs="Arial"/>
              </w:rPr>
              <w:t>VR217</w:t>
            </w:r>
          </w:p>
        </w:tc>
        <w:tc>
          <w:tcPr>
            <w:tcW w:w="1341" w:type="pct"/>
            <w:tcBorders>
              <w:top w:val="single" w:sz="4" w:space="0" w:color="auto"/>
              <w:left w:val="single" w:sz="4" w:space="0" w:color="auto"/>
              <w:bottom w:val="single" w:sz="4" w:space="0" w:color="auto"/>
              <w:right w:val="single" w:sz="4" w:space="0" w:color="auto"/>
            </w:tcBorders>
            <w:vAlign w:val="center"/>
          </w:tcPr>
          <w:p w14:paraId="60A1DDAD" w14:textId="20CC41AF"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3CC21262" w14:textId="77777777" w:rsidR="00115458" w:rsidRPr="00944B5E" w:rsidRDefault="00115458" w:rsidP="00F4606C">
            <w:pPr>
              <w:spacing w:after="0" w:line="240" w:lineRule="auto"/>
              <w:ind w:right="-80"/>
              <w:rPr>
                <w:rFonts w:cs="Arial"/>
                <w:color w:val="000000"/>
              </w:rPr>
            </w:pPr>
            <w:r w:rsidRPr="00944B5E">
              <w:rPr>
                <w:rFonts w:cs="Arial"/>
              </w:rPr>
              <w:t>A Supplementary income account data record exists without an Investment account data record or the Investment account data record identifier is invalid.</w:t>
            </w:r>
          </w:p>
        </w:tc>
      </w:tr>
      <w:tr w:rsidR="00115458" w:rsidRPr="00944B5E" w14:paraId="16D46D5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5FEB21F" w14:textId="77777777" w:rsidR="00115458" w:rsidRPr="00944B5E" w:rsidRDefault="00115458" w:rsidP="00F4606C">
            <w:pPr>
              <w:spacing w:after="0" w:line="240" w:lineRule="auto"/>
              <w:ind w:right="-80"/>
              <w:rPr>
                <w:rFonts w:cs="Arial"/>
              </w:rPr>
            </w:pPr>
            <w:r w:rsidRPr="00944B5E">
              <w:rPr>
                <w:rFonts w:cs="Arial"/>
              </w:rPr>
              <w:t>VR218</w:t>
            </w:r>
          </w:p>
        </w:tc>
        <w:tc>
          <w:tcPr>
            <w:tcW w:w="1341" w:type="pct"/>
            <w:tcBorders>
              <w:top w:val="single" w:sz="4" w:space="0" w:color="auto"/>
              <w:left w:val="single" w:sz="4" w:space="0" w:color="auto"/>
              <w:bottom w:val="single" w:sz="4" w:space="0" w:color="auto"/>
              <w:right w:val="single" w:sz="4" w:space="0" w:color="auto"/>
            </w:tcBorders>
            <w:vAlign w:val="center"/>
          </w:tcPr>
          <w:p w14:paraId="47045169"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0BB4169E" w14:textId="77777777" w:rsidR="00115458" w:rsidRPr="00944B5E" w:rsidRDefault="00115458" w:rsidP="00F4606C">
            <w:pPr>
              <w:spacing w:after="0" w:line="240" w:lineRule="auto"/>
              <w:ind w:right="-80"/>
              <w:rPr>
                <w:rFonts w:cs="Arial"/>
                <w:color w:val="000000"/>
              </w:rPr>
            </w:pPr>
            <w:r w:rsidRPr="00944B5E">
              <w:rPr>
                <w:rFonts w:cs="Arial"/>
                <w:color w:val="000000"/>
              </w:rPr>
              <w:t>This file must contain either an Investment Account Data Record and/or a Farm Management Deposit Account Record. These records are not present or may be incorrect.</w:t>
            </w:r>
          </w:p>
        </w:tc>
      </w:tr>
      <w:tr w:rsidR="00115458" w:rsidRPr="00944B5E" w14:paraId="012A018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E735016" w14:textId="77777777" w:rsidR="00115458" w:rsidRPr="00944B5E" w:rsidRDefault="00115458" w:rsidP="00F4606C">
            <w:pPr>
              <w:spacing w:after="0" w:line="240" w:lineRule="auto"/>
              <w:ind w:right="-80"/>
              <w:rPr>
                <w:rFonts w:cs="Arial"/>
              </w:rPr>
            </w:pPr>
            <w:r w:rsidRPr="00944B5E">
              <w:rPr>
                <w:rFonts w:cs="Arial"/>
              </w:rPr>
              <w:t>VR360</w:t>
            </w:r>
          </w:p>
        </w:tc>
        <w:tc>
          <w:tcPr>
            <w:tcW w:w="1341" w:type="pct"/>
            <w:tcBorders>
              <w:top w:val="single" w:sz="4" w:space="0" w:color="auto"/>
              <w:left w:val="single" w:sz="4" w:space="0" w:color="auto"/>
              <w:bottom w:val="single" w:sz="4" w:space="0" w:color="auto"/>
              <w:right w:val="single" w:sz="4" w:space="0" w:color="auto"/>
            </w:tcBorders>
            <w:vAlign w:val="center"/>
          </w:tcPr>
          <w:p w14:paraId="58D43FA5"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619A8D42" w14:textId="77777777" w:rsidR="00115458" w:rsidRPr="00944B5E" w:rsidRDefault="00115458" w:rsidP="00F4606C">
            <w:pPr>
              <w:spacing w:after="0" w:line="240" w:lineRule="auto"/>
              <w:ind w:right="-80"/>
              <w:rPr>
                <w:rFonts w:cs="Arial"/>
                <w:color w:val="000000"/>
              </w:rPr>
            </w:pPr>
            <w:r w:rsidRPr="00944B5E">
              <w:rPr>
                <w:rFonts w:cs="Arial"/>
                <w:color w:val="000000"/>
              </w:rPr>
              <w:t>The Record Identifier in the Investment body identity record must contain ‘IDENTITY’.</w:t>
            </w:r>
          </w:p>
        </w:tc>
      </w:tr>
      <w:tr w:rsidR="00115458" w:rsidRPr="00944B5E" w14:paraId="0615004F"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3898F1B" w14:textId="77777777" w:rsidR="00115458" w:rsidRPr="00944B5E" w:rsidRDefault="00115458" w:rsidP="00F4606C">
            <w:pPr>
              <w:spacing w:after="0" w:line="240" w:lineRule="auto"/>
              <w:ind w:right="-80"/>
              <w:rPr>
                <w:rFonts w:cs="Arial"/>
              </w:rPr>
            </w:pPr>
            <w:r w:rsidRPr="00944B5E">
              <w:rPr>
                <w:rFonts w:cs="Arial"/>
              </w:rPr>
              <w:t>VR362</w:t>
            </w:r>
          </w:p>
        </w:tc>
        <w:tc>
          <w:tcPr>
            <w:tcW w:w="1341" w:type="pct"/>
            <w:tcBorders>
              <w:top w:val="single" w:sz="4" w:space="0" w:color="auto"/>
              <w:left w:val="single" w:sz="4" w:space="0" w:color="auto"/>
              <w:bottom w:val="single" w:sz="4" w:space="0" w:color="auto"/>
              <w:right w:val="single" w:sz="4" w:space="0" w:color="auto"/>
            </w:tcBorders>
            <w:vAlign w:val="center"/>
          </w:tcPr>
          <w:p w14:paraId="0F43CA57"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36B62E25" w14:textId="77777777" w:rsidR="00115458" w:rsidRPr="00944B5E" w:rsidRDefault="00115458" w:rsidP="00F4606C">
            <w:pPr>
              <w:spacing w:after="0" w:line="240" w:lineRule="auto"/>
              <w:ind w:right="-80"/>
              <w:rPr>
                <w:rFonts w:cs="Arial"/>
                <w:color w:val="000000"/>
              </w:rPr>
            </w:pPr>
            <w:r w:rsidRPr="00944B5E">
              <w:rPr>
                <w:rFonts w:cs="Arial"/>
                <w:color w:val="000000"/>
              </w:rPr>
              <w:t>The Record Identifier in Software Record must contain ‘SOFTWARE’.</w:t>
            </w:r>
          </w:p>
        </w:tc>
      </w:tr>
      <w:tr w:rsidR="00115458" w:rsidRPr="00944B5E" w14:paraId="105D8F84"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EB99962" w14:textId="77777777" w:rsidR="00115458" w:rsidRPr="00944B5E" w:rsidRDefault="00115458" w:rsidP="00F4606C">
            <w:pPr>
              <w:spacing w:after="0" w:line="240" w:lineRule="auto"/>
              <w:ind w:right="-80"/>
              <w:rPr>
                <w:rFonts w:cs="Arial"/>
              </w:rPr>
            </w:pPr>
            <w:r w:rsidRPr="00944B5E">
              <w:rPr>
                <w:rFonts w:cs="Arial"/>
              </w:rPr>
              <w:t>VR364</w:t>
            </w:r>
          </w:p>
        </w:tc>
        <w:tc>
          <w:tcPr>
            <w:tcW w:w="1341" w:type="pct"/>
            <w:tcBorders>
              <w:top w:val="single" w:sz="4" w:space="0" w:color="auto"/>
              <w:left w:val="single" w:sz="4" w:space="0" w:color="auto"/>
              <w:bottom w:val="single" w:sz="4" w:space="0" w:color="auto"/>
              <w:right w:val="single" w:sz="4" w:space="0" w:color="auto"/>
            </w:tcBorders>
            <w:vAlign w:val="center"/>
          </w:tcPr>
          <w:p w14:paraId="613E37C4"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2AEE3B16" w14:textId="77777777" w:rsidR="00115458" w:rsidRPr="00944B5E" w:rsidRDefault="00115458" w:rsidP="00F4606C">
            <w:pPr>
              <w:spacing w:after="0" w:line="240" w:lineRule="auto"/>
              <w:ind w:right="-80"/>
              <w:rPr>
                <w:rFonts w:cs="Arial"/>
                <w:color w:val="000000"/>
              </w:rPr>
            </w:pPr>
            <w:r w:rsidRPr="00944B5E">
              <w:rPr>
                <w:rFonts w:cs="Arial"/>
                <w:color w:val="000000"/>
              </w:rPr>
              <w:t>The Record Identifier in Supplier Data Record 1 must contain ‘IDENTREGISTER1’.</w:t>
            </w:r>
          </w:p>
        </w:tc>
      </w:tr>
      <w:tr w:rsidR="00115458" w:rsidRPr="00944B5E" w14:paraId="4A26882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0576A3B" w14:textId="77777777" w:rsidR="00115458" w:rsidRPr="00944B5E" w:rsidRDefault="00115458" w:rsidP="00F4606C">
            <w:pPr>
              <w:spacing w:after="0" w:line="240" w:lineRule="auto"/>
              <w:ind w:right="-80"/>
              <w:rPr>
                <w:rFonts w:cs="Arial"/>
              </w:rPr>
            </w:pPr>
            <w:r w:rsidRPr="00944B5E">
              <w:rPr>
                <w:rFonts w:cs="Arial"/>
              </w:rPr>
              <w:t>VR365</w:t>
            </w:r>
          </w:p>
        </w:tc>
        <w:tc>
          <w:tcPr>
            <w:tcW w:w="1341" w:type="pct"/>
            <w:tcBorders>
              <w:top w:val="single" w:sz="4" w:space="0" w:color="auto"/>
              <w:left w:val="single" w:sz="4" w:space="0" w:color="auto"/>
              <w:bottom w:val="single" w:sz="4" w:space="0" w:color="auto"/>
              <w:right w:val="single" w:sz="4" w:space="0" w:color="auto"/>
            </w:tcBorders>
            <w:vAlign w:val="center"/>
          </w:tcPr>
          <w:p w14:paraId="64934AE0"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01AC4D85" w14:textId="77777777" w:rsidR="00115458" w:rsidRPr="00944B5E" w:rsidRDefault="00115458" w:rsidP="00F4606C">
            <w:pPr>
              <w:spacing w:after="0" w:line="240" w:lineRule="auto"/>
              <w:ind w:right="-80"/>
              <w:rPr>
                <w:rFonts w:cs="Arial"/>
              </w:rPr>
            </w:pPr>
            <w:r w:rsidRPr="00944B5E">
              <w:rPr>
                <w:rFonts w:cs="Arial"/>
                <w:color w:val="000000"/>
              </w:rPr>
              <w:t>The Record Identifier in Supplier Data Record 2 must contain ‘IDENTREGISTER2’.</w:t>
            </w:r>
          </w:p>
        </w:tc>
      </w:tr>
      <w:tr w:rsidR="00115458" w:rsidRPr="00944B5E" w14:paraId="44FFDCFB"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3416F9F" w14:textId="77777777" w:rsidR="00115458" w:rsidRPr="00944B5E" w:rsidRDefault="00115458" w:rsidP="00F4606C">
            <w:pPr>
              <w:spacing w:after="0" w:line="240" w:lineRule="auto"/>
              <w:ind w:right="-80"/>
              <w:rPr>
                <w:rFonts w:cs="Arial"/>
              </w:rPr>
            </w:pPr>
            <w:r w:rsidRPr="00944B5E">
              <w:rPr>
                <w:rFonts w:cs="Arial"/>
              </w:rPr>
              <w:t>VR366</w:t>
            </w:r>
          </w:p>
        </w:tc>
        <w:tc>
          <w:tcPr>
            <w:tcW w:w="1341" w:type="pct"/>
            <w:tcBorders>
              <w:top w:val="single" w:sz="4" w:space="0" w:color="auto"/>
              <w:left w:val="single" w:sz="4" w:space="0" w:color="auto"/>
              <w:bottom w:val="single" w:sz="4" w:space="0" w:color="auto"/>
              <w:right w:val="single" w:sz="4" w:space="0" w:color="auto"/>
            </w:tcBorders>
            <w:vAlign w:val="center"/>
          </w:tcPr>
          <w:p w14:paraId="40640D7D"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59664F5F" w14:textId="77777777" w:rsidR="00115458" w:rsidRPr="00944B5E" w:rsidRDefault="00115458" w:rsidP="00F4606C">
            <w:pPr>
              <w:spacing w:after="0" w:line="240" w:lineRule="auto"/>
              <w:ind w:right="-80"/>
              <w:rPr>
                <w:rFonts w:cs="Arial"/>
              </w:rPr>
            </w:pPr>
            <w:r w:rsidRPr="00944B5E">
              <w:rPr>
                <w:rFonts w:cs="Arial"/>
                <w:color w:val="000000"/>
              </w:rPr>
              <w:t>The Record Identifier in Supplier Data Record 3 must contain ‘IDENTREGISTER3’.</w:t>
            </w:r>
          </w:p>
        </w:tc>
      </w:tr>
      <w:tr w:rsidR="00115458" w:rsidRPr="00944B5E" w14:paraId="700751D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tcPr>
          <w:p w14:paraId="26CD717C"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VR476</w:t>
            </w:r>
          </w:p>
        </w:tc>
        <w:tc>
          <w:tcPr>
            <w:tcW w:w="1341" w:type="pct"/>
            <w:tcBorders>
              <w:top w:val="single" w:sz="4" w:space="0" w:color="auto"/>
              <w:left w:val="single" w:sz="4" w:space="0" w:color="auto"/>
              <w:bottom w:val="single" w:sz="4" w:space="0" w:color="auto"/>
              <w:right w:val="single" w:sz="4" w:space="0" w:color="auto"/>
            </w:tcBorders>
            <w:vAlign w:val="center"/>
          </w:tcPr>
          <w:p w14:paraId="328775E5"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tcPr>
          <w:p w14:paraId="11C28F7C" w14:textId="77777777" w:rsidR="00115458" w:rsidRPr="00944B5E" w:rsidRDefault="00115458" w:rsidP="00F4606C">
            <w:pPr>
              <w:spacing w:after="0" w:line="240" w:lineRule="auto"/>
              <w:rPr>
                <w:rFonts w:cs="Arial"/>
                <w:color w:val="000000"/>
              </w:rPr>
            </w:pPr>
            <w:r w:rsidRPr="00944B5E">
              <w:rPr>
                <w:rFonts w:cs="Arial"/>
                <w:color w:val="000000"/>
              </w:rPr>
              <w:t>Records must be in the defined sequence.</w:t>
            </w:r>
          </w:p>
        </w:tc>
      </w:tr>
      <w:tr w:rsidR="00115458" w:rsidRPr="00944B5E" w14:paraId="7A29850E"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3DBEED0"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VR490</w:t>
            </w:r>
          </w:p>
        </w:tc>
        <w:tc>
          <w:tcPr>
            <w:tcW w:w="1341" w:type="pct"/>
            <w:tcBorders>
              <w:top w:val="single" w:sz="4" w:space="0" w:color="auto"/>
              <w:left w:val="single" w:sz="4" w:space="0" w:color="auto"/>
              <w:bottom w:val="single" w:sz="4" w:space="0" w:color="auto"/>
              <w:right w:val="single" w:sz="4" w:space="0" w:color="auto"/>
            </w:tcBorders>
            <w:vAlign w:val="center"/>
          </w:tcPr>
          <w:p w14:paraId="07657A82" w14:textId="77777777" w:rsidR="00115458" w:rsidRPr="00944B5E" w:rsidRDefault="00115458" w:rsidP="00F4606C">
            <w:pPr>
              <w:spacing w:after="0" w:line="240" w:lineRule="auto"/>
              <w:ind w:right="-80"/>
              <w:rPr>
                <w:rFonts w:cs="Arial"/>
                <w:color w:val="000000"/>
              </w:rPr>
            </w:pPr>
            <w:r w:rsidRPr="00944B5E">
              <w:rPr>
                <w:rFonts w:cs="Arial"/>
                <w:color w:val="000000"/>
              </w:rPr>
              <w:t>Investor level data logical structure</w:t>
            </w:r>
          </w:p>
        </w:tc>
        <w:tc>
          <w:tcPr>
            <w:tcW w:w="3080" w:type="pct"/>
            <w:tcBorders>
              <w:top w:val="single" w:sz="4" w:space="0" w:color="auto"/>
              <w:left w:val="single" w:sz="4" w:space="0" w:color="auto"/>
              <w:bottom w:val="single" w:sz="4" w:space="0" w:color="auto"/>
              <w:right w:val="single" w:sz="4" w:space="0" w:color="auto"/>
            </w:tcBorders>
            <w:vAlign w:val="center"/>
          </w:tcPr>
          <w:p w14:paraId="5B1971A4" w14:textId="77777777" w:rsidR="00115458" w:rsidRPr="00944B5E" w:rsidRDefault="00115458" w:rsidP="00F4606C">
            <w:pPr>
              <w:spacing w:after="0" w:line="240" w:lineRule="auto"/>
              <w:rPr>
                <w:rFonts w:cs="Arial"/>
              </w:rPr>
            </w:pPr>
            <w:r w:rsidRPr="00944B5E">
              <w:rPr>
                <w:rFonts w:cs="Arial"/>
                <w:color w:val="000000"/>
              </w:rPr>
              <w:t>Sales of securities information can only be reported for financial year 2018 onwards.</w:t>
            </w:r>
          </w:p>
        </w:tc>
      </w:tr>
      <w:tr w:rsidR="00115458" w:rsidRPr="00944B5E" w14:paraId="5F25B47B" w14:textId="77777777" w:rsidTr="00427C84">
        <w:trPr>
          <w:trHeight w:val="30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5E25A2E" w14:textId="77777777" w:rsidR="00115458" w:rsidRPr="00944B5E" w:rsidRDefault="00115458" w:rsidP="00F4606C">
            <w:pPr>
              <w:spacing w:after="0" w:line="240" w:lineRule="auto"/>
              <w:ind w:right="-80"/>
              <w:rPr>
                <w:rFonts w:cs="Arial"/>
                <w:color w:val="000000"/>
              </w:rPr>
            </w:pPr>
          </w:p>
          <w:p w14:paraId="77AA665B" w14:textId="77777777" w:rsidR="00115458" w:rsidRPr="00944B5E" w:rsidRDefault="00115458" w:rsidP="00F4606C">
            <w:pPr>
              <w:spacing w:after="0" w:line="240" w:lineRule="auto"/>
              <w:ind w:right="-80"/>
              <w:rPr>
                <w:rFonts w:cs="Arial"/>
                <w:b/>
                <w:color w:val="000000"/>
              </w:rPr>
            </w:pPr>
            <w:r w:rsidRPr="00944B5E">
              <w:rPr>
                <w:rFonts w:cs="Arial"/>
                <w:b/>
                <w:color w:val="000000"/>
              </w:rPr>
              <w:t>Record level errors</w:t>
            </w:r>
          </w:p>
        </w:tc>
      </w:tr>
      <w:tr w:rsidR="00115458" w:rsidRPr="00944B5E" w14:paraId="2DE8C8BF"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4489C39A" w14:textId="77777777" w:rsidR="00115458" w:rsidRPr="00944B5E" w:rsidRDefault="00115458" w:rsidP="00F4606C">
            <w:pPr>
              <w:spacing w:after="0" w:line="240" w:lineRule="auto"/>
              <w:ind w:right="-80"/>
              <w:rPr>
                <w:rFonts w:cs="Arial"/>
              </w:rPr>
            </w:pPr>
            <w:r w:rsidRPr="00944B5E">
              <w:rPr>
                <w:rFonts w:cs="Arial"/>
              </w:rPr>
              <w:t>VR06</w:t>
            </w:r>
          </w:p>
        </w:tc>
        <w:tc>
          <w:tcPr>
            <w:tcW w:w="1341" w:type="pct"/>
            <w:tcBorders>
              <w:top w:val="single" w:sz="4" w:space="0" w:color="auto"/>
              <w:left w:val="single" w:sz="4" w:space="0" w:color="auto"/>
              <w:bottom w:val="single" w:sz="4" w:space="0" w:color="auto"/>
              <w:right w:val="single" w:sz="4" w:space="0" w:color="auto"/>
            </w:tcBorders>
            <w:vAlign w:val="center"/>
          </w:tcPr>
          <w:p w14:paraId="7421BA84" w14:textId="0D099603" w:rsidR="00115458" w:rsidRPr="00944B5E" w:rsidRDefault="00115458" w:rsidP="00F4606C">
            <w:pPr>
              <w:spacing w:after="0" w:line="240" w:lineRule="auto"/>
              <w:ind w:right="-80"/>
              <w:rPr>
                <w:rFonts w:cs="Arial"/>
                <w:color w:val="000000"/>
              </w:rPr>
            </w:pPr>
            <w:r w:rsidRPr="00944B5E">
              <w:rPr>
                <w:rFonts w:cs="Arial"/>
                <w:color w:val="000000"/>
              </w:rPr>
              <w:t>9.10, 9.11, 9.12, 9.17, 9.18, 9.33, 9.59, 9.63, 9.</w:t>
            </w:r>
            <w:r w:rsidR="008C7591" w:rsidRPr="00944B5E">
              <w:rPr>
                <w:rFonts w:cs="Arial"/>
                <w:color w:val="000000"/>
              </w:rPr>
              <w:t>16</w:t>
            </w:r>
            <w:r w:rsidR="008C7591">
              <w:rPr>
                <w:rFonts w:cs="Arial"/>
                <w:color w:val="000000"/>
              </w:rPr>
              <w:t>8</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4CFD5669" w14:textId="77777777" w:rsidR="00115458" w:rsidRPr="00944B5E" w:rsidRDefault="00115458" w:rsidP="00F4606C">
            <w:pPr>
              <w:spacing w:after="0" w:line="240" w:lineRule="auto"/>
              <w:ind w:right="-80"/>
              <w:rPr>
                <w:rFonts w:cs="Arial"/>
                <w:color w:val="000000"/>
              </w:rPr>
            </w:pPr>
            <w:r w:rsidRPr="00944B5E">
              <w:rPr>
                <w:rFonts w:cs="Arial"/>
                <w:color w:val="000000"/>
              </w:rPr>
              <w:t>Provide data in this field. It cannot be blank.</w:t>
            </w:r>
          </w:p>
        </w:tc>
      </w:tr>
      <w:tr w:rsidR="00115458" w:rsidRPr="00944B5E" w14:paraId="03F59216"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566A0F9E" w14:textId="77777777" w:rsidR="00115458" w:rsidRPr="00944B5E" w:rsidRDefault="00115458" w:rsidP="00F4606C">
            <w:pPr>
              <w:spacing w:after="0" w:line="240" w:lineRule="auto"/>
              <w:ind w:right="-80"/>
              <w:rPr>
                <w:rFonts w:cs="Arial"/>
              </w:rPr>
            </w:pPr>
            <w:r w:rsidRPr="00944B5E">
              <w:rPr>
                <w:rFonts w:cs="Arial"/>
              </w:rPr>
              <w:t>VR09</w:t>
            </w:r>
          </w:p>
        </w:tc>
        <w:tc>
          <w:tcPr>
            <w:tcW w:w="1341" w:type="pct"/>
            <w:tcBorders>
              <w:top w:val="single" w:sz="4" w:space="0" w:color="auto"/>
              <w:left w:val="single" w:sz="4" w:space="0" w:color="auto"/>
              <w:bottom w:val="single" w:sz="4" w:space="0" w:color="auto"/>
              <w:right w:val="single" w:sz="4" w:space="0" w:color="auto"/>
            </w:tcBorders>
            <w:vAlign w:val="center"/>
          </w:tcPr>
          <w:p w14:paraId="3DE5FE22" w14:textId="77777777" w:rsidR="00115458" w:rsidRPr="00944B5E" w:rsidRDefault="00115458" w:rsidP="00F4606C">
            <w:pPr>
              <w:spacing w:after="0" w:line="240" w:lineRule="auto"/>
              <w:ind w:right="-80"/>
              <w:rPr>
                <w:rFonts w:cs="Arial"/>
                <w:color w:val="000000"/>
              </w:rPr>
            </w:pPr>
            <w:r w:rsidRPr="00944B5E">
              <w:rPr>
                <w:rFonts w:cs="Arial"/>
                <w:color w:val="000000"/>
              </w:rPr>
              <w:t>9.19, 9.24</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3B53411C" w14:textId="77777777" w:rsidR="00115458" w:rsidRPr="00944B5E" w:rsidRDefault="00115458" w:rsidP="00F4606C">
            <w:pPr>
              <w:spacing w:after="0" w:line="240" w:lineRule="auto"/>
              <w:ind w:right="-80"/>
              <w:rPr>
                <w:rFonts w:cs="Arial"/>
                <w:color w:val="000000"/>
              </w:rPr>
            </w:pPr>
            <w:r w:rsidRPr="00944B5E">
              <w:rPr>
                <w:rFonts w:cs="Arial"/>
                <w:color w:val="000000"/>
              </w:rPr>
              <w:t>The state or territory field must contain either: ACT, NSW, VIC, QLD, NT, SA, WA, TAS or OTH.</w:t>
            </w:r>
          </w:p>
        </w:tc>
      </w:tr>
      <w:tr w:rsidR="00115458" w:rsidRPr="00944B5E" w14:paraId="3084F01B"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EF21155" w14:textId="77777777" w:rsidR="00115458" w:rsidRPr="00944B5E" w:rsidRDefault="00115458" w:rsidP="00F4606C">
            <w:pPr>
              <w:spacing w:after="0" w:line="240" w:lineRule="auto"/>
              <w:ind w:right="-80"/>
              <w:rPr>
                <w:rFonts w:cs="Arial"/>
              </w:rPr>
            </w:pPr>
            <w:r w:rsidRPr="00944B5E">
              <w:rPr>
                <w:rFonts w:cs="Arial"/>
              </w:rPr>
              <w:t>VR12</w:t>
            </w:r>
          </w:p>
        </w:tc>
        <w:tc>
          <w:tcPr>
            <w:tcW w:w="1341" w:type="pct"/>
            <w:tcBorders>
              <w:top w:val="single" w:sz="4" w:space="0" w:color="auto"/>
              <w:left w:val="single" w:sz="4" w:space="0" w:color="auto"/>
              <w:bottom w:val="single" w:sz="4" w:space="0" w:color="auto"/>
              <w:right w:val="single" w:sz="4" w:space="0" w:color="auto"/>
            </w:tcBorders>
            <w:vAlign w:val="center"/>
          </w:tcPr>
          <w:p w14:paraId="278FE4B0" w14:textId="77777777" w:rsidR="00115458" w:rsidRPr="00944B5E" w:rsidRDefault="00115458" w:rsidP="00F4606C">
            <w:pPr>
              <w:spacing w:after="0" w:line="240" w:lineRule="auto"/>
              <w:ind w:right="-80"/>
              <w:rPr>
                <w:rFonts w:cs="Arial"/>
                <w:color w:val="000000"/>
              </w:rPr>
            </w:pPr>
            <w:r w:rsidRPr="00944B5E">
              <w:rPr>
                <w:rFonts w:cs="Arial"/>
                <w:color w:val="000000"/>
              </w:rPr>
              <w:t>9.3, 9.31</w:t>
            </w:r>
          </w:p>
        </w:tc>
        <w:tc>
          <w:tcPr>
            <w:tcW w:w="3080" w:type="pct"/>
            <w:tcBorders>
              <w:top w:val="single" w:sz="4" w:space="0" w:color="auto"/>
              <w:left w:val="single" w:sz="4" w:space="0" w:color="auto"/>
              <w:bottom w:val="single" w:sz="4" w:space="0" w:color="auto"/>
              <w:right w:val="single" w:sz="4" w:space="0" w:color="auto"/>
            </w:tcBorders>
            <w:noWrap/>
            <w:vAlign w:val="center"/>
          </w:tcPr>
          <w:p w14:paraId="564502B0" w14:textId="77777777" w:rsidR="00115458" w:rsidRPr="00944B5E" w:rsidRDefault="00115458" w:rsidP="00F4606C">
            <w:pPr>
              <w:spacing w:after="0" w:line="240" w:lineRule="auto"/>
              <w:ind w:right="-80"/>
              <w:rPr>
                <w:rFonts w:cs="Arial"/>
                <w:color w:val="000000"/>
              </w:rPr>
            </w:pPr>
            <w:r w:rsidRPr="00944B5E">
              <w:rPr>
                <w:rFonts w:cs="Arial"/>
                <w:color w:val="000000"/>
              </w:rPr>
              <w:t>The Australian business number (ABN) field must contain a valid ABN.</w:t>
            </w:r>
          </w:p>
        </w:tc>
      </w:tr>
      <w:tr w:rsidR="00115458" w:rsidRPr="00944B5E" w14:paraId="7A8B2C14"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76FC114C" w14:textId="77777777" w:rsidR="00115458" w:rsidRPr="00944B5E" w:rsidRDefault="00115458" w:rsidP="00F4606C">
            <w:pPr>
              <w:spacing w:after="0" w:line="240" w:lineRule="auto"/>
              <w:ind w:right="-80"/>
              <w:rPr>
                <w:rFonts w:cs="Arial"/>
              </w:rPr>
            </w:pPr>
            <w:r w:rsidRPr="00944B5E">
              <w:rPr>
                <w:rFonts w:cs="Arial"/>
              </w:rPr>
              <w:t>VR14</w:t>
            </w:r>
          </w:p>
        </w:tc>
        <w:tc>
          <w:tcPr>
            <w:tcW w:w="1341" w:type="pct"/>
            <w:tcBorders>
              <w:top w:val="single" w:sz="4" w:space="0" w:color="auto"/>
              <w:left w:val="single" w:sz="4" w:space="0" w:color="auto"/>
              <w:bottom w:val="single" w:sz="4" w:space="0" w:color="auto"/>
              <w:right w:val="single" w:sz="4" w:space="0" w:color="auto"/>
            </w:tcBorders>
            <w:vAlign w:val="center"/>
          </w:tcPr>
          <w:p w14:paraId="3F309A7A" w14:textId="77777777" w:rsidR="00115458" w:rsidRPr="00944B5E" w:rsidRDefault="00115458" w:rsidP="00F4606C">
            <w:pPr>
              <w:spacing w:after="0" w:line="240" w:lineRule="auto"/>
              <w:ind w:right="-80"/>
              <w:rPr>
                <w:rFonts w:cs="Arial"/>
                <w:color w:val="000000"/>
              </w:rPr>
            </w:pPr>
            <w:r w:rsidRPr="00944B5E">
              <w:rPr>
                <w:rFonts w:cs="Arial"/>
                <w:color w:val="000000"/>
              </w:rPr>
              <w:t>9.5, 9.54, 9.55</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46A31C8D" w14:textId="77777777" w:rsidR="00115458" w:rsidRPr="00944B5E" w:rsidRDefault="00115458" w:rsidP="00F4606C">
            <w:pPr>
              <w:spacing w:after="0" w:line="240" w:lineRule="auto"/>
              <w:ind w:right="-80"/>
              <w:rPr>
                <w:rFonts w:cs="Arial"/>
                <w:color w:val="000000"/>
              </w:rPr>
            </w:pPr>
            <w:r w:rsidRPr="00944B5E">
              <w:rPr>
                <w:rFonts w:cs="Arial"/>
                <w:color w:val="000000"/>
              </w:rPr>
              <w:t>The date field must contain a valid date in the format DDMMCCYY.</w:t>
            </w:r>
          </w:p>
        </w:tc>
      </w:tr>
      <w:tr w:rsidR="00115458" w:rsidRPr="00944B5E" w14:paraId="3D056A6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4826F9D2" w14:textId="77777777" w:rsidR="00115458" w:rsidRPr="00944B5E" w:rsidRDefault="00115458" w:rsidP="00F4606C">
            <w:pPr>
              <w:spacing w:after="0" w:line="240" w:lineRule="auto"/>
              <w:ind w:right="-80"/>
              <w:rPr>
                <w:rFonts w:cs="Arial"/>
              </w:rPr>
            </w:pPr>
            <w:r w:rsidRPr="00944B5E">
              <w:rPr>
                <w:rFonts w:cs="Arial"/>
              </w:rPr>
              <w:t>VR20</w:t>
            </w:r>
          </w:p>
        </w:tc>
        <w:tc>
          <w:tcPr>
            <w:tcW w:w="1341" w:type="pct"/>
            <w:tcBorders>
              <w:top w:val="single" w:sz="4" w:space="0" w:color="auto"/>
              <w:left w:val="single" w:sz="4" w:space="0" w:color="auto"/>
              <w:bottom w:val="single" w:sz="4" w:space="0" w:color="auto"/>
              <w:right w:val="single" w:sz="4" w:space="0" w:color="auto"/>
            </w:tcBorders>
            <w:vAlign w:val="center"/>
          </w:tcPr>
          <w:p w14:paraId="1A4ABF30" w14:textId="77777777" w:rsidR="00115458" w:rsidRPr="00944B5E" w:rsidRDefault="00115458" w:rsidP="00F4606C">
            <w:pPr>
              <w:spacing w:after="0" w:line="240" w:lineRule="auto"/>
              <w:ind w:right="-80"/>
              <w:rPr>
                <w:rFonts w:cs="Arial"/>
                <w:color w:val="000000"/>
              </w:rPr>
            </w:pPr>
            <w:r w:rsidRPr="00944B5E">
              <w:rPr>
                <w:rFonts w:cs="Arial"/>
                <w:color w:val="000000"/>
              </w:rPr>
              <w:t>9.20</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40955C5E" w14:textId="77777777" w:rsidR="00115458" w:rsidRPr="00944B5E" w:rsidRDefault="00115458" w:rsidP="00F4606C">
            <w:pPr>
              <w:spacing w:after="0" w:line="240" w:lineRule="auto"/>
              <w:ind w:right="-80"/>
              <w:rPr>
                <w:rFonts w:cs="Arial"/>
                <w:color w:val="000000"/>
              </w:rPr>
            </w:pPr>
            <w:r w:rsidRPr="00944B5E">
              <w:rPr>
                <w:rFonts w:cs="Arial"/>
                <w:color w:val="000000"/>
              </w:rPr>
              <w:t>The postcode field must be within the range of ‘0001-9999’.</w:t>
            </w:r>
          </w:p>
        </w:tc>
      </w:tr>
      <w:tr w:rsidR="00115458" w:rsidRPr="00944B5E" w14:paraId="4878BA1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13CEB1C1" w14:textId="77777777" w:rsidR="00115458" w:rsidRPr="00944B5E" w:rsidRDefault="00115458" w:rsidP="00F4606C">
            <w:pPr>
              <w:spacing w:after="0" w:line="240" w:lineRule="auto"/>
              <w:ind w:right="-80"/>
              <w:rPr>
                <w:rFonts w:cs="Arial"/>
              </w:rPr>
            </w:pPr>
            <w:r w:rsidRPr="00944B5E">
              <w:rPr>
                <w:rFonts w:cs="Arial"/>
              </w:rPr>
              <w:t>VR28</w:t>
            </w:r>
          </w:p>
        </w:tc>
        <w:tc>
          <w:tcPr>
            <w:tcW w:w="1341" w:type="pct"/>
            <w:tcBorders>
              <w:top w:val="single" w:sz="4" w:space="0" w:color="auto"/>
              <w:left w:val="single" w:sz="4" w:space="0" w:color="auto"/>
              <w:bottom w:val="single" w:sz="4" w:space="0" w:color="auto"/>
              <w:right w:val="single" w:sz="4" w:space="0" w:color="auto"/>
            </w:tcBorders>
            <w:vAlign w:val="center"/>
          </w:tcPr>
          <w:p w14:paraId="7B85FA86" w14:textId="77777777" w:rsidR="00115458" w:rsidRPr="00944B5E" w:rsidRDefault="00115458" w:rsidP="00F4606C">
            <w:pPr>
              <w:spacing w:after="0" w:line="240" w:lineRule="auto"/>
              <w:ind w:right="-80"/>
              <w:rPr>
                <w:rFonts w:cs="Arial"/>
                <w:color w:val="000000"/>
              </w:rPr>
            </w:pPr>
            <w:r w:rsidRPr="00944B5E">
              <w:rPr>
                <w:rFonts w:cs="Arial"/>
                <w:color w:val="000000"/>
              </w:rPr>
              <w:t>9.24</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5DE8D679" w14:textId="77777777" w:rsidR="00115458" w:rsidRPr="00944B5E" w:rsidRDefault="00115458" w:rsidP="00F4606C">
            <w:pPr>
              <w:spacing w:after="0" w:line="240" w:lineRule="auto"/>
              <w:ind w:right="-80"/>
              <w:rPr>
                <w:rFonts w:cs="Arial"/>
                <w:color w:val="000000"/>
              </w:rPr>
            </w:pPr>
            <w:r w:rsidRPr="00944B5E">
              <w:rPr>
                <w:rFonts w:cs="Arial"/>
                <w:color w:val="000000"/>
              </w:rPr>
              <w:t>The Address line 1 field is entered therefore the State or territory field must be either: ACT, NSW, VIC, QLD, NT, SA, WA, TAS or OTH.</w:t>
            </w:r>
          </w:p>
        </w:tc>
      </w:tr>
      <w:tr w:rsidR="00115458" w:rsidRPr="00944B5E" w14:paraId="37A86FB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5A881843" w14:textId="77777777" w:rsidR="00115458" w:rsidRPr="00944B5E" w:rsidRDefault="00115458" w:rsidP="00F4606C">
            <w:pPr>
              <w:spacing w:after="0" w:line="240" w:lineRule="auto"/>
              <w:ind w:right="-80"/>
              <w:rPr>
                <w:rFonts w:cs="Arial"/>
              </w:rPr>
            </w:pPr>
            <w:r w:rsidRPr="00944B5E">
              <w:rPr>
                <w:rFonts w:cs="Arial"/>
              </w:rPr>
              <w:t>VR29</w:t>
            </w:r>
          </w:p>
        </w:tc>
        <w:tc>
          <w:tcPr>
            <w:tcW w:w="1341" w:type="pct"/>
            <w:tcBorders>
              <w:top w:val="single" w:sz="4" w:space="0" w:color="auto"/>
              <w:left w:val="single" w:sz="4" w:space="0" w:color="auto"/>
              <w:bottom w:val="single" w:sz="4" w:space="0" w:color="auto"/>
              <w:right w:val="single" w:sz="4" w:space="0" w:color="auto"/>
            </w:tcBorders>
            <w:vAlign w:val="center"/>
          </w:tcPr>
          <w:p w14:paraId="3217B19C" w14:textId="77777777" w:rsidR="00115458" w:rsidRPr="00944B5E" w:rsidRDefault="00115458" w:rsidP="00F4606C">
            <w:pPr>
              <w:spacing w:after="0" w:line="240" w:lineRule="auto"/>
              <w:ind w:right="-80"/>
              <w:rPr>
                <w:rFonts w:cs="Arial"/>
                <w:color w:val="000000"/>
              </w:rPr>
            </w:pPr>
            <w:r w:rsidRPr="00944B5E">
              <w:rPr>
                <w:rFonts w:cs="Arial"/>
                <w:color w:val="000000"/>
              </w:rPr>
              <w:t>9.25</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52057D65" w14:textId="77777777" w:rsidR="00115458" w:rsidRPr="00944B5E" w:rsidRDefault="00115458" w:rsidP="00F4606C">
            <w:pPr>
              <w:spacing w:after="0" w:line="240" w:lineRule="auto"/>
              <w:ind w:right="-80"/>
              <w:rPr>
                <w:rFonts w:cs="Arial"/>
                <w:color w:val="000000"/>
              </w:rPr>
            </w:pPr>
            <w:r w:rsidRPr="00944B5E">
              <w:rPr>
                <w:rFonts w:cs="Arial"/>
                <w:color w:val="000000"/>
              </w:rPr>
              <w:t>The Address line 1 field is entered therefore the Postcode field must be within the range of ‘0001-9999’.</w:t>
            </w:r>
          </w:p>
        </w:tc>
      </w:tr>
      <w:tr w:rsidR="00115458" w:rsidRPr="00944B5E" w14:paraId="0C1B54E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3D2D27D" w14:textId="77777777" w:rsidR="00115458" w:rsidRPr="00944B5E" w:rsidRDefault="00115458" w:rsidP="00F4606C">
            <w:pPr>
              <w:spacing w:after="0" w:line="240" w:lineRule="auto"/>
              <w:ind w:right="-80"/>
              <w:rPr>
                <w:rFonts w:cs="Arial"/>
              </w:rPr>
            </w:pPr>
            <w:r w:rsidRPr="00944B5E">
              <w:rPr>
                <w:rFonts w:cs="Arial"/>
              </w:rPr>
              <w:t>VR30</w:t>
            </w:r>
          </w:p>
        </w:tc>
        <w:tc>
          <w:tcPr>
            <w:tcW w:w="1341" w:type="pct"/>
            <w:tcBorders>
              <w:top w:val="single" w:sz="4" w:space="0" w:color="auto"/>
              <w:left w:val="single" w:sz="4" w:space="0" w:color="auto"/>
              <w:bottom w:val="single" w:sz="4" w:space="0" w:color="auto"/>
              <w:right w:val="single" w:sz="4" w:space="0" w:color="auto"/>
            </w:tcBorders>
            <w:vAlign w:val="center"/>
          </w:tcPr>
          <w:p w14:paraId="59E1EDC9" w14:textId="77777777" w:rsidR="00115458" w:rsidRPr="00944B5E" w:rsidRDefault="00115458" w:rsidP="00F4606C">
            <w:pPr>
              <w:spacing w:after="0" w:line="240" w:lineRule="auto"/>
              <w:ind w:right="-80"/>
              <w:rPr>
                <w:rFonts w:cs="Arial"/>
                <w:color w:val="000000"/>
              </w:rPr>
            </w:pPr>
            <w:r w:rsidRPr="00944B5E">
              <w:rPr>
                <w:rFonts w:cs="Arial"/>
                <w:color w:val="000000"/>
              </w:rPr>
              <w:t>9.25</w:t>
            </w:r>
          </w:p>
        </w:tc>
        <w:tc>
          <w:tcPr>
            <w:tcW w:w="3080" w:type="pct"/>
            <w:tcBorders>
              <w:top w:val="single" w:sz="4" w:space="0" w:color="auto"/>
              <w:left w:val="single" w:sz="4" w:space="0" w:color="auto"/>
              <w:bottom w:val="single" w:sz="4" w:space="0" w:color="auto"/>
              <w:right w:val="single" w:sz="4" w:space="0" w:color="auto"/>
            </w:tcBorders>
            <w:noWrap/>
            <w:vAlign w:val="center"/>
          </w:tcPr>
          <w:p w14:paraId="4B6C12D5" w14:textId="77777777" w:rsidR="00115458" w:rsidRPr="00944B5E" w:rsidRDefault="00115458" w:rsidP="00F4606C">
            <w:pPr>
              <w:spacing w:after="0" w:line="240" w:lineRule="auto"/>
              <w:ind w:right="-80"/>
              <w:rPr>
                <w:rFonts w:cs="Arial"/>
                <w:color w:val="000000"/>
              </w:rPr>
            </w:pPr>
            <w:r w:rsidRPr="00944B5E">
              <w:rPr>
                <w:rFonts w:cs="Arial"/>
                <w:color w:val="000000"/>
              </w:rPr>
              <w:t>The postcode must be 0000 as the postal address line 1 is blank</w:t>
            </w:r>
          </w:p>
        </w:tc>
      </w:tr>
      <w:tr w:rsidR="00115458" w:rsidRPr="00944B5E" w14:paraId="3A3F7376"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0F955F31" w14:textId="77777777" w:rsidR="00115458" w:rsidRPr="00944B5E" w:rsidRDefault="00115458" w:rsidP="00F4606C">
            <w:pPr>
              <w:spacing w:after="0" w:line="240" w:lineRule="auto"/>
              <w:ind w:right="-80"/>
              <w:rPr>
                <w:rFonts w:cs="Arial"/>
              </w:rPr>
            </w:pPr>
            <w:r w:rsidRPr="00944B5E">
              <w:rPr>
                <w:rFonts w:cs="Arial"/>
              </w:rPr>
              <w:t>VR31</w:t>
            </w:r>
          </w:p>
        </w:tc>
        <w:tc>
          <w:tcPr>
            <w:tcW w:w="1341" w:type="pct"/>
            <w:tcBorders>
              <w:top w:val="single" w:sz="4" w:space="0" w:color="auto"/>
              <w:left w:val="single" w:sz="4" w:space="0" w:color="auto"/>
              <w:bottom w:val="single" w:sz="4" w:space="0" w:color="auto"/>
              <w:right w:val="single" w:sz="4" w:space="0" w:color="auto"/>
            </w:tcBorders>
            <w:vAlign w:val="center"/>
          </w:tcPr>
          <w:p w14:paraId="70718788" w14:textId="77777777" w:rsidR="00115458" w:rsidRPr="00944B5E" w:rsidRDefault="00115458" w:rsidP="00F4606C">
            <w:pPr>
              <w:spacing w:after="0" w:line="240" w:lineRule="auto"/>
              <w:ind w:right="-80"/>
              <w:rPr>
                <w:rFonts w:cs="Arial"/>
                <w:color w:val="000000"/>
              </w:rPr>
            </w:pPr>
            <w:r w:rsidRPr="00944B5E">
              <w:rPr>
                <w:rFonts w:cs="Arial"/>
                <w:color w:val="000000"/>
              </w:rPr>
              <w:t>9.27</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4E69571B" w14:textId="77777777" w:rsidR="00115458" w:rsidRPr="00944B5E" w:rsidRDefault="00115458" w:rsidP="00F4606C">
            <w:pPr>
              <w:spacing w:after="0" w:line="240" w:lineRule="auto"/>
              <w:ind w:right="-80"/>
              <w:rPr>
                <w:rFonts w:cs="Arial"/>
                <w:color w:val="000000"/>
              </w:rPr>
            </w:pPr>
            <w:r w:rsidRPr="00944B5E">
              <w:rPr>
                <w:rFonts w:cs="Arial"/>
                <w:color w:val="000000"/>
              </w:rPr>
              <w:t>Report the correct email address including the @</w:t>
            </w:r>
          </w:p>
        </w:tc>
      </w:tr>
      <w:tr w:rsidR="00115458" w:rsidRPr="00944B5E" w14:paraId="241B0F4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F3D48BD" w14:textId="77777777" w:rsidR="00115458" w:rsidRPr="00944B5E" w:rsidRDefault="00115458" w:rsidP="00F4606C">
            <w:pPr>
              <w:spacing w:after="0" w:line="240" w:lineRule="auto"/>
              <w:ind w:right="-80"/>
              <w:rPr>
                <w:rFonts w:cs="Arial"/>
              </w:rPr>
            </w:pPr>
            <w:r w:rsidRPr="00944B5E">
              <w:rPr>
                <w:rFonts w:cs="Arial"/>
              </w:rPr>
              <w:t>VR33</w:t>
            </w:r>
          </w:p>
        </w:tc>
        <w:tc>
          <w:tcPr>
            <w:tcW w:w="1341" w:type="pct"/>
            <w:tcBorders>
              <w:top w:val="single" w:sz="4" w:space="0" w:color="auto"/>
              <w:left w:val="single" w:sz="4" w:space="0" w:color="auto"/>
              <w:bottom w:val="single" w:sz="4" w:space="0" w:color="auto"/>
              <w:right w:val="single" w:sz="4" w:space="0" w:color="auto"/>
            </w:tcBorders>
            <w:vAlign w:val="center"/>
          </w:tcPr>
          <w:p w14:paraId="5D1C5074" w14:textId="77777777" w:rsidR="00115458" w:rsidRPr="00944B5E" w:rsidRDefault="00115458" w:rsidP="00F4606C">
            <w:pPr>
              <w:spacing w:after="0" w:line="240" w:lineRule="auto"/>
              <w:ind w:right="-80"/>
              <w:rPr>
                <w:rFonts w:cs="Arial"/>
                <w:color w:val="000000"/>
              </w:rPr>
            </w:pPr>
            <w:r w:rsidRPr="00944B5E">
              <w:rPr>
                <w:rFonts w:cs="Arial"/>
                <w:color w:val="000000"/>
              </w:rPr>
              <w:t>9.31</w:t>
            </w:r>
          </w:p>
        </w:tc>
        <w:tc>
          <w:tcPr>
            <w:tcW w:w="3080" w:type="pct"/>
            <w:tcBorders>
              <w:top w:val="single" w:sz="4" w:space="0" w:color="auto"/>
              <w:left w:val="single" w:sz="4" w:space="0" w:color="auto"/>
              <w:bottom w:val="single" w:sz="4" w:space="0" w:color="auto"/>
              <w:right w:val="single" w:sz="4" w:space="0" w:color="auto"/>
            </w:tcBorders>
            <w:noWrap/>
            <w:vAlign w:val="center"/>
          </w:tcPr>
          <w:p w14:paraId="22474B28" w14:textId="77777777" w:rsidR="00115458" w:rsidRPr="00944B5E" w:rsidRDefault="00115458" w:rsidP="00F4606C">
            <w:pPr>
              <w:spacing w:after="0" w:line="240" w:lineRule="auto"/>
              <w:ind w:right="-80"/>
              <w:rPr>
                <w:rFonts w:cs="Arial"/>
                <w:b/>
                <w:color w:val="000000"/>
              </w:rPr>
            </w:pPr>
            <w:r w:rsidRPr="00944B5E">
              <w:rPr>
                <w:rFonts w:cs="Arial"/>
                <w:color w:val="000000"/>
              </w:rPr>
              <w:t>The Withholding payer number (WPN) field must contain a valid Withholding payer number.</w:t>
            </w:r>
          </w:p>
        </w:tc>
      </w:tr>
      <w:tr w:rsidR="00115458" w:rsidRPr="00944B5E" w14:paraId="385EC06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3D25F727" w14:textId="77777777" w:rsidR="00115458" w:rsidRPr="00944B5E" w:rsidRDefault="00115458" w:rsidP="00F4606C">
            <w:pPr>
              <w:spacing w:after="0" w:line="240" w:lineRule="auto"/>
              <w:ind w:right="-80"/>
              <w:rPr>
                <w:rFonts w:cs="Arial"/>
              </w:rPr>
            </w:pPr>
            <w:r w:rsidRPr="00944B5E">
              <w:rPr>
                <w:rFonts w:cs="Arial"/>
              </w:rPr>
              <w:t>VR37</w:t>
            </w:r>
          </w:p>
        </w:tc>
        <w:tc>
          <w:tcPr>
            <w:tcW w:w="1341" w:type="pct"/>
            <w:tcBorders>
              <w:top w:val="single" w:sz="4" w:space="0" w:color="auto"/>
              <w:left w:val="single" w:sz="4" w:space="0" w:color="auto"/>
              <w:bottom w:val="single" w:sz="4" w:space="0" w:color="auto"/>
              <w:right w:val="single" w:sz="4" w:space="0" w:color="auto"/>
            </w:tcBorders>
            <w:vAlign w:val="center"/>
          </w:tcPr>
          <w:p w14:paraId="74875D45" w14:textId="77777777" w:rsidR="00115458" w:rsidRPr="00944B5E" w:rsidRDefault="00115458" w:rsidP="00F4606C">
            <w:pPr>
              <w:spacing w:after="0" w:line="240" w:lineRule="auto"/>
              <w:ind w:right="-80"/>
              <w:rPr>
                <w:rFonts w:cs="Arial"/>
                <w:color w:val="000000"/>
              </w:rPr>
            </w:pPr>
            <w:r w:rsidRPr="00944B5E">
              <w:rPr>
                <w:rFonts w:cs="Arial"/>
                <w:color w:val="000000"/>
              </w:rPr>
              <w:t>9.30</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08121290" w14:textId="77777777" w:rsidR="00115458" w:rsidRPr="00944B5E" w:rsidRDefault="00115458" w:rsidP="00F4606C">
            <w:pPr>
              <w:spacing w:after="0" w:line="240" w:lineRule="auto"/>
              <w:ind w:right="-80"/>
              <w:rPr>
                <w:rFonts w:cs="Arial"/>
                <w:color w:val="000000"/>
              </w:rPr>
            </w:pPr>
            <w:r w:rsidRPr="00944B5E">
              <w:rPr>
                <w:rFonts w:cs="Arial"/>
                <w:color w:val="000000"/>
              </w:rPr>
              <w:t>The Financial year field cannot be after the current financial year.</w:t>
            </w:r>
          </w:p>
        </w:tc>
      </w:tr>
      <w:tr w:rsidR="00115458" w:rsidRPr="00944B5E" w14:paraId="58A2AD01"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608220F" w14:textId="77777777" w:rsidR="00115458" w:rsidRPr="00944B5E" w:rsidRDefault="00115458" w:rsidP="00F4606C">
            <w:pPr>
              <w:spacing w:after="0" w:line="240" w:lineRule="auto"/>
              <w:ind w:right="-80"/>
              <w:rPr>
                <w:rFonts w:cs="Arial"/>
              </w:rPr>
            </w:pPr>
            <w:r w:rsidRPr="00944B5E">
              <w:rPr>
                <w:rFonts w:cs="Arial"/>
              </w:rPr>
              <w:t>VR43</w:t>
            </w:r>
          </w:p>
        </w:tc>
        <w:tc>
          <w:tcPr>
            <w:tcW w:w="1341" w:type="pct"/>
            <w:tcBorders>
              <w:top w:val="single" w:sz="4" w:space="0" w:color="auto"/>
              <w:left w:val="single" w:sz="4" w:space="0" w:color="auto"/>
              <w:bottom w:val="single" w:sz="4" w:space="0" w:color="auto"/>
              <w:right w:val="single" w:sz="4" w:space="0" w:color="auto"/>
            </w:tcBorders>
            <w:vAlign w:val="center"/>
          </w:tcPr>
          <w:p w14:paraId="210F6FD8" w14:textId="77777777" w:rsidR="00115458" w:rsidRPr="00944B5E" w:rsidRDefault="00115458" w:rsidP="00F4606C">
            <w:pPr>
              <w:spacing w:after="0" w:line="240" w:lineRule="auto"/>
              <w:ind w:right="-80"/>
              <w:rPr>
                <w:rFonts w:cs="Arial"/>
                <w:color w:val="000000"/>
              </w:rPr>
            </w:pPr>
            <w:r w:rsidRPr="00944B5E">
              <w:rPr>
                <w:rFonts w:cs="Arial"/>
                <w:color w:val="000000"/>
              </w:rPr>
              <w:t>9.217</w:t>
            </w:r>
          </w:p>
        </w:tc>
        <w:tc>
          <w:tcPr>
            <w:tcW w:w="3080" w:type="pct"/>
            <w:tcBorders>
              <w:top w:val="single" w:sz="4" w:space="0" w:color="auto"/>
              <w:left w:val="single" w:sz="4" w:space="0" w:color="auto"/>
              <w:bottom w:val="single" w:sz="4" w:space="0" w:color="auto"/>
              <w:right w:val="single" w:sz="4" w:space="0" w:color="auto"/>
            </w:tcBorders>
            <w:noWrap/>
            <w:vAlign w:val="center"/>
          </w:tcPr>
          <w:p w14:paraId="68427580" w14:textId="77777777" w:rsidR="00115458" w:rsidRPr="00944B5E" w:rsidRDefault="00115458" w:rsidP="00F4606C">
            <w:pPr>
              <w:spacing w:after="0" w:line="240" w:lineRule="auto"/>
              <w:ind w:right="-80"/>
              <w:rPr>
                <w:rFonts w:cs="Arial"/>
                <w:color w:val="000000"/>
              </w:rPr>
            </w:pPr>
            <w:r w:rsidRPr="00944B5E">
              <w:rPr>
                <w:rFonts w:cs="Arial"/>
                <w:color w:val="000000"/>
              </w:rPr>
              <w:t>The Number of Records field must equal the total of all records in this file.</w:t>
            </w:r>
          </w:p>
        </w:tc>
      </w:tr>
      <w:tr w:rsidR="00115458" w:rsidRPr="00944B5E" w14:paraId="33BBC33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73D3E2B7" w14:textId="77777777" w:rsidR="00115458" w:rsidRPr="00944B5E" w:rsidRDefault="00115458" w:rsidP="00F4606C">
            <w:pPr>
              <w:spacing w:after="0" w:line="240" w:lineRule="auto"/>
              <w:ind w:right="-80"/>
              <w:rPr>
                <w:rFonts w:cs="Arial"/>
              </w:rPr>
            </w:pPr>
            <w:r w:rsidRPr="00944B5E">
              <w:rPr>
                <w:rFonts w:cs="Arial"/>
              </w:rPr>
              <w:t>VR133</w:t>
            </w:r>
          </w:p>
        </w:tc>
        <w:tc>
          <w:tcPr>
            <w:tcW w:w="1341" w:type="pct"/>
            <w:tcBorders>
              <w:top w:val="single" w:sz="4" w:space="0" w:color="auto"/>
              <w:left w:val="single" w:sz="4" w:space="0" w:color="auto"/>
              <w:bottom w:val="single" w:sz="4" w:space="0" w:color="auto"/>
              <w:right w:val="single" w:sz="4" w:space="0" w:color="auto"/>
            </w:tcBorders>
            <w:vAlign w:val="center"/>
          </w:tcPr>
          <w:p w14:paraId="22AD8124" w14:textId="77777777" w:rsidR="00115458" w:rsidRPr="00944B5E" w:rsidRDefault="00115458" w:rsidP="00F4606C">
            <w:pPr>
              <w:spacing w:after="0" w:line="240" w:lineRule="auto"/>
              <w:ind w:right="-80"/>
              <w:rPr>
                <w:rFonts w:cs="Arial"/>
                <w:color w:val="000000"/>
              </w:rPr>
            </w:pPr>
            <w:r w:rsidRPr="00944B5E">
              <w:rPr>
                <w:rFonts w:cs="Arial"/>
                <w:color w:val="000000"/>
              </w:rPr>
              <w:t>9.7</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754002E3" w14:textId="77777777" w:rsidR="00115458" w:rsidRPr="00944B5E" w:rsidRDefault="00115458" w:rsidP="00F4606C">
            <w:pPr>
              <w:spacing w:after="0" w:line="240" w:lineRule="auto"/>
              <w:ind w:right="-80"/>
              <w:rPr>
                <w:rFonts w:cs="Arial"/>
                <w:color w:val="000000"/>
              </w:rPr>
            </w:pPr>
            <w:r w:rsidRPr="00944B5E">
              <w:rPr>
                <w:rFonts w:cs="Arial"/>
                <w:color w:val="000000"/>
              </w:rPr>
              <w:t>The Type of report field must contain either ‘A’ (Original), ‘C’ (Corrected), ‘R’ (Replaced), ‘N’ (Nil return).</w:t>
            </w:r>
          </w:p>
        </w:tc>
      </w:tr>
      <w:tr w:rsidR="00115458" w:rsidRPr="00944B5E" w14:paraId="2D8516E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453DCFE7" w14:textId="77777777" w:rsidR="00115458" w:rsidRPr="00944B5E" w:rsidRDefault="00115458" w:rsidP="00F4606C">
            <w:pPr>
              <w:spacing w:after="0" w:line="240" w:lineRule="auto"/>
              <w:ind w:right="-80"/>
              <w:rPr>
                <w:rFonts w:cs="Arial"/>
              </w:rPr>
            </w:pPr>
            <w:r w:rsidRPr="00944B5E">
              <w:rPr>
                <w:rFonts w:cs="Arial"/>
              </w:rPr>
              <w:t>VR150</w:t>
            </w:r>
          </w:p>
        </w:tc>
        <w:tc>
          <w:tcPr>
            <w:tcW w:w="1341" w:type="pct"/>
            <w:tcBorders>
              <w:top w:val="single" w:sz="4" w:space="0" w:color="auto"/>
              <w:left w:val="single" w:sz="4" w:space="0" w:color="auto"/>
              <w:bottom w:val="single" w:sz="4" w:space="0" w:color="auto"/>
              <w:right w:val="single" w:sz="4" w:space="0" w:color="auto"/>
            </w:tcBorders>
            <w:vAlign w:val="center"/>
          </w:tcPr>
          <w:p w14:paraId="6F5DBB77" w14:textId="77777777" w:rsidR="00115458" w:rsidRPr="00944B5E" w:rsidRDefault="00115458" w:rsidP="00F4606C">
            <w:pPr>
              <w:spacing w:after="0" w:line="240" w:lineRule="auto"/>
              <w:ind w:right="-80"/>
              <w:rPr>
                <w:rFonts w:cs="Arial"/>
                <w:color w:val="000000"/>
              </w:rPr>
            </w:pPr>
            <w:r w:rsidRPr="00944B5E">
              <w:rPr>
                <w:rFonts w:cs="Arial"/>
                <w:color w:val="000000"/>
              </w:rPr>
              <w:t>9.29, 9.53</w:t>
            </w:r>
          </w:p>
        </w:tc>
        <w:tc>
          <w:tcPr>
            <w:tcW w:w="3080" w:type="pct"/>
            <w:tcBorders>
              <w:top w:val="single" w:sz="4" w:space="0" w:color="auto"/>
              <w:left w:val="single" w:sz="4" w:space="0" w:color="auto"/>
              <w:bottom w:val="single" w:sz="4" w:space="0" w:color="auto"/>
              <w:right w:val="single" w:sz="4" w:space="0" w:color="auto"/>
            </w:tcBorders>
            <w:vAlign w:val="center"/>
            <w:hideMark/>
          </w:tcPr>
          <w:p w14:paraId="79EDA94E" w14:textId="77777777" w:rsidR="00115458" w:rsidRPr="00944B5E" w:rsidRDefault="00115458" w:rsidP="00F4606C">
            <w:pPr>
              <w:spacing w:after="0" w:line="240" w:lineRule="auto"/>
              <w:ind w:right="-80"/>
              <w:rPr>
                <w:rFonts w:cs="Arial"/>
                <w:color w:val="000000"/>
              </w:rPr>
            </w:pPr>
            <w:r w:rsidRPr="00944B5E">
              <w:rPr>
                <w:rFonts w:cs="Arial"/>
                <w:color w:val="000000"/>
              </w:rPr>
              <w:t>C</w:t>
            </w:r>
            <w:r w:rsidRPr="00944B5E">
              <w:rPr>
                <w:rFonts w:cs="Arial"/>
              </w:rPr>
              <w:t xml:space="preserve"> The Sequence number must be within the range of ‘00001-99999’.</w:t>
            </w:r>
          </w:p>
        </w:tc>
      </w:tr>
      <w:tr w:rsidR="00115458" w:rsidRPr="00944B5E" w14:paraId="3680DF35"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65CBDE8D" w14:textId="77777777" w:rsidR="00115458" w:rsidRPr="00944B5E" w:rsidRDefault="00115458" w:rsidP="00F4606C">
            <w:pPr>
              <w:spacing w:after="0" w:line="240" w:lineRule="auto"/>
              <w:ind w:right="-80"/>
              <w:rPr>
                <w:rFonts w:cs="Arial"/>
              </w:rPr>
            </w:pPr>
            <w:r w:rsidRPr="00944B5E">
              <w:rPr>
                <w:rFonts w:cs="Arial"/>
              </w:rPr>
              <w:t>VR151</w:t>
            </w:r>
          </w:p>
        </w:tc>
        <w:tc>
          <w:tcPr>
            <w:tcW w:w="1341" w:type="pct"/>
            <w:tcBorders>
              <w:top w:val="single" w:sz="4" w:space="0" w:color="auto"/>
              <w:left w:val="single" w:sz="4" w:space="0" w:color="auto"/>
              <w:bottom w:val="single" w:sz="4" w:space="0" w:color="auto"/>
              <w:right w:val="single" w:sz="4" w:space="0" w:color="auto"/>
            </w:tcBorders>
            <w:vAlign w:val="center"/>
          </w:tcPr>
          <w:p w14:paraId="5925AA20" w14:textId="77777777" w:rsidR="00115458" w:rsidRPr="00944B5E" w:rsidRDefault="00115458" w:rsidP="00F4606C">
            <w:pPr>
              <w:spacing w:after="0" w:line="240" w:lineRule="auto"/>
              <w:ind w:right="-80"/>
              <w:rPr>
                <w:rFonts w:cs="Arial"/>
                <w:color w:val="000000"/>
              </w:rPr>
            </w:pPr>
            <w:r w:rsidRPr="00944B5E">
              <w:rPr>
                <w:rFonts w:cs="Arial"/>
                <w:color w:val="000000"/>
              </w:rPr>
              <w:t>9.30</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14FC84D7" w14:textId="77777777" w:rsidR="00115458" w:rsidRPr="00944B5E" w:rsidRDefault="00115458" w:rsidP="00F4606C">
            <w:pPr>
              <w:spacing w:after="0" w:line="240" w:lineRule="auto"/>
              <w:ind w:right="-80"/>
              <w:rPr>
                <w:rFonts w:cs="Arial"/>
                <w:color w:val="000000"/>
              </w:rPr>
            </w:pPr>
            <w:r w:rsidRPr="00944B5E">
              <w:rPr>
                <w:rFonts w:cs="Arial"/>
              </w:rPr>
              <w:t>Financial year must contain a valid year in the format CCYY.</w:t>
            </w:r>
          </w:p>
        </w:tc>
      </w:tr>
      <w:tr w:rsidR="00115458" w:rsidRPr="00944B5E" w14:paraId="0D7B958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08FFC973" w14:textId="77777777" w:rsidR="00115458" w:rsidRPr="00944B5E" w:rsidRDefault="00115458" w:rsidP="00F4606C">
            <w:pPr>
              <w:spacing w:after="0" w:line="240" w:lineRule="auto"/>
              <w:ind w:right="-80"/>
              <w:rPr>
                <w:rFonts w:cs="Arial"/>
              </w:rPr>
            </w:pPr>
            <w:r w:rsidRPr="00944B5E">
              <w:rPr>
                <w:rFonts w:cs="Arial"/>
              </w:rPr>
              <w:t>VR156</w:t>
            </w:r>
          </w:p>
        </w:tc>
        <w:tc>
          <w:tcPr>
            <w:tcW w:w="1341" w:type="pct"/>
            <w:tcBorders>
              <w:top w:val="single" w:sz="4" w:space="0" w:color="auto"/>
              <w:left w:val="single" w:sz="4" w:space="0" w:color="auto"/>
              <w:bottom w:val="single" w:sz="4" w:space="0" w:color="auto"/>
              <w:right w:val="single" w:sz="4" w:space="0" w:color="auto"/>
            </w:tcBorders>
            <w:vAlign w:val="center"/>
          </w:tcPr>
          <w:p w14:paraId="2AF728FA" w14:textId="77777777" w:rsidR="00115458" w:rsidRDefault="00115458" w:rsidP="00F4606C">
            <w:pPr>
              <w:spacing w:after="0" w:line="240" w:lineRule="auto"/>
              <w:ind w:right="-80"/>
              <w:rPr>
                <w:rFonts w:cs="Arial"/>
                <w:color w:val="000000"/>
              </w:rPr>
            </w:pPr>
            <w:r w:rsidRPr="00944B5E">
              <w:rPr>
                <w:rFonts w:cs="Arial"/>
                <w:color w:val="000000"/>
              </w:rPr>
              <w:t>9.110</w:t>
            </w:r>
          </w:p>
          <w:p w14:paraId="7F5F8E86" w14:textId="77777777" w:rsidR="0016343C" w:rsidRDefault="0016343C" w:rsidP="00F4606C">
            <w:pPr>
              <w:spacing w:after="0" w:line="240" w:lineRule="auto"/>
              <w:ind w:right="-80"/>
              <w:rPr>
                <w:rFonts w:cs="Arial"/>
                <w:color w:val="000000"/>
              </w:rPr>
            </w:pPr>
          </w:p>
          <w:p w14:paraId="5C1933AD" w14:textId="77777777" w:rsidR="0016343C" w:rsidRDefault="0016343C" w:rsidP="00F4606C">
            <w:pPr>
              <w:spacing w:after="0" w:line="240" w:lineRule="auto"/>
              <w:ind w:right="-80"/>
              <w:rPr>
                <w:rFonts w:cs="Arial"/>
                <w:color w:val="000000"/>
              </w:rPr>
            </w:pPr>
          </w:p>
          <w:p w14:paraId="334D30E0" w14:textId="77777777" w:rsidR="0016343C" w:rsidRDefault="0016343C" w:rsidP="00F4606C">
            <w:pPr>
              <w:spacing w:after="0" w:line="240" w:lineRule="auto"/>
              <w:ind w:right="-80"/>
              <w:rPr>
                <w:rFonts w:cs="Arial"/>
                <w:color w:val="000000"/>
              </w:rPr>
            </w:pPr>
          </w:p>
          <w:p w14:paraId="70A29863" w14:textId="77777777" w:rsidR="0016343C" w:rsidRDefault="0016343C" w:rsidP="00F4606C">
            <w:pPr>
              <w:spacing w:after="0" w:line="240" w:lineRule="auto"/>
              <w:ind w:right="-80"/>
              <w:rPr>
                <w:rFonts w:cs="Arial"/>
                <w:color w:val="000000"/>
              </w:rPr>
            </w:pPr>
          </w:p>
          <w:p w14:paraId="57E00868" w14:textId="63A114FB" w:rsidR="00115458" w:rsidRPr="00944B5E" w:rsidRDefault="00115458" w:rsidP="00F4606C">
            <w:pPr>
              <w:spacing w:after="0" w:line="240" w:lineRule="auto"/>
              <w:ind w:right="-80"/>
              <w:rPr>
                <w:rFonts w:cs="Arial"/>
                <w:color w:val="000000"/>
              </w:rPr>
            </w:pPr>
          </w:p>
        </w:tc>
        <w:tc>
          <w:tcPr>
            <w:tcW w:w="3080" w:type="pct"/>
            <w:tcBorders>
              <w:top w:val="single" w:sz="4" w:space="0" w:color="auto"/>
              <w:left w:val="single" w:sz="4" w:space="0" w:color="auto"/>
              <w:bottom w:val="single" w:sz="4" w:space="0" w:color="auto"/>
              <w:right w:val="single" w:sz="4" w:space="0" w:color="auto"/>
            </w:tcBorders>
            <w:vAlign w:val="center"/>
            <w:hideMark/>
          </w:tcPr>
          <w:p w14:paraId="48AF707F" w14:textId="77777777" w:rsidR="00115458" w:rsidRPr="00944B5E" w:rsidRDefault="00115458" w:rsidP="00F4606C">
            <w:pPr>
              <w:spacing w:after="0" w:line="240" w:lineRule="auto"/>
              <w:ind w:right="-80"/>
              <w:rPr>
                <w:rFonts w:cs="Arial"/>
                <w:color w:val="000000"/>
              </w:rPr>
            </w:pPr>
            <w:r w:rsidRPr="00944B5E">
              <w:rPr>
                <w:rFonts w:cs="Arial"/>
              </w:rPr>
              <w:t>This field must have the same value as Type of payment field in Investment account data record.</w:t>
            </w:r>
          </w:p>
        </w:tc>
      </w:tr>
      <w:tr w:rsidR="00115458" w:rsidRPr="00944B5E" w14:paraId="3DB99C25"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59230F6A" w14:textId="77777777" w:rsidR="00115458" w:rsidRPr="00944B5E" w:rsidRDefault="00115458" w:rsidP="00F4606C">
            <w:pPr>
              <w:spacing w:after="0" w:line="240" w:lineRule="auto"/>
              <w:ind w:right="-80"/>
              <w:rPr>
                <w:rFonts w:cs="Arial"/>
              </w:rPr>
            </w:pPr>
            <w:r w:rsidRPr="00944B5E">
              <w:rPr>
                <w:rFonts w:cs="Arial"/>
              </w:rPr>
              <w:t>VR157</w:t>
            </w:r>
          </w:p>
        </w:tc>
        <w:tc>
          <w:tcPr>
            <w:tcW w:w="1341" w:type="pct"/>
            <w:tcBorders>
              <w:top w:val="single" w:sz="4" w:space="0" w:color="auto"/>
              <w:left w:val="single" w:sz="4" w:space="0" w:color="auto"/>
              <w:bottom w:val="single" w:sz="4" w:space="0" w:color="auto"/>
              <w:right w:val="single" w:sz="4" w:space="0" w:color="auto"/>
            </w:tcBorders>
            <w:vAlign w:val="center"/>
          </w:tcPr>
          <w:p w14:paraId="31132D06" w14:textId="3A7B8916" w:rsidR="00115458" w:rsidRPr="00944B5E" w:rsidRDefault="00115458" w:rsidP="00F4606C">
            <w:pPr>
              <w:spacing w:after="0" w:line="240" w:lineRule="auto"/>
              <w:ind w:right="-80"/>
              <w:rPr>
                <w:rFonts w:cs="Arial"/>
                <w:color w:val="000000"/>
              </w:rPr>
            </w:pPr>
            <w:r w:rsidRPr="00944B5E">
              <w:rPr>
                <w:rFonts w:cs="Arial"/>
                <w:color w:val="000000"/>
              </w:rPr>
              <w:t>9.111, 9.</w:t>
            </w:r>
            <w:r w:rsidR="008C7591" w:rsidRPr="00944B5E">
              <w:rPr>
                <w:rFonts w:cs="Arial"/>
                <w:color w:val="000000"/>
              </w:rPr>
              <w:t>19</w:t>
            </w:r>
            <w:r w:rsidR="008C7591">
              <w:rPr>
                <w:rFonts w:cs="Arial"/>
                <w:color w:val="000000"/>
              </w:rPr>
              <w:t>5</w:t>
            </w:r>
          </w:p>
        </w:tc>
        <w:tc>
          <w:tcPr>
            <w:tcW w:w="3080" w:type="pct"/>
            <w:tcBorders>
              <w:top w:val="single" w:sz="4" w:space="0" w:color="auto"/>
              <w:left w:val="single" w:sz="4" w:space="0" w:color="auto"/>
              <w:bottom w:val="single" w:sz="4" w:space="0" w:color="auto"/>
              <w:right w:val="single" w:sz="4" w:space="0" w:color="auto"/>
            </w:tcBorders>
            <w:vAlign w:val="center"/>
            <w:hideMark/>
          </w:tcPr>
          <w:p w14:paraId="47B31F03" w14:textId="77777777" w:rsidR="00115458" w:rsidRPr="00944B5E" w:rsidRDefault="00115458" w:rsidP="00F4606C">
            <w:pPr>
              <w:spacing w:after="0" w:line="240" w:lineRule="auto"/>
              <w:ind w:right="-80"/>
              <w:rPr>
                <w:rFonts w:cs="Arial"/>
                <w:color w:val="000000"/>
              </w:rPr>
            </w:pPr>
            <w:r w:rsidRPr="00944B5E">
              <w:rPr>
                <w:rFonts w:cs="Arial"/>
              </w:rPr>
              <w:t>The field must be within the range of ’01-99’.</w:t>
            </w:r>
          </w:p>
        </w:tc>
      </w:tr>
      <w:tr w:rsidR="00115458" w:rsidRPr="00944B5E" w14:paraId="2AE4B32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14A7FA0E" w14:textId="77777777" w:rsidR="00115458" w:rsidRPr="00944B5E" w:rsidRDefault="00115458" w:rsidP="00F4606C">
            <w:pPr>
              <w:spacing w:after="0" w:line="240" w:lineRule="auto"/>
              <w:ind w:right="-80"/>
              <w:rPr>
                <w:rFonts w:cs="Arial"/>
              </w:rPr>
            </w:pPr>
            <w:r w:rsidRPr="00944B5E">
              <w:rPr>
                <w:rFonts w:cs="Arial"/>
              </w:rPr>
              <w:t>VR165</w:t>
            </w:r>
          </w:p>
        </w:tc>
        <w:tc>
          <w:tcPr>
            <w:tcW w:w="1341" w:type="pct"/>
            <w:tcBorders>
              <w:top w:val="single" w:sz="4" w:space="0" w:color="auto"/>
              <w:left w:val="single" w:sz="4" w:space="0" w:color="auto"/>
              <w:bottom w:val="single" w:sz="4" w:space="0" w:color="auto"/>
              <w:right w:val="single" w:sz="4" w:space="0" w:color="auto"/>
            </w:tcBorders>
            <w:vAlign w:val="center"/>
          </w:tcPr>
          <w:p w14:paraId="0B30B0EC" w14:textId="77777777" w:rsidR="00115458" w:rsidRPr="00944B5E" w:rsidRDefault="00115458" w:rsidP="00F4606C">
            <w:pPr>
              <w:spacing w:after="0" w:line="240" w:lineRule="auto"/>
              <w:ind w:right="-80"/>
              <w:rPr>
                <w:rFonts w:cs="Arial"/>
                <w:color w:val="000000"/>
              </w:rPr>
            </w:pPr>
            <w:r w:rsidRPr="00944B5E">
              <w:rPr>
                <w:rFonts w:cs="Arial"/>
                <w:color w:val="000000"/>
              </w:rPr>
              <w:t>9.17</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66000C4C" w14:textId="77777777" w:rsidR="00115458" w:rsidRPr="00944B5E" w:rsidRDefault="00115458" w:rsidP="00F4606C">
            <w:pPr>
              <w:spacing w:after="0" w:line="240" w:lineRule="auto"/>
              <w:ind w:right="-80"/>
              <w:rPr>
                <w:rFonts w:cs="Arial"/>
                <w:color w:val="000000"/>
              </w:rPr>
            </w:pPr>
            <w:r w:rsidRPr="00944B5E">
              <w:rPr>
                <w:rFonts w:cs="Arial"/>
                <w:color w:val="000000"/>
              </w:rPr>
              <w:t>The field must contain at least one alpha character (A-Z, a-z).</w:t>
            </w:r>
          </w:p>
        </w:tc>
      </w:tr>
      <w:tr w:rsidR="00115458" w:rsidRPr="00944B5E" w14:paraId="30136A27" w14:textId="77777777" w:rsidTr="00427C84">
        <w:trPr>
          <w:trHeight w:val="412"/>
        </w:trPr>
        <w:tc>
          <w:tcPr>
            <w:tcW w:w="579" w:type="pct"/>
            <w:tcBorders>
              <w:top w:val="single" w:sz="4" w:space="0" w:color="auto"/>
              <w:left w:val="single" w:sz="4" w:space="0" w:color="auto"/>
              <w:bottom w:val="single" w:sz="4" w:space="0" w:color="auto"/>
              <w:right w:val="single" w:sz="4" w:space="0" w:color="auto"/>
            </w:tcBorders>
            <w:vAlign w:val="center"/>
            <w:hideMark/>
          </w:tcPr>
          <w:p w14:paraId="22B99618" w14:textId="77777777" w:rsidR="00115458" w:rsidRPr="00944B5E" w:rsidRDefault="00115458" w:rsidP="00F4606C">
            <w:pPr>
              <w:spacing w:after="0" w:line="240" w:lineRule="auto"/>
              <w:ind w:right="-80"/>
              <w:rPr>
                <w:rFonts w:cs="Arial"/>
              </w:rPr>
            </w:pPr>
            <w:r w:rsidRPr="00944B5E">
              <w:rPr>
                <w:rFonts w:cs="Arial"/>
              </w:rPr>
              <w:t>VR229</w:t>
            </w:r>
          </w:p>
        </w:tc>
        <w:tc>
          <w:tcPr>
            <w:tcW w:w="1341" w:type="pct"/>
            <w:tcBorders>
              <w:top w:val="single" w:sz="4" w:space="0" w:color="auto"/>
              <w:left w:val="single" w:sz="4" w:space="0" w:color="auto"/>
              <w:bottom w:val="single" w:sz="4" w:space="0" w:color="auto"/>
              <w:right w:val="single" w:sz="4" w:space="0" w:color="auto"/>
            </w:tcBorders>
            <w:vAlign w:val="center"/>
          </w:tcPr>
          <w:p w14:paraId="44BFCFAA" w14:textId="77777777" w:rsidR="00115458" w:rsidRPr="00944B5E" w:rsidRDefault="00115458" w:rsidP="00F4606C">
            <w:pPr>
              <w:spacing w:after="0" w:line="240" w:lineRule="auto"/>
              <w:ind w:right="-80"/>
              <w:rPr>
                <w:rFonts w:cs="Arial"/>
                <w:color w:val="000000"/>
              </w:rPr>
            </w:pPr>
            <w:r w:rsidRPr="00944B5E">
              <w:rPr>
                <w:rFonts w:cs="Arial"/>
                <w:color w:val="000000"/>
              </w:rPr>
              <w:t>9.5</w:t>
            </w:r>
          </w:p>
        </w:tc>
        <w:tc>
          <w:tcPr>
            <w:tcW w:w="3080" w:type="pct"/>
            <w:tcBorders>
              <w:top w:val="single" w:sz="4" w:space="0" w:color="auto"/>
              <w:left w:val="single" w:sz="4" w:space="0" w:color="auto"/>
              <w:bottom w:val="single" w:sz="4" w:space="0" w:color="auto"/>
              <w:right w:val="single" w:sz="4" w:space="0" w:color="auto"/>
            </w:tcBorders>
            <w:vAlign w:val="center"/>
            <w:hideMark/>
          </w:tcPr>
          <w:p w14:paraId="0D8E8866" w14:textId="77777777" w:rsidR="00115458" w:rsidRPr="00944B5E" w:rsidRDefault="00115458" w:rsidP="00F4606C">
            <w:pPr>
              <w:spacing w:after="0" w:line="240" w:lineRule="auto"/>
              <w:ind w:right="-80"/>
              <w:rPr>
                <w:rFonts w:cs="Arial"/>
                <w:color w:val="000000"/>
              </w:rPr>
            </w:pPr>
            <w:r w:rsidRPr="00944B5E">
              <w:rPr>
                <w:rFonts w:cs="Arial"/>
                <w:color w:val="000000"/>
              </w:rPr>
              <w:t>The Report end date field must be within the financial year of the Financial year field in the Investment body identity record.</w:t>
            </w:r>
          </w:p>
        </w:tc>
      </w:tr>
      <w:tr w:rsidR="00115458" w:rsidRPr="00944B5E" w14:paraId="33BB326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hideMark/>
          </w:tcPr>
          <w:p w14:paraId="73DC1D60" w14:textId="77777777" w:rsidR="00115458" w:rsidRPr="00944B5E" w:rsidRDefault="00115458" w:rsidP="00F4606C">
            <w:pPr>
              <w:spacing w:after="0" w:line="240" w:lineRule="auto"/>
              <w:ind w:right="-80"/>
              <w:rPr>
                <w:rFonts w:cs="Arial"/>
              </w:rPr>
            </w:pPr>
            <w:r w:rsidRPr="00944B5E">
              <w:rPr>
                <w:rFonts w:cs="Arial"/>
              </w:rPr>
              <w:t>VR231</w:t>
            </w:r>
          </w:p>
        </w:tc>
        <w:tc>
          <w:tcPr>
            <w:tcW w:w="1341" w:type="pct"/>
            <w:tcBorders>
              <w:top w:val="single" w:sz="4" w:space="0" w:color="auto"/>
              <w:left w:val="single" w:sz="4" w:space="0" w:color="auto"/>
              <w:bottom w:val="single" w:sz="4" w:space="0" w:color="auto"/>
              <w:right w:val="single" w:sz="4" w:space="0" w:color="auto"/>
            </w:tcBorders>
            <w:vAlign w:val="center"/>
          </w:tcPr>
          <w:p w14:paraId="5E5FE974" w14:textId="375A62CA" w:rsidR="00115458" w:rsidRPr="00944B5E" w:rsidRDefault="00AE0FA1" w:rsidP="00F4606C">
            <w:pPr>
              <w:spacing w:after="0" w:line="240" w:lineRule="auto"/>
              <w:ind w:right="-80"/>
              <w:rPr>
                <w:rFonts w:cs="Arial"/>
                <w:color w:val="000000"/>
              </w:rPr>
            </w:pPr>
            <w:r>
              <w:rPr>
                <w:rFonts w:cs="Arial"/>
                <w:color w:val="000000"/>
              </w:rPr>
              <w:t>9.149</w:t>
            </w:r>
          </w:p>
        </w:tc>
        <w:tc>
          <w:tcPr>
            <w:tcW w:w="3080" w:type="pct"/>
            <w:tcBorders>
              <w:top w:val="single" w:sz="4" w:space="0" w:color="auto"/>
              <w:left w:val="single" w:sz="4" w:space="0" w:color="auto"/>
              <w:bottom w:val="single" w:sz="4" w:space="0" w:color="auto"/>
              <w:right w:val="single" w:sz="4" w:space="0" w:color="auto"/>
            </w:tcBorders>
            <w:noWrap/>
            <w:vAlign w:val="center"/>
            <w:hideMark/>
          </w:tcPr>
          <w:p w14:paraId="208BF177" w14:textId="77777777" w:rsidR="00115458" w:rsidRPr="00944B5E" w:rsidRDefault="00115458" w:rsidP="00F4606C">
            <w:pPr>
              <w:spacing w:after="0" w:line="240" w:lineRule="auto"/>
              <w:ind w:right="-80"/>
              <w:rPr>
                <w:rFonts w:cs="Arial"/>
                <w:color w:val="000000"/>
              </w:rPr>
            </w:pPr>
            <w:r w:rsidRPr="00944B5E">
              <w:rPr>
                <w:rFonts w:cs="Arial"/>
              </w:rPr>
              <w:t>The field must be within the range of ’00-99’.</w:t>
            </w:r>
          </w:p>
        </w:tc>
      </w:tr>
      <w:tr w:rsidR="00115458" w:rsidRPr="00944B5E" w14:paraId="158F10CC"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F8980E5" w14:textId="77777777" w:rsidR="00115458" w:rsidRPr="00944B5E" w:rsidRDefault="00115458" w:rsidP="00F4606C">
            <w:pPr>
              <w:spacing w:after="0" w:line="240" w:lineRule="auto"/>
              <w:ind w:right="-80"/>
              <w:rPr>
                <w:rFonts w:cs="Arial"/>
              </w:rPr>
            </w:pPr>
            <w:r w:rsidRPr="00944B5E">
              <w:rPr>
                <w:rFonts w:cs="Arial"/>
              </w:rPr>
              <w:t>VR358</w:t>
            </w:r>
          </w:p>
        </w:tc>
        <w:tc>
          <w:tcPr>
            <w:tcW w:w="1341" w:type="pct"/>
            <w:tcBorders>
              <w:top w:val="single" w:sz="4" w:space="0" w:color="auto"/>
              <w:left w:val="single" w:sz="4" w:space="0" w:color="auto"/>
              <w:bottom w:val="single" w:sz="4" w:space="0" w:color="auto"/>
              <w:right w:val="single" w:sz="4" w:space="0" w:color="auto"/>
            </w:tcBorders>
            <w:vAlign w:val="center"/>
          </w:tcPr>
          <w:p w14:paraId="4922A51C" w14:textId="77777777" w:rsidR="00115458" w:rsidRPr="00944B5E" w:rsidRDefault="00115458" w:rsidP="00F4606C">
            <w:pPr>
              <w:spacing w:after="0" w:line="240" w:lineRule="auto"/>
              <w:ind w:right="-80"/>
              <w:rPr>
                <w:rFonts w:cs="Arial"/>
                <w:color w:val="000000"/>
              </w:rPr>
            </w:pPr>
            <w:r w:rsidRPr="00944B5E">
              <w:rPr>
                <w:rFonts w:cs="Arial"/>
                <w:color w:val="000000"/>
              </w:rPr>
              <w:t>9.1</w:t>
            </w:r>
          </w:p>
        </w:tc>
        <w:tc>
          <w:tcPr>
            <w:tcW w:w="3080" w:type="pct"/>
            <w:tcBorders>
              <w:top w:val="single" w:sz="4" w:space="0" w:color="auto"/>
              <w:left w:val="single" w:sz="4" w:space="0" w:color="auto"/>
              <w:bottom w:val="single" w:sz="4" w:space="0" w:color="auto"/>
              <w:right w:val="single" w:sz="4" w:space="0" w:color="auto"/>
            </w:tcBorders>
            <w:noWrap/>
            <w:vAlign w:val="center"/>
          </w:tcPr>
          <w:p w14:paraId="51250DCB" w14:textId="4B0659F9" w:rsidR="00115458" w:rsidRPr="00944B5E" w:rsidRDefault="00115458" w:rsidP="00F4606C">
            <w:pPr>
              <w:spacing w:after="0" w:line="240" w:lineRule="auto"/>
              <w:ind w:right="-80"/>
              <w:rPr>
                <w:rFonts w:cs="Arial"/>
                <w:color w:val="000000"/>
              </w:rPr>
            </w:pPr>
            <w:r w:rsidRPr="00944B5E">
              <w:rPr>
                <w:rFonts w:cs="Arial"/>
                <w:color w:val="000000"/>
              </w:rPr>
              <w:t>The Record length field must be ‘&lt;insert record</w:t>
            </w:r>
            <w:r w:rsidR="00D30A63">
              <w:rPr>
                <w:rFonts w:cs="Arial"/>
                <w:color w:val="000000"/>
              </w:rPr>
              <w:t xml:space="preserve"> </w:t>
            </w:r>
            <w:r w:rsidRPr="00944B5E">
              <w:rPr>
                <w:rFonts w:cs="Arial"/>
                <w:color w:val="000000"/>
              </w:rPr>
              <w:t>length &gt;’.</w:t>
            </w:r>
          </w:p>
        </w:tc>
      </w:tr>
      <w:tr w:rsidR="00115458" w:rsidRPr="00944B5E" w14:paraId="3AECEFD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C8412BD" w14:textId="77777777" w:rsidR="00115458" w:rsidRPr="00944B5E" w:rsidRDefault="00115458" w:rsidP="00F4606C">
            <w:pPr>
              <w:spacing w:after="0" w:line="240" w:lineRule="auto"/>
              <w:ind w:right="-80"/>
              <w:rPr>
                <w:rFonts w:cs="Arial"/>
              </w:rPr>
            </w:pPr>
            <w:r w:rsidRPr="00944B5E">
              <w:rPr>
                <w:rFonts w:cs="Arial"/>
              </w:rPr>
              <w:t>VR359</w:t>
            </w:r>
          </w:p>
        </w:tc>
        <w:tc>
          <w:tcPr>
            <w:tcW w:w="1341" w:type="pct"/>
            <w:tcBorders>
              <w:top w:val="single" w:sz="4" w:space="0" w:color="auto"/>
              <w:left w:val="single" w:sz="4" w:space="0" w:color="auto"/>
              <w:bottom w:val="single" w:sz="4" w:space="0" w:color="auto"/>
              <w:right w:val="single" w:sz="4" w:space="0" w:color="auto"/>
            </w:tcBorders>
            <w:vAlign w:val="center"/>
          </w:tcPr>
          <w:p w14:paraId="61CFB214" w14:textId="77777777" w:rsidR="00115458" w:rsidRPr="00944B5E" w:rsidRDefault="00115458" w:rsidP="00F4606C">
            <w:pPr>
              <w:spacing w:after="0" w:line="240" w:lineRule="auto"/>
              <w:ind w:right="-80"/>
              <w:rPr>
                <w:rFonts w:cs="Arial"/>
                <w:color w:val="000000"/>
              </w:rPr>
            </w:pPr>
            <w:r w:rsidRPr="00944B5E">
              <w:rPr>
                <w:rFonts w:cs="Arial"/>
                <w:color w:val="000000"/>
              </w:rPr>
              <w:t>9.23</w:t>
            </w:r>
          </w:p>
        </w:tc>
        <w:tc>
          <w:tcPr>
            <w:tcW w:w="3080" w:type="pct"/>
            <w:tcBorders>
              <w:top w:val="single" w:sz="4" w:space="0" w:color="auto"/>
              <w:left w:val="single" w:sz="4" w:space="0" w:color="auto"/>
              <w:bottom w:val="single" w:sz="4" w:space="0" w:color="auto"/>
              <w:right w:val="single" w:sz="4" w:space="0" w:color="auto"/>
            </w:tcBorders>
            <w:noWrap/>
            <w:vAlign w:val="center"/>
          </w:tcPr>
          <w:p w14:paraId="77EF85CD" w14:textId="77777777" w:rsidR="00115458" w:rsidRPr="00944B5E" w:rsidRDefault="00115458" w:rsidP="00F4606C">
            <w:pPr>
              <w:spacing w:after="0" w:line="240" w:lineRule="auto"/>
              <w:ind w:right="-80"/>
              <w:rPr>
                <w:rFonts w:cs="Arial"/>
                <w:color w:val="000000"/>
              </w:rPr>
            </w:pPr>
            <w:r w:rsidRPr="00944B5E">
              <w:rPr>
                <w:rFonts w:cs="Arial"/>
                <w:color w:val="000000"/>
              </w:rPr>
              <w:t>The address line 1 field is entered therefore the address suburb, town or locality field must be entered.</w:t>
            </w:r>
          </w:p>
        </w:tc>
      </w:tr>
      <w:tr w:rsidR="00115458" w:rsidRPr="00944B5E" w14:paraId="76B4320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EB9504A" w14:textId="77777777" w:rsidR="00115458" w:rsidRPr="00944B5E" w:rsidRDefault="00115458" w:rsidP="00F4606C">
            <w:pPr>
              <w:spacing w:after="0" w:line="240" w:lineRule="auto"/>
              <w:ind w:right="-80"/>
              <w:rPr>
                <w:rFonts w:cs="Arial"/>
              </w:rPr>
            </w:pPr>
            <w:r w:rsidRPr="00944B5E">
              <w:rPr>
                <w:rFonts w:cs="Arial"/>
              </w:rPr>
              <w:t>VR361</w:t>
            </w:r>
          </w:p>
        </w:tc>
        <w:tc>
          <w:tcPr>
            <w:tcW w:w="1341" w:type="pct"/>
            <w:tcBorders>
              <w:top w:val="single" w:sz="4" w:space="0" w:color="auto"/>
              <w:left w:val="single" w:sz="4" w:space="0" w:color="auto"/>
              <w:bottom w:val="single" w:sz="4" w:space="0" w:color="auto"/>
              <w:right w:val="single" w:sz="4" w:space="0" w:color="auto"/>
            </w:tcBorders>
            <w:vAlign w:val="center"/>
          </w:tcPr>
          <w:p w14:paraId="1649EA2C" w14:textId="77777777" w:rsidR="00115458" w:rsidRPr="00944B5E" w:rsidRDefault="00115458" w:rsidP="00F4606C">
            <w:pPr>
              <w:spacing w:after="0" w:line="240" w:lineRule="auto"/>
              <w:ind w:right="-80"/>
              <w:rPr>
                <w:rFonts w:cs="Arial"/>
                <w:color w:val="000000"/>
              </w:rPr>
            </w:pPr>
            <w:r w:rsidRPr="00944B5E">
              <w:rPr>
                <w:rFonts w:cs="Arial"/>
                <w:color w:val="000000"/>
              </w:rPr>
              <w:t>9.4</w:t>
            </w:r>
          </w:p>
        </w:tc>
        <w:tc>
          <w:tcPr>
            <w:tcW w:w="3080" w:type="pct"/>
            <w:tcBorders>
              <w:top w:val="single" w:sz="4" w:space="0" w:color="auto"/>
              <w:left w:val="single" w:sz="4" w:space="0" w:color="auto"/>
              <w:bottom w:val="single" w:sz="4" w:space="0" w:color="auto"/>
              <w:right w:val="single" w:sz="4" w:space="0" w:color="auto"/>
            </w:tcBorders>
            <w:noWrap/>
            <w:vAlign w:val="center"/>
          </w:tcPr>
          <w:p w14:paraId="2CA951CF" w14:textId="77777777" w:rsidR="00115458" w:rsidRPr="00944B5E" w:rsidRDefault="00115458" w:rsidP="00F4606C">
            <w:pPr>
              <w:spacing w:after="0" w:line="240" w:lineRule="auto"/>
              <w:ind w:right="-80"/>
              <w:rPr>
                <w:rFonts w:cs="Arial"/>
                <w:color w:val="000000"/>
              </w:rPr>
            </w:pPr>
            <w:r w:rsidRPr="00944B5E">
              <w:rPr>
                <w:rFonts w:cs="Arial"/>
                <w:color w:val="000000"/>
              </w:rPr>
              <w:t>The Run type field must contain either ‘T’ (Test) or ‘P’ (Production – used for lodgment of report submitted to the ATO).</w:t>
            </w:r>
          </w:p>
        </w:tc>
      </w:tr>
      <w:tr w:rsidR="00115458" w:rsidRPr="00944B5E" w14:paraId="7CA3C594"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9F07A2D" w14:textId="77777777" w:rsidR="00115458" w:rsidRPr="00944B5E" w:rsidRDefault="00115458" w:rsidP="00F4606C">
            <w:pPr>
              <w:spacing w:after="0" w:line="240" w:lineRule="auto"/>
              <w:ind w:right="-80"/>
              <w:rPr>
                <w:rFonts w:cs="Arial"/>
              </w:rPr>
            </w:pPr>
            <w:r w:rsidRPr="00944B5E">
              <w:rPr>
                <w:rFonts w:cs="Arial"/>
              </w:rPr>
              <w:t>VR363</w:t>
            </w:r>
          </w:p>
        </w:tc>
        <w:tc>
          <w:tcPr>
            <w:tcW w:w="1341" w:type="pct"/>
            <w:tcBorders>
              <w:top w:val="single" w:sz="4" w:space="0" w:color="auto"/>
              <w:left w:val="single" w:sz="4" w:space="0" w:color="auto"/>
              <w:bottom w:val="single" w:sz="4" w:space="0" w:color="auto"/>
              <w:right w:val="single" w:sz="4" w:space="0" w:color="auto"/>
            </w:tcBorders>
            <w:vAlign w:val="center"/>
          </w:tcPr>
          <w:p w14:paraId="198C1ABE" w14:textId="77777777" w:rsidR="00115458" w:rsidRPr="00944B5E" w:rsidRDefault="00115458" w:rsidP="00F4606C">
            <w:pPr>
              <w:spacing w:after="0" w:line="240" w:lineRule="auto"/>
              <w:ind w:right="-80"/>
              <w:rPr>
                <w:rFonts w:cs="Arial"/>
                <w:color w:val="000000"/>
              </w:rPr>
            </w:pPr>
            <w:r w:rsidRPr="00944B5E">
              <w:rPr>
                <w:rFonts w:cs="Arial"/>
                <w:color w:val="000000"/>
              </w:rPr>
              <w:t>9.4</w:t>
            </w:r>
          </w:p>
        </w:tc>
        <w:tc>
          <w:tcPr>
            <w:tcW w:w="3080" w:type="pct"/>
            <w:tcBorders>
              <w:top w:val="single" w:sz="4" w:space="0" w:color="auto"/>
              <w:left w:val="single" w:sz="4" w:space="0" w:color="auto"/>
              <w:bottom w:val="single" w:sz="4" w:space="0" w:color="auto"/>
              <w:right w:val="single" w:sz="4" w:space="0" w:color="auto"/>
            </w:tcBorders>
            <w:noWrap/>
            <w:vAlign w:val="center"/>
          </w:tcPr>
          <w:p w14:paraId="2EEAB162" w14:textId="77777777" w:rsidR="00115458" w:rsidRPr="00944B5E" w:rsidRDefault="00115458" w:rsidP="00F4606C">
            <w:pPr>
              <w:spacing w:after="0" w:line="240" w:lineRule="auto"/>
              <w:ind w:right="-80"/>
              <w:rPr>
                <w:rFonts w:cs="Arial"/>
                <w:color w:val="000000"/>
              </w:rPr>
            </w:pPr>
            <w:r w:rsidRPr="00944B5E">
              <w:rPr>
                <w:rFonts w:cs="Arial"/>
                <w:color w:val="000000"/>
              </w:rPr>
              <w:t>The Run type field must be ‘P’ (Production – used for lodgment of report to the ATO).</w:t>
            </w:r>
          </w:p>
        </w:tc>
      </w:tr>
      <w:tr w:rsidR="00115458" w:rsidRPr="00944B5E" w14:paraId="06E6F7D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1DFBBD2" w14:textId="77777777" w:rsidR="00115458" w:rsidRPr="00944B5E" w:rsidRDefault="00115458" w:rsidP="00F4606C">
            <w:pPr>
              <w:spacing w:after="0" w:line="240" w:lineRule="auto"/>
              <w:ind w:right="-80"/>
              <w:rPr>
                <w:rFonts w:cs="Arial"/>
                <w:b/>
              </w:rPr>
            </w:pPr>
            <w:r w:rsidRPr="00944B5E">
              <w:rPr>
                <w:rFonts w:cs="Arial"/>
              </w:rPr>
              <w:t>VR370</w:t>
            </w:r>
          </w:p>
        </w:tc>
        <w:tc>
          <w:tcPr>
            <w:tcW w:w="1341" w:type="pct"/>
            <w:tcBorders>
              <w:top w:val="single" w:sz="4" w:space="0" w:color="auto"/>
              <w:left w:val="single" w:sz="4" w:space="0" w:color="auto"/>
              <w:bottom w:val="single" w:sz="4" w:space="0" w:color="auto"/>
              <w:right w:val="single" w:sz="4" w:space="0" w:color="auto"/>
            </w:tcBorders>
            <w:vAlign w:val="center"/>
          </w:tcPr>
          <w:p w14:paraId="6F354745" w14:textId="2C4E168C" w:rsidR="00115458" w:rsidRPr="00944B5E" w:rsidRDefault="00115458" w:rsidP="00F4606C">
            <w:pPr>
              <w:spacing w:after="0" w:line="240" w:lineRule="auto"/>
              <w:ind w:right="-80"/>
              <w:rPr>
                <w:rFonts w:cs="Arial"/>
                <w:b/>
                <w:color w:val="000000"/>
              </w:rPr>
            </w:pPr>
            <w:r w:rsidRPr="00944B5E">
              <w:rPr>
                <w:rFonts w:cs="Arial"/>
                <w:color w:val="000000"/>
              </w:rPr>
              <w:t xml:space="preserve">9.62, </w:t>
            </w:r>
            <w:r w:rsidR="000D1921">
              <w:rPr>
                <w:rFonts w:cs="Arial"/>
                <w:color w:val="000000"/>
              </w:rPr>
              <w:t>9.148</w:t>
            </w:r>
            <w:r w:rsidRPr="00944B5E">
              <w:rPr>
                <w:rFonts w:cs="Arial"/>
                <w:color w:val="000000"/>
              </w:rPr>
              <w:t>, 9.</w:t>
            </w:r>
            <w:r w:rsidR="005A377C" w:rsidRPr="00944B5E">
              <w:rPr>
                <w:rFonts w:cs="Arial"/>
                <w:color w:val="000000"/>
              </w:rPr>
              <w:t>2</w:t>
            </w:r>
            <w:r w:rsidR="005A377C">
              <w:rPr>
                <w:rFonts w:cs="Arial"/>
                <w:color w:val="000000"/>
              </w:rPr>
              <w:t>22</w:t>
            </w:r>
          </w:p>
        </w:tc>
        <w:tc>
          <w:tcPr>
            <w:tcW w:w="3080" w:type="pct"/>
            <w:tcBorders>
              <w:top w:val="single" w:sz="4" w:space="0" w:color="auto"/>
              <w:left w:val="single" w:sz="4" w:space="0" w:color="auto"/>
              <w:bottom w:val="single" w:sz="4" w:space="0" w:color="auto"/>
              <w:right w:val="single" w:sz="4" w:space="0" w:color="auto"/>
            </w:tcBorders>
            <w:noWrap/>
            <w:vAlign w:val="center"/>
          </w:tcPr>
          <w:p w14:paraId="69FC160E" w14:textId="77777777" w:rsidR="00115458" w:rsidRPr="00944B5E" w:rsidRDefault="00115458" w:rsidP="00F4606C">
            <w:pPr>
              <w:spacing w:after="0" w:line="240" w:lineRule="auto"/>
              <w:ind w:right="-80"/>
              <w:rPr>
                <w:rFonts w:cs="Arial"/>
              </w:rPr>
            </w:pPr>
            <w:r w:rsidRPr="00944B5E">
              <w:rPr>
                <w:rFonts w:cs="Arial"/>
              </w:rPr>
              <w:t>The field must be within the range of ‘00000001-99999999’.</w:t>
            </w:r>
          </w:p>
        </w:tc>
      </w:tr>
      <w:tr w:rsidR="00115458" w:rsidRPr="00944B5E" w14:paraId="5BBBC12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tcPr>
          <w:p w14:paraId="65BDF9DF"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VR481</w:t>
            </w:r>
          </w:p>
        </w:tc>
        <w:tc>
          <w:tcPr>
            <w:tcW w:w="1341" w:type="pct"/>
            <w:tcBorders>
              <w:top w:val="single" w:sz="4" w:space="0" w:color="auto"/>
              <w:left w:val="single" w:sz="4" w:space="0" w:color="auto"/>
              <w:bottom w:val="single" w:sz="4" w:space="0" w:color="auto"/>
              <w:right w:val="single" w:sz="4" w:space="0" w:color="auto"/>
            </w:tcBorders>
            <w:vAlign w:val="center"/>
          </w:tcPr>
          <w:p w14:paraId="4427BDE6" w14:textId="77777777" w:rsidR="00115458" w:rsidRPr="00944B5E" w:rsidRDefault="00115458" w:rsidP="00F4606C">
            <w:pPr>
              <w:spacing w:after="0" w:line="240" w:lineRule="auto"/>
              <w:ind w:right="-80"/>
              <w:rPr>
                <w:rFonts w:cs="Arial"/>
                <w:color w:val="000000"/>
              </w:rPr>
            </w:pPr>
            <w:r w:rsidRPr="00944B5E">
              <w:rPr>
                <w:rFonts w:cs="Arial"/>
                <w:color w:val="000000"/>
              </w:rPr>
              <w:t>9.30</w:t>
            </w:r>
          </w:p>
        </w:tc>
        <w:tc>
          <w:tcPr>
            <w:tcW w:w="3080" w:type="pct"/>
            <w:tcBorders>
              <w:top w:val="single" w:sz="4" w:space="0" w:color="auto"/>
              <w:left w:val="single" w:sz="4" w:space="0" w:color="auto"/>
              <w:bottom w:val="single" w:sz="4" w:space="0" w:color="auto"/>
              <w:right w:val="single" w:sz="4" w:space="0" w:color="auto"/>
            </w:tcBorders>
            <w:noWrap/>
            <w:vAlign w:val="bottom"/>
          </w:tcPr>
          <w:p w14:paraId="43ACEAE2" w14:textId="77777777" w:rsidR="00115458" w:rsidRPr="00944B5E" w:rsidRDefault="00115458" w:rsidP="00F4606C">
            <w:pPr>
              <w:spacing w:after="0" w:line="240" w:lineRule="auto"/>
              <w:rPr>
                <w:rFonts w:cs="Arial"/>
                <w:color w:val="000000"/>
              </w:rPr>
            </w:pPr>
            <w:r w:rsidRPr="00944B5E">
              <w:rPr>
                <w:rFonts w:cs="Arial"/>
              </w:rPr>
              <w:t xml:space="preserve">The Financial year field must be on or after 2017. </w:t>
            </w:r>
          </w:p>
        </w:tc>
      </w:tr>
      <w:tr w:rsidR="00115458" w:rsidRPr="00944B5E" w14:paraId="5757D6E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tcPr>
          <w:p w14:paraId="4CED17CF"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VR482</w:t>
            </w:r>
          </w:p>
        </w:tc>
        <w:tc>
          <w:tcPr>
            <w:tcW w:w="1341" w:type="pct"/>
            <w:tcBorders>
              <w:top w:val="single" w:sz="4" w:space="0" w:color="auto"/>
              <w:left w:val="single" w:sz="4" w:space="0" w:color="auto"/>
              <w:bottom w:val="single" w:sz="4" w:space="0" w:color="auto"/>
              <w:right w:val="single" w:sz="4" w:space="0" w:color="auto"/>
            </w:tcBorders>
            <w:vAlign w:val="center"/>
          </w:tcPr>
          <w:p w14:paraId="3EB72D9A" w14:textId="77777777" w:rsidR="00115458" w:rsidRPr="00944B5E" w:rsidRDefault="00115458" w:rsidP="00F4606C">
            <w:pPr>
              <w:spacing w:after="0" w:line="240" w:lineRule="auto"/>
              <w:ind w:right="-80"/>
              <w:rPr>
                <w:rFonts w:cs="Arial"/>
                <w:color w:val="000000"/>
              </w:rPr>
            </w:pPr>
            <w:r w:rsidRPr="00944B5E">
              <w:rPr>
                <w:rFonts w:cs="Arial"/>
                <w:color w:val="000000"/>
              </w:rPr>
              <w:t>9.58</w:t>
            </w:r>
          </w:p>
        </w:tc>
        <w:tc>
          <w:tcPr>
            <w:tcW w:w="3080" w:type="pct"/>
            <w:tcBorders>
              <w:top w:val="single" w:sz="4" w:space="0" w:color="auto"/>
              <w:left w:val="single" w:sz="4" w:space="0" w:color="auto"/>
              <w:bottom w:val="single" w:sz="4" w:space="0" w:color="auto"/>
              <w:right w:val="single" w:sz="4" w:space="0" w:color="auto"/>
            </w:tcBorders>
            <w:noWrap/>
            <w:vAlign w:val="bottom"/>
          </w:tcPr>
          <w:p w14:paraId="145D38C7" w14:textId="77777777" w:rsidR="00115458" w:rsidRPr="00944B5E" w:rsidRDefault="00115458" w:rsidP="00F4606C">
            <w:pPr>
              <w:spacing w:after="0" w:line="240" w:lineRule="auto"/>
              <w:rPr>
                <w:rFonts w:cs="Arial"/>
                <w:color w:val="000000"/>
              </w:rPr>
            </w:pPr>
            <w:r w:rsidRPr="00944B5E">
              <w:rPr>
                <w:rFonts w:cs="Arial"/>
              </w:rPr>
              <w:t>The valid values for this field are ‘1’, ‘2’, or ‘3’.</w:t>
            </w:r>
          </w:p>
        </w:tc>
      </w:tr>
      <w:tr w:rsidR="00115458" w:rsidRPr="00944B5E" w14:paraId="7A9D3994"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tcPr>
          <w:p w14:paraId="5FDB2C22"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VR484</w:t>
            </w:r>
          </w:p>
        </w:tc>
        <w:tc>
          <w:tcPr>
            <w:tcW w:w="1341" w:type="pct"/>
            <w:tcBorders>
              <w:top w:val="single" w:sz="4" w:space="0" w:color="auto"/>
              <w:left w:val="single" w:sz="4" w:space="0" w:color="auto"/>
              <w:bottom w:val="single" w:sz="4" w:space="0" w:color="auto"/>
              <w:right w:val="single" w:sz="4" w:space="0" w:color="auto"/>
            </w:tcBorders>
            <w:vAlign w:val="center"/>
          </w:tcPr>
          <w:p w14:paraId="76390F9B" w14:textId="77777777" w:rsidR="00115458" w:rsidRPr="00944B5E" w:rsidRDefault="00115458" w:rsidP="00F4606C">
            <w:pPr>
              <w:spacing w:after="0" w:line="240" w:lineRule="auto"/>
              <w:ind w:right="-80"/>
              <w:rPr>
                <w:rFonts w:cs="Arial"/>
                <w:color w:val="000000"/>
              </w:rPr>
            </w:pPr>
            <w:r w:rsidRPr="00944B5E">
              <w:rPr>
                <w:rFonts w:cs="Arial"/>
                <w:color w:val="000000"/>
              </w:rPr>
              <w:t>9.162</w:t>
            </w:r>
          </w:p>
        </w:tc>
        <w:tc>
          <w:tcPr>
            <w:tcW w:w="3080" w:type="pct"/>
            <w:tcBorders>
              <w:top w:val="single" w:sz="4" w:space="0" w:color="auto"/>
              <w:left w:val="single" w:sz="4" w:space="0" w:color="auto"/>
              <w:bottom w:val="single" w:sz="4" w:space="0" w:color="auto"/>
              <w:right w:val="single" w:sz="4" w:space="0" w:color="auto"/>
            </w:tcBorders>
            <w:noWrap/>
            <w:vAlign w:val="center"/>
          </w:tcPr>
          <w:p w14:paraId="0618A5CC" w14:textId="77777777" w:rsidR="00115458" w:rsidRPr="00944B5E" w:rsidRDefault="00115458" w:rsidP="00F4606C">
            <w:pPr>
              <w:spacing w:after="0" w:line="240" w:lineRule="auto"/>
              <w:rPr>
                <w:rFonts w:cs="Arial"/>
                <w:color w:val="000000"/>
              </w:rPr>
            </w:pPr>
            <w:r w:rsidRPr="00944B5E">
              <w:rPr>
                <w:rFonts w:cs="Arial"/>
              </w:rPr>
              <w:t>There must be a valid Reporting transaction or CGT calculations value of ‘TRN’ or ‘CGT’.</w:t>
            </w:r>
          </w:p>
        </w:tc>
      </w:tr>
      <w:tr w:rsidR="00115458" w:rsidRPr="00944B5E" w14:paraId="0F15939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CB6E4FD"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VR487</w:t>
            </w:r>
          </w:p>
        </w:tc>
        <w:tc>
          <w:tcPr>
            <w:tcW w:w="1341" w:type="pct"/>
            <w:tcBorders>
              <w:top w:val="single" w:sz="4" w:space="0" w:color="auto"/>
              <w:left w:val="single" w:sz="4" w:space="0" w:color="auto"/>
              <w:bottom w:val="single" w:sz="4" w:space="0" w:color="auto"/>
              <w:right w:val="single" w:sz="4" w:space="0" w:color="auto"/>
            </w:tcBorders>
            <w:vAlign w:val="center"/>
          </w:tcPr>
          <w:p w14:paraId="0F7BB26D" w14:textId="77777777" w:rsidR="00115458" w:rsidRPr="00944B5E" w:rsidRDefault="00115458" w:rsidP="00F4606C">
            <w:pPr>
              <w:spacing w:after="0" w:line="240" w:lineRule="auto"/>
              <w:ind w:right="-80"/>
              <w:rPr>
                <w:rFonts w:cs="Arial"/>
                <w:color w:val="000000"/>
              </w:rPr>
            </w:pPr>
            <w:r w:rsidRPr="00944B5E">
              <w:rPr>
                <w:rFonts w:cs="Arial"/>
                <w:color w:val="000000"/>
              </w:rPr>
              <w:t>9.46</w:t>
            </w:r>
          </w:p>
        </w:tc>
        <w:tc>
          <w:tcPr>
            <w:tcW w:w="3080" w:type="pct"/>
            <w:tcBorders>
              <w:top w:val="single" w:sz="4" w:space="0" w:color="auto"/>
              <w:left w:val="single" w:sz="4" w:space="0" w:color="auto"/>
              <w:bottom w:val="single" w:sz="4" w:space="0" w:color="auto"/>
              <w:right w:val="single" w:sz="4" w:space="0" w:color="auto"/>
            </w:tcBorders>
            <w:noWrap/>
            <w:vAlign w:val="center"/>
          </w:tcPr>
          <w:p w14:paraId="1778C476" w14:textId="77777777" w:rsidR="00115458" w:rsidRPr="00944B5E" w:rsidRDefault="00115458" w:rsidP="00F4606C">
            <w:pPr>
              <w:spacing w:after="0" w:line="240" w:lineRule="auto"/>
              <w:rPr>
                <w:rFonts w:cs="Arial"/>
              </w:rPr>
            </w:pPr>
            <w:r w:rsidRPr="00944B5E">
              <w:rPr>
                <w:rFonts w:cs="Arial"/>
                <w:color w:val="000000"/>
              </w:rPr>
              <w:t>The valid values for this field are ‘Y’, ‘N’, or ‘U’.</w:t>
            </w:r>
          </w:p>
        </w:tc>
      </w:tr>
      <w:tr w:rsidR="00115458" w:rsidRPr="00944B5E" w14:paraId="623253E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9CB246D"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VR488</w:t>
            </w:r>
          </w:p>
        </w:tc>
        <w:tc>
          <w:tcPr>
            <w:tcW w:w="1341" w:type="pct"/>
            <w:tcBorders>
              <w:top w:val="single" w:sz="4" w:space="0" w:color="auto"/>
              <w:left w:val="single" w:sz="4" w:space="0" w:color="auto"/>
              <w:bottom w:val="single" w:sz="4" w:space="0" w:color="auto"/>
              <w:right w:val="single" w:sz="4" w:space="0" w:color="auto"/>
            </w:tcBorders>
            <w:vAlign w:val="center"/>
          </w:tcPr>
          <w:p w14:paraId="11414204" w14:textId="77777777" w:rsidR="00115458" w:rsidRPr="00944B5E" w:rsidRDefault="00115458" w:rsidP="00F4606C">
            <w:pPr>
              <w:spacing w:after="0" w:line="240" w:lineRule="auto"/>
              <w:ind w:right="-80"/>
              <w:rPr>
                <w:rFonts w:cs="Arial"/>
                <w:color w:val="000000"/>
              </w:rPr>
            </w:pPr>
            <w:r w:rsidRPr="00944B5E">
              <w:rPr>
                <w:rFonts w:cs="Arial"/>
                <w:color w:val="000000"/>
              </w:rPr>
              <w:t>9.48</w:t>
            </w:r>
          </w:p>
        </w:tc>
        <w:tc>
          <w:tcPr>
            <w:tcW w:w="3080" w:type="pct"/>
            <w:tcBorders>
              <w:top w:val="single" w:sz="4" w:space="0" w:color="auto"/>
              <w:left w:val="single" w:sz="4" w:space="0" w:color="auto"/>
              <w:bottom w:val="single" w:sz="4" w:space="0" w:color="auto"/>
              <w:right w:val="single" w:sz="4" w:space="0" w:color="auto"/>
            </w:tcBorders>
            <w:noWrap/>
            <w:vAlign w:val="center"/>
          </w:tcPr>
          <w:p w14:paraId="0F8E53D2" w14:textId="77777777" w:rsidR="00115458" w:rsidRPr="00944B5E" w:rsidRDefault="00115458" w:rsidP="00F4606C">
            <w:pPr>
              <w:spacing w:after="0" w:line="240" w:lineRule="auto"/>
              <w:rPr>
                <w:rFonts w:cs="Arial"/>
              </w:rPr>
            </w:pPr>
            <w:r w:rsidRPr="00944B5E">
              <w:rPr>
                <w:rFonts w:cs="Arial"/>
                <w:color w:val="000000"/>
              </w:rPr>
              <w:t>The valid values for this field are ‘C’, ‘I’, ‘G’, ‘O’, ‘P’, ‘S’ or ‘T’.</w:t>
            </w:r>
          </w:p>
        </w:tc>
      </w:tr>
      <w:tr w:rsidR="00115458" w:rsidRPr="00944B5E" w14:paraId="08A35B41"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FC918EF"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VR489</w:t>
            </w:r>
          </w:p>
        </w:tc>
        <w:tc>
          <w:tcPr>
            <w:tcW w:w="1341" w:type="pct"/>
            <w:tcBorders>
              <w:top w:val="single" w:sz="4" w:space="0" w:color="auto"/>
              <w:left w:val="single" w:sz="4" w:space="0" w:color="auto"/>
              <w:bottom w:val="single" w:sz="4" w:space="0" w:color="auto"/>
              <w:right w:val="single" w:sz="4" w:space="0" w:color="auto"/>
            </w:tcBorders>
            <w:vAlign w:val="center"/>
          </w:tcPr>
          <w:p w14:paraId="20CE7120" w14:textId="77777777" w:rsidR="00115458" w:rsidRPr="00944B5E" w:rsidRDefault="00115458" w:rsidP="00F4606C">
            <w:pPr>
              <w:spacing w:after="0" w:line="240" w:lineRule="auto"/>
              <w:ind w:right="-80"/>
              <w:rPr>
                <w:rFonts w:cs="Arial"/>
                <w:color w:val="000000"/>
              </w:rPr>
            </w:pPr>
            <w:r w:rsidRPr="00944B5E">
              <w:rPr>
                <w:rFonts w:cs="Arial"/>
                <w:color w:val="000000"/>
              </w:rPr>
              <w:t>9.49</w:t>
            </w:r>
          </w:p>
        </w:tc>
        <w:tc>
          <w:tcPr>
            <w:tcW w:w="3080" w:type="pct"/>
            <w:tcBorders>
              <w:top w:val="single" w:sz="4" w:space="0" w:color="auto"/>
              <w:left w:val="single" w:sz="4" w:space="0" w:color="auto"/>
              <w:bottom w:val="single" w:sz="4" w:space="0" w:color="auto"/>
              <w:right w:val="single" w:sz="4" w:space="0" w:color="auto"/>
            </w:tcBorders>
            <w:noWrap/>
            <w:vAlign w:val="center"/>
          </w:tcPr>
          <w:p w14:paraId="2AD6AC79" w14:textId="1F5E3847" w:rsidR="00115458" w:rsidRPr="00944B5E" w:rsidRDefault="00115458" w:rsidP="00F4606C">
            <w:pPr>
              <w:spacing w:after="0" w:line="240" w:lineRule="auto"/>
              <w:rPr>
                <w:rFonts w:cs="Arial"/>
              </w:rPr>
            </w:pPr>
          </w:p>
        </w:tc>
      </w:tr>
      <w:tr w:rsidR="00115458" w:rsidRPr="00944B5E" w14:paraId="151BA8A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DF0700D" w14:textId="77777777" w:rsidR="00115458" w:rsidRPr="00944B5E" w:rsidRDefault="00115458" w:rsidP="00F4606C">
            <w:pPr>
              <w:spacing w:after="0" w:line="240" w:lineRule="auto"/>
              <w:rPr>
                <w:rFonts w:cs="Arial"/>
                <w:color w:val="000000"/>
                <w:lang w:val="en-US"/>
              </w:rPr>
            </w:pPr>
            <w:r w:rsidRPr="00944B5E">
              <w:rPr>
                <w:rFonts w:cs="Arial"/>
                <w:color w:val="000000"/>
                <w:lang w:val="en-US"/>
              </w:rPr>
              <w:t>VR491</w:t>
            </w:r>
          </w:p>
        </w:tc>
        <w:tc>
          <w:tcPr>
            <w:tcW w:w="1341" w:type="pct"/>
            <w:tcBorders>
              <w:top w:val="single" w:sz="4" w:space="0" w:color="auto"/>
              <w:left w:val="single" w:sz="4" w:space="0" w:color="auto"/>
              <w:bottom w:val="single" w:sz="4" w:space="0" w:color="auto"/>
              <w:right w:val="single" w:sz="4" w:space="0" w:color="auto"/>
            </w:tcBorders>
            <w:vAlign w:val="center"/>
          </w:tcPr>
          <w:p w14:paraId="0C079FB5" w14:textId="031AFBC5" w:rsidR="00115458" w:rsidRPr="00944B5E" w:rsidRDefault="00115458" w:rsidP="00F4606C">
            <w:pPr>
              <w:spacing w:after="0" w:line="240" w:lineRule="auto"/>
              <w:ind w:right="-80"/>
              <w:rPr>
                <w:rFonts w:cs="Arial"/>
                <w:color w:val="000000"/>
              </w:rPr>
            </w:pPr>
            <w:r w:rsidRPr="00944B5E">
              <w:rPr>
                <w:rFonts w:cs="Arial"/>
                <w:color w:val="000000"/>
              </w:rPr>
              <w:t>9.</w:t>
            </w:r>
            <w:r w:rsidR="005A377C" w:rsidRPr="00944B5E">
              <w:rPr>
                <w:rFonts w:cs="Arial"/>
                <w:color w:val="000000"/>
              </w:rPr>
              <w:t>16</w:t>
            </w:r>
            <w:r w:rsidR="005A377C">
              <w:rPr>
                <w:rFonts w:cs="Arial"/>
                <w:color w:val="000000"/>
              </w:rPr>
              <w:t>5</w:t>
            </w:r>
          </w:p>
        </w:tc>
        <w:tc>
          <w:tcPr>
            <w:tcW w:w="3080" w:type="pct"/>
            <w:tcBorders>
              <w:top w:val="single" w:sz="4" w:space="0" w:color="auto"/>
              <w:left w:val="single" w:sz="4" w:space="0" w:color="auto"/>
              <w:bottom w:val="single" w:sz="4" w:space="0" w:color="auto"/>
              <w:right w:val="single" w:sz="4" w:space="0" w:color="auto"/>
            </w:tcBorders>
            <w:noWrap/>
            <w:vAlign w:val="center"/>
          </w:tcPr>
          <w:p w14:paraId="1B869555" w14:textId="77777777" w:rsidR="00115458" w:rsidRPr="00944B5E" w:rsidRDefault="00115458" w:rsidP="00F4606C">
            <w:pPr>
              <w:spacing w:after="0" w:line="240" w:lineRule="auto"/>
              <w:rPr>
                <w:rFonts w:cs="Arial"/>
              </w:rPr>
            </w:pPr>
            <w:r w:rsidRPr="00944B5E">
              <w:rPr>
                <w:rFonts w:cs="Arial"/>
                <w:color w:val="000000"/>
              </w:rPr>
              <w:t>The valid values for this field are ‘Y’ or ‘N’.</w:t>
            </w:r>
          </w:p>
        </w:tc>
      </w:tr>
      <w:tr w:rsidR="00203819" w:rsidRPr="00944B5E" w14:paraId="18EB236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FFCFB28" w14:textId="2655F030" w:rsidR="00203819" w:rsidRPr="00944B5E" w:rsidRDefault="00203819" w:rsidP="00F4606C">
            <w:pPr>
              <w:spacing w:after="0" w:line="240" w:lineRule="auto"/>
              <w:rPr>
                <w:rFonts w:cs="Arial"/>
                <w:color w:val="000000"/>
                <w:lang w:val="en-US"/>
              </w:rPr>
            </w:pPr>
            <w:r>
              <w:rPr>
                <w:rFonts w:cs="Arial"/>
                <w:color w:val="000000"/>
                <w:lang w:val="en-US"/>
              </w:rPr>
              <w:t>VR688</w:t>
            </w:r>
          </w:p>
        </w:tc>
        <w:tc>
          <w:tcPr>
            <w:tcW w:w="1341" w:type="pct"/>
            <w:tcBorders>
              <w:top w:val="single" w:sz="4" w:space="0" w:color="auto"/>
              <w:left w:val="single" w:sz="4" w:space="0" w:color="auto"/>
              <w:bottom w:val="single" w:sz="4" w:space="0" w:color="auto"/>
              <w:right w:val="single" w:sz="4" w:space="0" w:color="auto"/>
            </w:tcBorders>
            <w:vAlign w:val="center"/>
          </w:tcPr>
          <w:p w14:paraId="773BF2D6" w14:textId="554CC2E3" w:rsidR="00203819" w:rsidRPr="00944B5E" w:rsidRDefault="00203819" w:rsidP="00F4606C">
            <w:pPr>
              <w:spacing w:after="0" w:line="240" w:lineRule="auto"/>
              <w:ind w:right="-80"/>
              <w:rPr>
                <w:rFonts w:cs="Arial"/>
                <w:color w:val="000000"/>
              </w:rPr>
            </w:pPr>
            <w:r>
              <w:rPr>
                <w:rFonts w:cs="Arial"/>
                <w:color w:val="000000"/>
              </w:rPr>
              <w:t>9.49</w:t>
            </w:r>
          </w:p>
        </w:tc>
        <w:tc>
          <w:tcPr>
            <w:tcW w:w="3080" w:type="pct"/>
            <w:tcBorders>
              <w:top w:val="single" w:sz="4" w:space="0" w:color="auto"/>
              <w:left w:val="single" w:sz="4" w:space="0" w:color="auto"/>
              <w:bottom w:val="single" w:sz="4" w:space="0" w:color="auto"/>
              <w:right w:val="single" w:sz="4" w:space="0" w:color="auto"/>
            </w:tcBorders>
            <w:noWrap/>
            <w:vAlign w:val="center"/>
          </w:tcPr>
          <w:p w14:paraId="51DFFC9E" w14:textId="314EDB39" w:rsidR="00203819" w:rsidRPr="00944B5E" w:rsidRDefault="00203819" w:rsidP="00F4606C">
            <w:pPr>
              <w:spacing w:after="0" w:line="240" w:lineRule="auto"/>
              <w:rPr>
                <w:rFonts w:cs="Arial"/>
                <w:color w:val="000000"/>
              </w:rPr>
            </w:pPr>
            <w:r w:rsidRPr="00944B5E">
              <w:rPr>
                <w:rFonts w:cs="Arial"/>
                <w:color w:val="000000"/>
              </w:rPr>
              <w:t>If the investment body entity type code field is ‘T’ then must be ‘AMI’,</w:t>
            </w:r>
            <w:r>
              <w:rPr>
                <w:rFonts w:cs="Arial"/>
                <w:color w:val="000000"/>
              </w:rPr>
              <w:t>’CSF’,</w:t>
            </w:r>
            <w:r w:rsidRPr="00944B5E">
              <w:rPr>
                <w:rFonts w:cs="Arial"/>
                <w:color w:val="000000"/>
              </w:rPr>
              <w:t xml:space="preserve"> ‘IDP’,</w:t>
            </w:r>
            <w:r>
              <w:rPr>
                <w:rFonts w:cs="Arial"/>
                <w:color w:val="000000"/>
              </w:rPr>
              <w:t>’NCF’</w:t>
            </w:r>
            <w:r w:rsidRPr="00944B5E">
              <w:rPr>
                <w:rFonts w:cs="Arial"/>
                <w:color w:val="000000"/>
              </w:rPr>
              <w:t xml:space="preserve"> ‘NMT’, ‘NOM’ or ‘TOT’.</w:t>
            </w:r>
          </w:p>
        </w:tc>
      </w:tr>
    </w:tbl>
    <w:p w14:paraId="61221982" w14:textId="77777777" w:rsidR="00115458" w:rsidRPr="00944B5E" w:rsidRDefault="00115458" w:rsidP="00F4606C">
      <w:pPr>
        <w:spacing w:after="0" w:line="240" w:lineRule="auto"/>
        <w:rPr>
          <w:rFonts w:cs="Arial"/>
          <w:b/>
        </w:rPr>
      </w:pPr>
    </w:p>
    <w:p w14:paraId="74398051" w14:textId="77777777" w:rsidR="00115458" w:rsidRPr="00944B5E" w:rsidRDefault="00115458" w:rsidP="00F4606C">
      <w:pPr>
        <w:spacing w:after="0" w:line="240" w:lineRule="auto"/>
        <w:rPr>
          <w:rFonts w:cs="Arial"/>
          <w:color w:val="000000"/>
        </w:rPr>
      </w:pPr>
      <w:r w:rsidRPr="00944B5E">
        <w:rPr>
          <w:b/>
        </w:rPr>
        <w:t xml:space="preserve">Warnings </w:t>
      </w:r>
      <w:r w:rsidRPr="00944B5E">
        <w:rPr>
          <w:rFonts w:cs="Arial"/>
        </w:rPr>
        <w:t>–</w:t>
      </w:r>
      <w:r w:rsidRPr="00944B5E">
        <w:rPr>
          <w:rFonts w:cs="Arial"/>
          <w:b/>
        </w:rPr>
        <w:t xml:space="preserve"> </w:t>
      </w:r>
      <w:r w:rsidRPr="00944B5E">
        <w:rPr>
          <w:rFonts w:cs="Arial"/>
        </w:rPr>
        <w:t xml:space="preserve">These messages are to advise there are potential errors in the file. While warnings </w:t>
      </w:r>
      <w:r w:rsidRPr="00944B5E">
        <w:rPr>
          <w:rFonts w:cs="Arial"/>
          <w:color w:val="000000"/>
        </w:rPr>
        <w:t>do not prevent the lodgment they do, in some cases, prevent the information from pre-filling.  Therefore it is advisable to take corrective action to address the warnings.</w:t>
      </w:r>
    </w:p>
    <w:p w14:paraId="5CFC9970" w14:textId="77777777" w:rsidR="00115458" w:rsidRPr="00944B5E" w:rsidRDefault="00115458" w:rsidP="00F4606C">
      <w:pPr>
        <w:spacing w:after="0" w:line="240" w:lineRule="auto"/>
        <w:rPr>
          <w:rFonts w:cs="Arial"/>
        </w:rPr>
      </w:pPr>
    </w:p>
    <w:tbl>
      <w:tblPr>
        <w:tblW w:w="5000" w:type="pct"/>
        <w:tblLayout w:type="fixed"/>
        <w:tblLook w:val="04A0" w:firstRow="1" w:lastRow="0" w:firstColumn="1" w:lastColumn="0" w:noHBand="0" w:noVBand="1"/>
      </w:tblPr>
      <w:tblGrid>
        <w:gridCol w:w="1148"/>
        <w:gridCol w:w="2658"/>
        <w:gridCol w:w="6106"/>
      </w:tblGrid>
      <w:tr w:rsidR="00FF1D5C" w:rsidRPr="00944B5E" w14:paraId="0AE5922A" w14:textId="77777777" w:rsidTr="000C1365">
        <w:trPr>
          <w:trHeight w:val="300"/>
          <w:tblHeader/>
        </w:trPr>
        <w:tc>
          <w:tcPr>
            <w:tcW w:w="57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973AD2" w14:textId="77777777" w:rsidR="00115458" w:rsidRPr="00944B5E" w:rsidRDefault="00115458" w:rsidP="00F4606C">
            <w:pPr>
              <w:spacing w:after="0" w:line="240" w:lineRule="auto"/>
              <w:ind w:right="-80"/>
              <w:rPr>
                <w:rFonts w:cs="Arial"/>
                <w:b/>
                <w:bCs/>
              </w:rPr>
            </w:pPr>
            <w:r w:rsidRPr="00944B5E">
              <w:rPr>
                <w:rFonts w:cs="Arial"/>
                <w:b/>
                <w:bCs/>
              </w:rPr>
              <w:t>Code</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B88207" w14:textId="55F6A8FA" w:rsidR="00115458" w:rsidRPr="00944B5E" w:rsidRDefault="00115458" w:rsidP="00F4606C">
            <w:pPr>
              <w:spacing w:after="0" w:line="240" w:lineRule="auto"/>
              <w:ind w:right="-80"/>
              <w:rPr>
                <w:rFonts w:cs="Arial"/>
                <w:b/>
                <w:bCs/>
              </w:rPr>
            </w:pPr>
            <w:r w:rsidRPr="00944B5E">
              <w:rPr>
                <w:rFonts w:cs="Arial"/>
                <w:b/>
                <w:bCs/>
              </w:rPr>
              <w:t xml:space="preserve">AIIR ERS field references </w:t>
            </w:r>
            <w:r w:rsidR="00280BA1">
              <w:rPr>
                <w:rFonts w:cs="Arial"/>
                <w:b/>
                <w:bCs/>
              </w:rPr>
              <w:t>v14</w:t>
            </w:r>
          </w:p>
        </w:tc>
        <w:tc>
          <w:tcPr>
            <w:tcW w:w="308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610410" w14:textId="77777777" w:rsidR="00115458" w:rsidRPr="00944B5E" w:rsidRDefault="00115458" w:rsidP="00F4606C">
            <w:pPr>
              <w:spacing w:after="0" w:line="240" w:lineRule="auto"/>
              <w:rPr>
                <w:rFonts w:cs="Arial"/>
                <w:b/>
                <w:bCs/>
              </w:rPr>
            </w:pPr>
            <w:r w:rsidRPr="00944B5E">
              <w:rPr>
                <w:rFonts w:cs="Arial"/>
                <w:b/>
                <w:bCs/>
              </w:rPr>
              <w:t>Action Required</w:t>
            </w:r>
          </w:p>
        </w:tc>
      </w:tr>
      <w:tr w:rsidR="00FF1D5C" w:rsidRPr="00944B5E" w14:paraId="43304B5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4251027" w14:textId="77777777" w:rsidR="00115458" w:rsidRPr="00944B5E" w:rsidRDefault="00115458" w:rsidP="00F4606C">
            <w:pPr>
              <w:spacing w:after="0" w:line="240" w:lineRule="auto"/>
              <w:ind w:right="-80"/>
              <w:rPr>
                <w:rFonts w:cs="Arial"/>
              </w:rPr>
            </w:pPr>
            <w:r w:rsidRPr="00944B5E">
              <w:rPr>
                <w:rFonts w:cs="Arial"/>
              </w:rPr>
              <w:t>WM01</w:t>
            </w:r>
          </w:p>
        </w:tc>
        <w:tc>
          <w:tcPr>
            <w:tcW w:w="1341" w:type="pct"/>
            <w:tcBorders>
              <w:top w:val="single" w:sz="4" w:space="0" w:color="auto"/>
              <w:left w:val="single" w:sz="4" w:space="0" w:color="auto"/>
              <w:bottom w:val="single" w:sz="4" w:space="0" w:color="auto"/>
              <w:right w:val="single" w:sz="4" w:space="0" w:color="auto"/>
            </w:tcBorders>
            <w:vAlign w:val="center"/>
          </w:tcPr>
          <w:p w14:paraId="3CE9792A" w14:textId="78C4D031" w:rsidR="00115458" w:rsidRPr="00944B5E" w:rsidRDefault="00115458" w:rsidP="00F4606C">
            <w:pPr>
              <w:spacing w:after="0" w:line="240" w:lineRule="auto"/>
              <w:ind w:right="-80"/>
              <w:rPr>
                <w:rFonts w:cs="Arial"/>
                <w:color w:val="000000"/>
              </w:rPr>
            </w:pPr>
            <w:r w:rsidRPr="00944B5E">
              <w:rPr>
                <w:rFonts w:cs="Arial"/>
                <w:color w:val="000000"/>
              </w:rPr>
              <w:t>9.</w:t>
            </w:r>
            <w:r w:rsidR="007C0BAA">
              <w:rPr>
                <w:rFonts w:cs="Arial"/>
                <w:color w:val="000000"/>
              </w:rPr>
              <w:t>201</w:t>
            </w:r>
            <w:r w:rsidRPr="00944B5E">
              <w:rPr>
                <w:rFonts w:cs="Arial"/>
                <w:color w:val="000000"/>
              </w:rPr>
              <w:t>, 9.</w:t>
            </w:r>
            <w:r w:rsidR="007C0BAA">
              <w:rPr>
                <w:rFonts w:cs="Arial"/>
                <w:color w:val="000000"/>
              </w:rPr>
              <w:t>203</w:t>
            </w:r>
            <w:r w:rsidRPr="00944B5E">
              <w:rPr>
                <w:rFonts w:cs="Arial"/>
                <w:color w:val="000000"/>
              </w:rPr>
              <w:t>, 9.20</w:t>
            </w:r>
            <w:r w:rsidR="007C0BAA">
              <w:rPr>
                <w:rFonts w:cs="Arial"/>
                <w:color w:val="000000"/>
              </w:rPr>
              <w:t>8</w:t>
            </w:r>
            <w:r w:rsidRPr="00944B5E">
              <w:rPr>
                <w:rFonts w:cs="Arial"/>
                <w:color w:val="000000"/>
              </w:rPr>
              <w:t>, 9.2</w:t>
            </w:r>
            <w:r w:rsidR="007C0BAA">
              <w:rPr>
                <w:rFonts w:cs="Arial"/>
                <w:color w:val="000000"/>
              </w:rPr>
              <w:t>13</w:t>
            </w:r>
            <w:r w:rsidRPr="00944B5E">
              <w:rPr>
                <w:rFonts w:cs="Arial"/>
                <w:color w:val="000000"/>
              </w:rPr>
              <w:t>, 9.21</w:t>
            </w:r>
            <w:r w:rsidR="007C0BAA">
              <w:rPr>
                <w:rFonts w:cs="Arial"/>
                <w:color w:val="000000"/>
              </w:rPr>
              <w:t>6</w:t>
            </w:r>
          </w:p>
        </w:tc>
        <w:tc>
          <w:tcPr>
            <w:tcW w:w="3080" w:type="pct"/>
            <w:tcBorders>
              <w:top w:val="single" w:sz="4" w:space="0" w:color="auto"/>
              <w:left w:val="single" w:sz="4" w:space="0" w:color="auto"/>
              <w:bottom w:val="single" w:sz="4" w:space="0" w:color="auto"/>
              <w:right w:val="single" w:sz="4" w:space="0" w:color="auto"/>
            </w:tcBorders>
            <w:noWrap/>
            <w:vAlign w:val="center"/>
          </w:tcPr>
          <w:p w14:paraId="63DA27A8" w14:textId="77777777" w:rsidR="00115458" w:rsidRPr="00944B5E" w:rsidRDefault="00115458" w:rsidP="00F4606C">
            <w:pPr>
              <w:spacing w:after="0" w:line="240" w:lineRule="auto"/>
              <w:rPr>
                <w:rFonts w:cs="Arial"/>
                <w:color w:val="000000"/>
              </w:rPr>
            </w:pPr>
            <w:r w:rsidRPr="00944B5E">
              <w:rPr>
                <w:rFonts w:cs="Arial"/>
                <w:color w:val="000000"/>
              </w:rPr>
              <w:t>The field must contain at least one alpha character (A-Z, a-z).</w:t>
            </w:r>
          </w:p>
        </w:tc>
      </w:tr>
      <w:tr w:rsidR="00FF1D5C" w:rsidRPr="00944B5E" w14:paraId="3FBBC83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EC75DB7" w14:textId="77777777" w:rsidR="00115458" w:rsidRPr="00944B5E" w:rsidRDefault="00115458" w:rsidP="00F4606C">
            <w:pPr>
              <w:spacing w:after="0" w:line="240" w:lineRule="auto"/>
              <w:ind w:right="-80"/>
              <w:rPr>
                <w:rFonts w:cs="Arial"/>
              </w:rPr>
            </w:pPr>
            <w:r w:rsidRPr="00944B5E">
              <w:rPr>
                <w:rFonts w:cs="Arial"/>
              </w:rPr>
              <w:t>WM02</w:t>
            </w:r>
          </w:p>
        </w:tc>
        <w:tc>
          <w:tcPr>
            <w:tcW w:w="1341" w:type="pct"/>
            <w:tcBorders>
              <w:top w:val="single" w:sz="4" w:space="0" w:color="auto"/>
              <w:left w:val="single" w:sz="4" w:space="0" w:color="auto"/>
              <w:bottom w:val="single" w:sz="4" w:space="0" w:color="auto"/>
              <w:right w:val="single" w:sz="4" w:space="0" w:color="auto"/>
            </w:tcBorders>
            <w:vAlign w:val="center"/>
          </w:tcPr>
          <w:p w14:paraId="3162FACA" w14:textId="24B1B252" w:rsidR="00115458" w:rsidRPr="00944B5E" w:rsidRDefault="00115458" w:rsidP="00F4606C">
            <w:pPr>
              <w:spacing w:after="0" w:line="240" w:lineRule="auto"/>
              <w:ind w:right="-80"/>
              <w:rPr>
                <w:rFonts w:cs="Arial"/>
                <w:color w:val="000000"/>
              </w:rPr>
            </w:pPr>
            <w:r w:rsidRPr="00944B5E">
              <w:rPr>
                <w:rFonts w:cs="Arial"/>
                <w:color w:val="000000"/>
              </w:rPr>
              <w:t xml:space="preserve">9.14 9.15, 9.35, 9.36, 9.43, 9.67, </w:t>
            </w:r>
            <w:r w:rsidR="00280BA1">
              <w:rPr>
                <w:rFonts w:cs="Arial"/>
                <w:color w:val="000000"/>
              </w:rPr>
              <w:t>9.150</w:t>
            </w:r>
            <w:r w:rsidRPr="00944B5E">
              <w:rPr>
                <w:rFonts w:cs="Arial"/>
                <w:color w:val="000000"/>
              </w:rPr>
              <w:t>, 9.</w:t>
            </w:r>
            <w:r w:rsidR="007C0BAA">
              <w:rPr>
                <w:rFonts w:cs="Arial"/>
                <w:color w:val="000000"/>
              </w:rPr>
              <w:t>201</w:t>
            </w:r>
            <w:r w:rsidRPr="00944B5E">
              <w:rPr>
                <w:rFonts w:cs="Arial"/>
                <w:color w:val="000000"/>
              </w:rPr>
              <w:t>, 9.</w:t>
            </w:r>
            <w:r w:rsidR="007C0BAA">
              <w:rPr>
                <w:rFonts w:cs="Arial"/>
                <w:color w:val="000000"/>
              </w:rPr>
              <w:t>202</w:t>
            </w:r>
            <w:r w:rsidRPr="00944B5E">
              <w:rPr>
                <w:rFonts w:cs="Arial"/>
                <w:color w:val="000000"/>
              </w:rPr>
              <w:t>, 9.20</w:t>
            </w:r>
            <w:r w:rsidR="007C0BAA">
              <w:rPr>
                <w:rFonts w:cs="Arial"/>
                <w:color w:val="000000"/>
              </w:rPr>
              <w:t>5</w:t>
            </w:r>
          </w:p>
        </w:tc>
        <w:tc>
          <w:tcPr>
            <w:tcW w:w="3080" w:type="pct"/>
            <w:tcBorders>
              <w:top w:val="single" w:sz="4" w:space="0" w:color="auto"/>
              <w:left w:val="single" w:sz="4" w:space="0" w:color="auto"/>
              <w:bottom w:val="single" w:sz="4" w:space="0" w:color="auto"/>
              <w:right w:val="single" w:sz="4" w:space="0" w:color="auto"/>
            </w:tcBorders>
            <w:noWrap/>
            <w:vAlign w:val="center"/>
          </w:tcPr>
          <w:p w14:paraId="3D3BF1E6" w14:textId="77777777" w:rsidR="00115458" w:rsidRPr="00944B5E" w:rsidRDefault="00115458" w:rsidP="00F4606C">
            <w:pPr>
              <w:spacing w:after="0" w:line="240" w:lineRule="auto"/>
              <w:rPr>
                <w:rFonts w:cs="Arial"/>
              </w:rPr>
            </w:pPr>
            <w:r w:rsidRPr="00944B5E">
              <w:rPr>
                <w:rFonts w:cs="Arial"/>
              </w:rPr>
              <w:t>The field must be entered but you did not report anything in this field.</w:t>
            </w:r>
          </w:p>
        </w:tc>
      </w:tr>
      <w:tr w:rsidR="00FF1D5C" w:rsidRPr="00944B5E" w14:paraId="0C567CF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1FCC0A5" w14:textId="77777777" w:rsidR="00115458" w:rsidRPr="00944B5E" w:rsidRDefault="00115458" w:rsidP="00F4606C">
            <w:pPr>
              <w:spacing w:after="0" w:line="240" w:lineRule="auto"/>
              <w:ind w:right="-80"/>
              <w:rPr>
                <w:rFonts w:cs="Arial"/>
              </w:rPr>
            </w:pPr>
            <w:r w:rsidRPr="00944B5E">
              <w:rPr>
                <w:rFonts w:cs="Arial"/>
              </w:rPr>
              <w:t>WM03</w:t>
            </w:r>
          </w:p>
        </w:tc>
        <w:tc>
          <w:tcPr>
            <w:tcW w:w="1341" w:type="pct"/>
            <w:tcBorders>
              <w:top w:val="single" w:sz="4" w:space="0" w:color="auto"/>
              <w:left w:val="single" w:sz="4" w:space="0" w:color="auto"/>
              <w:bottom w:val="single" w:sz="4" w:space="0" w:color="auto"/>
              <w:right w:val="single" w:sz="4" w:space="0" w:color="auto"/>
            </w:tcBorders>
            <w:vAlign w:val="center"/>
          </w:tcPr>
          <w:p w14:paraId="78774B89" w14:textId="77777777" w:rsidR="00115458" w:rsidRPr="00944B5E" w:rsidRDefault="00115458" w:rsidP="00F4606C">
            <w:pPr>
              <w:spacing w:after="0" w:line="240" w:lineRule="auto"/>
              <w:ind w:right="-80"/>
              <w:rPr>
                <w:rFonts w:cs="Arial"/>
                <w:color w:val="000000"/>
              </w:rPr>
            </w:pPr>
            <w:r w:rsidRPr="00944B5E">
              <w:rPr>
                <w:rFonts w:cs="Arial"/>
                <w:color w:val="000000"/>
              </w:rPr>
              <w:t>9.37</w:t>
            </w:r>
          </w:p>
        </w:tc>
        <w:tc>
          <w:tcPr>
            <w:tcW w:w="3080" w:type="pct"/>
            <w:tcBorders>
              <w:top w:val="single" w:sz="4" w:space="0" w:color="auto"/>
              <w:left w:val="single" w:sz="4" w:space="0" w:color="auto"/>
              <w:bottom w:val="single" w:sz="4" w:space="0" w:color="auto"/>
              <w:right w:val="single" w:sz="4" w:space="0" w:color="auto"/>
            </w:tcBorders>
            <w:noWrap/>
            <w:vAlign w:val="center"/>
          </w:tcPr>
          <w:p w14:paraId="1399BF8F" w14:textId="77777777" w:rsidR="00115458" w:rsidRPr="00944B5E" w:rsidRDefault="00115458" w:rsidP="00F4606C">
            <w:pPr>
              <w:spacing w:after="0" w:line="240" w:lineRule="auto"/>
              <w:rPr>
                <w:rFonts w:cs="Arial"/>
              </w:rPr>
            </w:pPr>
            <w:r w:rsidRPr="00944B5E">
              <w:rPr>
                <w:rFonts w:cs="Arial"/>
              </w:rPr>
              <w:t>The state or territory field must contain either: ACT, NSW, VIC, QLD, NT, SA, WA, TAS or OTH.</w:t>
            </w:r>
          </w:p>
        </w:tc>
      </w:tr>
      <w:tr w:rsidR="00FF1D5C" w:rsidRPr="00944B5E" w14:paraId="678D05A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D03A833" w14:textId="77777777" w:rsidR="00115458" w:rsidRPr="00944B5E" w:rsidRDefault="00115458" w:rsidP="00F4606C">
            <w:pPr>
              <w:spacing w:after="0" w:line="240" w:lineRule="auto"/>
              <w:rPr>
                <w:rFonts w:cs="Arial"/>
              </w:rPr>
            </w:pPr>
            <w:r w:rsidRPr="00944B5E">
              <w:rPr>
                <w:rFonts w:cs="Arial"/>
              </w:rPr>
              <w:t>WM05</w:t>
            </w:r>
          </w:p>
        </w:tc>
        <w:tc>
          <w:tcPr>
            <w:tcW w:w="1341" w:type="pct"/>
            <w:tcBorders>
              <w:top w:val="single" w:sz="4" w:space="0" w:color="auto"/>
              <w:left w:val="single" w:sz="4" w:space="0" w:color="auto"/>
              <w:bottom w:val="single" w:sz="4" w:space="0" w:color="auto"/>
              <w:right w:val="single" w:sz="4" w:space="0" w:color="auto"/>
            </w:tcBorders>
            <w:vAlign w:val="center"/>
          </w:tcPr>
          <w:p w14:paraId="4058A264" w14:textId="77777777" w:rsidR="00115458" w:rsidRPr="00944B5E" w:rsidRDefault="00115458" w:rsidP="00F4606C">
            <w:pPr>
              <w:spacing w:after="0" w:line="240" w:lineRule="auto"/>
              <w:rPr>
                <w:rFonts w:cs="Arial"/>
                <w:color w:val="000000"/>
              </w:rPr>
            </w:pPr>
            <w:r w:rsidRPr="00944B5E">
              <w:rPr>
                <w:rFonts w:cs="Arial"/>
                <w:color w:val="000000"/>
              </w:rPr>
              <w:t>9.38</w:t>
            </w:r>
          </w:p>
        </w:tc>
        <w:tc>
          <w:tcPr>
            <w:tcW w:w="3080" w:type="pct"/>
            <w:tcBorders>
              <w:top w:val="single" w:sz="4" w:space="0" w:color="auto"/>
              <w:left w:val="single" w:sz="4" w:space="0" w:color="auto"/>
              <w:bottom w:val="single" w:sz="4" w:space="0" w:color="auto"/>
              <w:right w:val="single" w:sz="4" w:space="0" w:color="auto"/>
            </w:tcBorders>
            <w:noWrap/>
            <w:vAlign w:val="center"/>
          </w:tcPr>
          <w:p w14:paraId="235AA588" w14:textId="77777777" w:rsidR="00115458" w:rsidRPr="00944B5E" w:rsidRDefault="00115458" w:rsidP="00F4606C">
            <w:pPr>
              <w:spacing w:after="0" w:line="240" w:lineRule="auto"/>
              <w:rPr>
                <w:rFonts w:cs="Arial"/>
              </w:rPr>
            </w:pPr>
            <w:r w:rsidRPr="00944B5E">
              <w:rPr>
                <w:rFonts w:cs="Arial"/>
              </w:rPr>
              <w:t>The postcode field must be within the range of ‘0001-9999’.</w:t>
            </w:r>
          </w:p>
        </w:tc>
      </w:tr>
      <w:tr w:rsidR="00FF1D5C" w:rsidRPr="00944B5E" w14:paraId="3131841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81EE12A" w14:textId="77777777" w:rsidR="00115458" w:rsidRPr="00944B5E" w:rsidRDefault="00115458" w:rsidP="00F4606C">
            <w:pPr>
              <w:spacing w:after="0" w:line="240" w:lineRule="auto"/>
              <w:rPr>
                <w:rFonts w:cs="Arial"/>
              </w:rPr>
            </w:pPr>
            <w:r w:rsidRPr="00944B5E">
              <w:rPr>
                <w:rFonts w:cs="Arial"/>
              </w:rPr>
              <w:t>WM10</w:t>
            </w:r>
          </w:p>
        </w:tc>
        <w:tc>
          <w:tcPr>
            <w:tcW w:w="1341" w:type="pct"/>
            <w:tcBorders>
              <w:top w:val="single" w:sz="4" w:space="0" w:color="auto"/>
              <w:left w:val="single" w:sz="4" w:space="0" w:color="auto"/>
              <w:bottom w:val="single" w:sz="4" w:space="0" w:color="auto"/>
              <w:right w:val="single" w:sz="4" w:space="0" w:color="auto"/>
            </w:tcBorders>
            <w:vAlign w:val="center"/>
          </w:tcPr>
          <w:p w14:paraId="43B0C7A6" w14:textId="77777777" w:rsidR="00115458" w:rsidRPr="00944B5E" w:rsidRDefault="00115458" w:rsidP="00F4606C">
            <w:pPr>
              <w:spacing w:after="0" w:line="240" w:lineRule="auto"/>
              <w:rPr>
                <w:rFonts w:cs="Arial"/>
                <w:color w:val="000000"/>
              </w:rPr>
            </w:pPr>
            <w:r w:rsidRPr="00944B5E">
              <w:rPr>
                <w:rFonts w:cs="Arial"/>
                <w:color w:val="000000"/>
              </w:rPr>
              <w:t>9.199</w:t>
            </w:r>
          </w:p>
        </w:tc>
        <w:tc>
          <w:tcPr>
            <w:tcW w:w="3080" w:type="pct"/>
            <w:tcBorders>
              <w:top w:val="single" w:sz="4" w:space="0" w:color="auto"/>
              <w:left w:val="single" w:sz="4" w:space="0" w:color="auto"/>
              <w:bottom w:val="single" w:sz="4" w:space="0" w:color="auto"/>
              <w:right w:val="single" w:sz="4" w:space="0" w:color="auto"/>
            </w:tcBorders>
            <w:noWrap/>
            <w:vAlign w:val="center"/>
          </w:tcPr>
          <w:p w14:paraId="6FE7F867" w14:textId="77777777" w:rsidR="00115458" w:rsidRPr="00944B5E" w:rsidRDefault="00115458" w:rsidP="00F4606C">
            <w:pPr>
              <w:spacing w:after="0" w:line="240" w:lineRule="auto"/>
              <w:rPr>
                <w:rFonts w:cs="Arial"/>
              </w:rPr>
            </w:pPr>
            <w:r w:rsidRPr="00944B5E">
              <w:rPr>
                <w:rFonts w:cs="Arial"/>
              </w:rPr>
              <w:t>The date field must not contain a future date.</w:t>
            </w:r>
          </w:p>
        </w:tc>
      </w:tr>
      <w:tr w:rsidR="00FF1D5C" w:rsidRPr="00944B5E" w14:paraId="2B2D762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3A59683" w14:textId="77777777" w:rsidR="00115458" w:rsidRPr="00944B5E" w:rsidRDefault="00115458" w:rsidP="00F4606C">
            <w:pPr>
              <w:spacing w:after="0" w:line="240" w:lineRule="auto"/>
              <w:rPr>
                <w:rFonts w:cs="Arial"/>
              </w:rPr>
            </w:pPr>
            <w:r w:rsidRPr="00944B5E">
              <w:rPr>
                <w:rFonts w:cs="Arial"/>
              </w:rPr>
              <w:t>WM18</w:t>
            </w:r>
          </w:p>
        </w:tc>
        <w:tc>
          <w:tcPr>
            <w:tcW w:w="1341" w:type="pct"/>
            <w:tcBorders>
              <w:top w:val="single" w:sz="4" w:space="0" w:color="auto"/>
              <w:left w:val="single" w:sz="4" w:space="0" w:color="auto"/>
              <w:bottom w:val="single" w:sz="4" w:space="0" w:color="auto"/>
              <w:right w:val="single" w:sz="4" w:space="0" w:color="auto"/>
            </w:tcBorders>
            <w:vAlign w:val="center"/>
          </w:tcPr>
          <w:p w14:paraId="128BFADB" w14:textId="76BAB7E1" w:rsidR="00115458" w:rsidRPr="00944B5E" w:rsidRDefault="00115458" w:rsidP="00F4606C">
            <w:pPr>
              <w:spacing w:after="0" w:line="240" w:lineRule="auto"/>
              <w:rPr>
                <w:rFonts w:cs="Arial"/>
                <w:color w:val="000000"/>
              </w:rPr>
            </w:pPr>
            <w:r w:rsidRPr="00944B5E">
              <w:rPr>
                <w:rFonts w:cs="Arial"/>
                <w:color w:val="000000"/>
              </w:rPr>
              <w:t xml:space="preserve">9.45, 9.70, </w:t>
            </w:r>
            <w:r w:rsidR="00D75B52">
              <w:rPr>
                <w:rFonts w:cs="Arial"/>
                <w:color w:val="000000"/>
              </w:rPr>
              <w:t>9.</w:t>
            </w:r>
            <w:r w:rsidR="00AB1DC6">
              <w:rPr>
                <w:rFonts w:cs="Arial"/>
                <w:color w:val="000000"/>
              </w:rPr>
              <w:t>153</w:t>
            </w:r>
            <w:r w:rsidRPr="00944B5E">
              <w:rPr>
                <w:rFonts w:cs="Arial"/>
                <w:color w:val="000000"/>
              </w:rPr>
              <w:t xml:space="preserve">, </w:t>
            </w:r>
            <w:r w:rsidR="008926EF">
              <w:rPr>
                <w:rFonts w:cs="Arial"/>
                <w:color w:val="000000"/>
              </w:rPr>
              <w:t>9.156</w:t>
            </w:r>
            <w:r w:rsidRPr="00944B5E">
              <w:rPr>
                <w:rFonts w:cs="Arial"/>
                <w:color w:val="000000"/>
              </w:rPr>
              <w:t xml:space="preserve">, </w:t>
            </w:r>
            <w:r w:rsidR="00AB1DC6">
              <w:rPr>
                <w:rFonts w:cs="Arial"/>
                <w:color w:val="000000"/>
              </w:rPr>
              <w:t>9.158</w:t>
            </w:r>
            <w:r w:rsidRPr="00944B5E">
              <w:rPr>
                <w:rFonts w:cs="Arial"/>
                <w:color w:val="000000"/>
              </w:rPr>
              <w:t xml:space="preserve">, </w:t>
            </w:r>
            <w:r w:rsidR="00EE15D0">
              <w:rPr>
                <w:rFonts w:cs="Arial"/>
                <w:color w:val="000000"/>
              </w:rPr>
              <w:t>9.161,</w:t>
            </w:r>
            <w:r w:rsidRPr="00944B5E">
              <w:rPr>
                <w:rFonts w:cs="Arial"/>
                <w:color w:val="000000"/>
              </w:rPr>
              <w:t xml:space="preserve"> 9.</w:t>
            </w:r>
            <w:r w:rsidR="007C0BAA">
              <w:rPr>
                <w:rFonts w:cs="Arial"/>
                <w:color w:val="000000"/>
              </w:rPr>
              <w:t>204</w:t>
            </w:r>
            <w:r w:rsidRPr="00944B5E">
              <w:rPr>
                <w:rFonts w:cs="Arial"/>
                <w:color w:val="000000"/>
              </w:rPr>
              <w:t>, 9.2</w:t>
            </w:r>
            <w:r w:rsidR="00CE59AB">
              <w:rPr>
                <w:rFonts w:cs="Arial"/>
                <w:color w:val="000000"/>
              </w:rPr>
              <w:t>11</w:t>
            </w:r>
            <w:r w:rsidRPr="00944B5E">
              <w:rPr>
                <w:rFonts w:cs="Arial"/>
                <w:color w:val="000000"/>
              </w:rPr>
              <w:t>, 9.21</w:t>
            </w:r>
            <w:r w:rsidR="00CE59AB">
              <w:rPr>
                <w:rFonts w:cs="Arial"/>
                <w:color w:val="000000"/>
              </w:rPr>
              <w:t>9</w:t>
            </w:r>
          </w:p>
        </w:tc>
        <w:tc>
          <w:tcPr>
            <w:tcW w:w="3080" w:type="pct"/>
            <w:tcBorders>
              <w:top w:val="single" w:sz="4" w:space="0" w:color="auto"/>
              <w:left w:val="single" w:sz="4" w:space="0" w:color="auto"/>
              <w:bottom w:val="single" w:sz="4" w:space="0" w:color="auto"/>
              <w:right w:val="single" w:sz="4" w:space="0" w:color="auto"/>
            </w:tcBorders>
            <w:noWrap/>
            <w:vAlign w:val="center"/>
          </w:tcPr>
          <w:p w14:paraId="1F23602E" w14:textId="77777777" w:rsidR="00115458" w:rsidRPr="00944B5E" w:rsidRDefault="00115458" w:rsidP="00F4606C">
            <w:pPr>
              <w:spacing w:after="0" w:line="240" w:lineRule="auto"/>
              <w:rPr>
                <w:rFonts w:cs="Arial"/>
              </w:rPr>
            </w:pPr>
            <w:r w:rsidRPr="00944B5E">
              <w:rPr>
                <w:rFonts w:cs="Arial"/>
              </w:rPr>
              <w:t>The date field must contain a valid date in the format DDMMCCYY.</w:t>
            </w:r>
          </w:p>
        </w:tc>
      </w:tr>
      <w:tr w:rsidR="00FF1D5C" w:rsidRPr="00944B5E" w14:paraId="16D806E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A1AFE9B" w14:textId="77777777" w:rsidR="00115458" w:rsidRPr="00944B5E" w:rsidRDefault="00115458" w:rsidP="00F4606C">
            <w:pPr>
              <w:spacing w:after="0" w:line="240" w:lineRule="auto"/>
              <w:rPr>
                <w:rFonts w:cs="Arial"/>
              </w:rPr>
            </w:pPr>
            <w:r w:rsidRPr="00944B5E">
              <w:rPr>
                <w:rFonts w:cs="Arial"/>
                <w:color w:val="000000"/>
              </w:rPr>
              <w:t>WM50</w:t>
            </w:r>
          </w:p>
        </w:tc>
        <w:tc>
          <w:tcPr>
            <w:tcW w:w="1341" w:type="pct"/>
            <w:tcBorders>
              <w:top w:val="single" w:sz="4" w:space="0" w:color="auto"/>
              <w:left w:val="single" w:sz="4" w:space="0" w:color="auto"/>
              <w:bottom w:val="single" w:sz="4" w:space="0" w:color="auto"/>
              <w:right w:val="single" w:sz="4" w:space="0" w:color="auto"/>
            </w:tcBorders>
            <w:vAlign w:val="center"/>
          </w:tcPr>
          <w:p w14:paraId="48A62F83" w14:textId="77777777" w:rsidR="00115458" w:rsidRPr="00944B5E" w:rsidRDefault="00115458" w:rsidP="00F4606C">
            <w:pPr>
              <w:spacing w:after="0" w:line="240" w:lineRule="auto"/>
              <w:rPr>
                <w:rFonts w:cs="Arial"/>
                <w:color w:val="000000"/>
              </w:rPr>
            </w:pPr>
            <w:r w:rsidRPr="00944B5E">
              <w:rPr>
                <w:rFonts w:cs="Arial"/>
                <w:color w:val="000000"/>
              </w:rPr>
              <w:t>9.43</w:t>
            </w:r>
          </w:p>
        </w:tc>
        <w:tc>
          <w:tcPr>
            <w:tcW w:w="3080" w:type="pct"/>
            <w:tcBorders>
              <w:top w:val="single" w:sz="4" w:space="0" w:color="auto"/>
              <w:left w:val="single" w:sz="4" w:space="0" w:color="auto"/>
              <w:bottom w:val="single" w:sz="4" w:space="0" w:color="auto"/>
              <w:right w:val="single" w:sz="4" w:space="0" w:color="auto"/>
            </w:tcBorders>
            <w:noWrap/>
            <w:vAlign w:val="center"/>
          </w:tcPr>
          <w:p w14:paraId="2A799F11" w14:textId="77777777" w:rsidR="00115458" w:rsidRPr="00944B5E" w:rsidRDefault="00115458" w:rsidP="00F4606C">
            <w:pPr>
              <w:spacing w:after="0" w:line="240" w:lineRule="auto"/>
              <w:rPr>
                <w:rFonts w:cs="Arial"/>
                <w:color w:val="000000"/>
              </w:rPr>
            </w:pPr>
            <w:r w:rsidRPr="00944B5E">
              <w:rPr>
                <w:rFonts w:cs="Arial"/>
                <w:color w:val="000000"/>
              </w:rPr>
              <w:t>The local part of an email address (before the @) generally consists of letters and digits and may also include some special characters. The domain part (after the @) generally consists of letters, digits, hyphens and dots only. A domain part must include a dot but must not start or end with a dot.</w:t>
            </w:r>
          </w:p>
        </w:tc>
      </w:tr>
      <w:tr w:rsidR="00FF1D5C" w:rsidRPr="00944B5E" w14:paraId="79F55DCF"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88E6AF7" w14:textId="77777777" w:rsidR="00115458" w:rsidRPr="00944B5E" w:rsidRDefault="00115458" w:rsidP="00F4606C">
            <w:pPr>
              <w:spacing w:after="0" w:line="240" w:lineRule="auto"/>
              <w:rPr>
                <w:rFonts w:cs="Arial"/>
              </w:rPr>
            </w:pPr>
            <w:r w:rsidRPr="00944B5E">
              <w:rPr>
                <w:rFonts w:cs="Arial"/>
              </w:rPr>
              <w:t>WM61</w:t>
            </w:r>
          </w:p>
        </w:tc>
        <w:tc>
          <w:tcPr>
            <w:tcW w:w="1341" w:type="pct"/>
            <w:tcBorders>
              <w:top w:val="single" w:sz="4" w:space="0" w:color="auto"/>
              <w:left w:val="single" w:sz="4" w:space="0" w:color="auto"/>
              <w:bottom w:val="single" w:sz="4" w:space="0" w:color="auto"/>
              <w:right w:val="single" w:sz="4" w:space="0" w:color="auto"/>
            </w:tcBorders>
            <w:vAlign w:val="center"/>
          </w:tcPr>
          <w:p w14:paraId="0AAA80C4" w14:textId="77777777" w:rsidR="00115458" w:rsidRPr="00944B5E" w:rsidRDefault="00115458" w:rsidP="00F4606C">
            <w:pPr>
              <w:spacing w:after="0" w:line="240" w:lineRule="auto"/>
              <w:rPr>
                <w:rFonts w:cs="Arial"/>
                <w:color w:val="000000"/>
              </w:rPr>
            </w:pPr>
            <w:r w:rsidRPr="00944B5E">
              <w:rPr>
                <w:rFonts w:cs="Arial"/>
                <w:color w:val="000000"/>
              </w:rPr>
              <w:t>9.44</w:t>
            </w:r>
          </w:p>
        </w:tc>
        <w:tc>
          <w:tcPr>
            <w:tcW w:w="3080" w:type="pct"/>
            <w:tcBorders>
              <w:top w:val="single" w:sz="4" w:space="0" w:color="auto"/>
              <w:left w:val="single" w:sz="4" w:space="0" w:color="auto"/>
              <w:bottom w:val="single" w:sz="4" w:space="0" w:color="auto"/>
              <w:right w:val="single" w:sz="4" w:space="0" w:color="auto"/>
            </w:tcBorders>
            <w:noWrap/>
            <w:vAlign w:val="center"/>
          </w:tcPr>
          <w:p w14:paraId="4A1A9C92" w14:textId="77777777" w:rsidR="00115458" w:rsidRPr="00944B5E" w:rsidRDefault="00115458" w:rsidP="00F4606C">
            <w:pPr>
              <w:spacing w:after="0" w:line="240" w:lineRule="auto"/>
              <w:rPr>
                <w:rFonts w:cs="Arial"/>
              </w:rPr>
            </w:pPr>
            <w:r w:rsidRPr="00944B5E">
              <w:rPr>
                <w:rFonts w:cs="Arial"/>
              </w:rPr>
              <w:t>The Reporting period indicator field must contain either ‘S’ (SAP) or ‘N’ (Not a SAP).</w:t>
            </w:r>
          </w:p>
        </w:tc>
      </w:tr>
      <w:tr w:rsidR="00FF1D5C" w:rsidRPr="00944B5E" w14:paraId="1EF271A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51CC70F" w14:textId="77777777" w:rsidR="00115458" w:rsidRPr="00944B5E" w:rsidRDefault="00115458" w:rsidP="00F4606C">
            <w:pPr>
              <w:spacing w:after="0" w:line="240" w:lineRule="auto"/>
              <w:rPr>
                <w:rFonts w:cs="Arial"/>
              </w:rPr>
            </w:pPr>
            <w:r w:rsidRPr="00944B5E">
              <w:rPr>
                <w:rFonts w:cs="Arial"/>
              </w:rPr>
              <w:t>WM62</w:t>
            </w:r>
          </w:p>
        </w:tc>
        <w:tc>
          <w:tcPr>
            <w:tcW w:w="1341" w:type="pct"/>
            <w:tcBorders>
              <w:top w:val="single" w:sz="4" w:space="0" w:color="auto"/>
              <w:left w:val="single" w:sz="4" w:space="0" w:color="auto"/>
              <w:bottom w:val="single" w:sz="4" w:space="0" w:color="auto"/>
              <w:right w:val="single" w:sz="4" w:space="0" w:color="auto"/>
            </w:tcBorders>
            <w:vAlign w:val="center"/>
          </w:tcPr>
          <w:p w14:paraId="4C0D63D7" w14:textId="77777777" w:rsidR="00115458" w:rsidRPr="00944B5E" w:rsidRDefault="00115458" w:rsidP="00F4606C">
            <w:pPr>
              <w:spacing w:after="0" w:line="240" w:lineRule="auto"/>
              <w:rPr>
                <w:rFonts w:cs="Arial"/>
                <w:color w:val="000000"/>
              </w:rPr>
            </w:pPr>
            <w:r w:rsidRPr="00944B5E">
              <w:rPr>
                <w:rFonts w:cs="Arial"/>
                <w:color w:val="000000"/>
              </w:rPr>
              <w:t>9.47</w:t>
            </w:r>
          </w:p>
        </w:tc>
        <w:tc>
          <w:tcPr>
            <w:tcW w:w="3080" w:type="pct"/>
            <w:tcBorders>
              <w:top w:val="single" w:sz="4" w:space="0" w:color="auto"/>
              <w:left w:val="single" w:sz="4" w:space="0" w:color="auto"/>
              <w:bottom w:val="single" w:sz="4" w:space="0" w:color="auto"/>
              <w:right w:val="single" w:sz="4" w:space="0" w:color="auto"/>
            </w:tcBorders>
            <w:noWrap/>
            <w:vAlign w:val="center"/>
          </w:tcPr>
          <w:p w14:paraId="38BBFD55" w14:textId="77777777" w:rsidR="00115458" w:rsidRPr="00944B5E" w:rsidRDefault="00115458" w:rsidP="00F4606C">
            <w:pPr>
              <w:spacing w:after="0" w:line="240" w:lineRule="auto"/>
              <w:rPr>
                <w:rFonts w:cs="Arial"/>
              </w:rPr>
            </w:pPr>
            <w:r w:rsidRPr="00944B5E">
              <w:rPr>
                <w:rFonts w:cs="Arial"/>
              </w:rPr>
              <w:t>The Report format indicator field must contain either ‘N’ (Nil Return AIIR) or ‘S’ (Standard AIIR).</w:t>
            </w:r>
          </w:p>
        </w:tc>
      </w:tr>
      <w:tr w:rsidR="00FF1D5C" w:rsidRPr="00944B5E" w14:paraId="2A93728C"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5FE1FD4" w14:textId="77777777" w:rsidR="00115458" w:rsidRPr="00944B5E" w:rsidRDefault="00115458" w:rsidP="00F4606C">
            <w:pPr>
              <w:spacing w:after="0" w:line="240" w:lineRule="auto"/>
              <w:rPr>
                <w:rFonts w:cs="Arial"/>
              </w:rPr>
            </w:pPr>
            <w:r w:rsidRPr="00944B5E">
              <w:rPr>
                <w:rFonts w:cs="Arial"/>
              </w:rPr>
              <w:t>WM64</w:t>
            </w:r>
          </w:p>
        </w:tc>
        <w:tc>
          <w:tcPr>
            <w:tcW w:w="1341" w:type="pct"/>
            <w:tcBorders>
              <w:top w:val="single" w:sz="4" w:space="0" w:color="auto"/>
              <w:left w:val="single" w:sz="4" w:space="0" w:color="auto"/>
              <w:bottom w:val="single" w:sz="4" w:space="0" w:color="auto"/>
              <w:right w:val="single" w:sz="4" w:space="0" w:color="auto"/>
            </w:tcBorders>
            <w:vAlign w:val="center"/>
          </w:tcPr>
          <w:p w14:paraId="1117E8E7" w14:textId="77777777" w:rsidR="00115458" w:rsidRPr="00944B5E" w:rsidRDefault="00115458" w:rsidP="00F4606C">
            <w:pPr>
              <w:spacing w:after="0" w:line="240" w:lineRule="auto"/>
              <w:rPr>
                <w:rFonts w:cs="Arial"/>
                <w:color w:val="000000"/>
              </w:rPr>
            </w:pPr>
            <w:r w:rsidRPr="00944B5E">
              <w:rPr>
                <w:rFonts w:cs="Arial"/>
                <w:color w:val="000000"/>
              </w:rPr>
              <w:t>9.45</w:t>
            </w:r>
          </w:p>
        </w:tc>
        <w:tc>
          <w:tcPr>
            <w:tcW w:w="3080" w:type="pct"/>
            <w:tcBorders>
              <w:top w:val="single" w:sz="4" w:space="0" w:color="auto"/>
              <w:left w:val="single" w:sz="4" w:space="0" w:color="auto"/>
              <w:bottom w:val="single" w:sz="4" w:space="0" w:color="auto"/>
              <w:right w:val="single" w:sz="4" w:space="0" w:color="auto"/>
            </w:tcBorders>
            <w:noWrap/>
            <w:vAlign w:val="center"/>
          </w:tcPr>
          <w:p w14:paraId="5D4E9413" w14:textId="77777777" w:rsidR="00115458" w:rsidRPr="00944B5E" w:rsidRDefault="00115458" w:rsidP="00F4606C">
            <w:pPr>
              <w:spacing w:after="0" w:line="240" w:lineRule="auto"/>
              <w:rPr>
                <w:rFonts w:cs="Arial"/>
              </w:rPr>
            </w:pPr>
            <w:r w:rsidRPr="00944B5E">
              <w:rPr>
                <w:rFonts w:cs="Arial"/>
              </w:rPr>
              <w:t>The Reporting period indicator is S, but the SAP year end date does not support this.</w:t>
            </w:r>
          </w:p>
        </w:tc>
      </w:tr>
      <w:tr w:rsidR="00FF1D5C" w:rsidRPr="00944B5E" w14:paraId="4B127506"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59E2FEF" w14:textId="77777777" w:rsidR="00115458" w:rsidRPr="00944B5E" w:rsidRDefault="00115458" w:rsidP="00F4606C">
            <w:pPr>
              <w:spacing w:after="0" w:line="240" w:lineRule="auto"/>
              <w:rPr>
                <w:rFonts w:cs="Arial"/>
                <w:color w:val="000000"/>
              </w:rPr>
            </w:pPr>
            <w:r w:rsidRPr="00944B5E">
              <w:rPr>
                <w:rFonts w:cs="Arial"/>
              </w:rPr>
              <w:t>WM65</w:t>
            </w:r>
          </w:p>
        </w:tc>
        <w:tc>
          <w:tcPr>
            <w:tcW w:w="1341" w:type="pct"/>
            <w:tcBorders>
              <w:top w:val="single" w:sz="4" w:space="0" w:color="auto"/>
              <w:left w:val="single" w:sz="4" w:space="0" w:color="auto"/>
              <w:bottom w:val="single" w:sz="4" w:space="0" w:color="auto"/>
              <w:right w:val="single" w:sz="4" w:space="0" w:color="auto"/>
            </w:tcBorders>
            <w:vAlign w:val="center"/>
          </w:tcPr>
          <w:p w14:paraId="50A1E42D" w14:textId="77777777" w:rsidR="00115458" w:rsidRPr="00944B5E" w:rsidRDefault="00115458" w:rsidP="00F4606C">
            <w:pPr>
              <w:spacing w:after="0" w:line="240" w:lineRule="auto"/>
              <w:rPr>
                <w:rFonts w:cs="Arial"/>
                <w:color w:val="000000"/>
              </w:rPr>
            </w:pPr>
            <w:r w:rsidRPr="00944B5E">
              <w:rPr>
                <w:rFonts w:cs="Arial"/>
                <w:color w:val="000000"/>
              </w:rPr>
              <w:t>9.68, 9.69</w:t>
            </w:r>
          </w:p>
        </w:tc>
        <w:tc>
          <w:tcPr>
            <w:tcW w:w="3080" w:type="pct"/>
            <w:tcBorders>
              <w:top w:val="single" w:sz="4" w:space="0" w:color="auto"/>
              <w:left w:val="single" w:sz="4" w:space="0" w:color="auto"/>
              <w:bottom w:val="single" w:sz="4" w:space="0" w:color="auto"/>
              <w:right w:val="single" w:sz="4" w:space="0" w:color="auto"/>
            </w:tcBorders>
            <w:noWrap/>
            <w:vAlign w:val="center"/>
          </w:tcPr>
          <w:p w14:paraId="6DBB7207" w14:textId="77777777" w:rsidR="00115458" w:rsidRPr="00944B5E" w:rsidRDefault="00115458" w:rsidP="00F4606C">
            <w:pPr>
              <w:spacing w:after="0" w:line="240" w:lineRule="auto"/>
              <w:rPr>
                <w:rFonts w:cs="Arial"/>
              </w:rPr>
            </w:pPr>
            <w:r w:rsidRPr="00944B5E">
              <w:rPr>
                <w:rFonts w:cs="Arial"/>
              </w:rPr>
              <w:t>The field must be within the range of ’01-99’.</w:t>
            </w:r>
          </w:p>
        </w:tc>
      </w:tr>
      <w:tr w:rsidR="00FF1D5C" w:rsidRPr="00944B5E" w14:paraId="5F1AC025"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E203209" w14:textId="77777777" w:rsidR="00115458" w:rsidRPr="00944B5E" w:rsidRDefault="00115458" w:rsidP="00F4606C">
            <w:pPr>
              <w:spacing w:after="0" w:line="240" w:lineRule="auto"/>
              <w:rPr>
                <w:rFonts w:cs="Arial"/>
                <w:color w:val="000000"/>
              </w:rPr>
            </w:pPr>
            <w:r w:rsidRPr="00944B5E">
              <w:rPr>
                <w:rFonts w:cs="Arial"/>
              </w:rPr>
              <w:t>WM66</w:t>
            </w:r>
          </w:p>
        </w:tc>
        <w:tc>
          <w:tcPr>
            <w:tcW w:w="1341" w:type="pct"/>
            <w:tcBorders>
              <w:top w:val="single" w:sz="4" w:space="0" w:color="auto"/>
              <w:left w:val="single" w:sz="4" w:space="0" w:color="auto"/>
              <w:bottom w:val="single" w:sz="4" w:space="0" w:color="auto"/>
              <w:right w:val="single" w:sz="4" w:space="0" w:color="auto"/>
            </w:tcBorders>
            <w:vAlign w:val="center"/>
          </w:tcPr>
          <w:p w14:paraId="542C485A" w14:textId="77777777" w:rsidR="00115458" w:rsidRPr="00944B5E" w:rsidRDefault="00115458" w:rsidP="00F4606C">
            <w:pPr>
              <w:spacing w:after="0" w:line="240" w:lineRule="auto"/>
              <w:rPr>
                <w:rFonts w:cs="Arial"/>
                <w:color w:val="000000"/>
              </w:rPr>
            </w:pPr>
            <w:r w:rsidRPr="00944B5E">
              <w:rPr>
                <w:rFonts w:cs="Arial"/>
                <w:color w:val="000000"/>
              </w:rPr>
              <w:t>9.68</w:t>
            </w:r>
          </w:p>
        </w:tc>
        <w:tc>
          <w:tcPr>
            <w:tcW w:w="3080" w:type="pct"/>
            <w:tcBorders>
              <w:top w:val="single" w:sz="4" w:space="0" w:color="auto"/>
              <w:left w:val="single" w:sz="4" w:space="0" w:color="auto"/>
              <w:bottom w:val="single" w:sz="4" w:space="0" w:color="auto"/>
              <w:right w:val="single" w:sz="4" w:space="0" w:color="auto"/>
            </w:tcBorders>
            <w:noWrap/>
            <w:vAlign w:val="center"/>
          </w:tcPr>
          <w:p w14:paraId="41E090AB" w14:textId="77777777" w:rsidR="00115458" w:rsidRPr="00944B5E" w:rsidRDefault="00115458" w:rsidP="00F4606C">
            <w:pPr>
              <w:spacing w:after="0" w:line="240" w:lineRule="auto"/>
              <w:rPr>
                <w:rFonts w:cs="Arial"/>
              </w:rPr>
            </w:pPr>
            <w:r w:rsidRPr="00944B5E">
              <w:rPr>
                <w:rFonts w:cs="Arial"/>
              </w:rPr>
              <w:t>The Number of investors in the account must be greater than or equal to the Number of Investor records provided.</w:t>
            </w:r>
          </w:p>
        </w:tc>
      </w:tr>
      <w:tr w:rsidR="00FF1D5C" w:rsidRPr="00944B5E" w14:paraId="71E6F531"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04A24FC" w14:textId="77777777" w:rsidR="00115458" w:rsidRPr="00944B5E" w:rsidRDefault="00115458" w:rsidP="00F4606C">
            <w:pPr>
              <w:spacing w:after="0" w:line="240" w:lineRule="auto"/>
              <w:rPr>
                <w:rFonts w:cs="Arial"/>
              </w:rPr>
            </w:pPr>
            <w:r w:rsidRPr="00944B5E">
              <w:rPr>
                <w:rFonts w:cs="Arial"/>
              </w:rPr>
              <w:t>WM68</w:t>
            </w:r>
          </w:p>
        </w:tc>
        <w:tc>
          <w:tcPr>
            <w:tcW w:w="1341" w:type="pct"/>
            <w:tcBorders>
              <w:top w:val="single" w:sz="4" w:space="0" w:color="auto"/>
              <w:left w:val="single" w:sz="4" w:space="0" w:color="auto"/>
              <w:bottom w:val="single" w:sz="4" w:space="0" w:color="auto"/>
              <w:right w:val="single" w:sz="4" w:space="0" w:color="auto"/>
            </w:tcBorders>
            <w:vAlign w:val="center"/>
          </w:tcPr>
          <w:p w14:paraId="57798D58" w14:textId="77777777" w:rsidR="00115458" w:rsidRPr="00944B5E" w:rsidRDefault="00115458" w:rsidP="00F4606C">
            <w:pPr>
              <w:spacing w:after="0" w:line="240" w:lineRule="auto"/>
              <w:rPr>
                <w:rFonts w:cs="Arial"/>
                <w:color w:val="000000"/>
              </w:rPr>
            </w:pPr>
            <w:r w:rsidRPr="00944B5E">
              <w:rPr>
                <w:rFonts w:cs="Arial"/>
                <w:color w:val="000000"/>
              </w:rPr>
              <w:t>9.69</w:t>
            </w:r>
          </w:p>
        </w:tc>
        <w:tc>
          <w:tcPr>
            <w:tcW w:w="3080" w:type="pct"/>
            <w:tcBorders>
              <w:top w:val="single" w:sz="4" w:space="0" w:color="auto"/>
              <w:left w:val="single" w:sz="4" w:space="0" w:color="auto"/>
              <w:bottom w:val="single" w:sz="4" w:space="0" w:color="auto"/>
              <w:right w:val="single" w:sz="4" w:space="0" w:color="auto"/>
            </w:tcBorders>
            <w:noWrap/>
            <w:vAlign w:val="center"/>
          </w:tcPr>
          <w:p w14:paraId="6D3052D7" w14:textId="77777777" w:rsidR="00115458" w:rsidRPr="00944B5E" w:rsidRDefault="00115458" w:rsidP="00F4606C">
            <w:pPr>
              <w:spacing w:after="0" w:line="240" w:lineRule="auto"/>
              <w:rPr>
                <w:rFonts w:cs="Arial"/>
              </w:rPr>
            </w:pPr>
            <w:r w:rsidRPr="00944B5E">
              <w:rPr>
                <w:rFonts w:cs="Arial"/>
              </w:rPr>
              <w:t>Number of investor records provided must be less than or equal to number of Investor data record for this account.</w:t>
            </w:r>
          </w:p>
        </w:tc>
      </w:tr>
      <w:tr w:rsidR="00FF1D5C" w:rsidRPr="00944B5E" w14:paraId="4F8E2A8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4595901" w14:textId="77777777" w:rsidR="00115458" w:rsidRPr="00944B5E" w:rsidRDefault="00115458" w:rsidP="00F4606C">
            <w:pPr>
              <w:spacing w:after="0" w:line="240" w:lineRule="auto"/>
              <w:rPr>
                <w:rFonts w:cs="Arial"/>
              </w:rPr>
            </w:pPr>
            <w:r w:rsidRPr="00944B5E">
              <w:rPr>
                <w:rFonts w:cs="Arial"/>
              </w:rPr>
              <w:t>WM69</w:t>
            </w:r>
          </w:p>
        </w:tc>
        <w:tc>
          <w:tcPr>
            <w:tcW w:w="1341" w:type="pct"/>
            <w:tcBorders>
              <w:top w:val="single" w:sz="4" w:space="0" w:color="auto"/>
              <w:left w:val="single" w:sz="4" w:space="0" w:color="auto"/>
              <w:bottom w:val="single" w:sz="4" w:space="0" w:color="auto"/>
              <w:right w:val="single" w:sz="4" w:space="0" w:color="auto"/>
            </w:tcBorders>
            <w:vAlign w:val="center"/>
          </w:tcPr>
          <w:p w14:paraId="32B84D1C" w14:textId="286136CA" w:rsidR="00115458" w:rsidRPr="00944B5E" w:rsidRDefault="00115458" w:rsidP="00F4606C">
            <w:pPr>
              <w:spacing w:after="0" w:line="240" w:lineRule="auto"/>
              <w:rPr>
                <w:rFonts w:cs="Arial"/>
                <w:color w:val="000000"/>
              </w:rPr>
            </w:pPr>
            <w:r w:rsidRPr="00944B5E">
              <w:rPr>
                <w:rFonts w:cs="Arial"/>
                <w:color w:val="000000"/>
              </w:rPr>
              <w:t>9.70,</w:t>
            </w:r>
            <w:r w:rsidR="0011375D">
              <w:rPr>
                <w:rFonts w:cs="Arial"/>
                <w:color w:val="000000"/>
              </w:rPr>
              <w:t xml:space="preserve"> 9.1</w:t>
            </w:r>
            <w:r w:rsidR="00F05CB8">
              <w:rPr>
                <w:rFonts w:cs="Arial"/>
                <w:color w:val="000000"/>
              </w:rPr>
              <w:t>53</w:t>
            </w:r>
            <w:r w:rsidRPr="00944B5E">
              <w:rPr>
                <w:rFonts w:cs="Arial"/>
                <w:color w:val="000000"/>
              </w:rPr>
              <w:t xml:space="preserve">, </w:t>
            </w:r>
            <w:r w:rsidR="00F05CB8">
              <w:rPr>
                <w:rFonts w:cs="Arial"/>
                <w:color w:val="000000"/>
              </w:rPr>
              <w:t>9.156</w:t>
            </w:r>
            <w:r w:rsidRPr="00944B5E">
              <w:rPr>
                <w:rFonts w:cs="Arial"/>
                <w:color w:val="000000"/>
              </w:rPr>
              <w:t xml:space="preserve">, </w:t>
            </w:r>
            <w:r w:rsidR="00F05CB8">
              <w:rPr>
                <w:rFonts w:cs="Arial"/>
                <w:color w:val="000000"/>
              </w:rPr>
              <w:t>9.158</w:t>
            </w:r>
            <w:r w:rsidRPr="00944B5E">
              <w:rPr>
                <w:rFonts w:cs="Arial"/>
                <w:color w:val="000000"/>
              </w:rPr>
              <w:t xml:space="preserve">, </w:t>
            </w:r>
            <w:r w:rsidR="00C47B9E">
              <w:rPr>
                <w:rFonts w:cs="Arial"/>
                <w:color w:val="000000"/>
              </w:rPr>
              <w:t>9.161</w:t>
            </w:r>
            <w:r w:rsidRPr="00944B5E">
              <w:rPr>
                <w:rFonts w:cs="Arial"/>
                <w:color w:val="000000"/>
              </w:rPr>
              <w:t>, 9.</w:t>
            </w:r>
            <w:r w:rsidR="00F85456" w:rsidRPr="00944B5E">
              <w:rPr>
                <w:rFonts w:cs="Arial"/>
                <w:color w:val="000000"/>
              </w:rPr>
              <w:t>2</w:t>
            </w:r>
            <w:r w:rsidR="00F85456">
              <w:rPr>
                <w:rFonts w:cs="Arial"/>
                <w:color w:val="000000"/>
              </w:rPr>
              <w:t>11</w:t>
            </w:r>
          </w:p>
        </w:tc>
        <w:tc>
          <w:tcPr>
            <w:tcW w:w="3080" w:type="pct"/>
            <w:tcBorders>
              <w:top w:val="single" w:sz="4" w:space="0" w:color="auto"/>
              <w:left w:val="single" w:sz="4" w:space="0" w:color="auto"/>
              <w:bottom w:val="single" w:sz="4" w:space="0" w:color="auto"/>
              <w:right w:val="single" w:sz="4" w:space="0" w:color="auto"/>
            </w:tcBorders>
            <w:noWrap/>
            <w:vAlign w:val="center"/>
          </w:tcPr>
          <w:p w14:paraId="63730B87" w14:textId="77777777" w:rsidR="00115458" w:rsidRPr="00944B5E" w:rsidRDefault="00115458" w:rsidP="00F4606C">
            <w:pPr>
              <w:spacing w:after="0" w:line="240" w:lineRule="auto"/>
              <w:rPr>
                <w:rFonts w:cs="Arial"/>
              </w:rPr>
            </w:pPr>
            <w:r w:rsidRPr="00944B5E">
              <w:rPr>
                <w:rFonts w:cs="Arial"/>
              </w:rPr>
              <w:t>The field must be within the financial year reported in the Financial year field in the Investment Body Identity Record.</w:t>
            </w:r>
          </w:p>
        </w:tc>
      </w:tr>
      <w:tr w:rsidR="00FF1D5C" w:rsidRPr="00944B5E" w14:paraId="2C5089A5"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C01AFB8" w14:textId="77777777" w:rsidR="00115458" w:rsidRPr="00944B5E" w:rsidRDefault="00115458" w:rsidP="00F4606C">
            <w:pPr>
              <w:spacing w:after="0" w:line="240" w:lineRule="auto"/>
              <w:rPr>
                <w:rFonts w:cs="Arial"/>
              </w:rPr>
            </w:pPr>
            <w:r w:rsidRPr="00944B5E">
              <w:rPr>
                <w:rFonts w:cs="Arial"/>
              </w:rPr>
              <w:t>WM72</w:t>
            </w:r>
          </w:p>
        </w:tc>
        <w:tc>
          <w:tcPr>
            <w:tcW w:w="1341" w:type="pct"/>
            <w:tcBorders>
              <w:top w:val="single" w:sz="4" w:space="0" w:color="auto"/>
              <w:left w:val="single" w:sz="4" w:space="0" w:color="auto"/>
              <w:bottom w:val="single" w:sz="4" w:space="0" w:color="auto"/>
              <w:right w:val="single" w:sz="4" w:space="0" w:color="auto"/>
            </w:tcBorders>
            <w:vAlign w:val="center"/>
          </w:tcPr>
          <w:p w14:paraId="07BEEE4E" w14:textId="77777777" w:rsidR="00115458" w:rsidRPr="00944B5E" w:rsidRDefault="00115458" w:rsidP="00F4606C">
            <w:pPr>
              <w:spacing w:after="0" w:line="240" w:lineRule="auto"/>
              <w:rPr>
                <w:rFonts w:cs="Arial"/>
                <w:color w:val="000000"/>
              </w:rPr>
            </w:pPr>
            <w:r w:rsidRPr="00944B5E">
              <w:rPr>
                <w:rFonts w:cs="Arial"/>
                <w:color w:val="000000"/>
              </w:rPr>
              <w:t>9.73</w:t>
            </w:r>
          </w:p>
        </w:tc>
        <w:tc>
          <w:tcPr>
            <w:tcW w:w="3080" w:type="pct"/>
            <w:tcBorders>
              <w:top w:val="single" w:sz="4" w:space="0" w:color="auto"/>
              <w:left w:val="single" w:sz="4" w:space="0" w:color="auto"/>
              <w:bottom w:val="single" w:sz="4" w:space="0" w:color="auto"/>
              <w:right w:val="single" w:sz="4" w:space="0" w:color="auto"/>
            </w:tcBorders>
            <w:noWrap/>
            <w:vAlign w:val="center"/>
          </w:tcPr>
          <w:p w14:paraId="42C8CC40"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’00-99’.</w:t>
            </w:r>
          </w:p>
        </w:tc>
      </w:tr>
      <w:tr w:rsidR="00FF1D5C" w:rsidRPr="00944B5E" w14:paraId="5C550CA6"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8BD42FA" w14:textId="77777777" w:rsidR="00115458" w:rsidRPr="00944B5E" w:rsidRDefault="00115458" w:rsidP="00F4606C">
            <w:pPr>
              <w:spacing w:after="0" w:line="240" w:lineRule="auto"/>
              <w:rPr>
                <w:rFonts w:cs="Arial"/>
              </w:rPr>
            </w:pPr>
            <w:r w:rsidRPr="00944B5E">
              <w:rPr>
                <w:rFonts w:cs="Arial"/>
              </w:rPr>
              <w:t>WM74</w:t>
            </w:r>
          </w:p>
        </w:tc>
        <w:tc>
          <w:tcPr>
            <w:tcW w:w="1341" w:type="pct"/>
            <w:tcBorders>
              <w:top w:val="single" w:sz="4" w:space="0" w:color="auto"/>
              <w:left w:val="single" w:sz="4" w:space="0" w:color="auto"/>
              <w:bottom w:val="single" w:sz="4" w:space="0" w:color="auto"/>
              <w:right w:val="single" w:sz="4" w:space="0" w:color="auto"/>
            </w:tcBorders>
            <w:vAlign w:val="center"/>
          </w:tcPr>
          <w:p w14:paraId="7FBF47F5" w14:textId="77777777" w:rsidR="00115458" w:rsidRPr="00944B5E" w:rsidRDefault="00115458" w:rsidP="00F4606C">
            <w:pPr>
              <w:spacing w:after="0" w:line="240" w:lineRule="auto"/>
              <w:rPr>
                <w:rFonts w:cs="Arial"/>
                <w:color w:val="000000"/>
              </w:rPr>
            </w:pPr>
            <w:r w:rsidRPr="00944B5E">
              <w:rPr>
                <w:rFonts w:cs="Arial"/>
                <w:color w:val="000000"/>
              </w:rPr>
              <w:t xml:space="preserve">This applies to all numeric fields with a field length of 12.  </w:t>
            </w:r>
          </w:p>
        </w:tc>
        <w:tc>
          <w:tcPr>
            <w:tcW w:w="3080" w:type="pct"/>
            <w:tcBorders>
              <w:top w:val="single" w:sz="4" w:space="0" w:color="auto"/>
              <w:left w:val="single" w:sz="4" w:space="0" w:color="auto"/>
              <w:bottom w:val="single" w:sz="4" w:space="0" w:color="auto"/>
              <w:right w:val="single" w:sz="4" w:space="0" w:color="auto"/>
            </w:tcBorders>
            <w:noWrap/>
            <w:vAlign w:val="center"/>
          </w:tcPr>
          <w:p w14:paraId="68388BB8"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‘000000000000-999999999999’.</w:t>
            </w:r>
          </w:p>
        </w:tc>
      </w:tr>
      <w:tr w:rsidR="00FF1D5C" w:rsidRPr="00944B5E" w14:paraId="464E4BE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5D33158" w14:textId="77777777" w:rsidR="00115458" w:rsidRPr="00944B5E" w:rsidRDefault="00115458" w:rsidP="00F4606C">
            <w:pPr>
              <w:spacing w:after="0" w:line="240" w:lineRule="auto"/>
              <w:rPr>
                <w:rFonts w:cs="Arial"/>
              </w:rPr>
            </w:pPr>
            <w:r w:rsidRPr="00944B5E">
              <w:rPr>
                <w:rFonts w:cs="Arial"/>
              </w:rPr>
              <w:t>WM75</w:t>
            </w:r>
          </w:p>
        </w:tc>
        <w:tc>
          <w:tcPr>
            <w:tcW w:w="1341" w:type="pct"/>
            <w:tcBorders>
              <w:top w:val="single" w:sz="4" w:space="0" w:color="auto"/>
              <w:left w:val="single" w:sz="4" w:space="0" w:color="auto"/>
              <w:bottom w:val="single" w:sz="4" w:space="0" w:color="auto"/>
              <w:right w:val="single" w:sz="4" w:space="0" w:color="auto"/>
            </w:tcBorders>
            <w:vAlign w:val="center"/>
          </w:tcPr>
          <w:p w14:paraId="5218CC2B" w14:textId="77777777" w:rsidR="00115458" w:rsidRPr="00944B5E" w:rsidRDefault="00115458" w:rsidP="00F4606C">
            <w:pPr>
              <w:spacing w:after="0" w:line="240" w:lineRule="auto"/>
              <w:rPr>
                <w:rFonts w:cs="Arial"/>
                <w:color w:val="000000"/>
              </w:rPr>
            </w:pPr>
            <w:r w:rsidRPr="00944B5E">
              <w:rPr>
                <w:rFonts w:cs="Arial"/>
                <w:color w:val="000000"/>
              </w:rPr>
              <w:t>9.74</w:t>
            </w:r>
          </w:p>
        </w:tc>
        <w:tc>
          <w:tcPr>
            <w:tcW w:w="3080" w:type="pct"/>
            <w:tcBorders>
              <w:top w:val="single" w:sz="4" w:space="0" w:color="auto"/>
              <w:left w:val="single" w:sz="4" w:space="0" w:color="auto"/>
              <w:bottom w:val="single" w:sz="4" w:space="0" w:color="auto"/>
              <w:right w:val="single" w:sz="4" w:space="0" w:color="auto"/>
            </w:tcBorders>
            <w:noWrap/>
            <w:vAlign w:val="center"/>
          </w:tcPr>
          <w:p w14:paraId="1C5D673D" w14:textId="77777777" w:rsidR="00115458" w:rsidRPr="00944B5E" w:rsidRDefault="00115458" w:rsidP="00F4606C">
            <w:pPr>
              <w:spacing w:after="0" w:line="240" w:lineRule="auto"/>
              <w:rPr>
                <w:rFonts w:cs="Arial"/>
                <w:color w:val="000000"/>
              </w:rPr>
            </w:pPr>
            <w:r w:rsidRPr="00944B5E">
              <w:rPr>
                <w:rFonts w:cs="Arial"/>
                <w:color w:val="000000"/>
              </w:rPr>
              <w:t>The value in TFN withholding tax deducted must be greater than or equal to TFN withholding tax refunded when the TFN withholding tax refunded is greater than zero.</w:t>
            </w:r>
          </w:p>
        </w:tc>
      </w:tr>
      <w:tr w:rsidR="00FF1D5C" w:rsidRPr="00944B5E" w14:paraId="26D09C8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4C3A8DA" w14:textId="77777777" w:rsidR="00115458" w:rsidRPr="00944B5E" w:rsidRDefault="00115458" w:rsidP="00F4606C">
            <w:pPr>
              <w:spacing w:after="0" w:line="240" w:lineRule="auto"/>
              <w:rPr>
                <w:rFonts w:cs="Arial"/>
              </w:rPr>
            </w:pPr>
            <w:r w:rsidRPr="00944B5E">
              <w:rPr>
                <w:rFonts w:cs="Arial"/>
              </w:rPr>
              <w:t>WM77</w:t>
            </w:r>
          </w:p>
        </w:tc>
        <w:tc>
          <w:tcPr>
            <w:tcW w:w="1341" w:type="pct"/>
            <w:tcBorders>
              <w:top w:val="single" w:sz="4" w:space="0" w:color="auto"/>
              <w:left w:val="single" w:sz="4" w:space="0" w:color="auto"/>
              <w:bottom w:val="single" w:sz="4" w:space="0" w:color="auto"/>
              <w:right w:val="single" w:sz="4" w:space="0" w:color="auto"/>
            </w:tcBorders>
            <w:vAlign w:val="center"/>
          </w:tcPr>
          <w:p w14:paraId="2131804C" w14:textId="1CED79F4" w:rsidR="00115458" w:rsidRPr="00944B5E" w:rsidRDefault="00115458" w:rsidP="00F4606C">
            <w:pPr>
              <w:spacing w:after="0" w:line="240" w:lineRule="auto"/>
              <w:rPr>
                <w:rFonts w:cs="Arial"/>
                <w:color w:val="000000"/>
              </w:rPr>
            </w:pPr>
            <w:r w:rsidRPr="00944B5E">
              <w:rPr>
                <w:rFonts w:cs="Arial"/>
                <w:color w:val="000000"/>
              </w:rPr>
              <w:t xml:space="preserve">9.65, </w:t>
            </w:r>
            <w:r w:rsidR="00C47B9E">
              <w:rPr>
                <w:rFonts w:cs="Arial"/>
                <w:color w:val="000000"/>
              </w:rPr>
              <w:t>9.159</w:t>
            </w:r>
            <w:r w:rsidRPr="00944B5E">
              <w:rPr>
                <w:rFonts w:cs="Arial"/>
                <w:color w:val="000000"/>
              </w:rPr>
              <w:t xml:space="preserve">, </w:t>
            </w:r>
            <w:r w:rsidR="00F76CF3">
              <w:rPr>
                <w:rFonts w:cs="Arial"/>
                <w:color w:val="000000"/>
              </w:rPr>
              <w:t>9.162</w:t>
            </w:r>
          </w:p>
        </w:tc>
        <w:tc>
          <w:tcPr>
            <w:tcW w:w="3080" w:type="pct"/>
            <w:tcBorders>
              <w:top w:val="single" w:sz="4" w:space="0" w:color="auto"/>
              <w:left w:val="single" w:sz="4" w:space="0" w:color="auto"/>
              <w:bottom w:val="single" w:sz="4" w:space="0" w:color="auto"/>
              <w:right w:val="single" w:sz="4" w:space="0" w:color="auto"/>
            </w:tcBorders>
            <w:noWrap/>
            <w:vAlign w:val="center"/>
          </w:tcPr>
          <w:p w14:paraId="0313B9EE"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‘000000-999999’.</w:t>
            </w:r>
          </w:p>
        </w:tc>
      </w:tr>
      <w:tr w:rsidR="00FF1D5C" w:rsidRPr="00944B5E" w14:paraId="2097804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C11C24F" w14:textId="77777777" w:rsidR="00115458" w:rsidRPr="00944B5E" w:rsidRDefault="00115458" w:rsidP="00F4606C">
            <w:pPr>
              <w:spacing w:after="0" w:line="240" w:lineRule="auto"/>
              <w:rPr>
                <w:rFonts w:cs="Arial"/>
              </w:rPr>
            </w:pPr>
            <w:r w:rsidRPr="00944B5E">
              <w:rPr>
                <w:rFonts w:cs="Arial"/>
              </w:rPr>
              <w:t>WM78</w:t>
            </w:r>
          </w:p>
        </w:tc>
        <w:tc>
          <w:tcPr>
            <w:tcW w:w="1341" w:type="pct"/>
            <w:tcBorders>
              <w:top w:val="single" w:sz="4" w:space="0" w:color="auto"/>
              <w:left w:val="single" w:sz="4" w:space="0" w:color="auto"/>
              <w:bottom w:val="single" w:sz="4" w:space="0" w:color="auto"/>
              <w:right w:val="single" w:sz="4" w:space="0" w:color="auto"/>
            </w:tcBorders>
            <w:vAlign w:val="center"/>
          </w:tcPr>
          <w:p w14:paraId="40582452" w14:textId="77777777" w:rsidR="00115458" w:rsidRPr="00944B5E" w:rsidRDefault="00115458" w:rsidP="00F4606C">
            <w:pPr>
              <w:spacing w:after="0" w:line="240" w:lineRule="auto"/>
              <w:rPr>
                <w:rFonts w:cs="Arial"/>
                <w:color w:val="000000"/>
              </w:rPr>
            </w:pPr>
            <w:r w:rsidRPr="00944B5E">
              <w:rPr>
                <w:rFonts w:cs="Arial"/>
                <w:color w:val="000000"/>
              </w:rPr>
              <w:t>This applies to all fields with an incorrect payment type.</w:t>
            </w:r>
          </w:p>
        </w:tc>
        <w:tc>
          <w:tcPr>
            <w:tcW w:w="3080" w:type="pct"/>
            <w:tcBorders>
              <w:top w:val="single" w:sz="4" w:space="0" w:color="auto"/>
              <w:left w:val="single" w:sz="4" w:space="0" w:color="auto"/>
              <w:bottom w:val="single" w:sz="4" w:space="0" w:color="auto"/>
              <w:right w:val="single" w:sz="4" w:space="0" w:color="auto"/>
            </w:tcBorders>
            <w:noWrap/>
            <w:vAlign w:val="center"/>
          </w:tcPr>
          <w:p w14:paraId="10762C8B" w14:textId="77777777" w:rsidR="00115458" w:rsidRPr="00944B5E" w:rsidRDefault="00115458" w:rsidP="00F4606C">
            <w:pPr>
              <w:spacing w:after="0" w:line="240" w:lineRule="auto"/>
              <w:rPr>
                <w:rFonts w:cs="Arial"/>
                <w:color w:val="000000"/>
              </w:rPr>
            </w:pPr>
            <w:r w:rsidRPr="00944B5E">
              <w:rPr>
                <w:rFonts w:cs="Arial"/>
                <w:color w:val="000000"/>
              </w:rPr>
              <w:t>The field must be zero filled due to incompatible Type of payment in Investment account data record.</w:t>
            </w:r>
          </w:p>
        </w:tc>
      </w:tr>
      <w:tr w:rsidR="00FF1D5C" w:rsidRPr="00944B5E" w14:paraId="40F702E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F21DF77" w14:textId="77777777" w:rsidR="00115458" w:rsidRPr="00944B5E" w:rsidRDefault="00115458" w:rsidP="00F4606C">
            <w:pPr>
              <w:spacing w:after="0" w:line="240" w:lineRule="auto"/>
              <w:rPr>
                <w:rFonts w:cs="Arial"/>
              </w:rPr>
            </w:pPr>
            <w:r w:rsidRPr="00944B5E">
              <w:rPr>
                <w:rFonts w:cs="Arial"/>
              </w:rPr>
              <w:t>WM79</w:t>
            </w:r>
          </w:p>
        </w:tc>
        <w:tc>
          <w:tcPr>
            <w:tcW w:w="1341" w:type="pct"/>
            <w:tcBorders>
              <w:top w:val="single" w:sz="4" w:space="0" w:color="auto"/>
              <w:left w:val="single" w:sz="4" w:space="0" w:color="auto"/>
              <w:bottom w:val="single" w:sz="4" w:space="0" w:color="auto"/>
              <w:right w:val="single" w:sz="4" w:space="0" w:color="auto"/>
            </w:tcBorders>
            <w:vAlign w:val="center"/>
          </w:tcPr>
          <w:p w14:paraId="0186BBBD" w14:textId="02D78352" w:rsidR="00115458" w:rsidRPr="00944B5E" w:rsidRDefault="00115458" w:rsidP="00F4606C">
            <w:pPr>
              <w:spacing w:after="0" w:line="240" w:lineRule="auto"/>
              <w:rPr>
                <w:rFonts w:cs="Arial"/>
                <w:color w:val="000000"/>
              </w:rPr>
            </w:pPr>
            <w:r w:rsidRPr="00944B5E">
              <w:rPr>
                <w:rFonts w:cs="Arial"/>
                <w:color w:val="000000"/>
              </w:rPr>
              <w:t>9.</w:t>
            </w:r>
            <w:r w:rsidR="00C96C80" w:rsidRPr="00944B5E">
              <w:rPr>
                <w:rFonts w:cs="Arial"/>
                <w:color w:val="000000"/>
              </w:rPr>
              <w:t>1</w:t>
            </w:r>
            <w:r w:rsidR="00C96C80">
              <w:rPr>
                <w:rFonts w:cs="Arial"/>
                <w:color w:val="000000"/>
              </w:rPr>
              <w:t>97</w:t>
            </w:r>
          </w:p>
        </w:tc>
        <w:tc>
          <w:tcPr>
            <w:tcW w:w="3080" w:type="pct"/>
            <w:tcBorders>
              <w:top w:val="single" w:sz="4" w:space="0" w:color="auto"/>
              <w:left w:val="single" w:sz="4" w:space="0" w:color="auto"/>
              <w:bottom w:val="single" w:sz="4" w:space="0" w:color="auto"/>
              <w:right w:val="single" w:sz="4" w:space="0" w:color="auto"/>
            </w:tcBorders>
            <w:noWrap/>
            <w:vAlign w:val="center"/>
          </w:tcPr>
          <w:p w14:paraId="28DCFD88" w14:textId="77777777" w:rsidR="00115458" w:rsidRPr="00944B5E" w:rsidRDefault="00115458" w:rsidP="00F4606C">
            <w:pPr>
              <w:spacing w:after="0" w:line="240" w:lineRule="auto"/>
              <w:rPr>
                <w:rFonts w:cs="Arial"/>
                <w:color w:val="000000"/>
              </w:rPr>
            </w:pPr>
            <w:r w:rsidRPr="00944B5E">
              <w:rPr>
                <w:rFonts w:cs="Arial"/>
                <w:color w:val="000000"/>
              </w:rPr>
              <w:t>The Investor entity type field must contain either ‘I’ (Individual), ‘D’ (Deceased individual), ‘C’ (Corporation), ‘E’ (Sovereign), ‘F’ (Foreign) ‘P’ (Partnership), ‘T’ (Trust), ‘S’ (Superannuation fund), ‘G’ (Government organisation) or ‘O’ (Other non – individual).</w:t>
            </w:r>
          </w:p>
        </w:tc>
      </w:tr>
      <w:tr w:rsidR="00FF1D5C" w:rsidRPr="00944B5E" w14:paraId="14DD2C0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F373B9C" w14:textId="77777777" w:rsidR="00115458" w:rsidRPr="00944B5E" w:rsidRDefault="00115458" w:rsidP="00F4606C">
            <w:pPr>
              <w:spacing w:after="0" w:line="240" w:lineRule="auto"/>
              <w:rPr>
                <w:rFonts w:cs="Arial"/>
              </w:rPr>
            </w:pPr>
            <w:r w:rsidRPr="00944B5E">
              <w:rPr>
                <w:rFonts w:cs="Arial"/>
              </w:rPr>
              <w:t>WM80</w:t>
            </w:r>
          </w:p>
        </w:tc>
        <w:tc>
          <w:tcPr>
            <w:tcW w:w="1341" w:type="pct"/>
            <w:tcBorders>
              <w:top w:val="single" w:sz="4" w:space="0" w:color="auto"/>
              <w:left w:val="single" w:sz="4" w:space="0" w:color="auto"/>
              <w:bottom w:val="single" w:sz="4" w:space="0" w:color="auto"/>
              <w:right w:val="single" w:sz="4" w:space="0" w:color="auto"/>
            </w:tcBorders>
            <w:vAlign w:val="center"/>
          </w:tcPr>
          <w:p w14:paraId="64F6B02D" w14:textId="5B40CA78" w:rsidR="00115458" w:rsidRPr="00944B5E" w:rsidRDefault="00115458" w:rsidP="00F4606C">
            <w:pPr>
              <w:spacing w:after="0" w:line="240" w:lineRule="auto"/>
              <w:rPr>
                <w:rFonts w:cs="Arial"/>
                <w:color w:val="000000"/>
              </w:rPr>
            </w:pPr>
            <w:r w:rsidRPr="00944B5E">
              <w:rPr>
                <w:rFonts w:cs="Arial"/>
                <w:color w:val="000000"/>
              </w:rPr>
              <w:t>9.</w:t>
            </w:r>
            <w:r w:rsidR="00C96C80" w:rsidRPr="00944B5E">
              <w:rPr>
                <w:rFonts w:cs="Arial"/>
                <w:color w:val="000000"/>
              </w:rPr>
              <w:t>1</w:t>
            </w:r>
            <w:r w:rsidR="00C96C80">
              <w:rPr>
                <w:rFonts w:cs="Arial"/>
                <w:color w:val="000000"/>
              </w:rPr>
              <w:t>97</w:t>
            </w:r>
          </w:p>
        </w:tc>
        <w:tc>
          <w:tcPr>
            <w:tcW w:w="3080" w:type="pct"/>
            <w:tcBorders>
              <w:top w:val="single" w:sz="4" w:space="0" w:color="auto"/>
              <w:left w:val="single" w:sz="4" w:space="0" w:color="auto"/>
              <w:bottom w:val="single" w:sz="4" w:space="0" w:color="auto"/>
              <w:right w:val="single" w:sz="4" w:space="0" w:color="auto"/>
            </w:tcBorders>
            <w:noWrap/>
            <w:vAlign w:val="center"/>
          </w:tcPr>
          <w:p w14:paraId="66D1ACC0" w14:textId="77777777" w:rsidR="00115458" w:rsidRPr="00944B5E" w:rsidRDefault="00115458" w:rsidP="00F4606C">
            <w:pPr>
              <w:spacing w:after="0" w:line="240" w:lineRule="auto"/>
              <w:rPr>
                <w:rFonts w:cs="Arial"/>
                <w:color w:val="000000"/>
              </w:rPr>
            </w:pPr>
            <w:r w:rsidRPr="00944B5E">
              <w:rPr>
                <w:rFonts w:cs="Arial"/>
                <w:color w:val="000000"/>
              </w:rPr>
              <w:t>The Type of payment field is ‘FMD’ therefore the Investor entity type field must contain either ‘I’ (Individual) or ‘D’ (Deceased individual).</w:t>
            </w:r>
          </w:p>
        </w:tc>
      </w:tr>
      <w:tr w:rsidR="00FF1D5C" w:rsidRPr="00944B5E" w14:paraId="30E9D3C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3EDC535" w14:textId="77777777" w:rsidR="00115458" w:rsidRPr="00944B5E" w:rsidRDefault="00115458" w:rsidP="00F4606C">
            <w:pPr>
              <w:spacing w:after="0" w:line="240" w:lineRule="auto"/>
              <w:rPr>
                <w:rFonts w:cs="Arial"/>
              </w:rPr>
            </w:pPr>
            <w:r w:rsidRPr="00944B5E">
              <w:rPr>
                <w:rFonts w:cs="Arial"/>
              </w:rPr>
              <w:t>WM81</w:t>
            </w:r>
          </w:p>
        </w:tc>
        <w:tc>
          <w:tcPr>
            <w:tcW w:w="1341" w:type="pct"/>
            <w:tcBorders>
              <w:top w:val="single" w:sz="4" w:space="0" w:color="auto"/>
              <w:left w:val="single" w:sz="4" w:space="0" w:color="auto"/>
              <w:bottom w:val="single" w:sz="4" w:space="0" w:color="auto"/>
              <w:right w:val="single" w:sz="4" w:space="0" w:color="auto"/>
            </w:tcBorders>
            <w:vAlign w:val="center"/>
          </w:tcPr>
          <w:p w14:paraId="53B3477D" w14:textId="5B8C06AD" w:rsidR="00115458" w:rsidRPr="00944B5E" w:rsidRDefault="00115458" w:rsidP="00F4606C">
            <w:pPr>
              <w:spacing w:after="0" w:line="240" w:lineRule="auto"/>
              <w:rPr>
                <w:rFonts w:cs="Arial"/>
                <w:color w:val="000000"/>
              </w:rPr>
            </w:pPr>
            <w:r w:rsidRPr="00944B5E">
              <w:rPr>
                <w:rFonts w:cs="Arial"/>
                <w:color w:val="000000"/>
              </w:rPr>
              <w:t>9.</w:t>
            </w:r>
            <w:r w:rsidR="00B52C93" w:rsidRPr="00944B5E">
              <w:rPr>
                <w:rFonts w:cs="Arial"/>
                <w:color w:val="000000"/>
              </w:rPr>
              <w:t>19</w:t>
            </w:r>
            <w:r w:rsidR="00B52C93">
              <w:rPr>
                <w:rFonts w:cs="Arial"/>
                <w:color w:val="000000"/>
              </w:rPr>
              <w:t>8</w:t>
            </w:r>
          </w:p>
        </w:tc>
        <w:tc>
          <w:tcPr>
            <w:tcW w:w="3080" w:type="pct"/>
            <w:tcBorders>
              <w:top w:val="single" w:sz="4" w:space="0" w:color="auto"/>
              <w:left w:val="single" w:sz="4" w:space="0" w:color="auto"/>
              <w:bottom w:val="single" w:sz="4" w:space="0" w:color="auto"/>
              <w:right w:val="single" w:sz="4" w:space="0" w:color="auto"/>
            </w:tcBorders>
            <w:noWrap/>
            <w:vAlign w:val="center"/>
          </w:tcPr>
          <w:p w14:paraId="1FCA59F5"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‘000000000-999999999’.</w:t>
            </w:r>
          </w:p>
        </w:tc>
      </w:tr>
      <w:tr w:rsidR="00FF1D5C" w:rsidRPr="00944B5E" w14:paraId="54581C1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56EA050" w14:textId="77777777" w:rsidR="00115458" w:rsidRPr="00944B5E" w:rsidRDefault="00115458" w:rsidP="00F4606C">
            <w:pPr>
              <w:spacing w:after="0" w:line="240" w:lineRule="auto"/>
              <w:rPr>
                <w:rFonts w:cs="Arial"/>
              </w:rPr>
            </w:pPr>
            <w:r w:rsidRPr="00944B5E">
              <w:rPr>
                <w:rFonts w:cs="Arial"/>
              </w:rPr>
              <w:t>WM82</w:t>
            </w:r>
          </w:p>
        </w:tc>
        <w:tc>
          <w:tcPr>
            <w:tcW w:w="1341" w:type="pct"/>
            <w:tcBorders>
              <w:top w:val="single" w:sz="4" w:space="0" w:color="auto"/>
              <w:left w:val="single" w:sz="4" w:space="0" w:color="auto"/>
              <w:bottom w:val="single" w:sz="4" w:space="0" w:color="auto"/>
              <w:right w:val="single" w:sz="4" w:space="0" w:color="auto"/>
            </w:tcBorders>
            <w:vAlign w:val="center"/>
          </w:tcPr>
          <w:p w14:paraId="5008CBD1" w14:textId="7635797A" w:rsidR="00115458" w:rsidRPr="00944B5E" w:rsidRDefault="00115458" w:rsidP="00F4606C">
            <w:pPr>
              <w:spacing w:after="0" w:line="240" w:lineRule="auto"/>
              <w:rPr>
                <w:rFonts w:cs="Arial"/>
                <w:color w:val="000000"/>
              </w:rPr>
            </w:pPr>
            <w:r w:rsidRPr="00944B5E">
              <w:rPr>
                <w:rFonts w:cs="Arial"/>
                <w:color w:val="000000"/>
              </w:rPr>
              <w:t>9.</w:t>
            </w:r>
            <w:r w:rsidR="0098436F" w:rsidRPr="00944B5E">
              <w:rPr>
                <w:rFonts w:cs="Arial"/>
                <w:color w:val="000000"/>
              </w:rPr>
              <w:t>20</w:t>
            </w:r>
            <w:r w:rsidR="0098436F">
              <w:rPr>
                <w:rFonts w:cs="Arial"/>
                <w:color w:val="000000"/>
              </w:rPr>
              <w:t>5</w:t>
            </w:r>
          </w:p>
        </w:tc>
        <w:tc>
          <w:tcPr>
            <w:tcW w:w="3080" w:type="pct"/>
            <w:tcBorders>
              <w:top w:val="single" w:sz="4" w:space="0" w:color="auto"/>
              <w:left w:val="single" w:sz="4" w:space="0" w:color="auto"/>
              <w:bottom w:val="single" w:sz="4" w:space="0" w:color="auto"/>
              <w:right w:val="single" w:sz="4" w:space="0" w:color="auto"/>
            </w:tcBorders>
            <w:noWrap/>
            <w:vAlign w:val="center"/>
          </w:tcPr>
          <w:p w14:paraId="7C7FF7F3" w14:textId="77777777" w:rsidR="00115458" w:rsidRPr="00944B5E" w:rsidRDefault="00115458" w:rsidP="00F4606C">
            <w:pPr>
              <w:spacing w:after="0" w:line="240" w:lineRule="auto"/>
              <w:rPr>
                <w:rFonts w:cs="Arial"/>
                <w:color w:val="000000"/>
              </w:rPr>
            </w:pPr>
            <w:r w:rsidRPr="00944B5E">
              <w:rPr>
                <w:rFonts w:cs="Arial"/>
                <w:color w:val="000000"/>
              </w:rPr>
              <w:t>Field must be within the range of: M = Male, F = Female, U = Unknown.</w:t>
            </w:r>
          </w:p>
        </w:tc>
      </w:tr>
      <w:tr w:rsidR="00FF1D5C" w:rsidRPr="00944B5E" w14:paraId="324EDC66"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33B61AC" w14:textId="77777777" w:rsidR="00115458" w:rsidRPr="00944B5E" w:rsidRDefault="00115458" w:rsidP="00F4606C">
            <w:pPr>
              <w:spacing w:after="0" w:line="240" w:lineRule="auto"/>
              <w:rPr>
                <w:rFonts w:cs="Arial"/>
              </w:rPr>
            </w:pPr>
            <w:r w:rsidRPr="00944B5E">
              <w:rPr>
                <w:rFonts w:cs="Arial"/>
              </w:rPr>
              <w:t>WM83</w:t>
            </w:r>
          </w:p>
        </w:tc>
        <w:tc>
          <w:tcPr>
            <w:tcW w:w="1341" w:type="pct"/>
            <w:tcBorders>
              <w:top w:val="single" w:sz="4" w:space="0" w:color="auto"/>
              <w:left w:val="single" w:sz="4" w:space="0" w:color="auto"/>
              <w:bottom w:val="single" w:sz="4" w:space="0" w:color="auto"/>
              <w:right w:val="single" w:sz="4" w:space="0" w:color="auto"/>
            </w:tcBorders>
            <w:vAlign w:val="center"/>
          </w:tcPr>
          <w:p w14:paraId="281ED4DC" w14:textId="4EE210C2" w:rsidR="00115458" w:rsidRPr="00944B5E" w:rsidRDefault="00115458" w:rsidP="00F4606C">
            <w:pPr>
              <w:spacing w:after="0" w:line="240" w:lineRule="auto"/>
              <w:rPr>
                <w:rFonts w:cs="Arial"/>
                <w:color w:val="000000"/>
              </w:rPr>
            </w:pPr>
            <w:r w:rsidRPr="00944B5E">
              <w:rPr>
                <w:rFonts w:cs="Arial"/>
                <w:color w:val="000000"/>
              </w:rPr>
              <w:t>9.</w:t>
            </w:r>
            <w:r w:rsidR="0098436F" w:rsidRPr="00944B5E">
              <w:rPr>
                <w:rFonts w:cs="Arial"/>
                <w:color w:val="000000"/>
              </w:rPr>
              <w:t>2</w:t>
            </w:r>
            <w:r w:rsidR="0098436F">
              <w:rPr>
                <w:rFonts w:cs="Arial"/>
                <w:color w:val="000000"/>
              </w:rPr>
              <w:t>09</w:t>
            </w:r>
          </w:p>
        </w:tc>
        <w:tc>
          <w:tcPr>
            <w:tcW w:w="3080" w:type="pct"/>
            <w:tcBorders>
              <w:top w:val="single" w:sz="4" w:space="0" w:color="auto"/>
              <w:left w:val="single" w:sz="4" w:space="0" w:color="auto"/>
              <w:bottom w:val="single" w:sz="4" w:space="0" w:color="auto"/>
              <w:right w:val="single" w:sz="4" w:space="0" w:color="auto"/>
            </w:tcBorders>
            <w:noWrap/>
            <w:vAlign w:val="center"/>
          </w:tcPr>
          <w:p w14:paraId="41D8B970" w14:textId="77777777" w:rsidR="00115458" w:rsidRPr="00944B5E" w:rsidRDefault="00115458" w:rsidP="00F4606C">
            <w:pPr>
              <w:spacing w:after="0" w:line="240" w:lineRule="auto"/>
              <w:rPr>
                <w:rFonts w:cs="Arial"/>
                <w:color w:val="000000"/>
              </w:rPr>
            </w:pPr>
            <w:r w:rsidRPr="00944B5E">
              <w:rPr>
                <w:rFonts w:cs="Arial"/>
                <w:color w:val="000000"/>
              </w:rPr>
              <w:t>The state or territory field must contain either: ACT, NSW, VIC, QLD, NT, SA, WA or TAS.</w:t>
            </w:r>
          </w:p>
        </w:tc>
      </w:tr>
      <w:tr w:rsidR="00FF1D5C" w:rsidRPr="00944B5E" w14:paraId="76A043F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669FF50" w14:textId="77777777" w:rsidR="00115458" w:rsidRPr="00944B5E" w:rsidRDefault="00115458" w:rsidP="00F4606C">
            <w:pPr>
              <w:spacing w:after="0" w:line="240" w:lineRule="auto"/>
              <w:rPr>
                <w:rFonts w:cs="Arial"/>
              </w:rPr>
            </w:pPr>
            <w:r w:rsidRPr="00944B5E">
              <w:rPr>
                <w:rFonts w:cs="Arial"/>
              </w:rPr>
              <w:t>WM84</w:t>
            </w:r>
          </w:p>
        </w:tc>
        <w:tc>
          <w:tcPr>
            <w:tcW w:w="1341" w:type="pct"/>
            <w:tcBorders>
              <w:top w:val="single" w:sz="4" w:space="0" w:color="auto"/>
              <w:left w:val="single" w:sz="4" w:space="0" w:color="auto"/>
              <w:bottom w:val="single" w:sz="4" w:space="0" w:color="auto"/>
              <w:right w:val="single" w:sz="4" w:space="0" w:color="auto"/>
            </w:tcBorders>
            <w:vAlign w:val="center"/>
          </w:tcPr>
          <w:p w14:paraId="7B7453C2" w14:textId="4DF8BA09" w:rsidR="00115458" w:rsidRPr="00944B5E" w:rsidRDefault="00280BA1" w:rsidP="00F4606C">
            <w:pPr>
              <w:spacing w:after="0" w:line="240" w:lineRule="auto"/>
              <w:rPr>
                <w:rFonts w:cs="Arial"/>
                <w:color w:val="000000"/>
              </w:rPr>
            </w:pPr>
            <w:r>
              <w:rPr>
                <w:rFonts w:cs="Arial"/>
                <w:color w:val="000000"/>
              </w:rPr>
              <w:t>9.151</w:t>
            </w:r>
            <w:r w:rsidR="00115458" w:rsidRPr="00944B5E">
              <w:rPr>
                <w:rFonts w:cs="Arial"/>
                <w:color w:val="000000"/>
              </w:rPr>
              <w:t xml:space="preserve">, </w:t>
            </w:r>
            <w:r w:rsidR="009A79B6">
              <w:rPr>
                <w:rFonts w:cs="Arial"/>
                <w:color w:val="000000"/>
              </w:rPr>
              <w:t>9.210</w:t>
            </w:r>
          </w:p>
        </w:tc>
        <w:tc>
          <w:tcPr>
            <w:tcW w:w="3080" w:type="pct"/>
            <w:tcBorders>
              <w:top w:val="single" w:sz="4" w:space="0" w:color="auto"/>
              <w:left w:val="single" w:sz="4" w:space="0" w:color="auto"/>
              <w:bottom w:val="single" w:sz="4" w:space="0" w:color="auto"/>
              <w:right w:val="single" w:sz="4" w:space="0" w:color="auto"/>
            </w:tcBorders>
            <w:noWrap/>
            <w:vAlign w:val="center"/>
          </w:tcPr>
          <w:p w14:paraId="38BE466B"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‘0000-9999’.</w:t>
            </w:r>
          </w:p>
        </w:tc>
      </w:tr>
      <w:tr w:rsidR="00FF1D5C" w:rsidRPr="00944B5E" w14:paraId="14A3486E"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D5C7DC5" w14:textId="77777777" w:rsidR="00115458" w:rsidRPr="00944B5E" w:rsidRDefault="00115458" w:rsidP="00F4606C">
            <w:pPr>
              <w:spacing w:after="0" w:line="240" w:lineRule="auto"/>
              <w:rPr>
                <w:rFonts w:cs="Arial"/>
              </w:rPr>
            </w:pPr>
            <w:r w:rsidRPr="00944B5E">
              <w:rPr>
                <w:rFonts w:cs="Arial"/>
              </w:rPr>
              <w:t>WM85</w:t>
            </w:r>
          </w:p>
        </w:tc>
        <w:tc>
          <w:tcPr>
            <w:tcW w:w="1341" w:type="pct"/>
            <w:tcBorders>
              <w:top w:val="single" w:sz="4" w:space="0" w:color="auto"/>
              <w:left w:val="single" w:sz="4" w:space="0" w:color="auto"/>
              <w:bottom w:val="single" w:sz="4" w:space="0" w:color="auto"/>
              <w:right w:val="single" w:sz="4" w:space="0" w:color="auto"/>
            </w:tcBorders>
            <w:vAlign w:val="center"/>
          </w:tcPr>
          <w:p w14:paraId="6051F85C" w14:textId="5D23717F" w:rsidR="00115458" w:rsidRPr="00944B5E" w:rsidRDefault="00115458" w:rsidP="00F4606C">
            <w:pPr>
              <w:spacing w:after="0" w:line="240" w:lineRule="auto"/>
              <w:rPr>
                <w:rFonts w:cs="Arial"/>
                <w:color w:val="000000"/>
              </w:rPr>
            </w:pPr>
            <w:r w:rsidRPr="00944B5E">
              <w:rPr>
                <w:rFonts w:cs="Arial"/>
                <w:color w:val="000000"/>
              </w:rPr>
              <w:t>9.</w:t>
            </w:r>
            <w:r w:rsidR="007F2961" w:rsidRPr="00944B5E">
              <w:rPr>
                <w:rFonts w:cs="Arial"/>
                <w:color w:val="000000"/>
              </w:rPr>
              <w:t>2</w:t>
            </w:r>
            <w:r w:rsidR="007F2961">
              <w:rPr>
                <w:rFonts w:cs="Arial"/>
                <w:color w:val="000000"/>
              </w:rPr>
              <w:t>17</w:t>
            </w:r>
          </w:p>
        </w:tc>
        <w:tc>
          <w:tcPr>
            <w:tcW w:w="3080" w:type="pct"/>
            <w:tcBorders>
              <w:top w:val="single" w:sz="4" w:space="0" w:color="auto"/>
              <w:left w:val="single" w:sz="4" w:space="0" w:color="auto"/>
              <w:bottom w:val="single" w:sz="4" w:space="0" w:color="auto"/>
              <w:right w:val="single" w:sz="4" w:space="0" w:color="auto"/>
            </w:tcBorders>
            <w:noWrap/>
            <w:vAlign w:val="center"/>
          </w:tcPr>
          <w:p w14:paraId="43B1BCC2"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‘A-Z, a-z’.</w:t>
            </w:r>
          </w:p>
        </w:tc>
      </w:tr>
      <w:tr w:rsidR="00FF1D5C" w:rsidRPr="00944B5E" w14:paraId="00F2C02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71E514B" w14:textId="77777777" w:rsidR="00115458" w:rsidRPr="00944B5E" w:rsidRDefault="00115458" w:rsidP="00F4606C">
            <w:pPr>
              <w:spacing w:after="0" w:line="240" w:lineRule="auto"/>
              <w:rPr>
                <w:rFonts w:cs="Arial"/>
              </w:rPr>
            </w:pPr>
            <w:r w:rsidRPr="00944B5E">
              <w:rPr>
                <w:rFonts w:cs="Arial"/>
              </w:rPr>
              <w:t>WM86</w:t>
            </w:r>
          </w:p>
        </w:tc>
        <w:tc>
          <w:tcPr>
            <w:tcW w:w="1341" w:type="pct"/>
            <w:tcBorders>
              <w:top w:val="single" w:sz="4" w:space="0" w:color="auto"/>
              <w:left w:val="single" w:sz="4" w:space="0" w:color="auto"/>
              <w:bottom w:val="single" w:sz="4" w:space="0" w:color="auto"/>
              <w:right w:val="single" w:sz="4" w:space="0" w:color="auto"/>
            </w:tcBorders>
            <w:vAlign w:val="center"/>
          </w:tcPr>
          <w:p w14:paraId="41217FF7" w14:textId="3EA6875D" w:rsidR="00115458" w:rsidRPr="00944B5E" w:rsidRDefault="00115458" w:rsidP="00F4606C">
            <w:pPr>
              <w:spacing w:after="0" w:line="240" w:lineRule="auto"/>
              <w:rPr>
                <w:rFonts w:cs="Arial"/>
                <w:color w:val="000000"/>
              </w:rPr>
            </w:pPr>
            <w:r w:rsidRPr="00944B5E">
              <w:rPr>
                <w:rFonts w:cs="Arial"/>
                <w:color w:val="000000"/>
              </w:rPr>
              <w:t>9.</w:t>
            </w:r>
            <w:r w:rsidR="005332BF" w:rsidRPr="00944B5E">
              <w:rPr>
                <w:rFonts w:cs="Arial"/>
                <w:color w:val="000000"/>
              </w:rPr>
              <w:t>2</w:t>
            </w:r>
            <w:r w:rsidR="005332BF">
              <w:rPr>
                <w:rFonts w:cs="Arial"/>
                <w:color w:val="000000"/>
              </w:rPr>
              <w:t>23</w:t>
            </w:r>
          </w:p>
        </w:tc>
        <w:tc>
          <w:tcPr>
            <w:tcW w:w="3080" w:type="pct"/>
            <w:tcBorders>
              <w:top w:val="single" w:sz="4" w:space="0" w:color="auto"/>
              <w:left w:val="single" w:sz="4" w:space="0" w:color="auto"/>
              <w:bottom w:val="single" w:sz="4" w:space="0" w:color="auto"/>
              <w:right w:val="single" w:sz="4" w:space="0" w:color="auto"/>
            </w:tcBorders>
            <w:noWrap/>
            <w:vAlign w:val="center"/>
          </w:tcPr>
          <w:p w14:paraId="3D36F8C7" w14:textId="77777777" w:rsidR="00115458" w:rsidRPr="00944B5E" w:rsidRDefault="00115458" w:rsidP="00F4606C">
            <w:pPr>
              <w:spacing w:after="0" w:line="240" w:lineRule="auto"/>
              <w:rPr>
                <w:rFonts w:cs="Arial"/>
                <w:color w:val="000000"/>
              </w:rPr>
            </w:pPr>
            <w:r w:rsidRPr="00944B5E">
              <w:rPr>
                <w:rFonts w:cs="Arial"/>
                <w:color w:val="000000"/>
              </w:rPr>
              <w:t>The Count of IDENTITY records in this field must equal to the total of all IDENTITY records in this file.</w:t>
            </w:r>
          </w:p>
        </w:tc>
      </w:tr>
      <w:tr w:rsidR="00FF1D5C" w:rsidRPr="00944B5E" w14:paraId="7B1E320E"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BC2C4E0" w14:textId="77777777" w:rsidR="00115458" w:rsidRPr="00944B5E" w:rsidRDefault="00115458" w:rsidP="00F4606C">
            <w:pPr>
              <w:spacing w:after="0" w:line="240" w:lineRule="auto"/>
              <w:rPr>
                <w:rFonts w:cs="Arial"/>
              </w:rPr>
            </w:pPr>
            <w:r w:rsidRPr="00944B5E">
              <w:rPr>
                <w:rFonts w:cs="Arial"/>
              </w:rPr>
              <w:t>WM87</w:t>
            </w:r>
          </w:p>
        </w:tc>
        <w:tc>
          <w:tcPr>
            <w:tcW w:w="1341" w:type="pct"/>
            <w:tcBorders>
              <w:top w:val="single" w:sz="4" w:space="0" w:color="auto"/>
              <w:left w:val="single" w:sz="4" w:space="0" w:color="auto"/>
              <w:bottom w:val="single" w:sz="4" w:space="0" w:color="auto"/>
              <w:right w:val="single" w:sz="4" w:space="0" w:color="auto"/>
            </w:tcBorders>
            <w:vAlign w:val="center"/>
          </w:tcPr>
          <w:p w14:paraId="7A07B95D" w14:textId="05325059" w:rsidR="00115458" w:rsidRPr="00944B5E" w:rsidRDefault="00115458" w:rsidP="00F4606C">
            <w:pPr>
              <w:spacing w:after="0" w:line="240" w:lineRule="auto"/>
              <w:rPr>
                <w:rFonts w:cs="Arial"/>
                <w:color w:val="000000"/>
              </w:rPr>
            </w:pPr>
            <w:r w:rsidRPr="00944B5E">
              <w:rPr>
                <w:rFonts w:cs="Arial"/>
                <w:color w:val="000000"/>
              </w:rPr>
              <w:t>9.</w:t>
            </w:r>
            <w:r w:rsidR="005332BF" w:rsidRPr="00944B5E">
              <w:rPr>
                <w:rFonts w:cs="Arial"/>
                <w:color w:val="000000"/>
              </w:rPr>
              <w:t>22</w:t>
            </w:r>
            <w:r w:rsidR="005332BF">
              <w:rPr>
                <w:rFonts w:cs="Arial"/>
                <w:color w:val="000000"/>
              </w:rPr>
              <w:t>5</w:t>
            </w:r>
          </w:p>
        </w:tc>
        <w:tc>
          <w:tcPr>
            <w:tcW w:w="3080" w:type="pct"/>
            <w:tcBorders>
              <w:top w:val="single" w:sz="4" w:space="0" w:color="auto"/>
              <w:left w:val="single" w:sz="4" w:space="0" w:color="auto"/>
              <w:bottom w:val="single" w:sz="4" w:space="0" w:color="auto"/>
              <w:right w:val="single" w:sz="4" w:space="0" w:color="auto"/>
            </w:tcBorders>
            <w:noWrap/>
            <w:vAlign w:val="center"/>
          </w:tcPr>
          <w:p w14:paraId="155F110F" w14:textId="77777777" w:rsidR="00115458" w:rsidRPr="00944B5E" w:rsidRDefault="00115458" w:rsidP="00F4606C">
            <w:pPr>
              <w:spacing w:after="0" w:line="240" w:lineRule="auto"/>
              <w:rPr>
                <w:rFonts w:cs="Arial"/>
                <w:color w:val="000000"/>
              </w:rPr>
            </w:pPr>
            <w:r w:rsidRPr="00944B5E">
              <w:rPr>
                <w:rFonts w:cs="Arial"/>
                <w:color w:val="000000"/>
              </w:rPr>
              <w:t>The Count of DACCOUNT records in this field must equal the total of all DACCOUNT records in this file.</w:t>
            </w:r>
          </w:p>
        </w:tc>
      </w:tr>
      <w:tr w:rsidR="00FF1D5C" w:rsidRPr="00944B5E" w14:paraId="32F051A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0733979" w14:textId="77777777" w:rsidR="00115458" w:rsidRPr="00944B5E" w:rsidRDefault="00115458" w:rsidP="00F4606C">
            <w:pPr>
              <w:spacing w:after="0" w:line="240" w:lineRule="auto"/>
              <w:rPr>
                <w:rFonts w:cs="Arial"/>
              </w:rPr>
            </w:pPr>
            <w:r w:rsidRPr="00944B5E">
              <w:rPr>
                <w:rFonts w:cs="Arial"/>
              </w:rPr>
              <w:t>WM88</w:t>
            </w:r>
          </w:p>
        </w:tc>
        <w:tc>
          <w:tcPr>
            <w:tcW w:w="1341" w:type="pct"/>
            <w:tcBorders>
              <w:top w:val="single" w:sz="4" w:space="0" w:color="auto"/>
              <w:left w:val="single" w:sz="4" w:space="0" w:color="auto"/>
              <w:bottom w:val="single" w:sz="4" w:space="0" w:color="auto"/>
              <w:right w:val="single" w:sz="4" w:space="0" w:color="auto"/>
            </w:tcBorders>
            <w:vAlign w:val="center"/>
          </w:tcPr>
          <w:p w14:paraId="6F70B07E" w14:textId="453C78DD" w:rsidR="00115458" w:rsidRPr="00944B5E" w:rsidRDefault="00115458" w:rsidP="00F4606C">
            <w:pPr>
              <w:spacing w:after="0" w:line="240" w:lineRule="auto"/>
              <w:rPr>
                <w:rFonts w:cs="Arial"/>
                <w:color w:val="000000"/>
              </w:rPr>
            </w:pPr>
            <w:r w:rsidRPr="00944B5E">
              <w:rPr>
                <w:rFonts w:cs="Arial"/>
                <w:color w:val="000000"/>
              </w:rPr>
              <w:t>9.</w:t>
            </w:r>
            <w:r w:rsidR="005332BF" w:rsidRPr="00944B5E">
              <w:rPr>
                <w:rFonts w:cs="Arial"/>
                <w:color w:val="000000"/>
              </w:rPr>
              <w:t>2</w:t>
            </w:r>
            <w:r w:rsidR="005332BF">
              <w:rPr>
                <w:rFonts w:cs="Arial"/>
                <w:color w:val="000000"/>
              </w:rPr>
              <w:t>23</w:t>
            </w:r>
          </w:p>
        </w:tc>
        <w:tc>
          <w:tcPr>
            <w:tcW w:w="3080" w:type="pct"/>
            <w:tcBorders>
              <w:top w:val="single" w:sz="4" w:space="0" w:color="auto"/>
              <w:left w:val="single" w:sz="4" w:space="0" w:color="auto"/>
              <w:bottom w:val="single" w:sz="4" w:space="0" w:color="auto"/>
              <w:right w:val="single" w:sz="4" w:space="0" w:color="auto"/>
            </w:tcBorders>
            <w:noWrap/>
            <w:vAlign w:val="center"/>
          </w:tcPr>
          <w:p w14:paraId="512FD44C"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‘00000001-99999999’.</w:t>
            </w:r>
          </w:p>
        </w:tc>
      </w:tr>
      <w:tr w:rsidR="00FF1D5C" w:rsidRPr="00944B5E" w14:paraId="2864BA4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8788E84" w14:textId="77777777" w:rsidR="00115458" w:rsidRPr="00944B5E" w:rsidRDefault="00115458" w:rsidP="00F4606C">
            <w:pPr>
              <w:spacing w:after="0" w:line="240" w:lineRule="auto"/>
              <w:rPr>
                <w:rFonts w:cs="Arial"/>
              </w:rPr>
            </w:pPr>
            <w:r w:rsidRPr="00944B5E">
              <w:rPr>
                <w:rFonts w:cs="Arial"/>
              </w:rPr>
              <w:t>WM89</w:t>
            </w:r>
          </w:p>
        </w:tc>
        <w:tc>
          <w:tcPr>
            <w:tcW w:w="1341" w:type="pct"/>
            <w:tcBorders>
              <w:top w:val="single" w:sz="4" w:space="0" w:color="auto"/>
              <w:left w:val="single" w:sz="4" w:space="0" w:color="auto"/>
              <w:bottom w:val="single" w:sz="4" w:space="0" w:color="auto"/>
              <w:right w:val="single" w:sz="4" w:space="0" w:color="auto"/>
            </w:tcBorders>
            <w:vAlign w:val="center"/>
          </w:tcPr>
          <w:p w14:paraId="54002F8D" w14:textId="409D59FB" w:rsidR="00115458" w:rsidRPr="00944B5E" w:rsidRDefault="00115458" w:rsidP="00F4606C">
            <w:pPr>
              <w:spacing w:after="0" w:line="240" w:lineRule="auto"/>
              <w:rPr>
                <w:rFonts w:cs="Arial"/>
                <w:color w:val="000000"/>
              </w:rPr>
            </w:pPr>
            <w:r w:rsidRPr="00944B5E">
              <w:rPr>
                <w:rFonts w:cs="Arial"/>
                <w:color w:val="000000"/>
              </w:rPr>
              <w:t>9.</w:t>
            </w:r>
            <w:r w:rsidR="00230E95" w:rsidRPr="00944B5E">
              <w:rPr>
                <w:rFonts w:cs="Arial"/>
                <w:color w:val="000000"/>
              </w:rPr>
              <w:t>2</w:t>
            </w:r>
            <w:r w:rsidR="00230E95">
              <w:rPr>
                <w:rFonts w:cs="Arial"/>
                <w:color w:val="000000"/>
              </w:rPr>
              <w:t>24</w:t>
            </w:r>
            <w:r w:rsidRPr="00944B5E">
              <w:rPr>
                <w:rFonts w:cs="Arial"/>
                <w:color w:val="000000"/>
              </w:rPr>
              <w:t>, 9.</w:t>
            </w:r>
            <w:r w:rsidR="00230E95" w:rsidRPr="00944B5E">
              <w:rPr>
                <w:rFonts w:cs="Arial"/>
                <w:color w:val="000000"/>
              </w:rPr>
              <w:t>22</w:t>
            </w:r>
            <w:r w:rsidR="00230E95">
              <w:rPr>
                <w:rFonts w:cs="Arial"/>
                <w:color w:val="000000"/>
              </w:rPr>
              <w:t>5</w:t>
            </w:r>
            <w:r w:rsidRPr="00944B5E">
              <w:rPr>
                <w:rFonts w:cs="Arial"/>
                <w:color w:val="000000"/>
              </w:rPr>
              <w:t>, 9.</w:t>
            </w:r>
            <w:r w:rsidR="00230E95" w:rsidRPr="00944B5E">
              <w:rPr>
                <w:rFonts w:cs="Arial"/>
                <w:color w:val="000000"/>
              </w:rPr>
              <w:t>22</w:t>
            </w:r>
            <w:r w:rsidR="00230E95">
              <w:rPr>
                <w:rFonts w:cs="Arial"/>
                <w:color w:val="000000"/>
              </w:rPr>
              <w:t>6</w:t>
            </w:r>
            <w:r w:rsidRPr="00944B5E">
              <w:rPr>
                <w:rFonts w:cs="Arial"/>
                <w:color w:val="000000"/>
              </w:rPr>
              <w:t>, 9.22</w:t>
            </w:r>
            <w:r w:rsidR="00230E95">
              <w:rPr>
                <w:rFonts w:cs="Arial"/>
                <w:color w:val="000000"/>
              </w:rPr>
              <w:t>7</w:t>
            </w:r>
            <w:r w:rsidRPr="00944B5E">
              <w:rPr>
                <w:rFonts w:cs="Arial"/>
                <w:color w:val="000000"/>
              </w:rPr>
              <w:t>, 9.22</w:t>
            </w:r>
            <w:r w:rsidR="00230E95">
              <w:rPr>
                <w:rFonts w:cs="Arial"/>
                <w:color w:val="000000"/>
              </w:rPr>
              <w:t>8</w:t>
            </w:r>
            <w:r w:rsidRPr="00944B5E">
              <w:rPr>
                <w:rFonts w:cs="Arial"/>
                <w:color w:val="000000"/>
              </w:rPr>
              <w:t>, 9.22</w:t>
            </w:r>
            <w:r w:rsidR="00230E95">
              <w:rPr>
                <w:rFonts w:cs="Arial"/>
                <w:color w:val="000000"/>
              </w:rPr>
              <w:t>9</w:t>
            </w:r>
          </w:p>
        </w:tc>
        <w:tc>
          <w:tcPr>
            <w:tcW w:w="3080" w:type="pct"/>
            <w:tcBorders>
              <w:top w:val="single" w:sz="4" w:space="0" w:color="auto"/>
              <w:left w:val="single" w:sz="4" w:space="0" w:color="auto"/>
              <w:bottom w:val="single" w:sz="4" w:space="0" w:color="auto"/>
              <w:right w:val="single" w:sz="4" w:space="0" w:color="auto"/>
            </w:tcBorders>
            <w:noWrap/>
            <w:vAlign w:val="center"/>
          </w:tcPr>
          <w:p w14:paraId="262D06A5"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‘00000000-99999999’.</w:t>
            </w:r>
          </w:p>
        </w:tc>
      </w:tr>
      <w:tr w:rsidR="00FF1D5C" w:rsidRPr="00944B5E" w14:paraId="6AB9DA14"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B4B7443" w14:textId="77777777" w:rsidR="00115458" w:rsidRPr="00944B5E" w:rsidRDefault="00115458" w:rsidP="00F4606C">
            <w:pPr>
              <w:spacing w:after="0" w:line="240" w:lineRule="auto"/>
              <w:rPr>
                <w:rFonts w:cs="Arial"/>
              </w:rPr>
            </w:pPr>
            <w:r w:rsidRPr="00944B5E">
              <w:rPr>
                <w:rFonts w:cs="Arial"/>
              </w:rPr>
              <w:t>WM90</w:t>
            </w:r>
          </w:p>
        </w:tc>
        <w:tc>
          <w:tcPr>
            <w:tcW w:w="1341" w:type="pct"/>
            <w:tcBorders>
              <w:top w:val="single" w:sz="4" w:space="0" w:color="auto"/>
              <w:left w:val="single" w:sz="4" w:space="0" w:color="auto"/>
              <w:bottom w:val="single" w:sz="4" w:space="0" w:color="auto"/>
              <w:right w:val="single" w:sz="4" w:space="0" w:color="auto"/>
            </w:tcBorders>
            <w:vAlign w:val="center"/>
          </w:tcPr>
          <w:p w14:paraId="58B7FDD6" w14:textId="77777777" w:rsidR="00115458" w:rsidRPr="00944B5E" w:rsidRDefault="00115458" w:rsidP="00F4606C">
            <w:pPr>
              <w:spacing w:after="0" w:line="240" w:lineRule="auto"/>
              <w:rPr>
                <w:rFonts w:cs="Arial"/>
                <w:color w:val="000000"/>
              </w:rPr>
            </w:pPr>
            <w:r w:rsidRPr="00944B5E">
              <w:rPr>
                <w:rFonts w:cs="Arial"/>
                <w:color w:val="000000"/>
              </w:rPr>
              <w:t>9.221</w:t>
            </w:r>
          </w:p>
        </w:tc>
        <w:tc>
          <w:tcPr>
            <w:tcW w:w="3080" w:type="pct"/>
            <w:tcBorders>
              <w:top w:val="single" w:sz="4" w:space="0" w:color="auto"/>
              <w:left w:val="single" w:sz="4" w:space="0" w:color="auto"/>
              <w:bottom w:val="single" w:sz="4" w:space="0" w:color="auto"/>
              <w:right w:val="single" w:sz="4" w:space="0" w:color="auto"/>
            </w:tcBorders>
            <w:noWrap/>
            <w:vAlign w:val="center"/>
          </w:tcPr>
          <w:p w14:paraId="2591F03B" w14:textId="77777777" w:rsidR="00115458" w:rsidRPr="00944B5E" w:rsidRDefault="00115458" w:rsidP="00F4606C">
            <w:pPr>
              <w:spacing w:after="0" w:line="240" w:lineRule="auto"/>
              <w:rPr>
                <w:rFonts w:cs="Arial"/>
                <w:color w:val="000000"/>
              </w:rPr>
            </w:pPr>
            <w:r w:rsidRPr="00944B5E">
              <w:rPr>
                <w:rFonts w:cs="Arial"/>
                <w:color w:val="000000"/>
              </w:rPr>
              <w:t>The Count of DACCSUPP records in this field must equal the total of all DACCSUPP records in this file.</w:t>
            </w:r>
          </w:p>
        </w:tc>
      </w:tr>
      <w:tr w:rsidR="00FF1D5C" w:rsidRPr="00944B5E" w14:paraId="6B2A7F5E"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6F01884" w14:textId="77777777" w:rsidR="00115458" w:rsidRPr="00944B5E" w:rsidRDefault="00115458" w:rsidP="00F4606C">
            <w:pPr>
              <w:spacing w:after="0" w:line="240" w:lineRule="auto"/>
              <w:rPr>
                <w:rFonts w:cs="Arial"/>
              </w:rPr>
            </w:pPr>
            <w:r w:rsidRPr="00944B5E">
              <w:rPr>
                <w:rFonts w:cs="Arial"/>
              </w:rPr>
              <w:t>WM91</w:t>
            </w:r>
          </w:p>
        </w:tc>
        <w:tc>
          <w:tcPr>
            <w:tcW w:w="1341" w:type="pct"/>
            <w:tcBorders>
              <w:top w:val="single" w:sz="4" w:space="0" w:color="auto"/>
              <w:left w:val="single" w:sz="4" w:space="0" w:color="auto"/>
              <w:bottom w:val="single" w:sz="4" w:space="0" w:color="auto"/>
              <w:right w:val="single" w:sz="4" w:space="0" w:color="auto"/>
            </w:tcBorders>
            <w:vAlign w:val="center"/>
          </w:tcPr>
          <w:p w14:paraId="73E96554" w14:textId="585C7184" w:rsidR="00115458" w:rsidRPr="00944B5E" w:rsidRDefault="00115458" w:rsidP="00F4606C">
            <w:pPr>
              <w:spacing w:after="0" w:line="240" w:lineRule="auto"/>
              <w:rPr>
                <w:rFonts w:cs="Arial"/>
                <w:color w:val="000000"/>
              </w:rPr>
            </w:pPr>
            <w:r w:rsidRPr="00944B5E">
              <w:rPr>
                <w:rFonts w:cs="Arial"/>
                <w:color w:val="000000"/>
              </w:rPr>
              <w:t>9.</w:t>
            </w:r>
            <w:r w:rsidR="00230E95" w:rsidRPr="00944B5E">
              <w:rPr>
                <w:rFonts w:cs="Arial"/>
                <w:color w:val="000000"/>
              </w:rPr>
              <w:t>22</w:t>
            </w:r>
            <w:r w:rsidR="00230E95">
              <w:rPr>
                <w:rFonts w:cs="Arial"/>
                <w:color w:val="000000"/>
              </w:rPr>
              <w:t>7</w:t>
            </w:r>
          </w:p>
        </w:tc>
        <w:tc>
          <w:tcPr>
            <w:tcW w:w="3080" w:type="pct"/>
            <w:tcBorders>
              <w:top w:val="single" w:sz="4" w:space="0" w:color="auto"/>
              <w:left w:val="single" w:sz="4" w:space="0" w:color="auto"/>
              <w:bottom w:val="single" w:sz="4" w:space="0" w:color="auto"/>
              <w:right w:val="single" w:sz="4" w:space="0" w:color="auto"/>
            </w:tcBorders>
            <w:noWrap/>
            <w:vAlign w:val="center"/>
          </w:tcPr>
          <w:p w14:paraId="5BE13E93" w14:textId="77777777" w:rsidR="00115458" w:rsidRPr="00944B5E" w:rsidRDefault="00115458" w:rsidP="00F4606C">
            <w:pPr>
              <w:spacing w:after="0" w:line="240" w:lineRule="auto"/>
              <w:rPr>
                <w:rFonts w:cs="Arial"/>
                <w:color w:val="000000"/>
              </w:rPr>
            </w:pPr>
            <w:r w:rsidRPr="00944B5E">
              <w:rPr>
                <w:rFonts w:cs="Arial"/>
                <w:color w:val="000000"/>
              </w:rPr>
              <w:t>The Count of DFMDACCT records in this field must equal the total of all DFMDACCT records in this file.</w:t>
            </w:r>
          </w:p>
        </w:tc>
      </w:tr>
      <w:tr w:rsidR="00FF1D5C" w:rsidRPr="00944B5E" w14:paraId="5A8B6F21"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8651D8D" w14:textId="77777777" w:rsidR="00115458" w:rsidRPr="00944B5E" w:rsidRDefault="00115458" w:rsidP="00F4606C">
            <w:pPr>
              <w:spacing w:after="0" w:line="240" w:lineRule="auto"/>
              <w:rPr>
                <w:rFonts w:cs="Arial"/>
              </w:rPr>
            </w:pPr>
            <w:r w:rsidRPr="00944B5E">
              <w:rPr>
                <w:rFonts w:cs="Arial"/>
              </w:rPr>
              <w:t>WM92</w:t>
            </w:r>
          </w:p>
        </w:tc>
        <w:tc>
          <w:tcPr>
            <w:tcW w:w="1341" w:type="pct"/>
            <w:tcBorders>
              <w:top w:val="single" w:sz="4" w:space="0" w:color="auto"/>
              <w:left w:val="single" w:sz="4" w:space="0" w:color="auto"/>
              <w:bottom w:val="single" w:sz="4" w:space="0" w:color="auto"/>
              <w:right w:val="single" w:sz="4" w:space="0" w:color="auto"/>
            </w:tcBorders>
            <w:vAlign w:val="center"/>
          </w:tcPr>
          <w:p w14:paraId="3A2B9359" w14:textId="0D753CCE" w:rsidR="00115458" w:rsidRPr="00944B5E" w:rsidRDefault="00115458" w:rsidP="00F4606C">
            <w:pPr>
              <w:spacing w:after="0" w:line="240" w:lineRule="auto"/>
              <w:rPr>
                <w:rFonts w:cs="Arial"/>
                <w:color w:val="000000"/>
              </w:rPr>
            </w:pPr>
            <w:r w:rsidRPr="00944B5E">
              <w:rPr>
                <w:rFonts w:cs="Arial"/>
                <w:color w:val="000000"/>
              </w:rPr>
              <w:t>9.</w:t>
            </w:r>
            <w:r w:rsidR="00230E95" w:rsidRPr="00944B5E">
              <w:rPr>
                <w:rFonts w:cs="Arial"/>
                <w:color w:val="000000"/>
              </w:rPr>
              <w:t>22</w:t>
            </w:r>
            <w:r w:rsidR="00230E95">
              <w:rPr>
                <w:rFonts w:cs="Arial"/>
                <w:color w:val="000000"/>
              </w:rPr>
              <w:t>8</w:t>
            </w:r>
          </w:p>
        </w:tc>
        <w:tc>
          <w:tcPr>
            <w:tcW w:w="3080" w:type="pct"/>
            <w:tcBorders>
              <w:top w:val="single" w:sz="4" w:space="0" w:color="auto"/>
              <w:left w:val="single" w:sz="4" w:space="0" w:color="auto"/>
              <w:bottom w:val="single" w:sz="4" w:space="0" w:color="auto"/>
              <w:right w:val="single" w:sz="4" w:space="0" w:color="auto"/>
            </w:tcBorders>
            <w:noWrap/>
            <w:vAlign w:val="center"/>
          </w:tcPr>
          <w:p w14:paraId="34C0911A" w14:textId="77777777" w:rsidR="00115458" w:rsidRPr="00944B5E" w:rsidRDefault="00115458" w:rsidP="00F4606C">
            <w:pPr>
              <w:spacing w:after="0" w:line="240" w:lineRule="auto"/>
              <w:rPr>
                <w:rFonts w:cs="Arial"/>
                <w:color w:val="000000"/>
              </w:rPr>
            </w:pPr>
            <w:r w:rsidRPr="00944B5E">
              <w:rPr>
                <w:rFonts w:cs="Arial"/>
                <w:color w:val="000000"/>
              </w:rPr>
              <w:t>The Count of DINVESTOR records in this field must equal the total of all DINVESTOR records in this file.</w:t>
            </w:r>
          </w:p>
        </w:tc>
      </w:tr>
      <w:tr w:rsidR="00FF1D5C" w:rsidRPr="00944B5E" w14:paraId="26390D7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2333947" w14:textId="77777777" w:rsidR="00115458" w:rsidRPr="00944B5E" w:rsidRDefault="00115458" w:rsidP="00F4606C">
            <w:pPr>
              <w:spacing w:after="0" w:line="240" w:lineRule="auto"/>
              <w:rPr>
                <w:rFonts w:cs="Arial"/>
              </w:rPr>
            </w:pPr>
            <w:r w:rsidRPr="00944B5E">
              <w:rPr>
                <w:rFonts w:cs="Arial"/>
              </w:rPr>
              <w:t>WM96</w:t>
            </w:r>
          </w:p>
        </w:tc>
        <w:tc>
          <w:tcPr>
            <w:tcW w:w="1341" w:type="pct"/>
            <w:tcBorders>
              <w:top w:val="single" w:sz="4" w:space="0" w:color="auto"/>
              <w:left w:val="single" w:sz="4" w:space="0" w:color="auto"/>
              <w:bottom w:val="single" w:sz="4" w:space="0" w:color="auto"/>
              <w:right w:val="single" w:sz="4" w:space="0" w:color="auto"/>
            </w:tcBorders>
            <w:vAlign w:val="center"/>
          </w:tcPr>
          <w:p w14:paraId="72292F08" w14:textId="77777777" w:rsidR="00115458" w:rsidRPr="00944B5E" w:rsidRDefault="00115458" w:rsidP="00F4606C">
            <w:pPr>
              <w:spacing w:after="0" w:line="240" w:lineRule="auto"/>
              <w:rPr>
                <w:rFonts w:cs="Arial"/>
                <w:color w:val="000000"/>
              </w:rPr>
            </w:pPr>
            <w:r w:rsidRPr="00944B5E">
              <w:rPr>
                <w:rFonts w:cs="Arial"/>
                <w:color w:val="000000"/>
              </w:rPr>
              <w:t>9.32</w:t>
            </w:r>
          </w:p>
        </w:tc>
        <w:tc>
          <w:tcPr>
            <w:tcW w:w="3080" w:type="pct"/>
            <w:tcBorders>
              <w:top w:val="single" w:sz="4" w:space="0" w:color="auto"/>
              <w:left w:val="single" w:sz="4" w:space="0" w:color="auto"/>
              <w:bottom w:val="single" w:sz="4" w:space="0" w:color="auto"/>
              <w:right w:val="single" w:sz="4" w:space="0" w:color="auto"/>
            </w:tcBorders>
            <w:noWrap/>
            <w:vAlign w:val="center"/>
          </w:tcPr>
          <w:p w14:paraId="30FE48BB" w14:textId="77777777" w:rsidR="00115458" w:rsidRPr="00944B5E" w:rsidRDefault="00115458" w:rsidP="00F4606C">
            <w:pPr>
              <w:spacing w:after="0" w:line="240" w:lineRule="auto"/>
              <w:rPr>
                <w:rFonts w:cs="Arial"/>
                <w:color w:val="000000"/>
              </w:rPr>
            </w:pPr>
            <w:r w:rsidRPr="00944B5E">
              <w:rPr>
                <w:rFonts w:cs="Arial"/>
                <w:color w:val="000000"/>
              </w:rPr>
              <w:t>Investment body branch number must be between 001-999.</w:t>
            </w:r>
          </w:p>
        </w:tc>
      </w:tr>
      <w:tr w:rsidR="00FF1D5C" w:rsidRPr="00944B5E" w14:paraId="2A87214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5C67EC5" w14:textId="77777777" w:rsidR="00115458" w:rsidRPr="00944B5E" w:rsidRDefault="00115458" w:rsidP="00F4606C">
            <w:pPr>
              <w:spacing w:after="0" w:line="240" w:lineRule="auto"/>
              <w:rPr>
                <w:rFonts w:cs="Arial"/>
              </w:rPr>
            </w:pPr>
            <w:r w:rsidRPr="00944B5E">
              <w:rPr>
                <w:rFonts w:cs="Arial"/>
              </w:rPr>
              <w:t>WM115</w:t>
            </w:r>
          </w:p>
        </w:tc>
        <w:tc>
          <w:tcPr>
            <w:tcW w:w="1341" w:type="pct"/>
            <w:tcBorders>
              <w:top w:val="single" w:sz="4" w:space="0" w:color="auto"/>
              <w:left w:val="single" w:sz="4" w:space="0" w:color="auto"/>
              <w:bottom w:val="single" w:sz="4" w:space="0" w:color="auto"/>
              <w:right w:val="single" w:sz="4" w:space="0" w:color="auto"/>
            </w:tcBorders>
            <w:vAlign w:val="center"/>
          </w:tcPr>
          <w:p w14:paraId="5AFA4506" w14:textId="77777777" w:rsidR="00115458" w:rsidRPr="00944B5E" w:rsidRDefault="00115458" w:rsidP="00F4606C">
            <w:pPr>
              <w:spacing w:after="0" w:line="240" w:lineRule="auto"/>
              <w:rPr>
                <w:rFonts w:cs="Arial"/>
                <w:color w:val="000000"/>
              </w:rPr>
            </w:pPr>
            <w:r w:rsidRPr="00944B5E">
              <w:rPr>
                <w:rFonts w:cs="Arial"/>
                <w:color w:val="000000"/>
              </w:rPr>
              <w:t>9.65, 9.79</w:t>
            </w:r>
          </w:p>
        </w:tc>
        <w:tc>
          <w:tcPr>
            <w:tcW w:w="3080" w:type="pct"/>
            <w:tcBorders>
              <w:top w:val="single" w:sz="4" w:space="0" w:color="auto"/>
              <w:left w:val="single" w:sz="4" w:space="0" w:color="auto"/>
              <w:bottom w:val="single" w:sz="4" w:space="0" w:color="auto"/>
              <w:right w:val="single" w:sz="4" w:space="0" w:color="auto"/>
            </w:tcBorders>
            <w:noWrap/>
            <w:vAlign w:val="center"/>
          </w:tcPr>
          <w:p w14:paraId="4E36E1F4" w14:textId="77777777" w:rsidR="00115458" w:rsidRPr="00944B5E" w:rsidRDefault="00115458" w:rsidP="00F4606C">
            <w:pPr>
              <w:spacing w:after="0" w:line="240" w:lineRule="auto"/>
              <w:rPr>
                <w:rFonts w:cs="Arial"/>
                <w:color w:val="000000"/>
              </w:rPr>
            </w:pPr>
            <w:r w:rsidRPr="00944B5E">
              <w:rPr>
                <w:rFonts w:cs="Arial"/>
                <w:color w:val="000000"/>
              </w:rPr>
              <w:t>The field must be greater than zero.</w:t>
            </w:r>
          </w:p>
        </w:tc>
      </w:tr>
      <w:tr w:rsidR="00FF1D5C" w:rsidRPr="00944B5E" w14:paraId="4848337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D13D618" w14:textId="77777777" w:rsidR="00115458" w:rsidRPr="00944B5E" w:rsidRDefault="00115458" w:rsidP="00F4606C">
            <w:pPr>
              <w:spacing w:after="0" w:line="240" w:lineRule="auto"/>
              <w:rPr>
                <w:rFonts w:cs="Arial"/>
              </w:rPr>
            </w:pPr>
            <w:r w:rsidRPr="00944B5E">
              <w:rPr>
                <w:rFonts w:cs="Arial"/>
              </w:rPr>
              <w:t>WM116</w:t>
            </w:r>
          </w:p>
        </w:tc>
        <w:tc>
          <w:tcPr>
            <w:tcW w:w="1341" w:type="pct"/>
            <w:tcBorders>
              <w:top w:val="single" w:sz="4" w:space="0" w:color="auto"/>
              <w:left w:val="single" w:sz="4" w:space="0" w:color="auto"/>
              <w:bottom w:val="single" w:sz="4" w:space="0" w:color="auto"/>
              <w:right w:val="single" w:sz="4" w:space="0" w:color="auto"/>
            </w:tcBorders>
            <w:vAlign w:val="center"/>
          </w:tcPr>
          <w:p w14:paraId="1D090687" w14:textId="473A3972" w:rsidR="00115458" w:rsidRPr="00944B5E" w:rsidRDefault="00115458" w:rsidP="00F4606C">
            <w:pPr>
              <w:spacing w:after="0" w:line="240" w:lineRule="auto"/>
              <w:rPr>
                <w:rFonts w:cs="Arial"/>
                <w:color w:val="000000"/>
              </w:rPr>
            </w:pPr>
            <w:r w:rsidRPr="00944B5E">
              <w:rPr>
                <w:rFonts w:cs="Arial"/>
                <w:color w:val="000000"/>
              </w:rPr>
              <w:t>9.104, 9.</w:t>
            </w:r>
            <w:r w:rsidR="00230E95" w:rsidRPr="00944B5E">
              <w:rPr>
                <w:rFonts w:cs="Arial"/>
                <w:color w:val="000000"/>
              </w:rPr>
              <w:t>19</w:t>
            </w:r>
            <w:r w:rsidR="00230E95">
              <w:rPr>
                <w:rFonts w:cs="Arial"/>
                <w:color w:val="000000"/>
              </w:rPr>
              <w:t>9</w:t>
            </w:r>
          </w:p>
        </w:tc>
        <w:tc>
          <w:tcPr>
            <w:tcW w:w="3080" w:type="pct"/>
            <w:tcBorders>
              <w:top w:val="single" w:sz="4" w:space="0" w:color="auto"/>
              <w:left w:val="single" w:sz="4" w:space="0" w:color="auto"/>
              <w:bottom w:val="single" w:sz="4" w:space="0" w:color="auto"/>
              <w:right w:val="single" w:sz="4" w:space="0" w:color="auto"/>
            </w:tcBorders>
            <w:noWrap/>
            <w:vAlign w:val="center"/>
          </w:tcPr>
          <w:p w14:paraId="7E4C182B" w14:textId="77777777" w:rsidR="00115458" w:rsidRPr="00944B5E" w:rsidRDefault="00115458" w:rsidP="00F4606C">
            <w:pPr>
              <w:spacing w:after="0" w:line="240" w:lineRule="auto"/>
              <w:rPr>
                <w:rFonts w:cs="Arial"/>
                <w:color w:val="000000"/>
              </w:rPr>
            </w:pPr>
            <w:r w:rsidRPr="00944B5E">
              <w:rPr>
                <w:rFonts w:cs="Arial"/>
                <w:color w:val="000000"/>
              </w:rPr>
              <w:t>The field must be within the range of ‘00000000000-99999999999’.</w:t>
            </w:r>
          </w:p>
        </w:tc>
      </w:tr>
      <w:tr w:rsidR="00FF1D5C" w:rsidRPr="00944B5E" w14:paraId="6EFEDF8F"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4EC24A5" w14:textId="77777777" w:rsidR="00115458" w:rsidRPr="00944B5E" w:rsidRDefault="00115458" w:rsidP="00F4606C">
            <w:pPr>
              <w:spacing w:after="0" w:line="240" w:lineRule="auto"/>
              <w:rPr>
                <w:rFonts w:cs="Arial"/>
              </w:rPr>
            </w:pPr>
            <w:r w:rsidRPr="00944B5E">
              <w:rPr>
                <w:rFonts w:cs="Arial"/>
              </w:rPr>
              <w:t>WM139</w:t>
            </w:r>
          </w:p>
        </w:tc>
        <w:tc>
          <w:tcPr>
            <w:tcW w:w="1341" w:type="pct"/>
            <w:tcBorders>
              <w:top w:val="single" w:sz="4" w:space="0" w:color="auto"/>
              <w:left w:val="single" w:sz="4" w:space="0" w:color="auto"/>
              <w:bottom w:val="single" w:sz="4" w:space="0" w:color="auto"/>
              <w:right w:val="single" w:sz="4" w:space="0" w:color="auto"/>
            </w:tcBorders>
            <w:vAlign w:val="center"/>
          </w:tcPr>
          <w:p w14:paraId="42468670" w14:textId="77777777" w:rsidR="00115458" w:rsidRPr="00944B5E" w:rsidRDefault="00115458" w:rsidP="00F4606C">
            <w:pPr>
              <w:spacing w:after="0" w:line="240" w:lineRule="auto"/>
              <w:rPr>
                <w:rFonts w:cs="Arial"/>
                <w:color w:val="000000"/>
              </w:rPr>
            </w:pPr>
            <w:r w:rsidRPr="00944B5E">
              <w:rPr>
                <w:rFonts w:cs="Arial"/>
                <w:color w:val="000000"/>
              </w:rPr>
              <w:t>9.104</w:t>
            </w:r>
          </w:p>
        </w:tc>
        <w:tc>
          <w:tcPr>
            <w:tcW w:w="3080" w:type="pct"/>
            <w:tcBorders>
              <w:top w:val="single" w:sz="4" w:space="0" w:color="auto"/>
              <w:left w:val="single" w:sz="4" w:space="0" w:color="auto"/>
              <w:bottom w:val="single" w:sz="4" w:space="0" w:color="auto"/>
              <w:right w:val="single" w:sz="4" w:space="0" w:color="auto"/>
            </w:tcBorders>
            <w:noWrap/>
            <w:vAlign w:val="center"/>
          </w:tcPr>
          <w:p w14:paraId="26A04EE1" w14:textId="77777777" w:rsidR="00115458" w:rsidRPr="00944B5E" w:rsidRDefault="00115458" w:rsidP="00F4606C">
            <w:pPr>
              <w:spacing w:after="0" w:line="240" w:lineRule="auto"/>
              <w:rPr>
                <w:rFonts w:cs="Arial"/>
                <w:color w:val="000000"/>
              </w:rPr>
            </w:pPr>
            <w:r w:rsidRPr="00944B5E">
              <w:rPr>
                <w:rFonts w:cs="Arial"/>
                <w:color w:val="000000"/>
              </w:rPr>
              <w:t xml:space="preserve">If Interposed entity name is present then Interposed entity TFN or ABN must be present. </w:t>
            </w:r>
          </w:p>
        </w:tc>
      </w:tr>
      <w:tr w:rsidR="00FF1D5C" w:rsidRPr="00944B5E" w14:paraId="13284FF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2D35847" w14:textId="77777777" w:rsidR="00115458" w:rsidRPr="00944B5E" w:rsidRDefault="00115458" w:rsidP="00F4606C">
            <w:pPr>
              <w:spacing w:after="0" w:line="240" w:lineRule="auto"/>
              <w:rPr>
                <w:rFonts w:cs="Arial"/>
              </w:rPr>
            </w:pPr>
            <w:r w:rsidRPr="00944B5E">
              <w:rPr>
                <w:rFonts w:cs="Arial"/>
              </w:rPr>
              <w:t>WM140</w:t>
            </w:r>
          </w:p>
        </w:tc>
        <w:tc>
          <w:tcPr>
            <w:tcW w:w="1341" w:type="pct"/>
            <w:tcBorders>
              <w:top w:val="single" w:sz="4" w:space="0" w:color="auto"/>
              <w:left w:val="single" w:sz="4" w:space="0" w:color="auto"/>
              <w:bottom w:val="single" w:sz="4" w:space="0" w:color="auto"/>
              <w:right w:val="single" w:sz="4" w:space="0" w:color="auto"/>
            </w:tcBorders>
            <w:vAlign w:val="center"/>
          </w:tcPr>
          <w:p w14:paraId="40EE61DA" w14:textId="77777777" w:rsidR="00115458" w:rsidRPr="00944B5E" w:rsidRDefault="00115458" w:rsidP="00F4606C">
            <w:pPr>
              <w:spacing w:after="0" w:line="240" w:lineRule="auto"/>
              <w:rPr>
                <w:rFonts w:cs="Arial"/>
                <w:color w:val="000000"/>
              </w:rPr>
            </w:pPr>
            <w:r w:rsidRPr="00944B5E">
              <w:rPr>
                <w:rFonts w:cs="Arial"/>
                <w:color w:val="000000"/>
              </w:rPr>
              <w:t>9.119</w:t>
            </w:r>
          </w:p>
        </w:tc>
        <w:tc>
          <w:tcPr>
            <w:tcW w:w="3080" w:type="pct"/>
            <w:tcBorders>
              <w:top w:val="single" w:sz="4" w:space="0" w:color="auto"/>
              <w:left w:val="single" w:sz="4" w:space="0" w:color="auto"/>
              <w:bottom w:val="single" w:sz="4" w:space="0" w:color="auto"/>
              <w:right w:val="single" w:sz="4" w:space="0" w:color="auto"/>
            </w:tcBorders>
            <w:noWrap/>
            <w:vAlign w:val="center"/>
          </w:tcPr>
          <w:p w14:paraId="142CBBAB" w14:textId="77777777" w:rsidR="00115458" w:rsidRPr="00944B5E" w:rsidRDefault="00115458" w:rsidP="00F4606C">
            <w:pPr>
              <w:spacing w:after="0" w:line="240" w:lineRule="auto"/>
              <w:rPr>
                <w:rFonts w:cs="Arial"/>
                <w:color w:val="000000"/>
              </w:rPr>
            </w:pPr>
            <w:r w:rsidRPr="00944B5E">
              <w:rPr>
                <w:rFonts w:cs="Arial"/>
                <w:color w:val="000000"/>
              </w:rPr>
              <w:t xml:space="preserve">Unfranked distributions from trusts must be less than or equal to the sum of Unfranked dividends not declared to be conduit foreign income and Unfranked dividends declared to be conduit foreign income. </w:t>
            </w:r>
          </w:p>
        </w:tc>
      </w:tr>
      <w:tr w:rsidR="00FF1D5C" w:rsidRPr="00944B5E" w14:paraId="0A73FC71"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C8F623D" w14:textId="77777777" w:rsidR="00115458" w:rsidRPr="00944B5E" w:rsidRDefault="00115458" w:rsidP="00F4606C">
            <w:pPr>
              <w:spacing w:after="0" w:line="240" w:lineRule="auto"/>
              <w:rPr>
                <w:rFonts w:cs="Arial"/>
              </w:rPr>
            </w:pPr>
            <w:r w:rsidRPr="00944B5E">
              <w:rPr>
                <w:rFonts w:cs="Arial"/>
              </w:rPr>
              <w:t>WM141</w:t>
            </w:r>
          </w:p>
        </w:tc>
        <w:tc>
          <w:tcPr>
            <w:tcW w:w="1341" w:type="pct"/>
            <w:tcBorders>
              <w:top w:val="single" w:sz="4" w:space="0" w:color="auto"/>
              <w:left w:val="single" w:sz="4" w:space="0" w:color="auto"/>
              <w:bottom w:val="single" w:sz="4" w:space="0" w:color="auto"/>
              <w:right w:val="single" w:sz="4" w:space="0" w:color="auto"/>
            </w:tcBorders>
            <w:vAlign w:val="center"/>
          </w:tcPr>
          <w:p w14:paraId="73B86C8A" w14:textId="77777777" w:rsidR="00115458" w:rsidRPr="00944B5E" w:rsidRDefault="00115458" w:rsidP="00F4606C">
            <w:pPr>
              <w:spacing w:after="0" w:line="240" w:lineRule="auto"/>
              <w:rPr>
                <w:rFonts w:cs="Arial"/>
                <w:color w:val="000000"/>
              </w:rPr>
            </w:pPr>
            <w:r w:rsidRPr="00944B5E">
              <w:rPr>
                <w:rFonts w:cs="Arial"/>
                <w:color w:val="000000"/>
              </w:rPr>
              <w:t>9.120</w:t>
            </w:r>
          </w:p>
        </w:tc>
        <w:tc>
          <w:tcPr>
            <w:tcW w:w="3080" w:type="pct"/>
            <w:tcBorders>
              <w:top w:val="single" w:sz="4" w:space="0" w:color="auto"/>
              <w:left w:val="single" w:sz="4" w:space="0" w:color="auto"/>
              <w:bottom w:val="single" w:sz="4" w:space="0" w:color="auto"/>
              <w:right w:val="single" w:sz="4" w:space="0" w:color="auto"/>
            </w:tcBorders>
            <w:noWrap/>
            <w:vAlign w:val="center"/>
          </w:tcPr>
          <w:p w14:paraId="0528D4AF" w14:textId="77777777" w:rsidR="00115458" w:rsidRPr="00944B5E" w:rsidRDefault="00115458" w:rsidP="00F4606C">
            <w:pPr>
              <w:spacing w:after="0" w:line="240" w:lineRule="auto"/>
              <w:rPr>
                <w:rFonts w:cs="Arial"/>
                <w:color w:val="000000"/>
              </w:rPr>
            </w:pPr>
            <w:r w:rsidRPr="00944B5E">
              <w:rPr>
                <w:rFonts w:cs="Arial"/>
                <w:color w:val="000000"/>
              </w:rPr>
              <w:t xml:space="preserve">Franked distributions from trusts must be greater than or equal to the sum of Franked dividends and Franking credit. </w:t>
            </w:r>
          </w:p>
        </w:tc>
      </w:tr>
      <w:tr w:rsidR="00FF1D5C" w:rsidRPr="00944B5E" w14:paraId="1E98356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EA83DBD" w14:textId="77777777" w:rsidR="00115458" w:rsidRPr="00944B5E" w:rsidRDefault="00115458" w:rsidP="00F4606C">
            <w:pPr>
              <w:spacing w:after="0" w:line="240" w:lineRule="auto"/>
              <w:rPr>
                <w:rFonts w:cs="Arial"/>
              </w:rPr>
            </w:pPr>
            <w:r w:rsidRPr="00944B5E">
              <w:rPr>
                <w:rFonts w:cs="Arial"/>
              </w:rPr>
              <w:t>WM142</w:t>
            </w:r>
          </w:p>
        </w:tc>
        <w:tc>
          <w:tcPr>
            <w:tcW w:w="1341" w:type="pct"/>
            <w:tcBorders>
              <w:top w:val="single" w:sz="4" w:space="0" w:color="auto"/>
              <w:left w:val="single" w:sz="4" w:space="0" w:color="auto"/>
              <w:bottom w:val="single" w:sz="4" w:space="0" w:color="auto"/>
              <w:right w:val="single" w:sz="4" w:space="0" w:color="auto"/>
            </w:tcBorders>
            <w:vAlign w:val="center"/>
          </w:tcPr>
          <w:p w14:paraId="37554876" w14:textId="77777777" w:rsidR="00115458" w:rsidRPr="00944B5E" w:rsidRDefault="00115458" w:rsidP="00F4606C">
            <w:pPr>
              <w:spacing w:after="0" w:line="240" w:lineRule="auto"/>
              <w:rPr>
                <w:rFonts w:cs="Arial"/>
                <w:color w:val="000000"/>
              </w:rPr>
            </w:pPr>
            <w:r w:rsidRPr="00944B5E">
              <w:rPr>
                <w:rFonts w:cs="Arial"/>
                <w:color w:val="000000"/>
              </w:rPr>
              <w:t>9.71</w:t>
            </w:r>
          </w:p>
        </w:tc>
        <w:tc>
          <w:tcPr>
            <w:tcW w:w="3080" w:type="pct"/>
            <w:tcBorders>
              <w:top w:val="single" w:sz="4" w:space="0" w:color="auto"/>
              <w:left w:val="single" w:sz="4" w:space="0" w:color="auto"/>
              <w:bottom w:val="single" w:sz="4" w:space="0" w:color="auto"/>
              <w:right w:val="single" w:sz="4" w:space="0" w:color="auto"/>
            </w:tcBorders>
            <w:noWrap/>
            <w:vAlign w:val="center"/>
          </w:tcPr>
          <w:p w14:paraId="5DC9B7AC" w14:textId="77777777" w:rsidR="00115458" w:rsidRPr="00944B5E" w:rsidRDefault="00115458" w:rsidP="00F4606C">
            <w:pPr>
              <w:spacing w:after="0" w:line="240" w:lineRule="auto"/>
              <w:rPr>
                <w:rFonts w:cs="Arial"/>
                <w:color w:val="000000"/>
              </w:rPr>
            </w:pPr>
            <w:r w:rsidRPr="00944B5E">
              <w:rPr>
                <w:rFonts w:cs="Arial"/>
                <w:color w:val="000000"/>
              </w:rPr>
              <w:t>The Type of investment value must be 2.</w:t>
            </w:r>
          </w:p>
        </w:tc>
      </w:tr>
      <w:tr w:rsidR="00FF1D5C" w:rsidRPr="00944B5E" w14:paraId="2C05C6DF"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04563D1" w14:textId="77777777" w:rsidR="00115458" w:rsidRPr="00944B5E" w:rsidRDefault="00115458" w:rsidP="00F4606C">
            <w:pPr>
              <w:spacing w:after="0" w:line="240" w:lineRule="auto"/>
              <w:rPr>
                <w:rFonts w:cs="Arial"/>
              </w:rPr>
            </w:pPr>
            <w:r w:rsidRPr="00944B5E">
              <w:rPr>
                <w:rFonts w:cs="Arial"/>
              </w:rPr>
              <w:t>WM143</w:t>
            </w:r>
          </w:p>
        </w:tc>
        <w:tc>
          <w:tcPr>
            <w:tcW w:w="1341" w:type="pct"/>
            <w:tcBorders>
              <w:top w:val="single" w:sz="4" w:space="0" w:color="auto"/>
              <w:left w:val="single" w:sz="4" w:space="0" w:color="auto"/>
              <w:bottom w:val="single" w:sz="4" w:space="0" w:color="auto"/>
              <w:right w:val="single" w:sz="4" w:space="0" w:color="auto"/>
            </w:tcBorders>
            <w:vAlign w:val="center"/>
          </w:tcPr>
          <w:p w14:paraId="111339FF" w14:textId="4BDAC95C" w:rsidR="00115458" w:rsidRPr="00944B5E" w:rsidRDefault="00115458" w:rsidP="00F4606C">
            <w:pPr>
              <w:spacing w:after="0" w:line="240" w:lineRule="auto"/>
              <w:rPr>
                <w:rFonts w:cs="Arial"/>
                <w:color w:val="000000"/>
              </w:rPr>
            </w:pPr>
            <w:r w:rsidRPr="00944B5E">
              <w:rPr>
                <w:rFonts w:cs="Arial"/>
                <w:color w:val="000000"/>
              </w:rPr>
              <w:t>9.72, 9.79</w:t>
            </w:r>
          </w:p>
        </w:tc>
        <w:tc>
          <w:tcPr>
            <w:tcW w:w="3080" w:type="pct"/>
            <w:tcBorders>
              <w:top w:val="single" w:sz="4" w:space="0" w:color="auto"/>
              <w:left w:val="single" w:sz="4" w:space="0" w:color="auto"/>
              <w:bottom w:val="single" w:sz="4" w:space="0" w:color="auto"/>
              <w:right w:val="single" w:sz="4" w:space="0" w:color="auto"/>
            </w:tcBorders>
            <w:noWrap/>
            <w:vAlign w:val="center"/>
          </w:tcPr>
          <w:p w14:paraId="29A4A2C9" w14:textId="77777777" w:rsidR="00115458" w:rsidRPr="00944B5E" w:rsidRDefault="00115458" w:rsidP="00F4606C">
            <w:pPr>
              <w:spacing w:after="0" w:line="240" w:lineRule="auto"/>
              <w:rPr>
                <w:rFonts w:cs="Arial"/>
                <w:color w:val="000000"/>
              </w:rPr>
            </w:pPr>
            <w:r w:rsidRPr="00944B5E">
              <w:rPr>
                <w:rFonts w:cs="Arial"/>
                <w:color w:val="000000"/>
              </w:rPr>
              <w:t>The Type of Payment must be FMD.</w:t>
            </w:r>
          </w:p>
        </w:tc>
      </w:tr>
      <w:tr w:rsidR="00FF1D5C" w:rsidRPr="00944B5E" w14:paraId="2DE83D24"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4AB2848" w14:textId="77777777" w:rsidR="00115458" w:rsidRPr="00944B5E" w:rsidRDefault="00115458" w:rsidP="00F4606C">
            <w:pPr>
              <w:spacing w:after="0" w:line="240" w:lineRule="auto"/>
              <w:rPr>
                <w:rFonts w:cs="Arial"/>
              </w:rPr>
            </w:pPr>
            <w:r w:rsidRPr="00944B5E">
              <w:rPr>
                <w:rFonts w:cs="Arial"/>
              </w:rPr>
              <w:t>WM147</w:t>
            </w:r>
          </w:p>
        </w:tc>
        <w:tc>
          <w:tcPr>
            <w:tcW w:w="1341" w:type="pct"/>
            <w:tcBorders>
              <w:top w:val="single" w:sz="4" w:space="0" w:color="auto"/>
              <w:left w:val="single" w:sz="4" w:space="0" w:color="auto"/>
              <w:bottom w:val="single" w:sz="4" w:space="0" w:color="auto"/>
              <w:right w:val="single" w:sz="4" w:space="0" w:color="auto"/>
            </w:tcBorders>
            <w:vAlign w:val="center"/>
          </w:tcPr>
          <w:p w14:paraId="6535591A" w14:textId="77777777" w:rsidR="00115458" w:rsidRPr="00944B5E" w:rsidRDefault="00115458" w:rsidP="00F4606C">
            <w:pPr>
              <w:spacing w:after="0" w:line="240" w:lineRule="auto"/>
              <w:rPr>
                <w:rFonts w:cs="Arial"/>
                <w:color w:val="000000"/>
              </w:rPr>
            </w:pPr>
            <w:r w:rsidRPr="00944B5E">
              <w:rPr>
                <w:rFonts w:cs="Arial"/>
                <w:color w:val="000000"/>
              </w:rPr>
              <w:t>9.75</w:t>
            </w:r>
          </w:p>
        </w:tc>
        <w:tc>
          <w:tcPr>
            <w:tcW w:w="3080" w:type="pct"/>
            <w:tcBorders>
              <w:top w:val="single" w:sz="4" w:space="0" w:color="auto"/>
              <w:left w:val="single" w:sz="4" w:space="0" w:color="auto"/>
              <w:bottom w:val="single" w:sz="4" w:space="0" w:color="auto"/>
              <w:right w:val="single" w:sz="4" w:space="0" w:color="auto"/>
            </w:tcBorders>
            <w:noWrap/>
            <w:vAlign w:val="center"/>
          </w:tcPr>
          <w:p w14:paraId="4AA81987" w14:textId="77777777" w:rsidR="00115458" w:rsidRPr="00944B5E" w:rsidRDefault="00115458" w:rsidP="00F4606C">
            <w:pPr>
              <w:spacing w:after="0" w:line="240" w:lineRule="auto"/>
              <w:rPr>
                <w:rFonts w:cs="Arial"/>
                <w:color w:val="000000"/>
              </w:rPr>
            </w:pPr>
            <w:r w:rsidRPr="00944B5E">
              <w:rPr>
                <w:rFonts w:cs="Arial"/>
                <w:color w:val="000000"/>
              </w:rPr>
              <w:t>The TFN withholding tax refunded is greater than zero, so the TFN withholding tax deducted must be greater than or equal to TFN withholding tax refunded.</w:t>
            </w:r>
          </w:p>
        </w:tc>
      </w:tr>
      <w:tr w:rsidR="00FF1D5C" w:rsidRPr="00944B5E" w14:paraId="0870A40B"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17E5389" w14:textId="77777777" w:rsidR="00115458" w:rsidRPr="00944B5E" w:rsidRDefault="00115458" w:rsidP="00F4606C">
            <w:pPr>
              <w:spacing w:after="0" w:line="240" w:lineRule="auto"/>
              <w:rPr>
                <w:rFonts w:cs="Arial"/>
              </w:rPr>
            </w:pPr>
            <w:r w:rsidRPr="00944B5E">
              <w:rPr>
                <w:rFonts w:cs="Arial"/>
              </w:rPr>
              <w:t>WM249</w:t>
            </w:r>
          </w:p>
        </w:tc>
        <w:tc>
          <w:tcPr>
            <w:tcW w:w="1341" w:type="pct"/>
            <w:tcBorders>
              <w:top w:val="single" w:sz="4" w:space="0" w:color="auto"/>
              <w:left w:val="single" w:sz="4" w:space="0" w:color="auto"/>
              <w:bottom w:val="single" w:sz="4" w:space="0" w:color="auto"/>
              <w:right w:val="single" w:sz="4" w:space="0" w:color="auto"/>
            </w:tcBorders>
            <w:vAlign w:val="center"/>
          </w:tcPr>
          <w:p w14:paraId="26579739" w14:textId="3C89F758" w:rsidR="00115458" w:rsidRPr="00944B5E" w:rsidRDefault="00115458" w:rsidP="00F4606C">
            <w:pPr>
              <w:spacing w:after="0" w:line="240" w:lineRule="auto"/>
              <w:rPr>
                <w:rFonts w:cs="Arial"/>
                <w:color w:val="000000"/>
              </w:rPr>
            </w:pPr>
            <w:r w:rsidRPr="00944B5E">
              <w:rPr>
                <w:rFonts w:cs="Arial"/>
                <w:color w:val="000000"/>
              </w:rPr>
              <w:t>9.</w:t>
            </w:r>
            <w:r w:rsidR="0098436F" w:rsidRPr="00944B5E">
              <w:rPr>
                <w:rFonts w:cs="Arial"/>
                <w:color w:val="000000"/>
              </w:rPr>
              <w:t>1</w:t>
            </w:r>
            <w:r w:rsidR="0098436F">
              <w:rPr>
                <w:rFonts w:cs="Arial"/>
                <w:color w:val="000000"/>
              </w:rPr>
              <w:t>54</w:t>
            </w:r>
            <w:r w:rsidRPr="00944B5E">
              <w:rPr>
                <w:rFonts w:cs="Arial"/>
                <w:color w:val="000000"/>
              </w:rPr>
              <w:t>, 9.</w:t>
            </w:r>
            <w:r w:rsidR="0098436F" w:rsidRPr="00944B5E">
              <w:rPr>
                <w:rFonts w:cs="Arial"/>
                <w:color w:val="000000"/>
              </w:rPr>
              <w:t>21</w:t>
            </w:r>
            <w:r w:rsidR="0098436F">
              <w:rPr>
                <w:rFonts w:cs="Arial"/>
                <w:color w:val="000000"/>
              </w:rPr>
              <w:t>9</w:t>
            </w:r>
          </w:p>
        </w:tc>
        <w:tc>
          <w:tcPr>
            <w:tcW w:w="3080" w:type="pct"/>
            <w:tcBorders>
              <w:top w:val="single" w:sz="4" w:space="0" w:color="auto"/>
              <w:left w:val="single" w:sz="4" w:space="0" w:color="auto"/>
              <w:bottom w:val="single" w:sz="4" w:space="0" w:color="auto"/>
              <w:right w:val="single" w:sz="4" w:space="0" w:color="auto"/>
            </w:tcBorders>
            <w:noWrap/>
            <w:vAlign w:val="center"/>
          </w:tcPr>
          <w:p w14:paraId="09512121" w14:textId="77777777" w:rsidR="00115458" w:rsidRPr="00944B5E" w:rsidRDefault="00115458" w:rsidP="00F4606C">
            <w:pPr>
              <w:spacing w:after="0" w:line="240" w:lineRule="auto"/>
              <w:rPr>
                <w:rFonts w:cs="Arial"/>
                <w:color w:val="000000"/>
              </w:rPr>
            </w:pPr>
            <w:r w:rsidRPr="00944B5E">
              <w:rPr>
                <w:rFonts w:cs="Arial"/>
                <w:color w:val="000000"/>
              </w:rPr>
              <w:t xml:space="preserve">Must be on or before the financial year being reported. </w:t>
            </w:r>
          </w:p>
        </w:tc>
      </w:tr>
      <w:tr w:rsidR="00FF1D5C" w:rsidRPr="00944B5E" w14:paraId="13387D9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451DE2F" w14:textId="77777777" w:rsidR="00115458" w:rsidRPr="00944B5E" w:rsidRDefault="00115458" w:rsidP="00F4606C">
            <w:pPr>
              <w:spacing w:after="0" w:line="240" w:lineRule="auto"/>
              <w:rPr>
                <w:rFonts w:cs="Arial"/>
              </w:rPr>
            </w:pPr>
            <w:r w:rsidRPr="00944B5E">
              <w:rPr>
                <w:rFonts w:cs="Arial"/>
              </w:rPr>
              <w:t>WM250</w:t>
            </w:r>
          </w:p>
        </w:tc>
        <w:tc>
          <w:tcPr>
            <w:tcW w:w="1341" w:type="pct"/>
            <w:tcBorders>
              <w:top w:val="single" w:sz="4" w:space="0" w:color="auto"/>
              <w:left w:val="single" w:sz="4" w:space="0" w:color="auto"/>
              <w:bottom w:val="single" w:sz="4" w:space="0" w:color="auto"/>
              <w:right w:val="single" w:sz="4" w:space="0" w:color="auto"/>
            </w:tcBorders>
            <w:vAlign w:val="center"/>
          </w:tcPr>
          <w:p w14:paraId="33C5A703" w14:textId="4ACFB429" w:rsidR="00115458" w:rsidRPr="00944B5E" w:rsidRDefault="00F76CF3" w:rsidP="00F4606C">
            <w:pPr>
              <w:spacing w:after="0" w:line="240" w:lineRule="auto"/>
              <w:rPr>
                <w:rFonts w:cs="Arial"/>
                <w:color w:val="000000"/>
              </w:rPr>
            </w:pPr>
            <w:r>
              <w:rPr>
                <w:rFonts w:cs="Arial"/>
                <w:color w:val="000000"/>
              </w:rPr>
              <w:t>9.153</w:t>
            </w:r>
            <w:r w:rsidR="00115458" w:rsidRPr="00944B5E">
              <w:rPr>
                <w:rFonts w:cs="Arial"/>
                <w:color w:val="000000"/>
              </w:rPr>
              <w:t xml:space="preserve">, </w:t>
            </w:r>
            <w:r>
              <w:rPr>
                <w:rFonts w:cs="Arial"/>
                <w:color w:val="000000"/>
              </w:rPr>
              <w:t>9.154</w:t>
            </w:r>
            <w:r w:rsidR="00115458" w:rsidRPr="00944B5E">
              <w:rPr>
                <w:rFonts w:cs="Arial"/>
                <w:color w:val="000000"/>
              </w:rPr>
              <w:t xml:space="preserve">, </w:t>
            </w:r>
            <w:r>
              <w:rPr>
                <w:rFonts w:cs="Arial"/>
                <w:color w:val="000000"/>
              </w:rPr>
              <w:t>9.156</w:t>
            </w:r>
            <w:r w:rsidR="00115458" w:rsidRPr="00944B5E">
              <w:rPr>
                <w:rFonts w:cs="Arial"/>
                <w:color w:val="000000"/>
              </w:rPr>
              <w:t xml:space="preserve">,  </w:t>
            </w:r>
            <w:r>
              <w:rPr>
                <w:rFonts w:cs="Arial"/>
                <w:color w:val="000000"/>
              </w:rPr>
              <w:t>9.158</w:t>
            </w:r>
            <w:r w:rsidR="00115458" w:rsidRPr="00944B5E">
              <w:rPr>
                <w:rFonts w:cs="Arial"/>
                <w:color w:val="000000"/>
              </w:rPr>
              <w:t xml:space="preserve">, </w:t>
            </w:r>
            <w:r>
              <w:rPr>
                <w:rFonts w:cs="Arial"/>
                <w:color w:val="000000"/>
              </w:rPr>
              <w:t>9.161</w:t>
            </w:r>
            <w:r w:rsidR="00115458" w:rsidRPr="00944B5E">
              <w:rPr>
                <w:rFonts w:cs="Arial"/>
                <w:color w:val="000000"/>
              </w:rPr>
              <w:t>, 9.</w:t>
            </w:r>
            <w:r w:rsidR="0098436F">
              <w:rPr>
                <w:rFonts w:cs="Arial"/>
                <w:color w:val="000000"/>
              </w:rPr>
              <w:t>204</w:t>
            </w:r>
          </w:p>
        </w:tc>
        <w:tc>
          <w:tcPr>
            <w:tcW w:w="3080" w:type="pct"/>
            <w:tcBorders>
              <w:top w:val="single" w:sz="4" w:space="0" w:color="auto"/>
              <w:left w:val="single" w:sz="4" w:space="0" w:color="auto"/>
              <w:bottom w:val="single" w:sz="4" w:space="0" w:color="auto"/>
              <w:right w:val="single" w:sz="4" w:space="0" w:color="auto"/>
            </w:tcBorders>
            <w:noWrap/>
            <w:vAlign w:val="center"/>
          </w:tcPr>
          <w:p w14:paraId="40A4F42F" w14:textId="3F50A23C" w:rsidR="00115458" w:rsidRPr="00944B5E" w:rsidRDefault="00115458" w:rsidP="00F4606C">
            <w:pPr>
              <w:spacing w:after="0" w:line="240" w:lineRule="auto"/>
              <w:rPr>
                <w:rFonts w:cs="Arial"/>
                <w:color w:val="000000"/>
              </w:rPr>
            </w:pPr>
            <w:r w:rsidRPr="00944B5E">
              <w:rPr>
                <w:rFonts w:cs="Arial"/>
                <w:color w:val="000000"/>
              </w:rPr>
              <w:t xml:space="preserve">The date field must contain a valid date in the format DDMMCCYY. </w:t>
            </w:r>
            <w:r w:rsidRPr="00944B5E">
              <w:rPr>
                <w:rFonts w:cs="Arial"/>
                <w:color w:val="000000"/>
              </w:rPr>
              <w:br/>
              <w:t xml:space="preserve">(Not all of the components of the date need to be entered. </w:t>
            </w:r>
            <w:r w:rsidR="00E746B2">
              <w:rPr>
                <w:rFonts w:cs="Arial"/>
                <w:color w:val="000000"/>
              </w:rPr>
              <w:t>i</w:t>
            </w:r>
            <w:r w:rsidRPr="00944B5E">
              <w:rPr>
                <w:rFonts w:cs="Arial"/>
                <w:color w:val="000000"/>
              </w:rPr>
              <w:t xml:space="preserve">) Day (dd) only. </w:t>
            </w:r>
            <w:r w:rsidR="00E746B2">
              <w:rPr>
                <w:rFonts w:cs="Arial"/>
                <w:color w:val="000000"/>
              </w:rPr>
              <w:t>i</w:t>
            </w:r>
            <w:r w:rsidRPr="00944B5E">
              <w:rPr>
                <w:rFonts w:cs="Arial"/>
                <w:color w:val="000000"/>
              </w:rPr>
              <w:t>i) Month (mm) only.</w:t>
            </w:r>
            <w:r w:rsidR="00E746B2">
              <w:rPr>
                <w:rFonts w:cs="Arial"/>
                <w:color w:val="000000"/>
              </w:rPr>
              <w:t xml:space="preserve"> </w:t>
            </w:r>
            <w:r w:rsidRPr="00944B5E">
              <w:rPr>
                <w:rFonts w:cs="Arial"/>
                <w:color w:val="000000"/>
              </w:rPr>
              <w:t>iii)</w:t>
            </w:r>
            <w:r w:rsidR="00E746B2">
              <w:rPr>
                <w:rFonts w:cs="Arial"/>
                <w:color w:val="000000"/>
              </w:rPr>
              <w:t xml:space="preserve"> </w:t>
            </w:r>
            <w:r w:rsidRPr="00944B5E">
              <w:rPr>
                <w:rFonts w:cs="Arial"/>
                <w:color w:val="000000"/>
              </w:rPr>
              <w:t>Year (ccyy) only. Those not entered must be zero filled.)</w:t>
            </w:r>
          </w:p>
        </w:tc>
      </w:tr>
      <w:tr w:rsidR="00FF1D5C" w:rsidRPr="00944B5E" w14:paraId="29F8F2C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9373E34" w14:textId="77777777" w:rsidR="00115458" w:rsidRPr="00944B5E" w:rsidRDefault="00115458" w:rsidP="00F4606C">
            <w:pPr>
              <w:spacing w:after="0" w:line="240" w:lineRule="auto"/>
              <w:rPr>
                <w:rFonts w:cs="Arial"/>
              </w:rPr>
            </w:pPr>
            <w:r w:rsidRPr="00944B5E">
              <w:rPr>
                <w:rFonts w:cs="Arial"/>
              </w:rPr>
              <w:t>WM253</w:t>
            </w:r>
          </w:p>
        </w:tc>
        <w:tc>
          <w:tcPr>
            <w:tcW w:w="1341" w:type="pct"/>
            <w:tcBorders>
              <w:top w:val="single" w:sz="4" w:space="0" w:color="auto"/>
              <w:left w:val="single" w:sz="4" w:space="0" w:color="auto"/>
              <w:bottom w:val="single" w:sz="4" w:space="0" w:color="auto"/>
              <w:right w:val="single" w:sz="4" w:space="0" w:color="auto"/>
            </w:tcBorders>
            <w:vAlign w:val="center"/>
          </w:tcPr>
          <w:p w14:paraId="575A591C" w14:textId="77777777" w:rsidR="00115458" w:rsidRPr="00944B5E" w:rsidRDefault="00115458" w:rsidP="00F4606C">
            <w:pPr>
              <w:spacing w:after="0" w:line="240" w:lineRule="auto"/>
              <w:rPr>
                <w:rFonts w:cs="Arial"/>
                <w:color w:val="000000"/>
              </w:rPr>
            </w:pPr>
            <w:r w:rsidRPr="00944B5E">
              <w:rPr>
                <w:rFonts w:cs="Arial"/>
                <w:color w:val="000000"/>
              </w:rPr>
              <w:t>9.4</w:t>
            </w:r>
          </w:p>
        </w:tc>
        <w:tc>
          <w:tcPr>
            <w:tcW w:w="3080" w:type="pct"/>
            <w:tcBorders>
              <w:top w:val="single" w:sz="4" w:space="0" w:color="auto"/>
              <w:left w:val="single" w:sz="4" w:space="0" w:color="auto"/>
              <w:bottom w:val="single" w:sz="4" w:space="0" w:color="auto"/>
              <w:right w:val="single" w:sz="4" w:space="0" w:color="auto"/>
            </w:tcBorders>
            <w:noWrap/>
            <w:vAlign w:val="center"/>
          </w:tcPr>
          <w:p w14:paraId="401969B4" w14:textId="77777777" w:rsidR="00115458" w:rsidRPr="00944B5E" w:rsidRDefault="00115458" w:rsidP="00F4606C">
            <w:pPr>
              <w:spacing w:after="0" w:line="240" w:lineRule="auto"/>
              <w:rPr>
                <w:rFonts w:cs="Arial"/>
                <w:color w:val="000000"/>
              </w:rPr>
            </w:pPr>
            <w:r w:rsidRPr="00944B5E">
              <w:rPr>
                <w:rFonts w:cs="Arial"/>
                <w:color w:val="000000"/>
              </w:rPr>
              <w:t>The Run type field contains ‘T’ (Test).  Reports with test data cannot be sent to the ATO.  To send a report to the ATO, the run type must be ‘P’ (Production data).</w:t>
            </w:r>
          </w:p>
        </w:tc>
      </w:tr>
      <w:tr w:rsidR="00FF1D5C" w:rsidRPr="00944B5E" w14:paraId="597949EE"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E85EA8C" w14:textId="77777777" w:rsidR="00115458" w:rsidRPr="00944B5E" w:rsidRDefault="00115458" w:rsidP="00F4606C">
            <w:pPr>
              <w:spacing w:after="0" w:line="240" w:lineRule="auto"/>
              <w:rPr>
                <w:rFonts w:cs="Arial"/>
              </w:rPr>
            </w:pPr>
            <w:r w:rsidRPr="00944B5E">
              <w:rPr>
                <w:rFonts w:cs="Arial"/>
              </w:rPr>
              <w:t>WM254</w:t>
            </w:r>
          </w:p>
        </w:tc>
        <w:tc>
          <w:tcPr>
            <w:tcW w:w="1341" w:type="pct"/>
            <w:tcBorders>
              <w:top w:val="single" w:sz="4" w:space="0" w:color="auto"/>
              <w:left w:val="single" w:sz="4" w:space="0" w:color="auto"/>
              <w:bottom w:val="single" w:sz="4" w:space="0" w:color="auto"/>
              <w:right w:val="single" w:sz="4" w:space="0" w:color="auto"/>
            </w:tcBorders>
            <w:vAlign w:val="center"/>
          </w:tcPr>
          <w:p w14:paraId="0283D02F" w14:textId="5E9022FD" w:rsidR="00115458" w:rsidRPr="00944B5E" w:rsidRDefault="00115458" w:rsidP="00F4606C">
            <w:pPr>
              <w:spacing w:after="0" w:line="240" w:lineRule="auto"/>
              <w:rPr>
                <w:rFonts w:cs="Arial"/>
                <w:color w:val="000000"/>
              </w:rPr>
            </w:pPr>
            <w:r w:rsidRPr="00944B5E">
              <w:rPr>
                <w:rFonts w:cs="Arial"/>
                <w:color w:val="000000"/>
              </w:rPr>
              <w:t>9.</w:t>
            </w:r>
            <w:r w:rsidR="0098436F" w:rsidRPr="00944B5E">
              <w:rPr>
                <w:rFonts w:cs="Arial"/>
                <w:color w:val="000000"/>
              </w:rPr>
              <w:t>2</w:t>
            </w:r>
            <w:r w:rsidR="0098436F">
              <w:rPr>
                <w:rFonts w:cs="Arial"/>
                <w:color w:val="000000"/>
              </w:rPr>
              <w:t>10</w:t>
            </w:r>
            <w:r w:rsidRPr="00944B5E">
              <w:rPr>
                <w:rFonts w:cs="Arial"/>
                <w:color w:val="000000"/>
              </w:rPr>
              <w:t>, 9.</w:t>
            </w:r>
            <w:r w:rsidR="0098436F" w:rsidRPr="00944B5E">
              <w:rPr>
                <w:rFonts w:cs="Arial"/>
                <w:color w:val="000000"/>
              </w:rPr>
              <w:t>21</w:t>
            </w:r>
            <w:r w:rsidR="0098436F">
              <w:rPr>
                <w:rFonts w:cs="Arial"/>
                <w:color w:val="000000"/>
              </w:rPr>
              <w:t>5</w:t>
            </w:r>
          </w:p>
        </w:tc>
        <w:tc>
          <w:tcPr>
            <w:tcW w:w="3080" w:type="pct"/>
            <w:tcBorders>
              <w:top w:val="single" w:sz="4" w:space="0" w:color="auto"/>
              <w:left w:val="single" w:sz="4" w:space="0" w:color="auto"/>
              <w:bottom w:val="single" w:sz="4" w:space="0" w:color="auto"/>
              <w:right w:val="single" w:sz="4" w:space="0" w:color="auto"/>
            </w:tcBorders>
            <w:noWrap/>
            <w:vAlign w:val="center"/>
          </w:tcPr>
          <w:p w14:paraId="15D64DF4" w14:textId="77777777" w:rsidR="00115458" w:rsidRPr="00944B5E" w:rsidRDefault="00115458" w:rsidP="00F4606C">
            <w:pPr>
              <w:spacing w:after="0" w:line="240" w:lineRule="auto"/>
              <w:rPr>
                <w:rFonts w:cs="Arial"/>
                <w:color w:val="000000"/>
              </w:rPr>
            </w:pPr>
            <w:r w:rsidRPr="00944B5E">
              <w:rPr>
                <w:rFonts w:cs="Arial"/>
                <w:color w:val="000000"/>
              </w:rPr>
              <w:t>Address line 1 provided, therefore the Postcode must be provided.</w:t>
            </w:r>
          </w:p>
        </w:tc>
      </w:tr>
      <w:tr w:rsidR="00FF1D5C" w:rsidRPr="00944B5E" w14:paraId="589A50B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D161A76" w14:textId="77777777" w:rsidR="00115458" w:rsidRPr="00944B5E" w:rsidRDefault="00115458" w:rsidP="00F4606C">
            <w:pPr>
              <w:spacing w:after="0" w:line="240" w:lineRule="auto"/>
              <w:rPr>
                <w:rFonts w:cs="Arial"/>
              </w:rPr>
            </w:pPr>
            <w:r w:rsidRPr="00944B5E">
              <w:rPr>
                <w:rFonts w:cs="Arial"/>
              </w:rPr>
              <w:t>WM255</w:t>
            </w:r>
          </w:p>
        </w:tc>
        <w:tc>
          <w:tcPr>
            <w:tcW w:w="1341" w:type="pct"/>
            <w:tcBorders>
              <w:top w:val="single" w:sz="4" w:space="0" w:color="auto"/>
              <w:left w:val="single" w:sz="4" w:space="0" w:color="auto"/>
              <w:bottom w:val="single" w:sz="4" w:space="0" w:color="auto"/>
              <w:right w:val="single" w:sz="4" w:space="0" w:color="auto"/>
            </w:tcBorders>
            <w:vAlign w:val="center"/>
          </w:tcPr>
          <w:p w14:paraId="7401E307" w14:textId="5D261B02" w:rsidR="00115458" w:rsidRPr="00944B5E" w:rsidRDefault="00115458" w:rsidP="00F4606C">
            <w:pPr>
              <w:spacing w:after="0" w:line="240" w:lineRule="auto"/>
              <w:rPr>
                <w:rFonts w:cs="Arial"/>
                <w:color w:val="000000"/>
              </w:rPr>
            </w:pPr>
            <w:r w:rsidRPr="00944B5E">
              <w:rPr>
                <w:rFonts w:cs="Arial"/>
                <w:color w:val="000000"/>
              </w:rPr>
              <w:t>9.</w:t>
            </w:r>
            <w:r w:rsidR="0098436F" w:rsidRPr="00944B5E">
              <w:rPr>
                <w:rFonts w:cs="Arial"/>
                <w:color w:val="000000"/>
              </w:rPr>
              <w:t>20</w:t>
            </w:r>
            <w:r w:rsidR="0098436F">
              <w:rPr>
                <w:rFonts w:cs="Arial"/>
                <w:color w:val="000000"/>
              </w:rPr>
              <w:t>9</w:t>
            </w:r>
            <w:r w:rsidRPr="00944B5E">
              <w:rPr>
                <w:rFonts w:cs="Arial"/>
                <w:color w:val="000000"/>
              </w:rPr>
              <w:t>, 9.</w:t>
            </w:r>
            <w:r w:rsidR="0098436F" w:rsidRPr="00944B5E">
              <w:rPr>
                <w:rFonts w:cs="Arial"/>
                <w:color w:val="000000"/>
              </w:rPr>
              <w:t>2</w:t>
            </w:r>
            <w:r w:rsidR="0098436F">
              <w:rPr>
                <w:rFonts w:cs="Arial"/>
                <w:color w:val="000000"/>
              </w:rPr>
              <w:t>14</w:t>
            </w:r>
          </w:p>
        </w:tc>
        <w:tc>
          <w:tcPr>
            <w:tcW w:w="3080" w:type="pct"/>
            <w:tcBorders>
              <w:top w:val="single" w:sz="4" w:space="0" w:color="auto"/>
              <w:left w:val="single" w:sz="4" w:space="0" w:color="auto"/>
              <w:bottom w:val="single" w:sz="4" w:space="0" w:color="auto"/>
              <w:right w:val="single" w:sz="4" w:space="0" w:color="auto"/>
            </w:tcBorders>
            <w:noWrap/>
            <w:vAlign w:val="center"/>
          </w:tcPr>
          <w:p w14:paraId="076F6C4C" w14:textId="77777777" w:rsidR="00115458" w:rsidRPr="00944B5E" w:rsidRDefault="00115458" w:rsidP="00F4606C">
            <w:pPr>
              <w:spacing w:after="0" w:line="240" w:lineRule="auto"/>
              <w:rPr>
                <w:rFonts w:cs="Arial"/>
                <w:color w:val="000000"/>
              </w:rPr>
            </w:pPr>
            <w:r w:rsidRPr="00944B5E">
              <w:rPr>
                <w:rFonts w:cs="Arial"/>
                <w:color w:val="000000"/>
              </w:rPr>
              <w:t>Address line 1 provided, therefore the State or Territory must be provided.</w:t>
            </w:r>
          </w:p>
        </w:tc>
      </w:tr>
      <w:tr w:rsidR="00FF1D5C" w:rsidRPr="00944B5E" w14:paraId="376511D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31648CE" w14:textId="77777777" w:rsidR="00115458" w:rsidRPr="00944B5E" w:rsidRDefault="00115458" w:rsidP="00F4606C">
            <w:pPr>
              <w:spacing w:after="0" w:line="240" w:lineRule="auto"/>
              <w:rPr>
                <w:rFonts w:cs="Arial"/>
              </w:rPr>
            </w:pPr>
            <w:r w:rsidRPr="00944B5E">
              <w:rPr>
                <w:rFonts w:cs="Arial"/>
              </w:rPr>
              <w:t>WM256</w:t>
            </w:r>
          </w:p>
        </w:tc>
        <w:tc>
          <w:tcPr>
            <w:tcW w:w="1341" w:type="pct"/>
            <w:tcBorders>
              <w:top w:val="single" w:sz="4" w:space="0" w:color="auto"/>
              <w:left w:val="single" w:sz="4" w:space="0" w:color="auto"/>
              <w:bottom w:val="single" w:sz="4" w:space="0" w:color="auto"/>
              <w:right w:val="single" w:sz="4" w:space="0" w:color="auto"/>
            </w:tcBorders>
            <w:vAlign w:val="center"/>
          </w:tcPr>
          <w:p w14:paraId="78F3CAA5" w14:textId="6300A75B" w:rsidR="00115458" w:rsidRPr="00944B5E" w:rsidRDefault="00115458" w:rsidP="00F4606C">
            <w:pPr>
              <w:spacing w:after="0" w:line="240" w:lineRule="auto"/>
              <w:rPr>
                <w:rFonts w:cs="Arial"/>
                <w:color w:val="000000"/>
              </w:rPr>
            </w:pPr>
            <w:r w:rsidRPr="00944B5E">
              <w:rPr>
                <w:rFonts w:cs="Arial"/>
                <w:color w:val="000000"/>
              </w:rPr>
              <w:t>9.</w:t>
            </w:r>
            <w:r w:rsidR="0098436F" w:rsidRPr="00944B5E">
              <w:rPr>
                <w:rFonts w:cs="Arial"/>
                <w:color w:val="000000"/>
              </w:rPr>
              <w:t>20</w:t>
            </w:r>
            <w:r w:rsidR="0098436F">
              <w:rPr>
                <w:rFonts w:cs="Arial"/>
                <w:color w:val="000000"/>
              </w:rPr>
              <w:t>8</w:t>
            </w:r>
            <w:r w:rsidRPr="00944B5E">
              <w:rPr>
                <w:rFonts w:cs="Arial"/>
                <w:color w:val="000000"/>
              </w:rPr>
              <w:t>, 9.</w:t>
            </w:r>
            <w:r w:rsidR="0098436F" w:rsidRPr="00944B5E">
              <w:rPr>
                <w:rFonts w:cs="Arial"/>
                <w:color w:val="000000"/>
              </w:rPr>
              <w:t>2</w:t>
            </w:r>
            <w:r w:rsidR="0098436F">
              <w:rPr>
                <w:rFonts w:cs="Arial"/>
                <w:color w:val="000000"/>
              </w:rPr>
              <w:t>13</w:t>
            </w:r>
          </w:p>
        </w:tc>
        <w:tc>
          <w:tcPr>
            <w:tcW w:w="3080" w:type="pct"/>
            <w:tcBorders>
              <w:top w:val="single" w:sz="4" w:space="0" w:color="auto"/>
              <w:left w:val="single" w:sz="4" w:space="0" w:color="auto"/>
              <w:bottom w:val="single" w:sz="4" w:space="0" w:color="auto"/>
              <w:right w:val="single" w:sz="4" w:space="0" w:color="auto"/>
            </w:tcBorders>
            <w:noWrap/>
            <w:vAlign w:val="center"/>
          </w:tcPr>
          <w:p w14:paraId="3BB2048B" w14:textId="77777777" w:rsidR="00115458" w:rsidRPr="00944B5E" w:rsidRDefault="00115458" w:rsidP="00F4606C">
            <w:pPr>
              <w:spacing w:after="0" w:line="240" w:lineRule="auto"/>
              <w:rPr>
                <w:rFonts w:cs="Arial"/>
                <w:color w:val="000000"/>
              </w:rPr>
            </w:pPr>
            <w:r w:rsidRPr="00944B5E">
              <w:rPr>
                <w:rFonts w:cs="Arial"/>
                <w:color w:val="000000"/>
              </w:rPr>
              <w:t>Address line 1 provided, therefore the Suburb, Town or Locality must be provided.</w:t>
            </w:r>
          </w:p>
        </w:tc>
      </w:tr>
      <w:tr w:rsidR="00FF1D5C" w:rsidRPr="00944B5E" w14:paraId="5E3CDBB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B6AAB5E" w14:textId="77777777" w:rsidR="00115458" w:rsidRPr="00944B5E" w:rsidRDefault="00115458" w:rsidP="00F4606C">
            <w:pPr>
              <w:spacing w:after="0" w:line="240" w:lineRule="auto"/>
              <w:rPr>
                <w:rFonts w:cs="Arial"/>
              </w:rPr>
            </w:pPr>
            <w:r w:rsidRPr="00944B5E">
              <w:rPr>
                <w:rFonts w:cs="Arial"/>
              </w:rPr>
              <w:t>WM257</w:t>
            </w:r>
          </w:p>
        </w:tc>
        <w:tc>
          <w:tcPr>
            <w:tcW w:w="1341" w:type="pct"/>
            <w:tcBorders>
              <w:top w:val="single" w:sz="4" w:space="0" w:color="auto"/>
              <w:left w:val="single" w:sz="4" w:space="0" w:color="auto"/>
              <w:bottom w:val="single" w:sz="4" w:space="0" w:color="auto"/>
              <w:right w:val="single" w:sz="4" w:space="0" w:color="auto"/>
            </w:tcBorders>
            <w:vAlign w:val="center"/>
          </w:tcPr>
          <w:p w14:paraId="063D0075" w14:textId="40792487" w:rsidR="00115458" w:rsidRPr="00944B5E" w:rsidRDefault="00115458" w:rsidP="00F4606C">
            <w:pPr>
              <w:spacing w:after="0" w:line="240" w:lineRule="auto"/>
              <w:rPr>
                <w:rFonts w:cs="Arial"/>
                <w:color w:val="000000"/>
              </w:rPr>
            </w:pPr>
            <w:r w:rsidRPr="00944B5E">
              <w:rPr>
                <w:rFonts w:cs="Arial"/>
                <w:color w:val="000000"/>
              </w:rPr>
              <w:t>9.</w:t>
            </w:r>
            <w:r w:rsidR="0098436F" w:rsidRPr="00944B5E">
              <w:rPr>
                <w:rFonts w:cs="Arial"/>
                <w:color w:val="000000"/>
              </w:rPr>
              <w:t>21</w:t>
            </w:r>
            <w:r w:rsidR="0098436F">
              <w:rPr>
                <w:rFonts w:cs="Arial"/>
                <w:color w:val="000000"/>
              </w:rPr>
              <w:t>6</w:t>
            </w:r>
          </w:p>
        </w:tc>
        <w:tc>
          <w:tcPr>
            <w:tcW w:w="3080" w:type="pct"/>
            <w:tcBorders>
              <w:top w:val="single" w:sz="4" w:space="0" w:color="auto"/>
              <w:left w:val="single" w:sz="4" w:space="0" w:color="auto"/>
              <w:bottom w:val="single" w:sz="4" w:space="0" w:color="auto"/>
              <w:right w:val="single" w:sz="4" w:space="0" w:color="auto"/>
            </w:tcBorders>
            <w:noWrap/>
            <w:vAlign w:val="center"/>
          </w:tcPr>
          <w:p w14:paraId="6D472AAB" w14:textId="77777777" w:rsidR="00115458" w:rsidRPr="00944B5E" w:rsidRDefault="00115458" w:rsidP="00F4606C">
            <w:pPr>
              <w:spacing w:after="0" w:line="240" w:lineRule="auto"/>
              <w:rPr>
                <w:rFonts w:cs="Arial"/>
                <w:color w:val="000000"/>
              </w:rPr>
            </w:pPr>
            <w:r w:rsidRPr="00944B5E">
              <w:rPr>
                <w:rFonts w:cs="Arial"/>
                <w:color w:val="000000"/>
              </w:rPr>
              <w:t>Address line 1 provided, therefore the Country must be provided.</w:t>
            </w:r>
          </w:p>
        </w:tc>
      </w:tr>
      <w:tr w:rsidR="00FF1D5C" w:rsidRPr="00944B5E" w14:paraId="06FAC13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FC66747" w14:textId="77777777" w:rsidR="00115458" w:rsidRPr="00944B5E" w:rsidRDefault="00115458" w:rsidP="00F4606C">
            <w:pPr>
              <w:spacing w:after="0" w:line="240" w:lineRule="auto"/>
              <w:rPr>
                <w:rFonts w:cs="Arial"/>
              </w:rPr>
            </w:pPr>
            <w:r w:rsidRPr="00944B5E">
              <w:rPr>
                <w:rFonts w:cs="Arial"/>
              </w:rPr>
              <w:t>WM258</w:t>
            </w:r>
          </w:p>
        </w:tc>
        <w:tc>
          <w:tcPr>
            <w:tcW w:w="1341" w:type="pct"/>
            <w:tcBorders>
              <w:top w:val="single" w:sz="4" w:space="0" w:color="auto"/>
              <w:left w:val="single" w:sz="4" w:space="0" w:color="auto"/>
              <w:bottom w:val="single" w:sz="4" w:space="0" w:color="auto"/>
              <w:right w:val="single" w:sz="4" w:space="0" w:color="auto"/>
            </w:tcBorders>
            <w:vAlign w:val="center"/>
          </w:tcPr>
          <w:p w14:paraId="59750088" w14:textId="03065664" w:rsidR="00115458" w:rsidRPr="00944B5E" w:rsidRDefault="00115458" w:rsidP="00F4606C">
            <w:pPr>
              <w:spacing w:after="0" w:line="240" w:lineRule="auto"/>
              <w:rPr>
                <w:rFonts w:cs="Arial"/>
              </w:rPr>
            </w:pPr>
            <w:r w:rsidRPr="00944B5E">
              <w:rPr>
                <w:rFonts w:cs="Arial"/>
              </w:rPr>
              <w:t>9.</w:t>
            </w:r>
            <w:r w:rsidR="0098436F" w:rsidRPr="00944B5E">
              <w:rPr>
                <w:rFonts w:cs="Arial"/>
              </w:rPr>
              <w:t>19</w:t>
            </w:r>
            <w:r w:rsidR="0098436F">
              <w:rPr>
                <w:rFonts w:cs="Arial"/>
              </w:rPr>
              <w:t>7</w:t>
            </w:r>
          </w:p>
        </w:tc>
        <w:tc>
          <w:tcPr>
            <w:tcW w:w="3080" w:type="pct"/>
            <w:tcBorders>
              <w:top w:val="single" w:sz="4" w:space="0" w:color="auto"/>
              <w:left w:val="single" w:sz="4" w:space="0" w:color="auto"/>
              <w:bottom w:val="single" w:sz="4" w:space="0" w:color="auto"/>
              <w:right w:val="single" w:sz="4" w:space="0" w:color="auto"/>
            </w:tcBorders>
            <w:noWrap/>
            <w:vAlign w:val="center"/>
          </w:tcPr>
          <w:p w14:paraId="78A25744" w14:textId="77777777" w:rsidR="00115458" w:rsidRPr="00944B5E" w:rsidRDefault="00115458" w:rsidP="00F4606C">
            <w:pPr>
              <w:spacing w:after="0" w:line="240" w:lineRule="auto"/>
              <w:rPr>
                <w:rFonts w:cs="Arial"/>
                <w:color w:val="000000"/>
              </w:rPr>
            </w:pPr>
            <w:r w:rsidRPr="00944B5E">
              <w:rPr>
                <w:rFonts w:cs="Arial"/>
                <w:color w:val="000000"/>
              </w:rPr>
              <w:t>The Investor entity type field is either ‘C’ (Corporation), ‘P’ (Partnership), ‘T’ (Trust), ‘S’ (Superannuation fund), ‘G’ (Government organisation) or ‘O’ (Other non – individual), therefore the Non-individual investor name must be provided.</w:t>
            </w:r>
          </w:p>
        </w:tc>
      </w:tr>
      <w:tr w:rsidR="00FF1D5C" w:rsidRPr="00944B5E" w14:paraId="3846D15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CD24772" w14:textId="77777777" w:rsidR="00115458" w:rsidRPr="00944B5E" w:rsidRDefault="00115458" w:rsidP="00F4606C">
            <w:pPr>
              <w:spacing w:after="0" w:line="240" w:lineRule="auto"/>
              <w:rPr>
                <w:rFonts w:cs="Arial"/>
              </w:rPr>
            </w:pPr>
            <w:r w:rsidRPr="00944B5E">
              <w:rPr>
                <w:rFonts w:cs="Arial"/>
              </w:rPr>
              <w:t>WM260</w:t>
            </w:r>
          </w:p>
        </w:tc>
        <w:tc>
          <w:tcPr>
            <w:tcW w:w="1341" w:type="pct"/>
            <w:tcBorders>
              <w:top w:val="single" w:sz="4" w:space="0" w:color="auto"/>
              <w:left w:val="single" w:sz="4" w:space="0" w:color="auto"/>
              <w:bottom w:val="single" w:sz="4" w:space="0" w:color="auto"/>
              <w:right w:val="single" w:sz="4" w:space="0" w:color="auto"/>
            </w:tcBorders>
            <w:vAlign w:val="center"/>
          </w:tcPr>
          <w:p w14:paraId="0A0BC7AB" w14:textId="77777777" w:rsidR="00115458" w:rsidRPr="00944B5E" w:rsidRDefault="00115458" w:rsidP="00F4606C">
            <w:pPr>
              <w:spacing w:after="0" w:line="240" w:lineRule="auto"/>
              <w:rPr>
                <w:rFonts w:cs="Arial"/>
              </w:rPr>
            </w:pPr>
            <w:r w:rsidRPr="00944B5E">
              <w:rPr>
                <w:rFonts w:cs="Arial"/>
              </w:rPr>
              <w:t>9.51</w:t>
            </w:r>
          </w:p>
        </w:tc>
        <w:tc>
          <w:tcPr>
            <w:tcW w:w="3080" w:type="pct"/>
            <w:tcBorders>
              <w:top w:val="single" w:sz="4" w:space="0" w:color="auto"/>
              <w:left w:val="single" w:sz="4" w:space="0" w:color="auto"/>
              <w:bottom w:val="single" w:sz="4" w:space="0" w:color="auto"/>
              <w:right w:val="single" w:sz="4" w:space="0" w:color="auto"/>
            </w:tcBorders>
            <w:noWrap/>
            <w:vAlign w:val="center"/>
          </w:tcPr>
          <w:p w14:paraId="00F7AA24" w14:textId="77777777" w:rsidR="00115458" w:rsidRPr="00944B5E" w:rsidRDefault="00115458" w:rsidP="00F4606C">
            <w:pPr>
              <w:spacing w:after="0" w:line="240" w:lineRule="auto"/>
              <w:rPr>
                <w:rFonts w:cs="Arial"/>
                <w:color w:val="000000"/>
              </w:rPr>
            </w:pPr>
            <w:r w:rsidRPr="00944B5E">
              <w:rPr>
                <w:rFonts w:cs="Arial"/>
                <w:color w:val="000000"/>
              </w:rPr>
              <w:t>The Software product type field must contain ‘COMMERCIAL’ followed by Software developer name, software product and software version number or ‘INHOUSE’ followed by report supplier or contractor/consultant company name.</w:t>
            </w:r>
          </w:p>
        </w:tc>
      </w:tr>
      <w:tr w:rsidR="00FF1D5C" w:rsidRPr="00944B5E" w14:paraId="35A9AD8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FD9BB2B" w14:textId="77777777" w:rsidR="00115458" w:rsidRPr="00944B5E" w:rsidRDefault="00115458" w:rsidP="00F4606C">
            <w:pPr>
              <w:spacing w:after="0" w:line="240" w:lineRule="auto"/>
              <w:rPr>
                <w:rFonts w:cs="Arial"/>
              </w:rPr>
            </w:pPr>
            <w:r w:rsidRPr="00944B5E">
              <w:rPr>
                <w:rFonts w:cs="Arial"/>
              </w:rPr>
              <w:t>WM268</w:t>
            </w:r>
          </w:p>
        </w:tc>
        <w:tc>
          <w:tcPr>
            <w:tcW w:w="1341" w:type="pct"/>
            <w:tcBorders>
              <w:top w:val="single" w:sz="4" w:space="0" w:color="auto"/>
              <w:left w:val="single" w:sz="4" w:space="0" w:color="auto"/>
              <w:bottom w:val="single" w:sz="4" w:space="0" w:color="auto"/>
              <w:right w:val="single" w:sz="4" w:space="0" w:color="auto"/>
            </w:tcBorders>
            <w:vAlign w:val="center"/>
          </w:tcPr>
          <w:p w14:paraId="2EEE2748" w14:textId="29A8149F" w:rsidR="00115458" w:rsidRPr="00944B5E" w:rsidRDefault="00115458" w:rsidP="00F4606C">
            <w:pPr>
              <w:spacing w:after="0" w:line="240" w:lineRule="auto"/>
              <w:rPr>
                <w:rFonts w:cs="Arial"/>
              </w:rPr>
            </w:pPr>
            <w:r w:rsidRPr="00944B5E">
              <w:rPr>
                <w:rFonts w:cs="Arial"/>
              </w:rPr>
              <w:t>9.</w:t>
            </w:r>
            <w:r w:rsidR="0098436F" w:rsidRPr="00944B5E">
              <w:rPr>
                <w:rFonts w:cs="Arial"/>
              </w:rPr>
              <w:t>20</w:t>
            </w:r>
            <w:r w:rsidR="0098436F">
              <w:rPr>
                <w:rFonts w:cs="Arial"/>
              </w:rPr>
              <w:t>5</w:t>
            </w:r>
          </w:p>
        </w:tc>
        <w:tc>
          <w:tcPr>
            <w:tcW w:w="3080" w:type="pct"/>
            <w:tcBorders>
              <w:top w:val="single" w:sz="4" w:space="0" w:color="auto"/>
              <w:left w:val="single" w:sz="4" w:space="0" w:color="auto"/>
              <w:bottom w:val="single" w:sz="4" w:space="0" w:color="auto"/>
              <w:right w:val="single" w:sz="4" w:space="0" w:color="auto"/>
            </w:tcBorders>
            <w:noWrap/>
            <w:vAlign w:val="center"/>
          </w:tcPr>
          <w:p w14:paraId="0165B3A7" w14:textId="77777777" w:rsidR="00115458" w:rsidRPr="00944B5E" w:rsidRDefault="00115458" w:rsidP="00F4606C">
            <w:pPr>
              <w:spacing w:after="0" w:line="240" w:lineRule="auto"/>
              <w:rPr>
                <w:rFonts w:cs="Arial"/>
                <w:color w:val="000000"/>
              </w:rPr>
            </w:pPr>
            <w:r w:rsidRPr="00944B5E">
              <w:rPr>
                <w:rFonts w:cs="Arial"/>
                <w:color w:val="000000"/>
              </w:rPr>
              <w:t>The Gender field must contain one of the following values ‘M’ , ‘F’ , ‘U’  or ‘X’.</w:t>
            </w:r>
          </w:p>
        </w:tc>
      </w:tr>
      <w:tr w:rsidR="00FF1D5C" w:rsidRPr="00944B5E" w14:paraId="0B39BF81"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9725BFF" w14:textId="77777777" w:rsidR="00115458" w:rsidRPr="00944B5E" w:rsidRDefault="00115458" w:rsidP="00F4606C">
            <w:pPr>
              <w:spacing w:after="0" w:line="240" w:lineRule="auto"/>
              <w:rPr>
                <w:rFonts w:cs="Arial"/>
              </w:rPr>
            </w:pPr>
            <w:r w:rsidRPr="00944B5E">
              <w:rPr>
                <w:rFonts w:cs="Arial"/>
              </w:rPr>
              <w:t>WM293</w:t>
            </w:r>
          </w:p>
        </w:tc>
        <w:tc>
          <w:tcPr>
            <w:tcW w:w="1341" w:type="pct"/>
            <w:tcBorders>
              <w:top w:val="single" w:sz="4" w:space="0" w:color="auto"/>
              <w:left w:val="single" w:sz="4" w:space="0" w:color="auto"/>
              <w:bottom w:val="single" w:sz="4" w:space="0" w:color="auto"/>
              <w:right w:val="single" w:sz="4" w:space="0" w:color="auto"/>
            </w:tcBorders>
            <w:vAlign w:val="center"/>
          </w:tcPr>
          <w:p w14:paraId="43403009" w14:textId="77777777" w:rsidR="00115458" w:rsidRPr="00944B5E" w:rsidRDefault="00115458" w:rsidP="00F4606C">
            <w:pPr>
              <w:spacing w:after="0" w:line="240" w:lineRule="auto"/>
              <w:rPr>
                <w:rFonts w:cs="Arial"/>
              </w:rPr>
            </w:pPr>
            <w:r w:rsidRPr="00944B5E">
              <w:rPr>
                <w:rFonts w:cs="Arial"/>
              </w:rPr>
              <w:t>9.71</w:t>
            </w:r>
          </w:p>
        </w:tc>
        <w:tc>
          <w:tcPr>
            <w:tcW w:w="3080" w:type="pct"/>
            <w:tcBorders>
              <w:top w:val="single" w:sz="4" w:space="0" w:color="auto"/>
              <w:left w:val="single" w:sz="4" w:space="0" w:color="auto"/>
              <w:bottom w:val="single" w:sz="4" w:space="0" w:color="auto"/>
              <w:right w:val="single" w:sz="4" w:space="0" w:color="auto"/>
            </w:tcBorders>
            <w:noWrap/>
            <w:vAlign w:val="center"/>
          </w:tcPr>
          <w:p w14:paraId="107FA06A" w14:textId="77777777" w:rsidR="00115458" w:rsidRPr="00944B5E" w:rsidRDefault="00115458" w:rsidP="00F4606C">
            <w:pPr>
              <w:spacing w:after="0" w:line="240" w:lineRule="auto"/>
              <w:rPr>
                <w:rFonts w:cs="Arial"/>
              </w:rPr>
            </w:pPr>
            <w:r w:rsidRPr="00944B5E">
              <w:rPr>
                <w:rFonts w:cs="Arial"/>
                <w:color w:val="000000"/>
              </w:rPr>
              <w:t>Field must have value between 0-7(inclusive).</w:t>
            </w:r>
          </w:p>
        </w:tc>
      </w:tr>
      <w:tr w:rsidR="00FF1D5C" w:rsidRPr="00944B5E" w14:paraId="29F51D4C"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17465CB" w14:textId="77777777" w:rsidR="00115458" w:rsidRPr="00944B5E" w:rsidRDefault="00115458" w:rsidP="00F4606C">
            <w:pPr>
              <w:spacing w:after="0" w:line="240" w:lineRule="auto"/>
              <w:rPr>
                <w:rFonts w:cs="Arial"/>
                <w:color w:val="000000"/>
              </w:rPr>
            </w:pPr>
            <w:r w:rsidRPr="00944B5E">
              <w:rPr>
                <w:rFonts w:cs="Arial"/>
                <w:color w:val="000000"/>
              </w:rPr>
              <w:t>WM294</w:t>
            </w:r>
          </w:p>
        </w:tc>
        <w:tc>
          <w:tcPr>
            <w:tcW w:w="1341" w:type="pct"/>
            <w:tcBorders>
              <w:top w:val="single" w:sz="4" w:space="0" w:color="auto"/>
              <w:left w:val="single" w:sz="4" w:space="0" w:color="auto"/>
              <w:bottom w:val="single" w:sz="4" w:space="0" w:color="auto"/>
              <w:right w:val="single" w:sz="4" w:space="0" w:color="auto"/>
            </w:tcBorders>
            <w:vAlign w:val="center"/>
          </w:tcPr>
          <w:p w14:paraId="297203D9" w14:textId="77777777" w:rsidR="00115458" w:rsidRPr="00944B5E" w:rsidRDefault="00115458" w:rsidP="00F4606C">
            <w:pPr>
              <w:spacing w:after="0" w:line="240" w:lineRule="auto"/>
              <w:rPr>
                <w:rFonts w:cs="Arial"/>
                <w:color w:val="000000"/>
              </w:rPr>
            </w:pPr>
            <w:r w:rsidRPr="00944B5E">
              <w:rPr>
                <w:rFonts w:cs="Arial"/>
                <w:color w:val="000000"/>
              </w:rPr>
              <w:t>9.72</w:t>
            </w:r>
          </w:p>
        </w:tc>
        <w:tc>
          <w:tcPr>
            <w:tcW w:w="3080" w:type="pct"/>
            <w:tcBorders>
              <w:top w:val="single" w:sz="4" w:space="0" w:color="auto"/>
              <w:left w:val="single" w:sz="4" w:space="0" w:color="auto"/>
              <w:bottom w:val="single" w:sz="4" w:space="0" w:color="auto"/>
              <w:right w:val="single" w:sz="4" w:space="0" w:color="auto"/>
            </w:tcBorders>
            <w:noWrap/>
            <w:vAlign w:val="center"/>
          </w:tcPr>
          <w:p w14:paraId="160A7347" w14:textId="77777777" w:rsidR="00115458" w:rsidRPr="00944B5E" w:rsidRDefault="00115458" w:rsidP="00F4606C">
            <w:pPr>
              <w:spacing w:after="0" w:line="240" w:lineRule="auto"/>
              <w:rPr>
                <w:rFonts w:cs="Arial"/>
                <w:color w:val="000000"/>
              </w:rPr>
            </w:pPr>
            <w:r w:rsidRPr="00944B5E">
              <w:rPr>
                <w:rFonts w:cs="Arial"/>
                <w:color w:val="000000"/>
              </w:rPr>
              <w:t>Field must contain either: AMT, DIS, DIV, FSI, INT, IRB, TDP or UTD.</w:t>
            </w:r>
          </w:p>
        </w:tc>
      </w:tr>
      <w:tr w:rsidR="00FF1D5C" w:rsidRPr="00944B5E" w14:paraId="0D94D83C"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B71B06C" w14:textId="77777777" w:rsidR="00115458" w:rsidRPr="00944B5E" w:rsidRDefault="00115458" w:rsidP="00F4606C">
            <w:pPr>
              <w:spacing w:after="0" w:line="240" w:lineRule="auto"/>
              <w:rPr>
                <w:rFonts w:cs="Arial"/>
                <w:color w:val="000000"/>
              </w:rPr>
            </w:pPr>
            <w:r w:rsidRPr="00944B5E">
              <w:rPr>
                <w:rFonts w:cs="Arial"/>
                <w:color w:val="000000"/>
              </w:rPr>
              <w:t>WM400</w:t>
            </w:r>
          </w:p>
        </w:tc>
        <w:tc>
          <w:tcPr>
            <w:tcW w:w="1341" w:type="pct"/>
            <w:tcBorders>
              <w:top w:val="single" w:sz="4" w:space="0" w:color="auto"/>
              <w:left w:val="single" w:sz="4" w:space="0" w:color="auto"/>
              <w:bottom w:val="single" w:sz="4" w:space="0" w:color="auto"/>
              <w:right w:val="single" w:sz="4" w:space="0" w:color="auto"/>
            </w:tcBorders>
            <w:vAlign w:val="center"/>
          </w:tcPr>
          <w:p w14:paraId="1389E179" w14:textId="77777777" w:rsidR="00115458" w:rsidRPr="00944B5E" w:rsidRDefault="00115458" w:rsidP="00F4606C">
            <w:pPr>
              <w:spacing w:after="0" w:line="240" w:lineRule="auto"/>
              <w:rPr>
                <w:rFonts w:cs="Arial"/>
                <w:color w:val="000000"/>
              </w:rPr>
            </w:pPr>
            <w:r w:rsidRPr="00944B5E">
              <w:rPr>
                <w:rFonts w:cs="Arial"/>
                <w:color w:val="000000"/>
              </w:rPr>
              <w:t>9.59</w:t>
            </w:r>
          </w:p>
        </w:tc>
        <w:tc>
          <w:tcPr>
            <w:tcW w:w="3080" w:type="pct"/>
            <w:tcBorders>
              <w:top w:val="single" w:sz="4" w:space="0" w:color="auto"/>
              <w:left w:val="single" w:sz="4" w:space="0" w:color="auto"/>
              <w:bottom w:val="single" w:sz="4" w:space="0" w:color="auto"/>
              <w:right w:val="single" w:sz="4" w:space="0" w:color="auto"/>
            </w:tcBorders>
            <w:noWrap/>
            <w:vAlign w:val="center"/>
          </w:tcPr>
          <w:p w14:paraId="2B9BA850" w14:textId="77777777" w:rsidR="00115458" w:rsidRPr="00944B5E" w:rsidRDefault="00115458" w:rsidP="00F4606C">
            <w:pPr>
              <w:spacing w:after="0" w:line="240" w:lineRule="auto"/>
              <w:rPr>
                <w:rFonts w:cs="Arial"/>
                <w:color w:val="000000"/>
              </w:rPr>
            </w:pPr>
            <w:r w:rsidRPr="00944B5E">
              <w:rPr>
                <w:rFonts w:cs="Arial"/>
                <w:color w:val="000000"/>
              </w:rPr>
              <w:t>The provided ABN did not pass the Australian Business Number algorithm.</w:t>
            </w:r>
          </w:p>
        </w:tc>
      </w:tr>
      <w:tr w:rsidR="00FF1D5C" w:rsidRPr="00944B5E" w14:paraId="47025A7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2238411A" w14:textId="77777777" w:rsidR="00115458" w:rsidRPr="00944B5E" w:rsidRDefault="00115458" w:rsidP="00F4606C">
            <w:pPr>
              <w:spacing w:after="0" w:line="240" w:lineRule="auto"/>
              <w:rPr>
                <w:rFonts w:cs="Arial"/>
                <w:color w:val="000000"/>
              </w:rPr>
            </w:pPr>
            <w:r w:rsidRPr="00944B5E">
              <w:rPr>
                <w:rFonts w:cs="Arial"/>
                <w:color w:val="000000"/>
              </w:rPr>
              <w:t>WM489</w:t>
            </w:r>
          </w:p>
        </w:tc>
        <w:tc>
          <w:tcPr>
            <w:tcW w:w="1341" w:type="pct"/>
            <w:tcBorders>
              <w:top w:val="single" w:sz="4" w:space="0" w:color="auto"/>
              <w:left w:val="single" w:sz="4" w:space="0" w:color="auto"/>
              <w:bottom w:val="single" w:sz="4" w:space="0" w:color="auto"/>
              <w:right w:val="single" w:sz="4" w:space="0" w:color="auto"/>
            </w:tcBorders>
            <w:vAlign w:val="center"/>
          </w:tcPr>
          <w:p w14:paraId="63264AF9" w14:textId="2131A1B1" w:rsidR="00115458" w:rsidRPr="00944B5E" w:rsidRDefault="00115458" w:rsidP="00F4606C">
            <w:pPr>
              <w:spacing w:after="0" w:line="240" w:lineRule="auto"/>
              <w:rPr>
                <w:rFonts w:cs="Arial"/>
                <w:color w:val="000000"/>
              </w:rPr>
            </w:pPr>
            <w:r w:rsidRPr="00944B5E">
              <w:rPr>
                <w:rFonts w:cs="Arial"/>
                <w:color w:val="000000"/>
              </w:rPr>
              <w:t>9.</w:t>
            </w:r>
            <w:r w:rsidR="0098436F" w:rsidRPr="00944B5E">
              <w:rPr>
                <w:rFonts w:cs="Arial"/>
                <w:color w:val="000000"/>
              </w:rPr>
              <w:t>1</w:t>
            </w:r>
            <w:r w:rsidR="0098436F">
              <w:rPr>
                <w:rFonts w:cs="Arial"/>
                <w:color w:val="000000"/>
              </w:rPr>
              <w:t>73</w:t>
            </w:r>
          </w:p>
        </w:tc>
        <w:tc>
          <w:tcPr>
            <w:tcW w:w="3080" w:type="pct"/>
            <w:tcBorders>
              <w:top w:val="single" w:sz="4" w:space="0" w:color="auto"/>
              <w:left w:val="single" w:sz="4" w:space="0" w:color="auto"/>
              <w:bottom w:val="single" w:sz="4" w:space="0" w:color="auto"/>
              <w:right w:val="single" w:sz="4" w:space="0" w:color="auto"/>
            </w:tcBorders>
            <w:noWrap/>
            <w:vAlign w:val="center"/>
          </w:tcPr>
          <w:p w14:paraId="4F172C11" w14:textId="77777777" w:rsidR="00115458" w:rsidRPr="00944B5E" w:rsidRDefault="00115458" w:rsidP="00F4606C">
            <w:pPr>
              <w:spacing w:after="0" w:line="240" w:lineRule="auto"/>
              <w:rPr>
                <w:rFonts w:cs="Arial"/>
                <w:color w:val="000000"/>
              </w:rPr>
            </w:pPr>
            <w:r w:rsidRPr="00944B5E">
              <w:rPr>
                <w:rFonts w:cs="Arial"/>
                <w:color w:val="000000"/>
              </w:rPr>
              <w:t>Valid values for field are ‘I’, ‘D’ or ‘Z’.</w:t>
            </w:r>
          </w:p>
        </w:tc>
      </w:tr>
      <w:tr w:rsidR="00FF1D5C" w:rsidRPr="00944B5E" w14:paraId="13C0F7B3"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054B230" w14:textId="77777777" w:rsidR="00115458" w:rsidRPr="00944B5E" w:rsidRDefault="00115458" w:rsidP="00F4606C">
            <w:pPr>
              <w:spacing w:after="0" w:line="240" w:lineRule="auto"/>
              <w:rPr>
                <w:rFonts w:cs="Arial"/>
                <w:color w:val="000000"/>
              </w:rPr>
            </w:pPr>
            <w:r w:rsidRPr="00944B5E">
              <w:rPr>
                <w:rFonts w:cs="Arial"/>
                <w:color w:val="000000"/>
              </w:rPr>
              <w:t>WM504</w:t>
            </w:r>
          </w:p>
        </w:tc>
        <w:tc>
          <w:tcPr>
            <w:tcW w:w="1341" w:type="pct"/>
            <w:tcBorders>
              <w:top w:val="single" w:sz="4" w:space="0" w:color="auto"/>
              <w:left w:val="single" w:sz="4" w:space="0" w:color="auto"/>
              <w:bottom w:val="single" w:sz="4" w:space="0" w:color="auto"/>
              <w:right w:val="single" w:sz="4" w:space="0" w:color="auto"/>
            </w:tcBorders>
            <w:vAlign w:val="center"/>
          </w:tcPr>
          <w:p w14:paraId="0C44AF10" w14:textId="77777777" w:rsidR="00115458" w:rsidRPr="00944B5E" w:rsidRDefault="00115458" w:rsidP="00F4606C">
            <w:pPr>
              <w:spacing w:after="0" w:line="240" w:lineRule="auto"/>
              <w:rPr>
                <w:rFonts w:cs="Arial"/>
                <w:color w:val="000000"/>
              </w:rPr>
            </w:pPr>
            <w:r w:rsidRPr="00944B5E">
              <w:rPr>
                <w:rFonts w:cs="Arial"/>
                <w:color w:val="000000"/>
              </w:rPr>
              <w:t>9.59</w:t>
            </w:r>
          </w:p>
        </w:tc>
        <w:tc>
          <w:tcPr>
            <w:tcW w:w="3080" w:type="pct"/>
            <w:tcBorders>
              <w:top w:val="single" w:sz="4" w:space="0" w:color="auto"/>
              <w:left w:val="single" w:sz="4" w:space="0" w:color="auto"/>
              <w:bottom w:val="single" w:sz="4" w:space="0" w:color="auto"/>
              <w:right w:val="single" w:sz="4" w:space="0" w:color="auto"/>
            </w:tcBorders>
            <w:noWrap/>
            <w:vAlign w:val="center"/>
          </w:tcPr>
          <w:p w14:paraId="41FCA133" w14:textId="77777777" w:rsidR="00115458" w:rsidRPr="00944B5E" w:rsidRDefault="00115458" w:rsidP="00F4606C">
            <w:pPr>
              <w:spacing w:after="0" w:line="240" w:lineRule="auto"/>
              <w:rPr>
                <w:rFonts w:cs="Arial"/>
                <w:color w:val="000000"/>
              </w:rPr>
            </w:pPr>
            <w:r w:rsidRPr="00944B5E">
              <w:rPr>
                <w:rFonts w:cs="Arial"/>
                <w:color w:val="000000"/>
              </w:rPr>
              <w:t>This Identifier type is 2, then this field must contain at least 3 characters.</w:t>
            </w:r>
          </w:p>
        </w:tc>
      </w:tr>
      <w:tr w:rsidR="00FF1D5C" w:rsidRPr="00944B5E" w14:paraId="0BFB1F5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6CEB3D28" w14:textId="77777777" w:rsidR="00115458" w:rsidRPr="00944B5E" w:rsidRDefault="00115458" w:rsidP="00F4606C">
            <w:pPr>
              <w:spacing w:after="0" w:line="240" w:lineRule="auto"/>
              <w:rPr>
                <w:rFonts w:cs="Arial"/>
                <w:color w:val="000000"/>
              </w:rPr>
            </w:pPr>
            <w:r w:rsidRPr="00944B5E">
              <w:rPr>
                <w:rFonts w:cs="Arial"/>
                <w:color w:val="000000"/>
              </w:rPr>
              <w:t>WM505</w:t>
            </w:r>
          </w:p>
        </w:tc>
        <w:tc>
          <w:tcPr>
            <w:tcW w:w="1341" w:type="pct"/>
            <w:tcBorders>
              <w:top w:val="single" w:sz="4" w:space="0" w:color="auto"/>
              <w:left w:val="single" w:sz="4" w:space="0" w:color="auto"/>
              <w:bottom w:val="single" w:sz="4" w:space="0" w:color="auto"/>
              <w:right w:val="single" w:sz="4" w:space="0" w:color="auto"/>
            </w:tcBorders>
            <w:vAlign w:val="center"/>
          </w:tcPr>
          <w:p w14:paraId="17960B0A" w14:textId="77777777" w:rsidR="00115458" w:rsidRPr="00944B5E" w:rsidRDefault="00115458" w:rsidP="00F4606C">
            <w:pPr>
              <w:spacing w:after="0" w:line="240" w:lineRule="auto"/>
              <w:rPr>
                <w:rFonts w:cs="Arial"/>
                <w:color w:val="000000"/>
              </w:rPr>
            </w:pPr>
            <w:r w:rsidRPr="00944B5E">
              <w:rPr>
                <w:rFonts w:cs="Arial"/>
                <w:color w:val="000000"/>
              </w:rPr>
              <w:t>9.59</w:t>
            </w:r>
          </w:p>
        </w:tc>
        <w:tc>
          <w:tcPr>
            <w:tcW w:w="3080" w:type="pct"/>
            <w:tcBorders>
              <w:top w:val="single" w:sz="4" w:space="0" w:color="auto"/>
              <w:left w:val="single" w:sz="4" w:space="0" w:color="auto"/>
              <w:bottom w:val="single" w:sz="4" w:space="0" w:color="auto"/>
              <w:right w:val="single" w:sz="4" w:space="0" w:color="auto"/>
            </w:tcBorders>
            <w:noWrap/>
            <w:vAlign w:val="center"/>
          </w:tcPr>
          <w:p w14:paraId="72323A7F" w14:textId="77777777" w:rsidR="00115458" w:rsidRPr="00944B5E" w:rsidRDefault="00115458" w:rsidP="00F4606C">
            <w:pPr>
              <w:spacing w:after="0" w:line="240" w:lineRule="auto"/>
              <w:rPr>
                <w:rFonts w:cs="Arial"/>
                <w:color w:val="000000"/>
              </w:rPr>
            </w:pPr>
            <w:r w:rsidRPr="00944B5E">
              <w:rPr>
                <w:rFonts w:cs="Arial"/>
                <w:color w:val="000000"/>
              </w:rPr>
              <w:t>This Identifier type is 1, then this field must contain at least 9 characters.</w:t>
            </w:r>
          </w:p>
        </w:tc>
      </w:tr>
      <w:tr w:rsidR="00FF1D5C" w:rsidRPr="00944B5E" w14:paraId="50FECED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BEEE4C3" w14:textId="77777777" w:rsidR="00115458" w:rsidRPr="00944B5E" w:rsidRDefault="00115458" w:rsidP="00F4606C">
            <w:pPr>
              <w:spacing w:after="0" w:line="240" w:lineRule="auto"/>
              <w:rPr>
                <w:rFonts w:cs="Arial"/>
                <w:color w:val="000000"/>
              </w:rPr>
            </w:pPr>
            <w:r w:rsidRPr="00944B5E">
              <w:rPr>
                <w:rFonts w:cs="Arial"/>
                <w:color w:val="000000"/>
              </w:rPr>
              <w:t>WM506</w:t>
            </w:r>
          </w:p>
        </w:tc>
        <w:tc>
          <w:tcPr>
            <w:tcW w:w="1341" w:type="pct"/>
            <w:tcBorders>
              <w:top w:val="single" w:sz="4" w:space="0" w:color="auto"/>
              <w:left w:val="single" w:sz="4" w:space="0" w:color="auto"/>
              <w:bottom w:val="single" w:sz="4" w:space="0" w:color="auto"/>
              <w:right w:val="single" w:sz="4" w:space="0" w:color="auto"/>
            </w:tcBorders>
            <w:vAlign w:val="center"/>
          </w:tcPr>
          <w:p w14:paraId="56CAEC99" w14:textId="77777777" w:rsidR="00115458" w:rsidRPr="00944B5E" w:rsidRDefault="00115458" w:rsidP="00F4606C">
            <w:pPr>
              <w:spacing w:after="0" w:line="240" w:lineRule="auto"/>
              <w:rPr>
                <w:rFonts w:cs="Arial"/>
                <w:color w:val="000000"/>
              </w:rPr>
            </w:pPr>
            <w:r w:rsidRPr="00944B5E">
              <w:rPr>
                <w:rFonts w:cs="Arial"/>
                <w:color w:val="000000"/>
              </w:rPr>
              <w:t>9.60</w:t>
            </w:r>
          </w:p>
        </w:tc>
        <w:tc>
          <w:tcPr>
            <w:tcW w:w="3080" w:type="pct"/>
            <w:tcBorders>
              <w:top w:val="single" w:sz="4" w:space="0" w:color="auto"/>
              <w:left w:val="single" w:sz="4" w:space="0" w:color="auto"/>
              <w:bottom w:val="single" w:sz="4" w:space="0" w:color="auto"/>
              <w:right w:val="single" w:sz="4" w:space="0" w:color="auto"/>
            </w:tcBorders>
            <w:noWrap/>
            <w:vAlign w:val="center"/>
          </w:tcPr>
          <w:p w14:paraId="41E388AB" w14:textId="77777777" w:rsidR="00115458" w:rsidRPr="00944B5E" w:rsidRDefault="00115458" w:rsidP="00F4606C">
            <w:pPr>
              <w:spacing w:after="0" w:line="240" w:lineRule="auto"/>
              <w:rPr>
                <w:rFonts w:cs="Arial"/>
                <w:color w:val="000000"/>
              </w:rPr>
            </w:pPr>
            <w:r w:rsidRPr="00944B5E">
              <w:rPr>
                <w:rFonts w:cs="Arial"/>
                <w:color w:val="000000"/>
              </w:rPr>
              <w:t>The Security level action code is ‘CBA’, this field must be greater than zero.</w:t>
            </w:r>
          </w:p>
        </w:tc>
      </w:tr>
      <w:tr w:rsidR="00FF1D5C" w:rsidRPr="00944B5E" w14:paraId="7CDE3B7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A526D04" w14:textId="77777777" w:rsidR="00115458" w:rsidRPr="00944B5E" w:rsidRDefault="00115458" w:rsidP="00F4606C">
            <w:pPr>
              <w:spacing w:after="0" w:line="240" w:lineRule="auto"/>
              <w:rPr>
                <w:rFonts w:cs="Arial"/>
                <w:color w:val="000000"/>
              </w:rPr>
            </w:pPr>
            <w:r w:rsidRPr="00944B5E">
              <w:rPr>
                <w:rFonts w:cs="Arial"/>
                <w:color w:val="000000"/>
              </w:rPr>
              <w:t>WM507</w:t>
            </w:r>
          </w:p>
        </w:tc>
        <w:tc>
          <w:tcPr>
            <w:tcW w:w="1341" w:type="pct"/>
            <w:tcBorders>
              <w:top w:val="single" w:sz="4" w:space="0" w:color="auto"/>
              <w:left w:val="single" w:sz="4" w:space="0" w:color="auto"/>
              <w:bottom w:val="single" w:sz="4" w:space="0" w:color="auto"/>
              <w:right w:val="single" w:sz="4" w:space="0" w:color="auto"/>
            </w:tcBorders>
            <w:vAlign w:val="center"/>
          </w:tcPr>
          <w:p w14:paraId="272D1AE8" w14:textId="77777777" w:rsidR="00115458" w:rsidRPr="00944B5E" w:rsidRDefault="00115458" w:rsidP="00F4606C">
            <w:pPr>
              <w:spacing w:after="0" w:line="240" w:lineRule="auto"/>
              <w:rPr>
                <w:rFonts w:cs="Arial"/>
                <w:color w:val="000000"/>
              </w:rPr>
            </w:pPr>
            <w:r w:rsidRPr="00944B5E">
              <w:rPr>
                <w:rFonts w:cs="Arial"/>
                <w:color w:val="000000"/>
              </w:rPr>
              <w:t>9.60</w:t>
            </w:r>
          </w:p>
        </w:tc>
        <w:tc>
          <w:tcPr>
            <w:tcW w:w="3080" w:type="pct"/>
            <w:tcBorders>
              <w:top w:val="single" w:sz="4" w:space="0" w:color="auto"/>
              <w:left w:val="single" w:sz="4" w:space="0" w:color="auto"/>
              <w:bottom w:val="single" w:sz="4" w:space="0" w:color="auto"/>
              <w:right w:val="single" w:sz="4" w:space="0" w:color="auto"/>
            </w:tcBorders>
            <w:noWrap/>
            <w:vAlign w:val="center"/>
          </w:tcPr>
          <w:p w14:paraId="086DF1B4" w14:textId="77777777" w:rsidR="00115458" w:rsidRPr="00944B5E" w:rsidRDefault="00115458" w:rsidP="00F4606C">
            <w:pPr>
              <w:spacing w:after="0" w:line="240" w:lineRule="auto"/>
              <w:rPr>
                <w:rFonts w:cs="Arial"/>
                <w:color w:val="000000"/>
              </w:rPr>
            </w:pPr>
            <w:r w:rsidRPr="00944B5E">
              <w:rPr>
                <w:rFonts w:cs="Arial"/>
                <w:color w:val="000000"/>
              </w:rPr>
              <w:t>The Security level action code is not ‘CBA’, this field must be zero.</w:t>
            </w:r>
          </w:p>
        </w:tc>
      </w:tr>
      <w:tr w:rsidR="00FF1D5C" w:rsidRPr="00944B5E" w14:paraId="6F44D386"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49B289A" w14:textId="77777777" w:rsidR="00115458" w:rsidRPr="00944B5E" w:rsidRDefault="00115458" w:rsidP="00F4606C">
            <w:pPr>
              <w:spacing w:after="0" w:line="240" w:lineRule="auto"/>
              <w:rPr>
                <w:rFonts w:cs="Arial"/>
                <w:color w:val="000000"/>
              </w:rPr>
            </w:pPr>
            <w:r w:rsidRPr="00944B5E">
              <w:rPr>
                <w:rFonts w:cs="Arial"/>
                <w:color w:val="000000"/>
              </w:rPr>
              <w:t>WM508</w:t>
            </w:r>
          </w:p>
        </w:tc>
        <w:tc>
          <w:tcPr>
            <w:tcW w:w="1341" w:type="pct"/>
            <w:tcBorders>
              <w:top w:val="single" w:sz="4" w:space="0" w:color="auto"/>
              <w:left w:val="single" w:sz="4" w:space="0" w:color="auto"/>
              <w:bottom w:val="single" w:sz="4" w:space="0" w:color="auto"/>
              <w:right w:val="single" w:sz="4" w:space="0" w:color="auto"/>
            </w:tcBorders>
            <w:vAlign w:val="center"/>
          </w:tcPr>
          <w:p w14:paraId="7F7191F4" w14:textId="77777777" w:rsidR="00115458" w:rsidRPr="00944B5E" w:rsidRDefault="00115458" w:rsidP="00F4606C">
            <w:pPr>
              <w:spacing w:after="0" w:line="240" w:lineRule="auto"/>
              <w:rPr>
                <w:rFonts w:cs="Arial"/>
                <w:color w:val="000000"/>
              </w:rPr>
            </w:pPr>
            <w:r w:rsidRPr="00944B5E">
              <w:rPr>
                <w:rFonts w:cs="Arial"/>
                <w:color w:val="000000"/>
              </w:rPr>
              <w:t>9.58</w:t>
            </w:r>
          </w:p>
        </w:tc>
        <w:tc>
          <w:tcPr>
            <w:tcW w:w="3080" w:type="pct"/>
            <w:tcBorders>
              <w:top w:val="single" w:sz="4" w:space="0" w:color="auto"/>
              <w:left w:val="single" w:sz="4" w:space="0" w:color="auto"/>
              <w:bottom w:val="single" w:sz="4" w:space="0" w:color="auto"/>
              <w:right w:val="single" w:sz="4" w:space="0" w:color="auto"/>
            </w:tcBorders>
            <w:noWrap/>
            <w:vAlign w:val="center"/>
          </w:tcPr>
          <w:p w14:paraId="42F94124" w14:textId="77777777" w:rsidR="00115458" w:rsidRPr="00944B5E" w:rsidRDefault="00115458" w:rsidP="00F4606C">
            <w:pPr>
              <w:spacing w:after="0" w:line="240" w:lineRule="auto"/>
              <w:rPr>
                <w:rFonts w:cs="Arial"/>
                <w:color w:val="000000"/>
              </w:rPr>
            </w:pPr>
            <w:r w:rsidRPr="00944B5E">
              <w:rPr>
                <w:rFonts w:cs="Arial"/>
                <w:color w:val="000000"/>
              </w:rPr>
              <w:t>The valid values for this field are ‘1’, ‘2’, or ‘3’.</w:t>
            </w:r>
          </w:p>
        </w:tc>
      </w:tr>
      <w:tr w:rsidR="00FF1D5C" w:rsidRPr="00944B5E" w14:paraId="1D16012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E73A687" w14:textId="77777777" w:rsidR="00115458" w:rsidRPr="00944B5E" w:rsidRDefault="00115458" w:rsidP="00F4606C">
            <w:pPr>
              <w:spacing w:after="0" w:line="240" w:lineRule="auto"/>
              <w:rPr>
                <w:rFonts w:cs="Arial"/>
                <w:color w:val="000000"/>
              </w:rPr>
            </w:pPr>
            <w:r w:rsidRPr="00944B5E">
              <w:rPr>
                <w:rFonts w:cs="Arial"/>
                <w:color w:val="000000"/>
              </w:rPr>
              <w:t>WM509</w:t>
            </w:r>
          </w:p>
        </w:tc>
        <w:tc>
          <w:tcPr>
            <w:tcW w:w="1341" w:type="pct"/>
            <w:tcBorders>
              <w:top w:val="single" w:sz="4" w:space="0" w:color="auto"/>
              <w:left w:val="single" w:sz="4" w:space="0" w:color="auto"/>
              <w:bottom w:val="single" w:sz="4" w:space="0" w:color="auto"/>
              <w:right w:val="single" w:sz="4" w:space="0" w:color="auto"/>
            </w:tcBorders>
            <w:vAlign w:val="center"/>
          </w:tcPr>
          <w:p w14:paraId="75C863C7" w14:textId="77777777" w:rsidR="00115458" w:rsidRPr="00944B5E" w:rsidRDefault="00115458" w:rsidP="00F4606C">
            <w:pPr>
              <w:spacing w:after="0" w:line="240" w:lineRule="auto"/>
              <w:rPr>
                <w:rFonts w:cs="Arial"/>
                <w:color w:val="000000"/>
              </w:rPr>
            </w:pPr>
            <w:r w:rsidRPr="00944B5E">
              <w:rPr>
                <w:rFonts w:cs="Arial"/>
                <w:color w:val="000000"/>
              </w:rPr>
              <w:t>9.58</w:t>
            </w:r>
          </w:p>
        </w:tc>
        <w:tc>
          <w:tcPr>
            <w:tcW w:w="3080" w:type="pct"/>
            <w:tcBorders>
              <w:top w:val="single" w:sz="4" w:space="0" w:color="auto"/>
              <w:left w:val="single" w:sz="4" w:space="0" w:color="auto"/>
              <w:bottom w:val="single" w:sz="4" w:space="0" w:color="auto"/>
              <w:right w:val="single" w:sz="4" w:space="0" w:color="auto"/>
            </w:tcBorders>
            <w:noWrap/>
            <w:vAlign w:val="center"/>
          </w:tcPr>
          <w:p w14:paraId="23A8C839" w14:textId="77777777" w:rsidR="00115458" w:rsidRPr="00944B5E" w:rsidRDefault="00115458" w:rsidP="00F4606C">
            <w:pPr>
              <w:spacing w:after="0" w:line="240" w:lineRule="auto"/>
              <w:rPr>
                <w:rFonts w:cs="Arial"/>
                <w:color w:val="000000"/>
              </w:rPr>
            </w:pPr>
            <w:r w:rsidRPr="00944B5E">
              <w:rPr>
                <w:rFonts w:cs="Arial"/>
                <w:color w:val="000000"/>
              </w:rPr>
              <w:t>The identifier type field is ‘1’, ‘2’ or ‘3’, this field must be reported.</w:t>
            </w:r>
          </w:p>
        </w:tc>
      </w:tr>
      <w:tr w:rsidR="00FF1D5C" w:rsidRPr="00944B5E" w14:paraId="4663E0C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0373C30" w14:textId="77777777" w:rsidR="00115458" w:rsidRPr="00944B5E" w:rsidRDefault="00115458" w:rsidP="00F4606C">
            <w:pPr>
              <w:spacing w:after="0" w:line="240" w:lineRule="auto"/>
              <w:rPr>
                <w:rFonts w:cs="Arial"/>
                <w:color w:val="000000"/>
              </w:rPr>
            </w:pPr>
            <w:r w:rsidRPr="00944B5E">
              <w:rPr>
                <w:rFonts w:cs="Arial"/>
                <w:color w:val="000000"/>
              </w:rPr>
              <w:t>WM510</w:t>
            </w:r>
          </w:p>
        </w:tc>
        <w:tc>
          <w:tcPr>
            <w:tcW w:w="1341" w:type="pct"/>
            <w:tcBorders>
              <w:top w:val="single" w:sz="4" w:space="0" w:color="auto"/>
              <w:left w:val="single" w:sz="4" w:space="0" w:color="auto"/>
              <w:bottom w:val="single" w:sz="4" w:space="0" w:color="auto"/>
              <w:right w:val="single" w:sz="4" w:space="0" w:color="auto"/>
            </w:tcBorders>
            <w:vAlign w:val="center"/>
          </w:tcPr>
          <w:p w14:paraId="120CE36B" w14:textId="70167053"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19</w:t>
            </w:r>
            <w:r w:rsidR="005A377C">
              <w:rPr>
                <w:rFonts w:cs="Arial"/>
                <w:color w:val="000000"/>
              </w:rPr>
              <w:t>5</w:t>
            </w:r>
          </w:p>
        </w:tc>
        <w:tc>
          <w:tcPr>
            <w:tcW w:w="3080" w:type="pct"/>
            <w:tcBorders>
              <w:top w:val="single" w:sz="4" w:space="0" w:color="auto"/>
              <w:left w:val="single" w:sz="4" w:space="0" w:color="auto"/>
              <w:bottom w:val="single" w:sz="4" w:space="0" w:color="auto"/>
              <w:right w:val="single" w:sz="4" w:space="0" w:color="auto"/>
            </w:tcBorders>
            <w:noWrap/>
            <w:vAlign w:val="center"/>
          </w:tcPr>
          <w:p w14:paraId="137D3B98" w14:textId="77777777" w:rsidR="00115458" w:rsidRPr="00944B5E" w:rsidRDefault="00115458" w:rsidP="00F4606C">
            <w:pPr>
              <w:spacing w:after="0" w:line="240" w:lineRule="auto"/>
              <w:rPr>
                <w:rFonts w:cs="Arial"/>
                <w:color w:val="000000"/>
              </w:rPr>
            </w:pPr>
            <w:r w:rsidRPr="00944B5E">
              <w:rPr>
                <w:rFonts w:cs="Arial"/>
                <w:color w:val="000000"/>
              </w:rPr>
              <w:t>Value in this field should equal previous 'Sequence number of DINVESTOR' record plus 1.</w:t>
            </w:r>
          </w:p>
        </w:tc>
      </w:tr>
      <w:tr w:rsidR="00FF1D5C" w:rsidRPr="00944B5E" w14:paraId="7568A5B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0B312BB" w14:textId="77777777" w:rsidR="00115458" w:rsidRPr="00944B5E" w:rsidRDefault="00115458" w:rsidP="00F4606C">
            <w:pPr>
              <w:spacing w:after="0" w:line="240" w:lineRule="auto"/>
              <w:rPr>
                <w:rFonts w:cs="Arial"/>
                <w:color w:val="000000"/>
              </w:rPr>
            </w:pPr>
            <w:r w:rsidRPr="00944B5E">
              <w:rPr>
                <w:rFonts w:cs="Arial"/>
                <w:color w:val="000000"/>
              </w:rPr>
              <w:t>WM519</w:t>
            </w:r>
          </w:p>
        </w:tc>
        <w:tc>
          <w:tcPr>
            <w:tcW w:w="1341" w:type="pct"/>
            <w:tcBorders>
              <w:top w:val="single" w:sz="4" w:space="0" w:color="auto"/>
              <w:left w:val="single" w:sz="4" w:space="0" w:color="auto"/>
              <w:bottom w:val="single" w:sz="4" w:space="0" w:color="auto"/>
              <w:right w:val="single" w:sz="4" w:space="0" w:color="auto"/>
            </w:tcBorders>
            <w:vAlign w:val="center"/>
          </w:tcPr>
          <w:p w14:paraId="70E23AA4" w14:textId="77777777" w:rsidR="00115458" w:rsidRPr="00944B5E" w:rsidRDefault="00115458" w:rsidP="00F4606C">
            <w:pPr>
              <w:spacing w:after="0" w:line="240" w:lineRule="auto"/>
              <w:rPr>
                <w:rFonts w:cs="Arial"/>
                <w:color w:val="000000"/>
              </w:rPr>
            </w:pPr>
            <w:r w:rsidRPr="00944B5E">
              <w:rPr>
                <w:rFonts w:cs="Arial"/>
                <w:color w:val="000000"/>
              </w:rPr>
              <w:t>9.128</w:t>
            </w:r>
          </w:p>
        </w:tc>
        <w:tc>
          <w:tcPr>
            <w:tcW w:w="3080" w:type="pct"/>
            <w:tcBorders>
              <w:top w:val="single" w:sz="4" w:space="0" w:color="auto"/>
              <w:left w:val="single" w:sz="4" w:space="0" w:color="auto"/>
              <w:bottom w:val="single" w:sz="4" w:space="0" w:color="auto"/>
              <w:right w:val="single" w:sz="4" w:space="0" w:color="auto"/>
            </w:tcBorders>
            <w:noWrap/>
            <w:vAlign w:val="center"/>
          </w:tcPr>
          <w:p w14:paraId="31F093F3" w14:textId="77777777" w:rsidR="00115458" w:rsidRPr="00944B5E" w:rsidRDefault="00115458" w:rsidP="00F4606C">
            <w:pPr>
              <w:spacing w:after="0" w:line="240" w:lineRule="auto"/>
              <w:rPr>
                <w:rFonts w:cs="Arial"/>
                <w:color w:val="000000"/>
              </w:rPr>
            </w:pPr>
            <w:r w:rsidRPr="00944B5E">
              <w:rPr>
                <w:rFonts w:cs="Arial"/>
                <w:color w:val="000000"/>
              </w:rPr>
              <w:t>The AMIT cost base net amount – excess field must be zero filled when the AMIT cost base net amount – shortfall is greater than zero.</w:t>
            </w:r>
          </w:p>
        </w:tc>
      </w:tr>
      <w:tr w:rsidR="00FF1D5C" w:rsidRPr="00944B5E" w14:paraId="59B1556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AAA78E2" w14:textId="77777777" w:rsidR="00115458" w:rsidRPr="00944B5E" w:rsidRDefault="00115458" w:rsidP="00F4606C">
            <w:pPr>
              <w:spacing w:after="0" w:line="240" w:lineRule="auto"/>
              <w:rPr>
                <w:rFonts w:cs="Arial"/>
                <w:color w:val="000000"/>
              </w:rPr>
            </w:pPr>
            <w:r w:rsidRPr="00944B5E">
              <w:rPr>
                <w:rFonts w:cs="Arial"/>
                <w:color w:val="000000"/>
              </w:rPr>
              <w:t>WM520</w:t>
            </w:r>
          </w:p>
        </w:tc>
        <w:tc>
          <w:tcPr>
            <w:tcW w:w="1341" w:type="pct"/>
            <w:tcBorders>
              <w:top w:val="single" w:sz="4" w:space="0" w:color="auto"/>
              <w:left w:val="single" w:sz="4" w:space="0" w:color="auto"/>
              <w:bottom w:val="single" w:sz="4" w:space="0" w:color="auto"/>
              <w:right w:val="single" w:sz="4" w:space="0" w:color="auto"/>
            </w:tcBorders>
            <w:vAlign w:val="center"/>
          </w:tcPr>
          <w:p w14:paraId="08EC4574" w14:textId="77777777" w:rsidR="00115458" w:rsidRPr="00944B5E" w:rsidRDefault="00115458" w:rsidP="00F4606C">
            <w:pPr>
              <w:spacing w:after="0" w:line="240" w:lineRule="auto"/>
              <w:rPr>
                <w:rFonts w:cs="Arial"/>
                <w:color w:val="000000"/>
              </w:rPr>
            </w:pPr>
            <w:r w:rsidRPr="00944B5E">
              <w:rPr>
                <w:rFonts w:cs="Arial"/>
                <w:color w:val="000000"/>
              </w:rPr>
              <w:t>9.129</w:t>
            </w:r>
          </w:p>
        </w:tc>
        <w:tc>
          <w:tcPr>
            <w:tcW w:w="3080" w:type="pct"/>
            <w:tcBorders>
              <w:top w:val="single" w:sz="4" w:space="0" w:color="auto"/>
              <w:left w:val="single" w:sz="4" w:space="0" w:color="auto"/>
              <w:bottom w:val="single" w:sz="4" w:space="0" w:color="auto"/>
              <w:right w:val="single" w:sz="4" w:space="0" w:color="auto"/>
            </w:tcBorders>
            <w:noWrap/>
            <w:vAlign w:val="center"/>
          </w:tcPr>
          <w:p w14:paraId="6B313453" w14:textId="77777777" w:rsidR="00115458" w:rsidRPr="00944B5E" w:rsidRDefault="00115458" w:rsidP="00F4606C">
            <w:pPr>
              <w:spacing w:after="0" w:line="240" w:lineRule="auto"/>
              <w:rPr>
                <w:rFonts w:cs="Arial"/>
                <w:color w:val="000000"/>
              </w:rPr>
            </w:pPr>
            <w:r w:rsidRPr="00944B5E">
              <w:rPr>
                <w:rFonts w:cs="Arial"/>
                <w:color w:val="000000"/>
              </w:rPr>
              <w:t>The AMIT cost base net amount – shortfall field must be zero filled when the AMIT cost base net amount – excess is greater than zero.</w:t>
            </w:r>
          </w:p>
        </w:tc>
      </w:tr>
      <w:tr w:rsidR="00FF1D5C" w:rsidRPr="00944B5E" w14:paraId="5402F85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3263700" w14:textId="77777777" w:rsidR="00115458" w:rsidRPr="00944B5E" w:rsidRDefault="00115458" w:rsidP="00F4606C">
            <w:pPr>
              <w:spacing w:after="0" w:line="240" w:lineRule="auto"/>
              <w:rPr>
                <w:rFonts w:cs="Arial"/>
                <w:color w:val="000000"/>
              </w:rPr>
            </w:pPr>
            <w:r w:rsidRPr="00944B5E">
              <w:rPr>
                <w:rFonts w:cs="Arial"/>
                <w:color w:val="000000"/>
              </w:rPr>
              <w:t>WM532</w:t>
            </w:r>
          </w:p>
        </w:tc>
        <w:tc>
          <w:tcPr>
            <w:tcW w:w="1341" w:type="pct"/>
            <w:tcBorders>
              <w:top w:val="single" w:sz="4" w:space="0" w:color="auto"/>
              <w:left w:val="single" w:sz="4" w:space="0" w:color="auto"/>
              <w:bottom w:val="single" w:sz="4" w:space="0" w:color="auto"/>
              <w:right w:val="single" w:sz="4" w:space="0" w:color="auto"/>
            </w:tcBorders>
            <w:vAlign w:val="center"/>
          </w:tcPr>
          <w:p w14:paraId="6C18A1A9" w14:textId="3CD69891"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17</w:t>
            </w:r>
            <w:r w:rsidR="005A377C">
              <w:rPr>
                <w:rFonts w:cs="Arial"/>
                <w:color w:val="000000"/>
              </w:rPr>
              <w:t>5</w:t>
            </w:r>
          </w:p>
        </w:tc>
        <w:tc>
          <w:tcPr>
            <w:tcW w:w="3080" w:type="pct"/>
            <w:tcBorders>
              <w:top w:val="single" w:sz="4" w:space="0" w:color="auto"/>
              <w:left w:val="single" w:sz="4" w:space="0" w:color="auto"/>
              <w:bottom w:val="single" w:sz="4" w:space="0" w:color="auto"/>
              <w:right w:val="single" w:sz="4" w:space="0" w:color="auto"/>
            </w:tcBorders>
            <w:noWrap/>
            <w:vAlign w:val="center"/>
          </w:tcPr>
          <w:p w14:paraId="07FEC61D" w14:textId="77777777" w:rsidR="00115458" w:rsidRPr="00944B5E" w:rsidRDefault="00115458" w:rsidP="00F4606C">
            <w:pPr>
              <w:spacing w:after="0" w:line="240" w:lineRule="auto"/>
              <w:rPr>
                <w:rFonts w:cs="Arial"/>
                <w:color w:val="000000"/>
              </w:rPr>
            </w:pPr>
            <w:r w:rsidRPr="00944B5E">
              <w:rPr>
                <w:rFonts w:cs="Arial"/>
                <w:color w:val="000000"/>
              </w:rPr>
              <w:t>When the Transaction reason code field is ‘ALP’, ‘ALT’ or ‘DVS’ and the Quantity is greater than 0 this field must be reported.</w:t>
            </w:r>
          </w:p>
        </w:tc>
      </w:tr>
      <w:tr w:rsidR="00FF1D5C" w:rsidRPr="00944B5E" w14:paraId="61671E07"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0FED99C" w14:textId="77777777" w:rsidR="00115458" w:rsidRPr="00944B5E" w:rsidRDefault="00115458" w:rsidP="00F4606C">
            <w:pPr>
              <w:spacing w:after="0" w:line="240" w:lineRule="auto"/>
              <w:rPr>
                <w:rFonts w:cs="Arial"/>
                <w:color w:val="000000"/>
              </w:rPr>
            </w:pPr>
            <w:r w:rsidRPr="00944B5E">
              <w:rPr>
                <w:rFonts w:cs="Arial"/>
                <w:color w:val="000000"/>
              </w:rPr>
              <w:t>WM533</w:t>
            </w:r>
          </w:p>
        </w:tc>
        <w:tc>
          <w:tcPr>
            <w:tcW w:w="1341" w:type="pct"/>
            <w:tcBorders>
              <w:top w:val="single" w:sz="4" w:space="0" w:color="auto"/>
              <w:left w:val="single" w:sz="4" w:space="0" w:color="auto"/>
              <w:bottom w:val="single" w:sz="4" w:space="0" w:color="auto"/>
              <w:right w:val="single" w:sz="4" w:space="0" w:color="auto"/>
            </w:tcBorders>
            <w:vAlign w:val="center"/>
          </w:tcPr>
          <w:p w14:paraId="1BEEF6A3" w14:textId="42699D94"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17</w:t>
            </w:r>
            <w:r w:rsidR="005A377C">
              <w:rPr>
                <w:rFonts w:cs="Arial"/>
                <w:color w:val="000000"/>
              </w:rPr>
              <w:t>6</w:t>
            </w:r>
          </w:p>
        </w:tc>
        <w:tc>
          <w:tcPr>
            <w:tcW w:w="3080" w:type="pct"/>
            <w:tcBorders>
              <w:top w:val="single" w:sz="4" w:space="0" w:color="auto"/>
              <w:left w:val="single" w:sz="4" w:space="0" w:color="auto"/>
              <w:bottom w:val="single" w:sz="4" w:space="0" w:color="auto"/>
              <w:right w:val="single" w:sz="4" w:space="0" w:color="auto"/>
            </w:tcBorders>
            <w:noWrap/>
            <w:vAlign w:val="center"/>
          </w:tcPr>
          <w:p w14:paraId="39789133" w14:textId="77777777" w:rsidR="00115458" w:rsidRPr="00944B5E" w:rsidRDefault="00115458" w:rsidP="00F4606C">
            <w:pPr>
              <w:spacing w:after="0" w:line="240" w:lineRule="auto"/>
              <w:rPr>
                <w:rFonts w:cs="Arial"/>
                <w:color w:val="000000"/>
              </w:rPr>
            </w:pPr>
            <w:r w:rsidRPr="00944B5E">
              <w:rPr>
                <w:rFonts w:cs="Arial"/>
                <w:color w:val="000000"/>
              </w:rPr>
              <w:t>When the Reporting transaction or CGT calculations field is ‘TRN’ and the Transaction sub-type code is ‘RET’ this field must be reported.</w:t>
            </w:r>
          </w:p>
        </w:tc>
      </w:tr>
      <w:tr w:rsidR="00FF1D5C" w:rsidRPr="00944B5E" w14:paraId="76EBC8E8"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BF7DDD7" w14:textId="77777777" w:rsidR="00115458" w:rsidRPr="00944B5E" w:rsidRDefault="00115458" w:rsidP="00F4606C">
            <w:pPr>
              <w:spacing w:after="0" w:line="240" w:lineRule="auto"/>
              <w:rPr>
                <w:rFonts w:cs="Arial"/>
                <w:color w:val="000000"/>
              </w:rPr>
            </w:pPr>
            <w:r w:rsidRPr="00944B5E">
              <w:rPr>
                <w:rFonts w:cs="Arial"/>
                <w:color w:val="000000"/>
              </w:rPr>
              <w:t>WM534</w:t>
            </w:r>
          </w:p>
        </w:tc>
        <w:tc>
          <w:tcPr>
            <w:tcW w:w="1341" w:type="pct"/>
            <w:tcBorders>
              <w:top w:val="single" w:sz="4" w:space="0" w:color="auto"/>
              <w:left w:val="single" w:sz="4" w:space="0" w:color="auto"/>
              <w:bottom w:val="single" w:sz="4" w:space="0" w:color="auto"/>
              <w:right w:val="single" w:sz="4" w:space="0" w:color="auto"/>
            </w:tcBorders>
            <w:vAlign w:val="center"/>
          </w:tcPr>
          <w:p w14:paraId="7F065F23" w14:textId="4103D932"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1</w:t>
            </w:r>
            <w:r w:rsidR="005A377C">
              <w:rPr>
                <w:rFonts w:cs="Arial"/>
                <w:color w:val="000000"/>
              </w:rPr>
              <w:t>92</w:t>
            </w:r>
          </w:p>
        </w:tc>
        <w:tc>
          <w:tcPr>
            <w:tcW w:w="3080" w:type="pct"/>
            <w:tcBorders>
              <w:top w:val="single" w:sz="4" w:space="0" w:color="auto"/>
              <w:left w:val="single" w:sz="4" w:space="0" w:color="auto"/>
              <w:bottom w:val="single" w:sz="4" w:space="0" w:color="auto"/>
              <w:right w:val="single" w:sz="4" w:space="0" w:color="auto"/>
            </w:tcBorders>
            <w:noWrap/>
            <w:vAlign w:val="center"/>
          </w:tcPr>
          <w:p w14:paraId="327CC058" w14:textId="77777777" w:rsidR="00115458" w:rsidRPr="00944B5E" w:rsidRDefault="00115458" w:rsidP="00F4606C">
            <w:pPr>
              <w:spacing w:after="0" w:line="240" w:lineRule="auto"/>
              <w:rPr>
                <w:rFonts w:cs="Arial"/>
                <w:color w:val="000000"/>
              </w:rPr>
            </w:pPr>
            <w:r w:rsidRPr="00944B5E">
              <w:rPr>
                <w:rFonts w:cs="Arial"/>
                <w:color w:val="000000"/>
              </w:rPr>
              <w:t>When a Gross capital gain or loss value is reported, this field must be reported.</w:t>
            </w:r>
          </w:p>
        </w:tc>
      </w:tr>
      <w:tr w:rsidR="00FF1D5C" w:rsidRPr="00944B5E" w14:paraId="2B69150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E875D6C" w14:textId="77777777" w:rsidR="00115458" w:rsidRPr="00944B5E" w:rsidRDefault="00115458" w:rsidP="00F4606C">
            <w:pPr>
              <w:spacing w:after="0" w:line="240" w:lineRule="auto"/>
              <w:rPr>
                <w:rFonts w:cs="Arial"/>
                <w:color w:val="000000"/>
              </w:rPr>
            </w:pPr>
            <w:r w:rsidRPr="00944B5E">
              <w:rPr>
                <w:rFonts w:cs="Arial"/>
                <w:color w:val="000000"/>
              </w:rPr>
              <w:t>WM535</w:t>
            </w:r>
          </w:p>
        </w:tc>
        <w:tc>
          <w:tcPr>
            <w:tcW w:w="1341" w:type="pct"/>
            <w:tcBorders>
              <w:top w:val="single" w:sz="4" w:space="0" w:color="auto"/>
              <w:left w:val="single" w:sz="4" w:space="0" w:color="auto"/>
              <w:bottom w:val="single" w:sz="4" w:space="0" w:color="auto"/>
              <w:right w:val="single" w:sz="4" w:space="0" w:color="auto"/>
            </w:tcBorders>
            <w:vAlign w:val="center"/>
          </w:tcPr>
          <w:p w14:paraId="3A17DCDD" w14:textId="15F9A22E"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1</w:t>
            </w:r>
            <w:r w:rsidR="005A377C">
              <w:rPr>
                <w:rFonts w:cs="Arial"/>
                <w:color w:val="000000"/>
              </w:rPr>
              <w:t>82</w:t>
            </w:r>
            <w:r w:rsidRPr="00944B5E">
              <w:rPr>
                <w:rFonts w:cs="Arial"/>
                <w:color w:val="000000"/>
              </w:rPr>
              <w:t>, 9.</w:t>
            </w:r>
            <w:r w:rsidR="005A377C" w:rsidRPr="00944B5E">
              <w:rPr>
                <w:rFonts w:cs="Arial"/>
                <w:color w:val="000000"/>
              </w:rPr>
              <w:t>1</w:t>
            </w:r>
            <w:r w:rsidR="005A377C">
              <w:rPr>
                <w:rFonts w:cs="Arial"/>
                <w:color w:val="000000"/>
              </w:rPr>
              <w:t>83</w:t>
            </w:r>
            <w:r w:rsidRPr="00944B5E">
              <w:rPr>
                <w:rFonts w:cs="Arial"/>
                <w:color w:val="000000"/>
              </w:rPr>
              <w:t>, 9.</w:t>
            </w:r>
            <w:r w:rsidR="005A377C" w:rsidRPr="00944B5E">
              <w:rPr>
                <w:rFonts w:cs="Arial"/>
                <w:color w:val="000000"/>
              </w:rPr>
              <w:t>1</w:t>
            </w:r>
            <w:r w:rsidR="005A377C">
              <w:rPr>
                <w:rFonts w:cs="Arial"/>
                <w:color w:val="000000"/>
              </w:rPr>
              <w:t>84</w:t>
            </w:r>
            <w:r w:rsidRPr="00944B5E">
              <w:rPr>
                <w:rFonts w:cs="Arial"/>
                <w:color w:val="000000"/>
              </w:rPr>
              <w:t>,   9.</w:t>
            </w:r>
            <w:r w:rsidR="005A377C" w:rsidRPr="00944B5E">
              <w:rPr>
                <w:rFonts w:cs="Arial"/>
                <w:color w:val="000000"/>
              </w:rPr>
              <w:t>18</w:t>
            </w:r>
            <w:r w:rsidR="005A377C">
              <w:rPr>
                <w:rFonts w:cs="Arial"/>
                <w:color w:val="000000"/>
              </w:rPr>
              <w:t>9</w:t>
            </w:r>
            <w:r w:rsidRPr="00944B5E">
              <w:rPr>
                <w:rFonts w:cs="Arial"/>
                <w:color w:val="000000"/>
              </w:rPr>
              <w:t>, 9.</w:t>
            </w:r>
            <w:r w:rsidR="005A377C" w:rsidRPr="00944B5E">
              <w:rPr>
                <w:rFonts w:cs="Arial"/>
                <w:color w:val="000000"/>
              </w:rPr>
              <w:t>1</w:t>
            </w:r>
            <w:r w:rsidR="005A377C">
              <w:rPr>
                <w:rFonts w:cs="Arial"/>
                <w:color w:val="000000"/>
              </w:rPr>
              <w:t>90</w:t>
            </w:r>
            <w:r w:rsidRPr="00944B5E">
              <w:rPr>
                <w:rFonts w:cs="Arial"/>
                <w:color w:val="000000"/>
              </w:rPr>
              <w:t xml:space="preserve">,  </w:t>
            </w:r>
          </w:p>
        </w:tc>
        <w:tc>
          <w:tcPr>
            <w:tcW w:w="3080" w:type="pct"/>
            <w:tcBorders>
              <w:top w:val="single" w:sz="4" w:space="0" w:color="auto"/>
              <w:left w:val="single" w:sz="4" w:space="0" w:color="auto"/>
              <w:bottom w:val="single" w:sz="4" w:space="0" w:color="auto"/>
              <w:right w:val="single" w:sz="4" w:space="0" w:color="auto"/>
            </w:tcBorders>
            <w:noWrap/>
            <w:vAlign w:val="center"/>
          </w:tcPr>
          <w:p w14:paraId="4080E1F4" w14:textId="77777777" w:rsidR="00115458" w:rsidRPr="00944B5E" w:rsidRDefault="00115458" w:rsidP="00F4606C">
            <w:pPr>
              <w:spacing w:after="0" w:line="240" w:lineRule="auto"/>
              <w:rPr>
                <w:rFonts w:cs="Arial"/>
                <w:color w:val="000000"/>
              </w:rPr>
            </w:pPr>
            <w:r w:rsidRPr="00944B5E">
              <w:rPr>
                <w:rFonts w:cs="Arial"/>
                <w:color w:val="000000"/>
              </w:rPr>
              <w:t>When the Reporting transaction or CGT calculations is ‘CGT' this field must be reported.</w:t>
            </w:r>
          </w:p>
        </w:tc>
      </w:tr>
      <w:tr w:rsidR="00FF1D5C" w:rsidRPr="00944B5E" w14:paraId="3663F24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9594B2B" w14:textId="77777777" w:rsidR="00115458" w:rsidRPr="00944B5E" w:rsidRDefault="00115458" w:rsidP="00F4606C">
            <w:pPr>
              <w:spacing w:after="0" w:line="240" w:lineRule="auto"/>
              <w:rPr>
                <w:rFonts w:cs="Arial"/>
                <w:color w:val="000000"/>
              </w:rPr>
            </w:pPr>
            <w:r w:rsidRPr="00944B5E">
              <w:rPr>
                <w:rFonts w:cs="Arial"/>
                <w:color w:val="000000"/>
              </w:rPr>
              <w:t>WM536</w:t>
            </w:r>
          </w:p>
        </w:tc>
        <w:tc>
          <w:tcPr>
            <w:tcW w:w="1341" w:type="pct"/>
            <w:tcBorders>
              <w:top w:val="single" w:sz="4" w:space="0" w:color="auto"/>
              <w:left w:val="single" w:sz="4" w:space="0" w:color="auto"/>
              <w:bottom w:val="single" w:sz="4" w:space="0" w:color="auto"/>
              <w:right w:val="single" w:sz="4" w:space="0" w:color="auto"/>
            </w:tcBorders>
            <w:vAlign w:val="center"/>
          </w:tcPr>
          <w:p w14:paraId="71A59A58" w14:textId="31257BBA"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1</w:t>
            </w:r>
            <w:r w:rsidR="005A377C">
              <w:rPr>
                <w:rFonts w:cs="Arial"/>
                <w:color w:val="000000"/>
              </w:rPr>
              <w:t>69</w:t>
            </w:r>
            <w:r w:rsidRPr="00944B5E">
              <w:rPr>
                <w:rFonts w:cs="Arial"/>
                <w:color w:val="000000"/>
              </w:rPr>
              <w:t>, 9.</w:t>
            </w:r>
            <w:r w:rsidR="005A377C" w:rsidRPr="00944B5E">
              <w:rPr>
                <w:rFonts w:cs="Arial"/>
                <w:color w:val="000000"/>
              </w:rPr>
              <w:t>1</w:t>
            </w:r>
            <w:r w:rsidR="005A377C">
              <w:rPr>
                <w:rFonts w:cs="Arial"/>
                <w:color w:val="000000"/>
              </w:rPr>
              <w:t>70</w:t>
            </w:r>
            <w:r w:rsidRPr="00944B5E">
              <w:rPr>
                <w:rFonts w:cs="Arial"/>
                <w:color w:val="000000"/>
              </w:rPr>
              <w:t>, 9.</w:t>
            </w:r>
            <w:r w:rsidR="005A377C" w:rsidRPr="00944B5E">
              <w:rPr>
                <w:rFonts w:cs="Arial"/>
                <w:color w:val="000000"/>
              </w:rPr>
              <w:t>1</w:t>
            </w:r>
            <w:r w:rsidR="005A377C">
              <w:rPr>
                <w:rFonts w:cs="Arial"/>
                <w:color w:val="000000"/>
              </w:rPr>
              <w:t>71</w:t>
            </w:r>
            <w:r w:rsidRPr="00944B5E">
              <w:rPr>
                <w:rFonts w:cs="Arial"/>
                <w:color w:val="000000"/>
              </w:rPr>
              <w:t>, 9.</w:t>
            </w:r>
            <w:r w:rsidR="005A377C" w:rsidRPr="00944B5E">
              <w:rPr>
                <w:rFonts w:cs="Arial"/>
                <w:color w:val="000000"/>
              </w:rPr>
              <w:t>1</w:t>
            </w:r>
            <w:r w:rsidR="005A377C">
              <w:rPr>
                <w:rFonts w:cs="Arial"/>
                <w:color w:val="000000"/>
              </w:rPr>
              <w:t>72</w:t>
            </w:r>
            <w:r w:rsidR="008816B0">
              <w:rPr>
                <w:rFonts w:cs="Arial"/>
                <w:color w:val="000000"/>
              </w:rPr>
              <w:t>,</w:t>
            </w:r>
            <w:r w:rsidRPr="00944B5E">
              <w:rPr>
                <w:rFonts w:cs="Arial"/>
                <w:color w:val="000000"/>
              </w:rPr>
              <w:t xml:space="preserve"> 9.</w:t>
            </w:r>
            <w:r w:rsidR="005A377C" w:rsidRPr="00944B5E">
              <w:rPr>
                <w:rFonts w:cs="Arial"/>
                <w:color w:val="000000"/>
              </w:rPr>
              <w:t>1</w:t>
            </w:r>
            <w:r w:rsidR="005A377C">
              <w:rPr>
                <w:rFonts w:cs="Arial"/>
                <w:color w:val="000000"/>
              </w:rPr>
              <w:t>73</w:t>
            </w:r>
            <w:r w:rsidRPr="00944B5E">
              <w:rPr>
                <w:rFonts w:cs="Arial"/>
                <w:color w:val="000000"/>
              </w:rPr>
              <w:t>, 9.</w:t>
            </w:r>
            <w:r w:rsidR="005A377C" w:rsidRPr="00944B5E">
              <w:rPr>
                <w:rFonts w:cs="Arial"/>
                <w:color w:val="000000"/>
              </w:rPr>
              <w:t>1</w:t>
            </w:r>
            <w:r w:rsidR="005A377C">
              <w:rPr>
                <w:rFonts w:cs="Arial"/>
                <w:color w:val="000000"/>
              </w:rPr>
              <w:t>74</w:t>
            </w:r>
            <w:r w:rsidRPr="00944B5E">
              <w:rPr>
                <w:rFonts w:cs="Arial"/>
                <w:color w:val="000000"/>
              </w:rPr>
              <w:t>, 9.</w:t>
            </w:r>
            <w:r w:rsidR="005A377C" w:rsidRPr="00944B5E">
              <w:rPr>
                <w:rFonts w:cs="Arial"/>
                <w:color w:val="000000"/>
              </w:rPr>
              <w:t>17</w:t>
            </w:r>
            <w:r w:rsidR="005A377C">
              <w:rPr>
                <w:rFonts w:cs="Arial"/>
                <w:color w:val="000000"/>
              </w:rPr>
              <w:t>7</w:t>
            </w:r>
            <w:r w:rsidRPr="00944B5E">
              <w:rPr>
                <w:rFonts w:cs="Arial"/>
                <w:color w:val="000000"/>
              </w:rPr>
              <w:t>, 9.</w:t>
            </w:r>
            <w:r w:rsidR="005A377C" w:rsidRPr="00944B5E">
              <w:rPr>
                <w:rFonts w:cs="Arial"/>
                <w:color w:val="000000"/>
              </w:rPr>
              <w:t>17</w:t>
            </w:r>
            <w:r w:rsidR="005A377C">
              <w:rPr>
                <w:rFonts w:cs="Arial"/>
                <w:color w:val="000000"/>
              </w:rPr>
              <w:t>8</w:t>
            </w:r>
          </w:p>
        </w:tc>
        <w:tc>
          <w:tcPr>
            <w:tcW w:w="3080" w:type="pct"/>
            <w:tcBorders>
              <w:top w:val="single" w:sz="4" w:space="0" w:color="auto"/>
              <w:left w:val="single" w:sz="4" w:space="0" w:color="auto"/>
              <w:bottom w:val="single" w:sz="4" w:space="0" w:color="auto"/>
              <w:right w:val="single" w:sz="4" w:space="0" w:color="auto"/>
            </w:tcBorders>
            <w:noWrap/>
            <w:vAlign w:val="center"/>
          </w:tcPr>
          <w:p w14:paraId="791F0732" w14:textId="77777777" w:rsidR="00115458" w:rsidRPr="00944B5E" w:rsidRDefault="00115458" w:rsidP="00F4606C">
            <w:pPr>
              <w:spacing w:after="0" w:line="240" w:lineRule="auto"/>
              <w:rPr>
                <w:rFonts w:cs="Arial"/>
                <w:color w:val="000000"/>
              </w:rPr>
            </w:pPr>
            <w:r w:rsidRPr="00944B5E">
              <w:rPr>
                <w:rFonts w:cs="Arial"/>
                <w:color w:val="000000"/>
              </w:rPr>
              <w:t>When the Reporting transaction or CGT calculations is 'TRN' this field must be reported.</w:t>
            </w:r>
          </w:p>
        </w:tc>
      </w:tr>
      <w:tr w:rsidR="00FF1D5C" w:rsidRPr="00944B5E" w14:paraId="7C4DF8FD"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352D4BB" w14:textId="77777777" w:rsidR="00115458" w:rsidRPr="00944B5E" w:rsidRDefault="00115458" w:rsidP="00F4606C">
            <w:pPr>
              <w:spacing w:after="0" w:line="240" w:lineRule="auto"/>
              <w:rPr>
                <w:rFonts w:cs="Arial"/>
                <w:color w:val="000000"/>
              </w:rPr>
            </w:pPr>
            <w:r w:rsidRPr="00944B5E">
              <w:rPr>
                <w:rFonts w:cs="Arial"/>
                <w:color w:val="000000"/>
              </w:rPr>
              <w:t>WM537</w:t>
            </w:r>
          </w:p>
        </w:tc>
        <w:tc>
          <w:tcPr>
            <w:tcW w:w="1341" w:type="pct"/>
            <w:tcBorders>
              <w:top w:val="single" w:sz="4" w:space="0" w:color="auto"/>
              <w:left w:val="single" w:sz="4" w:space="0" w:color="auto"/>
              <w:bottom w:val="single" w:sz="4" w:space="0" w:color="auto"/>
              <w:right w:val="single" w:sz="4" w:space="0" w:color="auto"/>
            </w:tcBorders>
            <w:vAlign w:val="center"/>
          </w:tcPr>
          <w:p w14:paraId="0BB7C73A" w14:textId="50841793"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2</w:t>
            </w:r>
            <w:r w:rsidR="005A377C">
              <w:rPr>
                <w:rFonts w:cs="Arial"/>
                <w:color w:val="000000"/>
              </w:rPr>
              <w:t>24</w:t>
            </w:r>
          </w:p>
        </w:tc>
        <w:tc>
          <w:tcPr>
            <w:tcW w:w="3080" w:type="pct"/>
            <w:tcBorders>
              <w:top w:val="single" w:sz="4" w:space="0" w:color="auto"/>
              <w:left w:val="single" w:sz="4" w:space="0" w:color="auto"/>
              <w:bottom w:val="single" w:sz="4" w:space="0" w:color="auto"/>
              <w:right w:val="single" w:sz="4" w:space="0" w:color="auto"/>
            </w:tcBorders>
            <w:noWrap/>
            <w:vAlign w:val="center"/>
          </w:tcPr>
          <w:p w14:paraId="2462C5E0" w14:textId="77777777" w:rsidR="00115458" w:rsidRPr="00944B5E" w:rsidRDefault="00115458" w:rsidP="00F4606C">
            <w:pPr>
              <w:spacing w:after="0" w:line="240" w:lineRule="auto"/>
              <w:rPr>
                <w:rFonts w:cs="Arial"/>
                <w:color w:val="000000"/>
              </w:rPr>
            </w:pPr>
            <w:r w:rsidRPr="00944B5E">
              <w:rPr>
                <w:rFonts w:cs="Arial"/>
                <w:color w:val="000000"/>
              </w:rPr>
              <w:t>The Count of SLDR records in this field must equal the total of all SLDR records in this file.</w:t>
            </w:r>
          </w:p>
        </w:tc>
      </w:tr>
      <w:tr w:rsidR="00FF1D5C" w:rsidRPr="00944B5E" w14:paraId="181B95A0"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6560136" w14:textId="77777777" w:rsidR="00115458" w:rsidRPr="00944B5E" w:rsidRDefault="00115458" w:rsidP="00F4606C">
            <w:pPr>
              <w:spacing w:after="0" w:line="240" w:lineRule="auto"/>
              <w:rPr>
                <w:rFonts w:cs="Arial"/>
                <w:color w:val="000000"/>
              </w:rPr>
            </w:pPr>
            <w:r w:rsidRPr="00944B5E">
              <w:rPr>
                <w:rFonts w:cs="Arial"/>
                <w:color w:val="000000"/>
              </w:rPr>
              <w:t>WM538</w:t>
            </w:r>
          </w:p>
        </w:tc>
        <w:tc>
          <w:tcPr>
            <w:tcW w:w="1341" w:type="pct"/>
            <w:tcBorders>
              <w:top w:val="single" w:sz="4" w:space="0" w:color="auto"/>
              <w:left w:val="single" w:sz="4" w:space="0" w:color="auto"/>
              <w:bottom w:val="single" w:sz="4" w:space="0" w:color="auto"/>
              <w:right w:val="single" w:sz="4" w:space="0" w:color="auto"/>
            </w:tcBorders>
            <w:vAlign w:val="center"/>
          </w:tcPr>
          <w:p w14:paraId="3C7965D6" w14:textId="32EF168F"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22</w:t>
            </w:r>
            <w:r w:rsidR="005A377C">
              <w:rPr>
                <w:rFonts w:cs="Arial"/>
                <w:color w:val="000000"/>
              </w:rPr>
              <w:t>8</w:t>
            </w:r>
          </w:p>
        </w:tc>
        <w:tc>
          <w:tcPr>
            <w:tcW w:w="3080" w:type="pct"/>
            <w:tcBorders>
              <w:top w:val="single" w:sz="4" w:space="0" w:color="auto"/>
              <w:left w:val="single" w:sz="4" w:space="0" w:color="auto"/>
              <w:bottom w:val="single" w:sz="4" w:space="0" w:color="auto"/>
              <w:right w:val="single" w:sz="4" w:space="0" w:color="auto"/>
            </w:tcBorders>
            <w:noWrap/>
            <w:vAlign w:val="center"/>
          </w:tcPr>
          <w:p w14:paraId="184487D4" w14:textId="77777777" w:rsidR="00115458" w:rsidRPr="00944B5E" w:rsidRDefault="00115458" w:rsidP="00F4606C">
            <w:pPr>
              <w:spacing w:after="0" w:line="240" w:lineRule="auto"/>
              <w:rPr>
                <w:rFonts w:cs="Arial"/>
                <w:color w:val="000000"/>
              </w:rPr>
            </w:pPr>
            <w:r w:rsidRPr="00944B5E">
              <w:rPr>
                <w:rFonts w:cs="Arial"/>
                <w:color w:val="000000"/>
              </w:rPr>
              <w:t>The Count of DSALESEC records in this field must equal the total of all DSALESEC records in this file.</w:t>
            </w:r>
          </w:p>
        </w:tc>
      </w:tr>
      <w:tr w:rsidR="00FF1D5C" w:rsidRPr="00944B5E" w14:paraId="2380D1BC"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547EB25" w14:textId="77777777" w:rsidR="00115458" w:rsidRPr="00944B5E" w:rsidRDefault="00115458" w:rsidP="00F4606C">
            <w:pPr>
              <w:spacing w:after="0" w:line="240" w:lineRule="auto"/>
              <w:rPr>
                <w:rFonts w:cs="Arial"/>
                <w:color w:val="000000"/>
              </w:rPr>
            </w:pPr>
            <w:r w:rsidRPr="00944B5E">
              <w:rPr>
                <w:rFonts w:cs="Arial"/>
                <w:color w:val="000000"/>
              </w:rPr>
              <w:t>WM541</w:t>
            </w:r>
          </w:p>
        </w:tc>
        <w:tc>
          <w:tcPr>
            <w:tcW w:w="1341" w:type="pct"/>
            <w:tcBorders>
              <w:top w:val="single" w:sz="4" w:space="0" w:color="auto"/>
              <w:left w:val="single" w:sz="4" w:space="0" w:color="auto"/>
              <w:bottom w:val="single" w:sz="4" w:space="0" w:color="auto"/>
              <w:right w:val="single" w:sz="4" w:space="0" w:color="auto"/>
            </w:tcBorders>
            <w:vAlign w:val="center"/>
          </w:tcPr>
          <w:p w14:paraId="6314EA58" w14:textId="77777777" w:rsidR="00115458" w:rsidRPr="00944B5E" w:rsidRDefault="00115458" w:rsidP="00F4606C">
            <w:pPr>
              <w:spacing w:after="0" w:line="240" w:lineRule="auto"/>
              <w:rPr>
                <w:rFonts w:cs="Arial"/>
                <w:color w:val="000000"/>
              </w:rPr>
            </w:pPr>
            <w:r w:rsidRPr="00944B5E">
              <w:rPr>
                <w:rFonts w:cs="Arial"/>
                <w:color w:val="000000"/>
              </w:rPr>
              <w:t>9.58</w:t>
            </w:r>
          </w:p>
        </w:tc>
        <w:tc>
          <w:tcPr>
            <w:tcW w:w="3080" w:type="pct"/>
            <w:tcBorders>
              <w:top w:val="single" w:sz="4" w:space="0" w:color="auto"/>
              <w:left w:val="single" w:sz="4" w:space="0" w:color="auto"/>
              <w:bottom w:val="single" w:sz="4" w:space="0" w:color="auto"/>
              <w:right w:val="single" w:sz="4" w:space="0" w:color="auto"/>
            </w:tcBorders>
            <w:noWrap/>
            <w:vAlign w:val="center"/>
          </w:tcPr>
          <w:p w14:paraId="346F0E35" w14:textId="77777777" w:rsidR="00115458" w:rsidRPr="00944B5E" w:rsidRDefault="00115458" w:rsidP="00F4606C">
            <w:pPr>
              <w:spacing w:after="0" w:line="240" w:lineRule="auto"/>
              <w:rPr>
                <w:rFonts w:cs="Arial"/>
                <w:color w:val="000000"/>
              </w:rPr>
            </w:pPr>
            <w:r w:rsidRPr="00944B5E">
              <w:rPr>
                <w:rFonts w:cs="Arial"/>
                <w:color w:val="000000"/>
              </w:rPr>
              <w:t>Identifier type (2) should be reported before the Identifier type (3) field.</w:t>
            </w:r>
          </w:p>
        </w:tc>
      </w:tr>
      <w:tr w:rsidR="00FF1D5C" w:rsidRPr="00944B5E" w14:paraId="3F119FB2"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056C5466" w14:textId="49C56D88" w:rsidR="00DE55CE" w:rsidRPr="00944B5E" w:rsidRDefault="00DE55CE" w:rsidP="00F4606C">
            <w:pPr>
              <w:spacing w:after="0" w:line="240" w:lineRule="auto"/>
              <w:rPr>
                <w:rFonts w:cs="Arial"/>
                <w:color w:val="000000"/>
              </w:rPr>
            </w:pPr>
            <w:r>
              <w:rPr>
                <w:rFonts w:cs="Arial"/>
                <w:color w:val="000000"/>
              </w:rPr>
              <w:t>W</w:t>
            </w:r>
            <w:r>
              <w:rPr>
                <w:color w:val="000000"/>
              </w:rPr>
              <w:t>M542</w:t>
            </w:r>
          </w:p>
        </w:tc>
        <w:tc>
          <w:tcPr>
            <w:tcW w:w="1341" w:type="pct"/>
            <w:tcBorders>
              <w:top w:val="single" w:sz="4" w:space="0" w:color="auto"/>
              <w:left w:val="single" w:sz="4" w:space="0" w:color="auto"/>
              <w:bottom w:val="single" w:sz="4" w:space="0" w:color="auto"/>
              <w:right w:val="single" w:sz="4" w:space="0" w:color="auto"/>
            </w:tcBorders>
            <w:vAlign w:val="center"/>
          </w:tcPr>
          <w:p w14:paraId="27EE742B" w14:textId="2528F7FD" w:rsidR="00DE55CE" w:rsidRPr="00944B5E" w:rsidRDefault="00DE55CE" w:rsidP="00F4606C">
            <w:pPr>
              <w:spacing w:after="0" w:line="240" w:lineRule="auto"/>
              <w:rPr>
                <w:rFonts w:cs="Arial"/>
                <w:color w:val="000000"/>
              </w:rPr>
            </w:pPr>
            <w:r>
              <w:rPr>
                <w:rFonts w:cs="Arial"/>
                <w:color w:val="000000"/>
              </w:rPr>
              <w:t>9</w:t>
            </w:r>
            <w:r>
              <w:rPr>
                <w:color w:val="000000"/>
              </w:rPr>
              <w:t>.143</w:t>
            </w:r>
          </w:p>
        </w:tc>
        <w:tc>
          <w:tcPr>
            <w:tcW w:w="3080" w:type="pct"/>
            <w:tcBorders>
              <w:top w:val="single" w:sz="4" w:space="0" w:color="auto"/>
              <w:left w:val="single" w:sz="4" w:space="0" w:color="auto"/>
              <w:bottom w:val="single" w:sz="4" w:space="0" w:color="auto"/>
              <w:right w:val="single" w:sz="4" w:space="0" w:color="auto"/>
            </w:tcBorders>
            <w:noWrap/>
            <w:vAlign w:val="center"/>
          </w:tcPr>
          <w:p w14:paraId="01EB686C" w14:textId="0E4005F3" w:rsidR="00DE55CE" w:rsidRPr="00944B5E" w:rsidRDefault="00866F41" w:rsidP="00F4606C">
            <w:pPr>
              <w:spacing w:after="0" w:line="240" w:lineRule="auto"/>
              <w:rPr>
                <w:rFonts w:cs="Arial"/>
                <w:color w:val="000000"/>
              </w:rPr>
            </w:pPr>
            <w:r>
              <w:rPr>
                <w:rFonts w:cs="Arial"/>
                <w:color w:val="000000"/>
              </w:rPr>
              <w:t>F</w:t>
            </w:r>
            <w:r>
              <w:rPr>
                <w:color w:val="000000"/>
              </w:rPr>
              <w:t>ield must be a 13 digit number and be the ATO’s Our Reference received by the active Build to Rent (BTR) development owner when opting the development into BTR rent tax incentives</w:t>
            </w:r>
          </w:p>
        </w:tc>
      </w:tr>
      <w:tr w:rsidR="00FF1D5C" w:rsidRPr="00944B5E" w14:paraId="175044B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FFAE1E8" w14:textId="77777777" w:rsidR="00115458" w:rsidRPr="00944B5E" w:rsidRDefault="00115458" w:rsidP="00F4606C">
            <w:pPr>
              <w:spacing w:after="0" w:line="240" w:lineRule="auto"/>
              <w:rPr>
                <w:rFonts w:cs="Arial"/>
                <w:color w:val="000000"/>
              </w:rPr>
            </w:pPr>
            <w:r w:rsidRPr="00944B5E">
              <w:rPr>
                <w:rFonts w:cs="Arial"/>
                <w:color w:val="000000"/>
              </w:rPr>
              <w:t>WM543</w:t>
            </w:r>
          </w:p>
        </w:tc>
        <w:tc>
          <w:tcPr>
            <w:tcW w:w="1341" w:type="pct"/>
            <w:tcBorders>
              <w:top w:val="single" w:sz="4" w:space="0" w:color="auto"/>
              <w:left w:val="single" w:sz="4" w:space="0" w:color="auto"/>
              <w:bottom w:val="single" w:sz="4" w:space="0" w:color="auto"/>
              <w:right w:val="single" w:sz="4" w:space="0" w:color="auto"/>
            </w:tcBorders>
            <w:vAlign w:val="center"/>
          </w:tcPr>
          <w:p w14:paraId="76B93521" w14:textId="77777777" w:rsidR="00115458" w:rsidRPr="00944B5E" w:rsidRDefault="00115458" w:rsidP="00F4606C">
            <w:pPr>
              <w:spacing w:after="0" w:line="240" w:lineRule="auto"/>
              <w:rPr>
                <w:rFonts w:cs="Arial"/>
                <w:color w:val="000000"/>
              </w:rPr>
            </w:pPr>
            <w:r w:rsidRPr="00944B5E">
              <w:rPr>
                <w:rFonts w:cs="Arial"/>
                <w:color w:val="000000"/>
              </w:rPr>
              <w:t>9.120</w:t>
            </w:r>
          </w:p>
        </w:tc>
        <w:tc>
          <w:tcPr>
            <w:tcW w:w="3080" w:type="pct"/>
            <w:tcBorders>
              <w:top w:val="single" w:sz="4" w:space="0" w:color="auto"/>
              <w:left w:val="single" w:sz="4" w:space="0" w:color="auto"/>
              <w:bottom w:val="single" w:sz="4" w:space="0" w:color="auto"/>
              <w:right w:val="single" w:sz="4" w:space="0" w:color="auto"/>
            </w:tcBorders>
            <w:noWrap/>
            <w:vAlign w:val="center"/>
          </w:tcPr>
          <w:p w14:paraId="3A382781" w14:textId="77777777" w:rsidR="00115458" w:rsidRPr="00944B5E" w:rsidRDefault="00115458" w:rsidP="00F4606C">
            <w:pPr>
              <w:spacing w:after="0" w:line="240" w:lineRule="auto"/>
              <w:rPr>
                <w:rFonts w:cs="Arial"/>
                <w:color w:val="000000"/>
              </w:rPr>
            </w:pPr>
            <w:r w:rsidRPr="00944B5E">
              <w:rPr>
                <w:rFonts w:cs="Arial"/>
                <w:color w:val="000000"/>
              </w:rPr>
              <w:t>Sum of Unfranked distributions from trusts and Franked distributions from trusts must be equal to or less than the sum of Unfranked dividends not declared to be conduit foreign income, Unfranked dividends declared to be conduit foreign income, Franked dividends and Franking credit.</w:t>
            </w:r>
          </w:p>
        </w:tc>
      </w:tr>
      <w:tr w:rsidR="00FF1D5C" w:rsidRPr="00944B5E" w14:paraId="2D9C4734"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7D694445" w14:textId="77777777" w:rsidR="00115458" w:rsidRPr="00944B5E" w:rsidRDefault="00115458" w:rsidP="00F4606C">
            <w:pPr>
              <w:spacing w:after="0" w:line="240" w:lineRule="auto"/>
              <w:rPr>
                <w:rFonts w:cs="Arial"/>
                <w:color w:val="000000"/>
              </w:rPr>
            </w:pPr>
            <w:r w:rsidRPr="00944B5E">
              <w:rPr>
                <w:rFonts w:cs="Arial"/>
                <w:color w:val="000000"/>
              </w:rPr>
              <w:t>WM544</w:t>
            </w:r>
          </w:p>
        </w:tc>
        <w:tc>
          <w:tcPr>
            <w:tcW w:w="1341" w:type="pct"/>
            <w:tcBorders>
              <w:top w:val="single" w:sz="4" w:space="0" w:color="auto"/>
              <w:left w:val="single" w:sz="4" w:space="0" w:color="auto"/>
              <w:bottom w:val="single" w:sz="4" w:space="0" w:color="auto"/>
              <w:right w:val="single" w:sz="4" w:space="0" w:color="auto"/>
            </w:tcBorders>
            <w:vAlign w:val="center"/>
          </w:tcPr>
          <w:p w14:paraId="4A6D0DD1" w14:textId="77777777" w:rsidR="00115458" w:rsidRPr="00944B5E" w:rsidRDefault="00115458" w:rsidP="00F4606C">
            <w:pPr>
              <w:spacing w:after="0" w:line="240" w:lineRule="auto"/>
              <w:rPr>
                <w:rFonts w:cs="Arial"/>
                <w:color w:val="000000"/>
              </w:rPr>
            </w:pPr>
            <w:r w:rsidRPr="00944B5E">
              <w:rPr>
                <w:rFonts w:cs="Arial"/>
                <w:color w:val="000000"/>
              </w:rPr>
              <w:t>9.131</w:t>
            </w:r>
          </w:p>
        </w:tc>
        <w:tc>
          <w:tcPr>
            <w:tcW w:w="3080" w:type="pct"/>
            <w:tcBorders>
              <w:top w:val="single" w:sz="4" w:space="0" w:color="auto"/>
              <w:left w:val="single" w:sz="4" w:space="0" w:color="auto"/>
              <w:bottom w:val="single" w:sz="4" w:space="0" w:color="auto"/>
              <w:right w:val="single" w:sz="4" w:space="0" w:color="auto"/>
            </w:tcBorders>
            <w:noWrap/>
            <w:vAlign w:val="center"/>
          </w:tcPr>
          <w:p w14:paraId="54B7E36A" w14:textId="77777777" w:rsidR="00115458" w:rsidRPr="00944B5E" w:rsidRDefault="00115458" w:rsidP="00F4606C">
            <w:pPr>
              <w:spacing w:after="0" w:line="240" w:lineRule="auto"/>
              <w:rPr>
                <w:rFonts w:cs="Arial"/>
                <w:color w:val="000000"/>
              </w:rPr>
            </w:pPr>
            <w:r w:rsidRPr="00944B5E">
              <w:rPr>
                <w:rFonts w:cs="Arial"/>
                <w:color w:val="000000"/>
              </w:rPr>
              <w:t>If the Payment type is not ‘AMT’, this field must be blank filled.</w:t>
            </w:r>
          </w:p>
        </w:tc>
      </w:tr>
      <w:tr w:rsidR="00FF1D5C" w:rsidRPr="00944B5E" w14:paraId="01A1FA25"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F646CBB" w14:textId="77777777" w:rsidR="00115458" w:rsidRPr="00944B5E" w:rsidRDefault="00115458" w:rsidP="00F4606C">
            <w:pPr>
              <w:spacing w:after="0" w:line="240" w:lineRule="auto"/>
              <w:rPr>
                <w:rFonts w:cs="Arial"/>
                <w:color w:val="000000"/>
              </w:rPr>
            </w:pPr>
            <w:r w:rsidRPr="00944B5E">
              <w:rPr>
                <w:rFonts w:cs="Arial"/>
                <w:color w:val="000000"/>
              </w:rPr>
              <w:t>WM546</w:t>
            </w:r>
          </w:p>
        </w:tc>
        <w:tc>
          <w:tcPr>
            <w:tcW w:w="1341" w:type="pct"/>
            <w:tcBorders>
              <w:top w:val="single" w:sz="4" w:space="0" w:color="auto"/>
              <w:left w:val="single" w:sz="4" w:space="0" w:color="auto"/>
              <w:bottom w:val="single" w:sz="4" w:space="0" w:color="auto"/>
              <w:right w:val="single" w:sz="4" w:space="0" w:color="auto"/>
            </w:tcBorders>
            <w:vAlign w:val="center"/>
          </w:tcPr>
          <w:p w14:paraId="2AAC2FC8" w14:textId="69084B42" w:rsidR="00115458" w:rsidRPr="00944B5E" w:rsidDel="001E215A"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19</w:t>
            </w:r>
            <w:r w:rsidR="005A377C">
              <w:rPr>
                <w:rFonts w:cs="Arial"/>
                <w:color w:val="000000"/>
              </w:rPr>
              <w:t>8</w:t>
            </w:r>
          </w:p>
        </w:tc>
        <w:tc>
          <w:tcPr>
            <w:tcW w:w="3080" w:type="pct"/>
            <w:tcBorders>
              <w:top w:val="single" w:sz="4" w:space="0" w:color="auto"/>
              <w:left w:val="single" w:sz="4" w:space="0" w:color="auto"/>
              <w:bottom w:val="single" w:sz="4" w:space="0" w:color="auto"/>
              <w:right w:val="single" w:sz="4" w:space="0" w:color="auto"/>
            </w:tcBorders>
            <w:noWrap/>
            <w:vAlign w:val="center"/>
          </w:tcPr>
          <w:p w14:paraId="2AB1CA13" w14:textId="77777777" w:rsidR="00115458" w:rsidRPr="00944B5E" w:rsidRDefault="00115458" w:rsidP="00F4606C">
            <w:pPr>
              <w:spacing w:after="0" w:line="240" w:lineRule="auto"/>
              <w:rPr>
                <w:rFonts w:cs="Arial"/>
                <w:color w:val="000000"/>
              </w:rPr>
            </w:pPr>
            <w:r w:rsidRPr="00944B5E">
              <w:rPr>
                <w:rFonts w:cs="Arial"/>
                <w:color w:val="000000"/>
              </w:rPr>
              <w:t>TFN Exemption ‘777777777’ is no longer a valid exemption code.</w:t>
            </w:r>
          </w:p>
        </w:tc>
      </w:tr>
      <w:tr w:rsidR="00FF1D5C" w:rsidRPr="00944B5E" w14:paraId="436CD409"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3E061C9B" w14:textId="77777777" w:rsidR="00115458" w:rsidRPr="00944B5E" w:rsidRDefault="00115458" w:rsidP="00F4606C">
            <w:pPr>
              <w:spacing w:after="0" w:line="240" w:lineRule="auto"/>
              <w:rPr>
                <w:rFonts w:cs="Arial"/>
                <w:color w:val="000000"/>
              </w:rPr>
            </w:pPr>
            <w:r w:rsidRPr="00944B5E">
              <w:rPr>
                <w:rFonts w:cs="Arial"/>
                <w:color w:val="000000"/>
              </w:rPr>
              <w:t>WM598</w:t>
            </w:r>
          </w:p>
        </w:tc>
        <w:tc>
          <w:tcPr>
            <w:tcW w:w="1341" w:type="pct"/>
            <w:tcBorders>
              <w:top w:val="single" w:sz="4" w:space="0" w:color="auto"/>
              <w:left w:val="single" w:sz="4" w:space="0" w:color="auto"/>
              <w:bottom w:val="single" w:sz="4" w:space="0" w:color="auto"/>
              <w:right w:val="single" w:sz="4" w:space="0" w:color="auto"/>
            </w:tcBorders>
            <w:vAlign w:val="center"/>
          </w:tcPr>
          <w:p w14:paraId="0B8444DF" w14:textId="042A9D90" w:rsidR="00115458" w:rsidRPr="00944B5E" w:rsidRDefault="00115458" w:rsidP="00F4606C">
            <w:pPr>
              <w:spacing w:after="0" w:line="240" w:lineRule="auto"/>
              <w:rPr>
                <w:rFonts w:cs="Arial"/>
                <w:color w:val="000000"/>
              </w:rPr>
            </w:pPr>
            <w:r w:rsidRPr="00944B5E">
              <w:rPr>
                <w:rFonts w:cs="Arial"/>
                <w:color w:val="000000"/>
              </w:rPr>
              <w:t>9.</w:t>
            </w:r>
            <w:r w:rsidR="005A377C" w:rsidRPr="00944B5E">
              <w:rPr>
                <w:rFonts w:cs="Arial"/>
                <w:color w:val="000000"/>
              </w:rPr>
              <w:t>19</w:t>
            </w:r>
            <w:r w:rsidR="005A377C">
              <w:rPr>
                <w:rFonts w:cs="Arial"/>
                <w:color w:val="000000"/>
              </w:rPr>
              <w:t>7</w:t>
            </w:r>
          </w:p>
        </w:tc>
        <w:tc>
          <w:tcPr>
            <w:tcW w:w="3080" w:type="pct"/>
            <w:tcBorders>
              <w:top w:val="single" w:sz="4" w:space="0" w:color="auto"/>
              <w:left w:val="single" w:sz="4" w:space="0" w:color="auto"/>
              <w:bottom w:val="single" w:sz="4" w:space="0" w:color="auto"/>
              <w:right w:val="single" w:sz="4" w:space="0" w:color="auto"/>
            </w:tcBorders>
            <w:noWrap/>
            <w:vAlign w:val="center"/>
          </w:tcPr>
          <w:p w14:paraId="6C52E6CA" w14:textId="77777777" w:rsidR="00115458" w:rsidRPr="00944B5E" w:rsidRDefault="00115458" w:rsidP="00F4606C">
            <w:pPr>
              <w:spacing w:after="0" w:line="240" w:lineRule="auto"/>
              <w:rPr>
                <w:rFonts w:cs="Arial"/>
              </w:rPr>
            </w:pPr>
            <w:r w:rsidRPr="00944B5E">
              <w:rPr>
                <w:rFonts w:cs="Arial"/>
              </w:rPr>
              <w:t>The Investor entity type field must contain either I (Individual), D (Deceased individual), C (Corporation), E (sovereign entity), F (Foreign super/pension fund), P (Partnership), T (Trust), S (Australian superannuation fund), G (Government organisation) or O (Other non - individual).</w:t>
            </w:r>
          </w:p>
        </w:tc>
      </w:tr>
      <w:tr w:rsidR="00FF1D5C" w:rsidRPr="00944B5E" w14:paraId="6E1FC2A6"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410F3277" w14:textId="77777777" w:rsidR="00115458" w:rsidRPr="00944B5E" w:rsidRDefault="00115458" w:rsidP="00F4606C">
            <w:pPr>
              <w:spacing w:after="0" w:line="240" w:lineRule="auto"/>
              <w:rPr>
                <w:rFonts w:cs="Arial"/>
              </w:rPr>
            </w:pPr>
            <w:bookmarkStart w:id="2026" w:name="_Hlk77677910"/>
            <w:r w:rsidRPr="00944B5E">
              <w:rPr>
                <w:rFonts w:cs="Arial"/>
              </w:rPr>
              <w:t>WM599</w:t>
            </w:r>
            <w:bookmarkEnd w:id="2026"/>
          </w:p>
        </w:tc>
        <w:tc>
          <w:tcPr>
            <w:tcW w:w="1341" w:type="pct"/>
            <w:tcBorders>
              <w:top w:val="single" w:sz="4" w:space="0" w:color="auto"/>
              <w:left w:val="single" w:sz="4" w:space="0" w:color="auto"/>
              <w:bottom w:val="single" w:sz="4" w:space="0" w:color="auto"/>
              <w:right w:val="single" w:sz="4" w:space="0" w:color="auto"/>
            </w:tcBorders>
            <w:vAlign w:val="center"/>
          </w:tcPr>
          <w:p w14:paraId="7F0FC6DC" w14:textId="3FBA6D7E" w:rsidR="00115458" w:rsidRPr="00944B5E" w:rsidRDefault="00115458" w:rsidP="00F4606C">
            <w:pPr>
              <w:spacing w:after="0" w:line="240" w:lineRule="auto"/>
              <w:rPr>
                <w:rFonts w:cs="Arial"/>
              </w:rPr>
            </w:pPr>
            <w:bookmarkStart w:id="2027" w:name="_Hlk77677918"/>
            <w:r w:rsidRPr="00944B5E">
              <w:rPr>
                <w:rFonts w:cs="Arial"/>
              </w:rPr>
              <w:t>9.</w:t>
            </w:r>
            <w:bookmarkEnd w:id="2027"/>
            <w:r w:rsidR="005A377C" w:rsidRPr="00944B5E">
              <w:rPr>
                <w:rFonts w:cs="Arial"/>
              </w:rPr>
              <w:t>11</w:t>
            </w:r>
            <w:r w:rsidR="005A377C">
              <w:rPr>
                <w:rFonts w:cs="Arial"/>
              </w:rPr>
              <w:t>8</w:t>
            </w:r>
          </w:p>
        </w:tc>
        <w:tc>
          <w:tcPr>
            <w:tcW w:w="3080" w:type="pct"/>
            <w:tcBorders>
              <w:top w:val="single" w:sz="4" w:space="0" w:color="auto"/>
              <w:left w:val="single" w:sz="4" w:space="0" w:color="auto"/>
              <w:bottom w:val="single" w:sz="4" w:space="0" w:color="auto"/>
              <w:right w:val="single" w:sz="4" w:space="0" w:color="auto"/>
            </w:tcBorders>
            <w:noWrap/>
            <w:vAlign w:val="center"/>
          </w:tcPr>
          <w:p w14:paraId="1B4CD8A4" w14:textId="469B97F3" w:rsidR="00115458" w:rsidRPr="00944B5E" w:rsidRDefault="00115458" w:rsidP="00F4606C">
            <w:pPr>
              <w:spacing w:after="0" w:line="240" w:lineRule="auto"/>
              <w:rPr>
                <w:rFonts w:cs="Arial"/>
              </w:rPr>
            </w:pPr>
            <w:r w:rsidRPr="00944B5E">
              <w:rPr>
                <w:rStyle w:val="normaltextrun"/>
                <w:rFonts w:cs="Arial"/>
                <w:shd w:val="clear" w:color="auto" w:fill="FFFFFF"/>
              </w:rPr>
              <w:t>If Primary production NCMI and/or Primary production Excluded from NCMI is greater than zero then Primary production income field must be greater than zero.</w:t>
            </w:r>
            <w:r w:rsidRPr="00944B5E">
              <w:rPr>
                <w:rStyle w:val="eop"/>
                <w:shd w:val="clear" w:color="auto" w:fill="FFFFFF"/>
              </w:rPr>
              <w:t> </w:t>
            </w:r>
          </w:p>
        </w:tc>
      </w:tr>
      <w:tr w:rsidR="001C3FB0" w:rsidRPr="00944B5E" w14:paraId="4DF58AF6"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54ECDA5F" w14:textId="5E23365C" w:rsidR="006868F9" w:rsidRPr="00944B5E" w:rsidRDefault="006868F9" w:rsidP="00F4606C">
            <w:pPr>
              <w:spacing w:after="0" w:line="240" w:lineRule="auto"/>
              <w:rPr>
                <w:rFonts w:cs="Arial"/>
              </w:rPr>
            </w:pPr>
            <w:r>
              <w:rPr>
                <w:rFonts w:cs="Arial"/>
              </w:rPr>
              <w:t>WM613</w:t>
            </w:r>
          </w:p>
        </w:tc>
        <w:tc>
          <w:tcPr>
            <w:tcW w:w="1341" w:type="pct"/>
            <w:tcBorders>
              <w:top w:val="single" w:sz="4" w:space="0" w:color="auto"/>
              <w:left w:val="single" w:sz="4" w:space="0" w:color="auto"/>
              <w:bottom w:val="single" w:sz="4" w:space="0" w:color="auto"/>
              <w:right w:val="single" w:sz="4" w:space="0" w:color="auto"/>
            </w:tcBorders>
            <w:vAlign w:val="center"/>
          </w:tcPr>
          <w:p w14:paraId="1D823ED6" w14:textId="46E4CC9C" w:rsidR="006868F9" w:rsidRPr="00944B5E" w:rsidRDefault="006868F9" w:rsidP="00F4606C">
            <w:pPr>
              <w:spacing w:after="0" w:line="240" w:lineRule="auto"/>
              <w:rPr>
                <w:rFonts w:cs="Arial"/>
              </w:rPr>
            </w:pPr>
            <w:r>
              <w:rPr>
                <w:rFonts w:cs="Arial"/>
              </w:rPr>
              <w:t>9.</w:t>
            </w:r>
            <w:r w:rsidR="00672671">
              <w:rPr>
                <w:rFonts w:cs="Arial"/>
              </w:rPr>
              <w:t>142</w:t>
            </w:r>
          </w:p>
        </w:tc>
        <w:tc>
          <w:tcPr>
            <w:tcW w:w="3080" w:type="pct"/>
            <w:tcBorders>
              <w:top w:val="single" w:sz="4" w:space="0" w:color="auto"/>
              <w:left w:val="single" w:sz="4" w:space="0" w:color="auto"/>
              <w:bottom w:val="single" w:sz="4" w:space="0" w:color="auto"/>
              <w:right w:val="single" w:sz="4" w:space="0" w:color="auto"/>
            </w:tcBorders>
            <w:noWrap/>
            <w:vAlign w:val="center"/>
          </w:tcPr>
          <w:p w14:paraId="28B166CB" w14:textId="3A2FCF6D" w:rsidR="006868F9" w:rsidRPr="00944B5E" w:rsidRDefault="00E81180" w:rsidP="00F4606C">
            <w:pPr>
              <w:spacing w:after="0" w:line="240" w:lineRule="auto"/>
              <w:rPr>
                <w:rStyle w:val="normaltextrun"/>
                <w:rFonts w:cs="Arial"/>
                <w:shd w:val="clear" w:color="auto" w:fill="FFFFFF"/>
              </w:rPr>
            </w:pPr>
            <w:r>
              <w:rPr>
                <w:rStyle w:val="normaltextrun"/>
                <w:rFonts w:cs="Arial"/>
                <w:shd w:val="clear" w:color="auto" w:fill="FFFFFF"/>
              </w:rPr>
              <w:t xml:space="preserve">BTR entity or payment recipient must </w:t>
            </w:r>
            <w:r w:rsidR="004A4C24">
              <w:rPr>
                <w:rStyle w:val="normaltextrun"/>
                <w:rFonts w:cs="Arial"/>
                <w:shd w:val="clear" w:color="auto" w:fill="FFFFFF"/>
              </w:rPr>
              <w:t>equal E for BTR entity and P for BTR payment recipient</w:t>
            </w:r>
          </w:p>
        </w:tc>
      </w:tr>
      <w:tr w:rsidR="001C3FB0" w:rsidRPr="00944B5E" w14:paraId="32FA0E3A" w14:textId="77777777" w:rsidTr="00427C84">
        <w:trPr>
          <w:trHeight w:val="300"/>
        </w:trPr>
        <w:tc>
          <w:tcPr>
            <w:tcW w:w="579" w:type="pct"/>
            <w:tcBorders>
              <w:top w:val="single" w:sz="4" w:space="0" w:color="auto"/>
              <w:left w:val="single" w:sz="4" w:space="0" w:color="auto"/>
              <w:bottom w:val="single" w:sz="4" w:space="0" w:color="auto"/>
              <w:right w:val="single" w:sz="4" w:space="0" w:color="auto"/>
            </w:tcBorders>
            <w:vAlign w:val="center"/>
          </w:tcPr>
          <w:p w14:paraId="19216B41" w14:textId="22662881" w:rsidR="004A4C24" w:rsidRDefault="004A4C24" w:rsidP="00F4606C">
            <w:pPr>
              <w:spacing w:after="0" w:line="240" w:lineRule="auto"/>
              <w:rPr>
                <w:rFonts w:cs="Arial"/>
              </w:rPr>
            </w:pPr>
            <w:r>
              <w:rPr>
                <w:rFonts w:cs="Arial"/>
              </w:rPr>
              <w:t>W</w:t>
            </w:r>
            <w:r>
              <w:t>M614</w:t>
            </w:r>
          </w:p>
        </w:tc>
        <w:tc>
          <w:tcPr>
            <w:tcW w:w="1341" w:type="pct"/>
            <w:tcBorders>
              <w:top w:val="single" w:sz="4" w:space="0" w:color="auto"/>
              <w:left w:val="single" w:sz="4" w:space="0" w:color="auto"/>
              <w:bottom w:val="single" w:sz="4" w:space="0" w:color="auto"/>
              <w:right w:val="single" w:sz="4" w:space="0" w:color="auto"/>
            </w:tcBorders>
            <w:vAlign w:val="center"/>
          </w:tcPr>
          <w:p w14:paraId="321C67C4" w14:textId="4BE2BA3D" w:rsidR="004A4C24" w:rsidRDefault="00FD1F5C" w:rsidP="00F4606C">
            <w:pPr>
              <w:spacing w:after="0" w:line="240" w:lineRule="auto"/>
              <w:rPr>
                <w:rFonts w:cs="Arial"/>
              </w:rPr>
            </w:pPr>
            <w:r>
              <w:rPr>
                <w:rFonts w:cs="Arial"/>
              </w:rPr>
              <w:t>9.143</w:t>
            </w:r>
          </w:p>
        </w:tc>
        <w:tc>
          <w:tcPr>
            <w:tcW w:w="3080" w:type="pct"/>
            <w:tcBorders>
              <w:top w:val="single" w:sz="4" w:space="0" w:color="auto"/>
              <w:left w:val="single" w:sz="4" w:space="0" w:color="auto"/>
              <w:bottom w:val="single" w:sz="4" w:space="0" w:color="auto"/>
              <w:right w:val="single" w:sz="4" w:space="0" w:color="auto"/>
            </w:tcBorders>
            <w:noWrap/>
            <w:vAlign w:val="center"/>
          </w:tcPr>
          <w:p w14:paraId="06C5AB2A" w14:textId="1A9556D1" w:rsidR="004A4C24" w:rsidRDefault="008C6CE8" w:rsidP="00F4606C">
            <w:pPr>
              <w:spacing w:after="0" w:line="240" w:lineRule="auto"/>
              <w:rPr>
                <w:rStyle w:val="normaltextrun"/>
                <w:rFonts w:cs="Arial"/>
                <w:shd w:val="clear" w:color="auto" w:fill="FFFFFF"/>
              </w:rPr>
            </w:pPr>
            <w:r>
              <w:rPr>
                <w:rStyle w:val="normaltextrun"/>
                <w:rFonts w:cs="Arial"/>
                <w:shd w:val="clear" w:color="auto" w:fill="FFFFFF"/>
              </w:rPr>
              <w:t>I</w:t>
            </w:r>
            <w:r>
              <w:rPr>
                <w:rStyle w:val="normaltextrun"/>
                <w:shd w:val="clear" w:color="auto" w:fill="FFFFFF"/>
              </w:rPr>
              <w:t>f BTR entity or payment recipient field equals E field must be completed</w:t>
            </w:r>
          </w:p>
        </w:tc>
      </w:tr>
    </w:tbl>
    <w:p w14:paraId="537B478D" w14:textId="77777777" w:rsidR="00115458" w:rsidRDefault="00115458" w:rsidP="00115458"/>
    <w:p w14:paraId="3B74BFC5" w14:textId="77777777" w:rsidR="00115458" w:rsidRPr="00B35C0A" w:rsidRDefault="00115458" w:rsidP="00115458">
      <w:pPr>
        <w:rPr>
          <w:rFonts w:cs="Arial"/>
        </w:rPr>
      </w:pPr>
    </w:p>
    <w:p w14:paraId="55AB9841" w14:textId="77777777" w:rsidR="004A6F71" w:rsidRPr="0051035C" w:rsidRDefault="004A6F71" w:rsidP="0023547A">
      <w:pPr>
        <w:rPr>
          <w:rFonts w:ascii="Arial" w:eastAsia="Times New Roman" w:hAnsi="Arial"/>
          <w:color w:val="auto"/>
          <w:sz w:val="22"/>
          <w:szCs w:val="24"/>
          <w:lang w:eastAsia="en-AU"/>
        </w:rPr>
      </w:pPr>
      <w:bookmarkStart w:id="2028" w:name="_Toc467153123"/>
      <w:bookmarkStart w:id="2029" w:name="_4._Investor_and"/>
      <w:bookmarkEnd w:id="2028"/>
      <w:bookmarkEnd w:id="2029"/>
      <w:bookmarkEnd w:id="1688"/>
    </w:p>
    <w:sectPr w:rsidR="004A6F71" w:rsidRPr="0051035C" w:rsidSect="005C7D66">
      <w:headerReference w:type="even" r:id="rId54"/>
      <w:headerReference w:type="default" r:id="rId55"/>
      <w:footerReference w:type="even" r:id="rId56"/>
      <w:footerReference w:type="default" r:id="rId57"/>
      <w:headerReference w:type="first" r:id="rId58"/>
      <w:footerReference w:type="first" r:id="rId59"/>
      <w:pgSz w:w="11906" w:h="16838" w:code="9"/>
      <w:pgMar w:top="964" w:right="992" w:bottom="1843" w:left="992"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BC27" w14:textId="77777777" w:rsidR="00591C7D" w:rsidRDefault="00591C7D" w:rsidP="00750AFE">
      <w:r>
        <w:separator/>
      </w:r>
    </w:p>
  </w:endnote>
  <w:endnote w:type="continuationSeparator" w:id="0">
    <w:p w14:paraId="776839FA" w14:textId="77777777" w:rsidR="00591C7D" w:rsidRDefault="00591C7D" w:rsidP="00750AFE">
      <w:r>
        <w:continuationSeparator/>
      </w:r>
    </w:p>
  </w:endnote>
  <w:endnote w:type="continuationNotice" w:id="1">
    <w:p w14:paraId="328C8439" w14:textId="77777777" w:rsidR="00591C7D" w:rsidRDefault="00591C7D" w:rsidP="00750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80"/>
    <w:family w:val="auto"/>
    <w:notTrueType/>
    <w:pitch w:val="default"/>
    <w:sig w:usb0="00000001" w:usb1="08070000" w:usb2="00000010" w:usb3="00000000" w:csb0="00020000" w:csb1="00000000"/>
  </w:font>
  <w:font w:name="ヒラギノ角ゴ Pro W3">
    <w:charset w:val="80"/>
    <w:family w:val="auto"/>
    <w:pitch w:val="variable"/>
    <w:sig w:usb0="00000001" w:usb1="00000000" w:usb2="01000407"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F7BE" w14:textId="77777777" w:rsidR="00EB225F" w:rsidRDefault="00EB225F" w:rsidP="00EB225F">
    <w:r>
      <w:rPr>
        <w:noProof/>
      </w:rPr>
      <mc:AlternateContent>
        <mc:Choice Requires="wps">
          <w:drawing>
            <wp:anchor distT="0" distB="0" distL="0" distR="0" simplePos="0" relativeHeight="251661312" behindDoc="0" locked="0" layoutInCell="1" allowOverlap="1" wp14:anchorId="159A6D39" wp14:editId="605CF381">
              <wp:simplePos x="628650" y="9906000"/>
              <wp:positionH relativeFrom="column">
                <wp:align>center</wp:align>
              </wp:positionH>
              <wp:positionV relativeFrom="paragraph">
                <wp:posOffset>635</wp:posOffset>
              </wp:positionV>
              <wp:extent cx="443865" cy="443865"/>
              <wp:effectExtent l="0" t="0" r="10160" b="0"/>
              <wp:wrapSquare wrapText="bothSides"/>
              <wp:docPr id="594731206" name="Text Box 59473120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8D9CF4" w14:textId="77777777" w:rsidR="00EB225F" w:rsidRPr="00537D3D" w:rsidRDefault="00EB225F" w:rsidP="00EB225F">
                          <w:pPr>
                            <w:rPr>
                              <w:rFonts w:ascii="Verdana" w:eastAsia="Verdana" w:hAnsi="Verdana" w:cs="Verdana"/>
                              <w:noProof/>
                              <w:color w:val="auto"/>
                            </w:rPr>
                          </w:pPr>
                          <w:r w:rsidRPr="00537D3D">
                            <w:rPr>
                              <w:rFonts w:ascii="Verdana" w:eastAsia="Verdana" w:hAnsi="Verdana" w:cs="Verdana"/>
                              <w:noProof/>
                              <w:color w:val="auto"/>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9A6D39" id="_x0000_t202" coordsize="21600,21600" o:spt="202" path="m,l,21600r21600,l21600,xe">
              <v:stroke joinstyle="miter"/>
              <v:path gradientshapeok="t" o:connecttype="rect"/>
            </v:shapetype>
            <v:shape id="Text Box 594731206" o:spid="_x0000_s1041"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D8D9CF4" w14:textId="77777777" w:rsidR="00EB225F" w:rsidRPr="00537D3D" w:rsidRDefault="00EB225F" w:rsidP="00EB225F">
                    <w:pPr>
                      <w:rPr>
                        <w:rFonts w:ascii="Verdana" w:eastAsia="Verdana" w:hAnsi="Verdana" w:cs="Verdana"/>
                        <w:noProof/>
                        <w:color w:val="auto"/>
                      </w:rPr>
                    </w:pPr>
                    <w:r w:rsidRPr="00537D3D">
                      <w:rPr>
                        <w:rFonts w:ascii="Verdana" w:eastAsia="Verdana" w:hAnsi="Verdana" w:cs="Verdana"/>
                        <w:noProof/>
                        <w:color w:val="auto"/>
                      </w:rPr>
                      <w:t>OFFICIAL</w:t>
                    </w:r>
                  </w:p>
                </w:txbxContent>
              </v:textbox>
              <w10:wrap type="square"/>
            </v:shape>
          </w:pict>
        </mc:Fallback>
      </mc:AlternateContent>
    </w:r>
  </w:p>
  <w:tbl>
    <w:tblPr>
      <w:tblStyle w:val="LayoutGrid"/>
      <w:tblW w:w="5000" w:type="pct"/>
      <w:tblLook w:val="04A0" w:firstRow="1" w:lastRow="0" w:firstColumn="1" w:lastColumn="0" w:noHBand="0" w:noVBand="1"/>
    </w:tblPr>
    <w:tblGrid>
      <w:gridCol w:w="6784"/>
      <w:gridCol w:w="2514"/>
    </w:tblGrid>
    <w:tr w:rsidR="00EB225F" w14:paraId="5DB8B462" w14:textId="77777777" w:rsidTr="000C1365">
      <w:trPr>
        <w:trHeight w:val="113"/>
      </w:trPr>
      <w:sdt>
        <w:sdtPr>
          <w:id w:val="-848093368"/>
          <w:comboBox>
            <w:listItem w:value="Choose an item."/>
            <w:listItem w:displayText="Internal" w:value="Internal"/>
            <w:listItem w:displayText="External" w:value="External"/>
          </w:comboBox>
        </w:sdtPr>
        <w:sdtEndPr/>
        <w:sdtContent>
          <w:tc>
            <w:tcPr>
              <w:tcW w:w="7230" w:type="dxa"/>
            </w:tcPr>
            <w:p w14:paraId="0403FAAF" w14:textId="77777777" w:rsidR="00EB225F" w:rsidRPr="00D02C7A" w:rsidRDefault="00EB225F" w:rsidP="00EB225F">
              <w:pPr>
                <w:pStyle w:val="Footer"/>
              </w:pPr>
              <w:r>
                <w:t>External</w:t>
              </w:r>
            </w:p>
          </w:tc>
        </w:sdtContent>
      </w:sdt>
      <w:tc>
        <w:tcPr>
          <w:tcW w:w="2692" w:type="dxa"/>
        </w:tcPr>
        <w:p w14:paraId="27B4CA11" w14:textId="77777777" w:rsidR="00EB225F" w:rsidRPr="00D35A09" w:rsidRDefault="00EB225F" w:rsidP="00EB225F">
          <w:pPr>
            <w:pStyle w:val="Footer"/>
            <w:jc w:val="right"/>
          </w:pPr>
          <w:r>
            <w:fldChar w:fldCharType="begin"/>
          </w:r>
          <w:r>
            <w:instrText xml:space="preserve"> PAGE  \* Arabic </w:instrText>
          </w:r>
          <w:r>
            <w:fldChar w:fldCharType="separate"/>
          </w:r>
          <w:r>
            <w:t>2</w:t>
          </w:r>
          <w:r>
            <w:fldChar w:fldCharType="end"/>
          </w:r>
        </w:p>
      </w:tc>
    </w:tr>
  </w:tbl>
  <w:p w14:paraId="11ECF503" w14:textId="77777777" w:rsidR="00EB225F" w:rsidRPr="00424F48" w:rsidRDefault="00EB225F" w:rsidP="00EB225F">
    <w:pPr>
      <w:pStyle w:val="Footer"/>
      <w:spacing w:after="0" w:line="120" w:lineRule="atLeast"/>
      <w:rPr>
        <w:sz w:val="10"/>
        <w:szCs w:val="10"/>
      </w:rPr>
    </w:pPr>
  </w:p>
  <w:p w14:paraId="4A802CA9" w14:textId="77777777" w:rsidR="00115458" w:rsidRPr="003735AF" w:rsidRDefault="00115458" w:rsidP="000C1365">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92F9" w14:textId="63A7AFE4" w:rsidR="00D81A10" w:rsidRDefault="00D81A10">
    <w:pPr>
      <w:pStyle w:val="Footer"/>
    </w:pPr>
    <w:r>
      <w:rPr>
        <w:noProof/>
      </w:rPr>
      <mc:AlternateContent>
        <mc:Choice Requires="wps">
          <w:drawing>
            <wp:anchor distT="0" distB="0" distL="0" distR="0" simplePos="0" relativeHeight="251657216" behindDoc="0" locked="0" layoutInCell="1" allowOverlap="1" wp14:anchorId="33139D37" wp14:editId="2EAD18D1">
              <wp:simplePos x="635" y="635"/>
              <wp:positionH relativeFrom="column">
                <wp:align>center</wp:align>
              </wp:positionH>
              <wp:positionV relativeFrom="paragraph">
                <wp:posOffset>635</wp:posOffset>
              </wp:positionV>
              <wp:extent cx="443865" cy="443865"/>
              <wp:effectExtent l="0" t="0" r="10160" b="0"/>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CF8F2" w14:textId="72B72F9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139D37" id="_x0000_t202" coordsize="21600,21600" o:spt="202" path="m,l,21600r21600,l21600,xe">
              <v:stroke joinstyle="miter"/>
              <v:path gradientshapeok="t" o:connecttype="rect"/>
            </v:shapetype>
            <v:shape id="Text Box 13" o:spid="_x0000_s1045" type="#_x0000_t202" alt="OFFICIAL"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E0CF8F2" w14:textId="72B72F9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p w14:paraId="516B989D" w14:textId="77777777" w:rsidR="008B2C78" w:rsidRDefault="008B2C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3095" w14:textId="5E80072C" w:rsidR="00574569" w:rsidRDefault="00D81A10" w:rsidP="00574569">
    <w:r>
      <w:rPr>
        <w:noProof/>
      </w:rPr>
      <mc:AlternateContent>
        <mc:Choice Requires="wps">
          <w:drawing>
            <wp:anchor distT="0" distB="0" distL="0" distR="0" simplePos="0" relativeHeight="251658240" behindDoc="0" locked="0" layoutInCell="1" allowOverlap="1" wp14:anchorId="709FFC39" wp14:editId="5DA0B2F9">
              <wp:simplePos x="628650" y="9906000"/>
              <wp:positionH relativeFrom="column">
                <wp:align>center</wp:align>
              </wp:positionH>
              <wp:positionV relativeFrom="paragraph">
                <wp:posOffset>635</wp:posOffset>
              </wp:positionV>
              <wp:extent cx="443865" cy="443865"/>
              <wp:effectExtent l="0" t="0" r="10160" b="0"/>
              <wp:wrapSquare wrapText="bothSides"/>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E41D7" w14:textId="6510B4C9"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9FFC39" id="_x0000_t202" coordsize="21600,21600" o:spt="202" path="m,l,21600r21600,l21600,xe">
              <v:stroke joinstyle="miter"/>
              <v:path gradientshapeok="t" o:connecttype="rect"/>
            </v:shapetype>
            <v:shape id="Text Box 14" o:spid="_x0000_s1046"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25E41D7" w14:textId="6510B4C9"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bl>
    <w:tblPr>
      <w:tblStyle w:val="LayoutGrid"/>
      <w:tblW w:w="5000" w:type="pct"/>
      <w:tblLook w:val="04A0" w:firstRow="1" w:lastRow="0" w:firstColumn="1" w:lastColumn="0" w:noHBand="0" w:noVBand="1"/>
    </w:tblPr>
    <w:tblGrid>
      <w:gridCol w:w="7230"/>
      <w:gridCol w:w="2692"/>
    </w:tblGrid>
    <w:tr w:rsidR="00574569" w14:paraId="226E35FD" w14:textId="77777777" w:rsidTr="000C1365">
      <w:trPr>
        <w:trHeight w:val="113"/>
      </w:trPr>
      <w:sdt>
        <w:sdtPr>
          <w:id w:val="1112009545"/>
          <w:comboBox>
            <w:listItem w:value="Choose an item."/>
            <w:listItem w:displayText="Internal" w:value="Internal"/>
            <w:listItem w:displayText="External" w:value="External"/>
          </w:comboBox>
        </w:sdtPr>
        <w:sdtEndPr/>
        <w:sdtContent>
          <w:tc>
            <w:tcPr>
              <w:tcW w:w="7230" w:type="dxa"/>
            </w:tcPr>
            <w:p w14:paraId="00CF8459" w14:textId="2D813DB5" w:rsidR="00574569" w:rsidRPr="00D02C7A" w:rsidRDefault="00D81A10" w:rsidP="00574569">
              <w:pPr>
                <w:pStyle w:val="Footer"/>
              </w:pPr>
              <w:r>
                <w:t>External</w:t>
              </w:r>
            </w:p>
          </w:tc>
        </w:sdtContent>
      </w:sdt>
      <w:tc>
        <w:tcPr>
          <w:tcW w:w="2692" w:type="dxa"/>
        </w:tcPr>
        <w:p w14:paraId="3414F0FF" w14:textId="77777777" w:rsidR="00574569" w:rsidRPr="00D35A09" w:rsidRDefault="00574569" w:rsidP="00574569">
          <w:pPr>
            <w:pStyle w:val="Footer"/>
            <w:jc w:val="right"/>
          </w:pPr>
          <w:r>
            <w:fldChar w:fldCharType="begin"/>
          </w:r>
          <w:r>
            <w:instrText xml:space="preserve"> PAGE  \* Arabic </w:instrText>
          </w:r>
          <w:r>
            <w:fldChar w:fldCharType="separate"/>
          </w:r>
          <w:r>
            <w:t>1</w:t>
          </w:r>
          <w:r>
            <w:fldChar w:fldCharType="end"/>
          </w:r>
        </w:p>
      </w:tc>
    </w:tr>
  </w:tbl>
  <w:p w14:paraId="7919F799" w14:textId="77777777" w:rsidR="00574569" w:rsidRPr="00424F48" w:rsidRDefault="00574569" w:rsidP="00574569">
    <w:pPr>
      <w:pStyle w:val="Footer"/>
      <w:spacing w:after="0" w:line="120" w:lineRule="atLeast"/>
      <w:rPr>
        <w:sz w:val="10"/>
        <w:szCs w:val="10"/>
      </w:rPr>
    </w:pPr>
  </w:p>
  <w:p w14:paraId="4EB842D8" w14:textId="77777777" w:rsidR="008B2C78" w:rsidRDefault="008B2C7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6FED" w14:textId="52A084E9" w:rsidR="00574569" w:rsidRDefault="00D81A10" w:rsidP="00574569">
    <w:r>
      <w:rPr>
        <w:noProof/>
      </w:rPr>
      <mc:AlternateContent>
        <mc:Choice Requires="wps">
          <w:drawing>
            <wp:anchor distT="0" distB="0" distL="0" distR="0" simplePos="0" relativeHeight="251656192" behindDoc="0" locked="0" layoutInCell="1" allowOverlap="1" wp14:anchorId="7317B555" wp14:editId="10253A33">
              <wp:simplePos x="628650" y="9906000"/>
              <wp:positionH relativeFrom="column">
                <wp:align>center</wp:align>
              </wp:positionH>
              <wp:positionV relativeFrom="paragraph">
                <wp:posOffset>635</wp:posOffset>
              </wp:positionV>
              <wp:extent cx="443865" cy="443865"/>
              <wp:effectExtent l="0" t="0" r="10160" b="0"/>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38D94" w14:textId="790B5A4D"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17B555" id="_x0000_t202" coordsize="21600,21600" o:spt="202" path="m,l,21600r21600,l21600,xe">
              <v:stroke joinstyle="miter"/>
              <v:path gradientshapeok="t" o:connecttype="rect"/>
            </v:shapetype>
            <v:shape id="Text Box 12" o:spid="_x0000_s1048" type="#_x0000_t202" alt="OFFICIAL" style="position:absolute;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1738D94" w14:textId="790B5A4D"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bl>
    <w:tblPr>
      <w:tblStyle w:val="LayoutGrid"/>
      <w:tblW w:w="5000" w:type="pct"/>
      <w:tblLook w:val="04A0" w:firstRow="1" w:lastRow="0" w:firstColumn="1" w:lastColumn="0" w:noHBand="0" w:noVBand="1"/>
    </w:tblPr>
    <w:tblGrid>
      <w:gridCol w:w="7230"/>
      <w:gridCol w:w="2692"/>
    </w:tblGrid>
    <w:tr w:rsidR="00574569" w14:paraId="218D5F05" w14:textId="77777777" w:rsidTr="000C1365">
      <w:trPr>
        <w:trHeight w:val="113"/>
      </w:trPr>
      <w:sdt>
        <w:sdtPr>
          <w:id w:val="-964421403"/>
          <w:showingPlcHdr/>
          <w:comboBox>
            <w:listItem w:value="Choose an item."/>
            <w:listItem w:displayText="Internal" w:value="Internal"/>
            <w:listItem w:displayText="External" w:value="External"/>
          </w:comboBox>
        </w:sdtPr>
        <w:sdtEndPr/>
        <w:sdtContent>
          <w:tc>
            <w:tcPr>
              <w:tcW w:w="7230" w:type="dxa"/>
            </w:tcPr>
            <w:p w14:paraId="6ED8A7A5" w14:textId="77777777" w:rsidR="00574569" w:rsidRPr="00D02C7A" w:rsidRDefault="00574569" w:rsidP="00574569">
              <w:pPr>
                <w:pStyle w:val="Footer"/>
              </w:pPr>
              <w:r w:rsidRPr="00D02C7A">
                <w:rPr>
                  <w:rStyle w:val="PlaceholderText"/>
                  <w:color w:val="000000" w:themeColor="text1"/>
                </w:rPr>
                <w:t>Choose an item.</w:t>
              </w:r>
            </w:p>
          </w:tc>
        </w:sdtContent>
      </w:sdt>
      <w:tc>
        <w:tcPr>
          <w:tcW w:w="2692" w:type="dxa"/>
        </w:tcPr>
        <w:p w14:paraId="08A448E6" w14:textId="77777777" w:rsidR="00574569" w:rsidRPr="00D35A09" w:rsidRDefault="00574569" w:rsidP="00574569">
          <w:pPr>
            <w:pStyle w:val="Footer"/>
            <w:jc w:val="right"/>
          </w:pPr>
          <w:r>
            <w:fldChar w:fldCharType="begin"/>
          </w:r>
          <w:r>
            <w:instrText xml:space="preserve"> PAGE  \* Arabic </w:instrText>
          </w:r>
          <w:r>
            <w:fldChar w:fldCharType="separate"/>
          </w:r>
          <w:r>
            <w:t>1</w:t>
          </w:r>
          <w:r>
            <w:fldChar w:fldCharType="end"/>
          </w:r>
        </w:p>
      </w:tc>
    </w:tr>
  </w:tbl>
  <w:p w14:paraId="478316E3" w14:textId="77777777" w:rsidR="00574569" w:rsidRPr="00424F48" w:rsidRDefault="00574569" w:rsidP="00574569">
    <w:pPr>
      <w:pStyle w:val="Footer"/>
      <w:spacing w:after="0" w:line="120" w:lineRule="atLeast"/>
      <w:rPr>
        <w:sz w:val="10"/>
        <w:szCs w:val="10"/>
      </w:rPr>
    </w:pPr>
  </w:p>
  <w:p w14:paraId="79710563" w14:textId="77777777" w:rsidR="008B2C78" w:rsidRDefault="008B2C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7075" w14:textId="77777777" w:rsidR="00591C7D" w:rsidRPr="00671C25" w:rsidRDefault="00591C7D" w:rsidP="00671C25">
      <w:pPr>
        <w:pStyle w:val="Footer"/>
      </w:pPr>
    </w:p>
  </w:footnote>
  <w:footnote w:type="continuationSeparator" w:id="0">
    <w:p w14:paraId="09087A0E" w14:textId="77777777" w:rsidR="00591C7D" w:rsidRDefault="00591C7D" w:rsidP="00750AFE">
      <w:r>
        <w:continuationSeparator/>
      </w:r>
    </w:p>
  </w:footnote>
  <w:footnote w:type="continuationNotice" w:id="1">
    <w:p w14:paraId="03B7B2A4" w14:textId="77777777" w:rsidR="00591C7D" w:rsidRDefault="00591C7D" w:rsidP="00750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Pr>
    <w:tblGrid>
      <w:gridCol w:w="9298"/>
    </w:tblGrid>
    <w:tr w:rsidR="00436D12" w14:paraId="71447EA5" w14:textId="77777777" w:rsidTr="000C1365">
      <w:trPr>
        <w:trHeight w:hRule="exact" w:val="397"/>
      </w:trPr>
      <w:tc>
        <w:tcPr>
          <w:tcW w:w="9922" w:type="dxa"/>
        </w:tcPr>
        <w:p w14:paraId="024A239A" w14:textId="77777777" w:rsidR="00436D12" w:rsidRDefault="00436D12" w:rsidP="00436D12">
          <w:pPr>
            <w:pStyle w:val="Header"/>
          </w:pPr>
          <w:r>
            <w:rPr>
              <w:noProof/>
            </w:rPr>
            <mc:AlternateContent>
              <mc:Choice Requires="wps">
                <w:drawing>
                  <wp:anchor distT="0" distB="0" distL="0" distR="0" simplePos="0" relativeHeight="251659264" behindDoc="0" locked="0" layoutInCell="1" allowOverlap="1" wp14:anchorId="22D9013D" wp14:editId="7A1152E7">
                    <wp:simplePos x="628650" y="361950"/>
                    <wp:positionH relativeFrom="column">
                      <wp:align>center</wp:align>
                    </wp:positionH>
                    <wp:positionV relativeFrom="paragraph">
                      <wp:posOffset>635</wp:posOffset>
                    </wp:positionV>
                    <wp:extent cx="443865" cy="443865"/>
                    <wp:effectExtent l="0" t="0" r="10160" b="0"/>
                    <wp:wrapSquare wrapText="bothSides"/>
                    <wp:docPr id="1327384535" name="Text Box 13273845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EFF72C" w14:textId="77777777" w:rsidR="00436D12" w:rsidRPr="00537D3D" w:rsidRDefault="00436D12" w:rsidP="00436D12">
                                <w:pPr>
                                  <w:rPr>
                                    <w:rFonts w:ascii="Verdana" w:eastAsia="Verdana" w:hAnsi="Verdana" w:cs="Verdana"/>
                                    <w:noProof/>
                                    <w:color w:val="auto"/>
                                  </w:rPr>
                                </w:pPr>
                                <w:r w:rsidRPr="00537D3D">
                                  <w:rPr>
                                    <w:rFonts w:ascii="Verdana" w:eastAsia="Verdana" w:hAnsi="Verdana" w:cs="Verdana"/>
                                    <w:noProof/>
                                    <w:color w:val="auto"/>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D9013D" id="_x0000_t202" coordsize="21600,21600" o:spt="202" path="m,l,21600r21600,l21600,xe">
                    <v:stroke joinstyle="miter"/>
                    <v:path gradientshapeok="t" o:connecttype="rect"/>
                  </v:shapetype>
                  <v:shape id="Text Box 1327384535" o:spid="_x0000_s1040" type="#_x0000_t202" alt="OFFI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EFF72C" w14:textId="77777777" w:rsidR="00436D12" w:rsidRPr="00537D3D" w:rsidRDefault="00436D12" w:rsidP="00436D12">
                          <w:pPr>
                            <w:rPr>
                              <w:rFonts w:ascii="Verdana" w:eastAsia="Verdana" w:hAnsi="Verdana" w:cs="Verdana"/>
                              <w:noProof/>
                              <w:color w:val="auto"/>
                            </w:rPr>
                          </w:pPr>
                          <w:r w:rsidRPr="00537D3D">
                            <w:rPr>
                              <w:rFonts w:ascii="Verdana" w:eastAsia="Verdana" w:hAnsi="Verdana" w:cs="Verdana"/>
                              <w:noProof/>
                              <w:color w:val="auto"/>
                            </w:rPr>
                            <w:t>OFFICIAL</w:t>
                          </w:r>
                        </w:p>
                      </w:txbxContent>
                    </v:textbox>
                    <w10:wrap type="square"/>
                  </v:shape>
                </w:pict>
              </mc:Fallback>
            </mc:AlternateContent>
          </w:r>
        </w:p>
      </w:tc>
    </w:tr>
    <w:tr w:rsidR="00436D12" w14:paraId="0F58E059" w14:textId="77777777" w:rsidTr="000C1365">
      <w:trPr>
        <w:trHeight w:val="1017"/>
      </w:trPr>
      <w:tc>
        <w:tcPr>
          <w:tcW w:w="9922" w:type="dxa"/>
        </w:tcPr>
        <w:p w14:paraId="6BBB6685" w14:textId="7D8DCD89" w:rsidR="00436D12" w:rsidRDefault="00875882" w:rsidP="00436D12">
          <w:pPr>
            <w:pStyle w:val="Header"/>
          </w:pPr>
          <w:r>
            <w:fldChar w:fldCharType="begin"/>
          </w:r>
          <w:r>
            <w:instrText xml:space="preserve"> STYLEREF  "Cover Heading" </w:instrText>
          </w:r>
          <w:r>
            <w:rPr>
              <w:noProof/>
            </w:rPr>
            <w:fldChar w:fldCharType="end"/>
          </w:r>
        </w:p>
      </w:tc>
    </w:tr>
  </w:tbl>
  <w:p w14:paraId="5FA37CB0" w14:textId="77777777" w:rsidR="00436D12" w:rsidRDefault="00436D12" w:rsidP="00436D12">
    <w:pPr>
      <w:pStyle w:val="Header"/>
    </w:pPr>
    <w:r>
      <w:rPr>
        <w:noProof/>
      </w:rPr>
      <w:drawing>
        <wp:anchor distT="0" distB="0" distL="114300" distR="114300" simplePos="0" relativeHeight="251660288" behindDoc="1" locked="1" layoutInCell="1" allowOverlap="1" wp14:anchorId="05A66EA5" wp14:editId="5CEF53D5">
          <wp:simplePos x="0" y="0"/>
          <wp:positionH relativeFrom="page">
            <wp:align>right</wp:align>
          </wp:positionH>
          <wp:positionV relativeFrom="page">
            <wp:posOffset>0</wp:posOffset>
          </wp:positionV>
          <wp:extent cx="10713600" cy="140400"/>
          <wp:effectExtent l="0" t="0" r="0" b="0"/>
          <wp:wrapNone/>
          <wp:docPr id="476972647" name="Picture 476972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13600" cy="140400"/>
                  </a:xfrm>
                  <a:prstGeom prst="rect">
                    <a:avLst/>
                  </a:prstGeom>
                </pic:spPr>
              </pic:pic>
            </a:graphicData>
          </a:graphic>
          <wp14:sizeRelH relativeFrom="margin">
            <wp14:pctWidth>0</wp14:pctWidth>
          </wp14:sizeRelH>
          <wp14:sizeRelV relativeFrom="margin">
            <wp14:pctHeight>0</wp14:pctHeight>
          </wp14:sizeRelV>
        </wp:anchor>
      </w:drawing>
    </w:r>
  </w:p>
  <w:p w14:paraId="1DF35B49" w14:textId="77777777" w:rsidR="00115458" w:rsidRPr="00436D12" w:rsidRDefault="00115458" w:rsidP="00436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8A10" w14:textId="459CE4C4" w:rsidR="007E27A5" w:rsidRDefault="007E27A5" w:rsidP="007E27A5">
    <w:pPr>
      <w:pStyle w:val="Header"/>
    </w:pPr>
    <w:r>
      <w:rPr>
        <w:noProof/>
      </w:rPr>
      <mc:AlternateContent>
        <mc:Choice Requires="wps">
          <w:drawing>
            <wp:anchor distT="0" distB="0" distL="0" distR="0" simplePos="0" relativeHeight="251662336" behindDoc="0" locked="0" layoutInCell="1" allowOverlap="1" wp14:anchorId="12BA5B5C" wp14:editId="124FA035">
              <wp:simplePos x="628650" y="361950"/>
              <wp:positionH relativeFrom="column">
                <wp:align>center</wp:align>
              </wp:positionH>
              <wp:positionV relativeFrom="paragraph">
                <wp:posOffset>635</wp:posOffset>
              </wp:positionV>
              <wp:extent cx="443865" cy="443865"/>
              <wp:effectExtent l="0" t="0" r="10160" b="0"/>
              <wp:wrapSquare wrapText="bothSides"/>
              <wp:docPr id="43561193" name="Text Box 435611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F62E3" w14:textId="77777777" w:rsidR="007E27A5" w:rsidRPr="00D81A10" w:rsidRDefault="007E27A5" w:rsidP="007E27A5">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BA5B5C" id="_x0000_t202" coordsize="21600,21600" o:spt="202" path="m,l,21600r21600,l21600,xe">
              <v:stroke joinstyle="miter"/>
              <v:path gradientshapeok="t" o:connecttype="rect"/>
            </v:shapetype>
            <v:shape id="Text Box 43561193" o:spid="_x0000_s1042" type="#_x0000_t202" alt="OFFI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E1F62E3" w14:textId="77777777" w:rsidR="007E27A5" w:rsidRPr="00D81A10" w:rsidRDefault="007E27A5" w:rsidP="007E27A5">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p w14:paraId="12C3301C" w14:textId="77777777" w:rsidR="007E27A5" w:rsidRPr="007E27A5" w:rsidRDefault="007E27A5" w:rsidP="007E2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930F" w14:textId="57E2BD65" w:rsidR="00D81A10" w:rsidRDefault="00D81A10">
    <w:pPr>
      <w:pStyle w:val="Header"/>
    </w:pPr>
    <w:r>
      <w:rPr>
        <w:noProof/>
      </w:rPr>
      <mc:AlternateContent>
        <mc:Choice Requires="wps">
          <w:drawing>
            <wp:anchor distT="0" distB="0" distL="0" distR="0" simplePos="0" relativeHeight="251654144" behindDoc="0" locked="0" layoutInCell="1" allowOverlap="1" wp14:anchorId="3088B258" wp14:editId="30AAD71C">
              <wp:simplePos x="635" y="635"/>
              <wp:positionH relativeFrom="column">
                <wp:align>center</wp:align>
              </wp:positionH>
              <wp:positionV relativeFrom="paragraph">
                <wp:posOffset>635</wp:posOffset>
              </wp:positionV>
              <wp:extent cx="443865" cy="443865"/>
              <wp:effectExtent l="0" t="0" r="10160" b="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C49EF" w14:textId="5CED06D3"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88B258" id="_x0000_t202" coordsize="21600,21600" o:spt="202" path="m,l,21600r21600,l21600,xe">
              <v:stroke joinstyle="miter"/>
              <v:path gradientshapeok="t" o:connecttype="rect"/>
            </v:shapetype>
            <v:shape id="Text Box 10" o:spid="_x0000_s1043" type="#_x0000_t202" alt="OFFICIAL" style="position:absolute;left:0;text-align:left;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D3C49EF" w14:textId="5CED06D3"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p w14:paraId="0F6B13F1" w14:textId="77777777" w:rsidR="008B2C78" w:rsidRDefault="008B2C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Pr>
    <w:tblGrid>
      <w:gridCol w:w="9298"/>
    </w:tblGrid>
    <w:tr w:rsidR="00EF40E1" w14:paraId="56E5BE20" w14:textId="77777777" w:rsidTr="0053547E">
      <w:trPr>
        <w:trHeight w:hRule="exact" w:val="397"/>
      </w:trPr>
      <w:tc>
        <w:tcPr>
          <w:tcW w:w="9922" w:type="dxa"/>
        </w:tcPr>
        <w:p w14:paraId="25841351" w14:textId="348BD64D" w:rsidR="00EF40E1" w:rsidRDefault="00D81A10" w:rsidP="00750AFE">
          <w:pPr>
            <w:pStyle w:val="Header"/>
          </w:pPr>
          <w:r>
            <w:rPr>
              <w:noProof/>
            </w:rPr>
            <mc:AlternateContent>
              <mc:Choice Requires="wps">
                <w:drawing>
                  <wp:anchor distT="0" distB="0" distL="0" distR="0" simplePos="0" relativeHeight="251655168" behindDoc="0" locked="0" layoutInCell="1" allowOverlap="1" wp14:anchorId="73A921CF" wp14:editId="01FF2BB5">
                    <wp:simplePos x="628650" y="361950"/>
                    <wp:positionH relativeFrom="column">
                      <wp:align>center</wp:align>
                    </wp:positionH>
                    <wp:positionV relativeFrom="paragraph">
                      <wp:posOffset>635</wp:posOffset>
                    </wp:positionV>
                    <wp:extent cx="443865" cy="443865"/>
                    <wp:effectExtent l="0" t="0" r="10160" b="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5B2467" w14:textId="18906D4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A921CF" id="_x0000_t202" coordsize="21600,21600" o:spt="202" path="m,l,21600r21600,l21600,xe">
                    <v:stroke joinstyle="miter"/>
                    <v:path gradientshapeok="t" o:connecttype="rect"/>
                  </v:shapetype>
                  <v:shape id="Text Box 11" o:spid="_x0000_s1044" type="#_x0000_t202" alt="OFFICIAL" style="position:absolute;left:0;text-align:left;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95B2467" w14:textId="18906D4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c>
    </w:tr>
    <w:tr w:rsidR="00EF40E1" w14:paraId="2A966FEB" w14:textId="77777777" w:rsidTr="0053547E">
      <w:trPr>
        <w:trHeight w:val="1017"/>
      </w:trPr>
      <w:tc>
        <w:tcPr>
          <w:tcW w:w="9922" w:type="dxa"/>
        </w:tcPr>
        <w:p w14:paraId="46BBB834" w14:textId="6BB16DBC" w:rsidR="00EF40E1" w:rsidRDefault="00BD4533" w:rsidP="00750AFE">
          <w:pPr>
            <w:pStyle w:val="Header"/>
          </w:pPr>
          <w:r>
            <w:fldChar w:fldCharType="begin"/>
          </w:r>
          <w:r>
            <w:instrText xml:space="preserve"> STYLEREF  "Cover Heading" </w:instrText>
          </w:r>
          <w:r>
            <w:rPr>
              <w:noProof/>
            </w:rPr>
            <w:fldChar w:fldCharType="end"/>
          </w:r>
          <w:bookmarkStart w:id="2030" w:name="_Toc232191276"/>
        </w:p>
      </w:tc>
    </w:tr>
  </w:tbl>
  <w:p w14:paraId="685059B8" w14:textId="77777777" w:rsidR="00EF40E1" w:rsidRDefault="0053547E" w:rsidP="00750AFE">
    <w:pPr>
      <w:pStyle w:val="Header"/>
    </w:pPr>
    <w:r>
      <w:rPr>
        <w:noProof/>
      </w:rPr>
      <w:drawing>
        <wp:anchor distT="0" distB="0" distL="114300" distR="114300" simplePos="0" relativeHeight="251652096" behindDoc="1" locked="1" layoutInCell="1" allowOverlap="1" wp14:anchorId="2AA3EB45" wp14:editId="6D858470">
          <wp:simplePos x="0" y="0"/>
          <wp:positionH relativeFrom="page">
            <wp:align>right</wp:align>
          </wp:positionH>
          <wp:positionV relativeFrom="page">
            <wp:posOffset>0</wp:posOffset>
          </wp:positionV>
          <wp:extent cx="10713600" cy="140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13600" cy="140400"/>
                  </a:xfrm>
                  <a:prstGeom prst="rect">
                    <a:avLst/>
                  </a:prstGeom>
                </pic:spPr>
              </pic:pic>
            </a:graphicData>
          </a:graphic>
          <wp14:sizeRelH relativeFrom="margin">
            <wp14:pctWidth>0</wp14:pctWidth>
          </wp14:sizeRelH>
          <wp14:sizeRelV relativeFrom="margin">
            <wp14:pctHeight>0</wp14:pctHeight>
          </wp14:sizeRelV>
        </wp:anchor>
      </w:drawing>
    </w:r>
  </w:p>
  <w:bookmarkEnd w:id="2030"/>
  <w:p w14:paraId="210B92D3" w14:textId="77777777" w:rsidR="008B2C78" w:rsidRDefault="008B2C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CA89" w14:textId="3F447CD0" w:rsidR="00D81A10" w:rsidRDefault="00D81A10">
    <w:pPr>
      <w:pStyle w:val="Header"/>
    </w:pPr>
    <w:r>
      <w:rPr>
        <w:noProof/>
      </w:rPr>
      <mc:AlternateContent>
        <mc:Choice Requires="wps">
          <w:drawing>
            <wp:anchor distT="0" distB="0" distL="0" distR="0" simplePos="0" relativeHeight="251653120" behindDoc="0" locked="0" layoutInCell="1" allowOverlap="1" wp14:anchorId="4174FAB3" wp14:editId="6CB7AF6D">
              <wp:simplePos x="628650" y="361950"/>
              <wp:positionH relativeFrom="column">
                <wp:align>center</wp:align>
              </wp:positionH>
              <wp:positionV relativeFrom="paragraph">
                <wp:posOffset>635</wp:posOffset>
              </wp:positionV>
              <wp:extent cx="443865" cy="443865"/>
              <wp:effectExtent l="0" t="0" r="10160" b="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2199C" w14:textId="4F6D3A3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74FAB3" id="_x0000_t202" coordsize="21600,21600" o:spt="202" path="m,l,21600r21600,l21600,xe">
              <v:stroke joinstyle="miter"/>
              <v:path gradientshapeok="t" o:connecttype="rect"/>
            </v:shapetype>
            <v:shape id="Text Box 9" o:spid="_x0000_s1047" type="#_x0000_t202" alt="OFFICIAL" style="position:absolute;left:0;text-align:left;margin-left:0;margin-top:.05pt;width:34.95pt;height:34.95pt;z-index:2516531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1612199C" w14:textId="4F6D3A3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p w14:paraId="194A9379" w14:textId="77777777" w:rsidR="008B2C78" w:rsidRDefault="008B2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1BF"/>
    <w:multiLevelType w:val="hybridMultilevel"/>
    <w:tmpl w:val="FB94F37A"/>
    <w:lvl w:ilvl="0" w:tplc="0C09000F">
      <w:start w:val="1"/>
      <w:numFmt w:val="decimal"/>
      <w:lvlText w:val="%1."/>
      <w:lvlJc w:val="left"/>
      <w:pPr>
        <w:ind w:left="940" w:hanging="360"/>
      </w:pPr>
    </w:lvl>
    <w:lvl w:ilvl="1" w:tplc="0C090019" w:tentative="1">
      <w:start w:val="1"/>
      <w:numFmt w:val="lowerLetter"/>
      <w:lvlText w:val="%2."/>
      <w:lvlJc w:val="left"/>
      <w:pPr>
        <w:ind w:left="1660" w:hanging="360"/>
      </w:pPr>
    </w:lvl>
    <w:lvl w:ilvl="2" w:tplc="0C09001B" w:tentative="1">
      <w:start w:val="1"/>
      <w:numFmt w:val="lowerRoman"/>
      <w:lvlText w:val="%3."/>
      <w:lvlJc w:val="right"/>
      <w:pPr>
        <w:ind w:left="2380" w:hanging="180"/>
      </w:pPr>
    </w:lvl>
    <w:lvl w:ilvl="3" w:tplc="0C09000F" w:tentative="1">
      <w:start w:val="1"/>
      <w:numFmt w:val="decimal"/>
      <w:lvlText w:val="%4."/>
      <w:lvlJc w:val="left"/>
      <w:pPr>
        <w:ind w:left="3100" w:hanging="360"/>
      </w:pPr>
    </w:lvl>
    <w:lvl w:ilvl="4" w:tplc="0C090019" w:tentative="1">
      <w:start w:val="1"/>
      <w:numFmt w:val="lowerLetter"/>
      <w:lvlText w:val="%5."/>
      <w:lvlJc w:val="left"/>
      <w:pPr>
        <w:ind w:left="3820" w:hanging="360"/>
      </w:pPr>
    </w:lvl>
    <w:lvl w:ilvl="5" w:tplc="0C09001B" w:tentative="1">
      <w:start w:val="1"/>
      <w:numFmt w:val="lowerRoman"/>
      <w:lvlText w:val="%6."/>
      <w:lvlJc w:val="right"/>
      <w:pPr>
        <w:ind w:left="4540" w:hanging="180"/>
      </w:pPr>
    </w:lvl>
    <w:lvl w:ilvl="6" w:tplc="0C09000F" w:tentative="1">
      <w:start w:val="1"/>
      <w:numFmt w:val="decimal"/>
      <w:lvlText w:val="%7."/>
      <w:lvlJc w:val="left"/>
      <w:pPr>
        <w:ind w:left="5260" w:hanging="360"/>
      </w:pPr>
    </w:lvl>
    <w:lvl w:ilvl="7" w:tplc="0C090019" w:tentative="1">
      <w:start w:val="1"/>
      <w:numFmt w:val="lowerLetter"/>
      <w:lvlText w:val="%8."/>
      <w:lvlJc w:val="left"/>
      <w:pPr>
        <w:ind w:left="5980" w:hanging="360"/>
      </w:pPr>
    </w:lvl>
    <w:lvl w:ilvl="8" w:tplc="0C09001B" w:tentative="1">
      <w:start w:val="1"/>
      <w:numFmt w:val="lowerRoman"/>
      <w:lvlText w:val="%9."/>
      <w:lvlJc w:val="right"/>
      <w:pPr>
        <w:ind w:left="6700" w:hanging="180"/>
      </w:pPr>
    </w:lvl>
  </w:abstractNum>
  <w:abstractNum w:abstractNumId="1" w15:restartNumberingAfterBreak="0">
    <w:nsid w:val="02576A90"/>
    <w:multiLevelType w:val="hybridMultilevel"/>
    <w:tmpl w:val="01DCAAF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768AE"/>
    <w:multiLevelType w:val="hybridMultilevel"/>
    <w:tmpl w:val="8E246650"/>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D58C4"/>
    <w:multiLevelType w:val="hybridMultilevel"/>
    <w:tmpl w:val="8EF286B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E7B75"/>
    <w:multiLevelType w:val="hybridMultilevel"/>
    <w:tmpl w:val="BC9AD1C6"/>
    <w:lvl w:ilvl="0" w:tplc="6784C6AE">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lvlText w:val="%1.%2.%3.%4.%5"/>
      <w:lvlJc w:val="left"/>
      <w:pPr>
        <w:ind w:left="1418" w:hanging="1418"/>
      </w:pPr>
      <w:rPr>
        <w:rFonts w:hint="default"/>
        <w:b w:val="0"/>
        <w:i w:val="0"/>
        <w:color w:val="3C3D41" w:themeColor="text2"/>
        <w:sz w:val="24"/>
      </w:rPr>
    </w:lvl>
    <w:lvl w:ilvl="5">
      <w:start w:val="1"/>
      <w:numFmt w:val="decimal"/>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8D7369"/>
    <w:multiLevelType w:val="hybridMultilevel"/>
    <w:tmpl w:val="C00E7C58"/>
    <w:lvl w:ilvl="0" w:tplc="6784C6AE">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A766E9"/>
    <w:multiLevelType w:val="hybridMultilevel"/>
    <w:tmpl w:val="7BB2DD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BE0FC7"/>
    <w:multiLevelType w:val="multilevel"/>
    <w:tmpl w:val="0FB0110E"/>
    <w:styleLink w:val="ATONumbers"/>
    <w:lvl w:ilvl="0">
      <w:start w:val="1"/>
      <w:numFmt w:val="decimal"/>
      <w:lvlText w:val="%1."/>
      <w:lvlJc w:val="left"/>
      <w:pPr>
        <w:ind w:left="340" w:hanging="340"/>
      </w:pPr>
      <w:rPr>
        <w:rFonts w:asciiTheme="minorHAnsi" w:hAnsiTheme="minorHAnsi" w:hint="default"/>
        <w:color w:val="3844CA" w:themeColor="accent1"/>
      </w:rPr>
    </w:lvl>
    <w:lvl w:ilvl="1">
      <w:start w:val="1"/>
      <w:numFmt w:val="lowerLetter"/>
      <w:lvlText w:val="%2."/>
      <w:lvlJc w:val="left"/>
      <w:pPr>
        <w:ind w:left="680" w:hanging="340"/>
      </w:pPr>
      <w:rPr>
        <w:rFonts w:asciiTheme="minorHAnsi" w:hAnsiTheme="minorHAnsi" w:hint="default"/>
        <w:color w:val="3844CA" w:themeColor="accent1"/>
      </w:rPr>
    </w:lvl>
    <w:lvl w:ilvl="2">
      <w:start w:val="1"/>
      <w:numFmt w:val="lowerRoman"/>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9" w15:restartNumberingAfterBreak="0">
    <w:nsid w:val="0CA83479"/>
    <w:multiLevelType w:val="hybridMultilevel"/>
    <w:tmpl w:val="4AAC1330"/>
    <w:lvl w:ilvl="0" w:tplc="FFFFFFFF">
      <w:start w:val="1"/>
      <w:numFmt w:val="bullet"/>
      <w:lvlText w:val=""/>
      <w:lvlJc w:val="left"/>
      <w:pPr>
        <w:ind w:left="360" w:hanging="360"/>
      </w:pPr>
      <w:rPr>
        <w:rFonts w:ascii="Wingdings" w:hAnsi="Wingdings" w:hint="default"/>
      </w:rPr>
    </w:lvl>
    <w:lvl w:ilvl="1" w:tplc="FCA84562">
      <w:start w:val="1"/>
      <w:numFmt w:val="bullet"/>
      <w:lvlText w:val="-"/>
      <w:lvlJc w:val="left"/>
      <w:pPr>
        <w:ind w:left="1080" w:hanging="360"/>
      </w:pPr>
      <w:rPr>
        <w:rFonts w:asciiTheme="minorHAnsi" w:hAnsiTheme="minorHAnsi" w:hint="default"/>
        <w:color w:val="150925" w:themeColor="accent3"/>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E004751"/>
    <w:multiLevelType w:val="hybridMultilevel"/>
    <w:tmpl w:val="114AACFC"/>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090B5C"/>
    <w:multiLevelType w:val="multilevel"/>
    <w:tmpl w:val="7F229C78"/>
    <w:styleLink w:val="ATOBullets"/>
    <w:lvl w:ilvl="0">
      <w:start w:val="1"/>
      <w:numFmt w:val="bullet"/>
      <w:lvlText w:val="•"/>
      <w:lvlJc w:val="left"/>
      <w:pPr>
        <w:ind w:left="340" w:hanging="340"/>
      </w:pPr>
      <w:rPr>
        <w:rFonts w:ascii="Arial" w:hAnsi="Arial" w:hint="default"/>
        <w:color w:val="3844CA" w:themeColor="accent1"/>
        <w:sz w:val="26"/>
      </w:rPr>
    </w:lvl>
    <w:lvl w:ilvl="1">
      <w:start w:val="1"/>
      <w:numFmt w:val="bullet"/>
      <w:lvlText w:val="–"/>
      <w:lvlJc w:val="left"/>
      <w:pPr>
        <w:ind w:left="680" w:hanging="340"/>
      </w:pPr>
      <w:rPr>
        <w:rFonts w:ascii="Arial" w:hAnsi="Arial" w:hint="default"/>
        <w:color w:val="3844CA" w:themeColor="accent1"/>
        <w:sz w:val="20"/>
      </w:rPr>
    </w:lvl>
    <w:lvl w:ilvl="2">
      <w:start w:val="1"/>
      <w:numFmt w:val="bullet"/>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12" w15:restartNumberingAfterBreak="0">
    <w:nsid w:val="0F3A58A5"/>
    <w:multiLevelType w:val="hybridMultilevel"/>
    <w:tmpl w:val="A0100972"/>
    <w:styleLink w:val="ArticleSection2"/>
    <w:lvl w:ilvl="0" w:tplc="0C090001">
      <w:start w:val="1"/>
      <w:numFmt w:val="bullet"/>
      <w:pStyle w:val="Heading1Numbered"/>
      <w:lvlText w:val=""/>
      <w:lvlJc w:val="left"/>
      <w:pPr>
        <w:ind w:left="780" w:hanging="360"/>
      </w:pPr>
      <w:rPr>
        <w:rFonts w:ascii="Symbol" w:hAnsi="Symbol" w:hint="default"/>
      </w:rPr>
    </w:lvl>
    <w:lvl w:ilvl="1" w:tplc="0C090003" w:tentative="1">
      <w:start w:val="1"/>
      <w:numFmt w:val="bullet"/>
      <w:pStyle w:val="Heading2Numbered"/>
      <w:lvlText w:val="o"/>
      <w:lvlJc w:val="left"/>
      <w:pPr>
        <w:ind w:left="1500" w:hanging="360"/>
      </w:pPr>
      <w:rPr>
        <w:rFonts w:ascii="Courier New" w:hAnsi="Courier New" w:cs="Courier New" w:hint="default"/>
      </w:rPr>
    </w:lvl>
    <w:lvl w:ilvl="2" w:tplc="0C090005" w:tentative="1">
      <w:start w:val="1"/>
      <w:numFmt w:val="bullet"/>
      <w:pStyle w:val="Heading3Numbered"/>
      <w:lvlText w:val=""/>
      <w:lvlJc w:val="left"/>
      <w:pPr>
        <w:ind w:left="2220" w:hanging="360"/>
      </w:pPr>
      <w:rPr>
        <w:rFonts w:ascii="Wingdings" w:hAnsi="Wingdings" w:hint="default"/>
      </w:rPr>
    </w:lvl>
    <w:lvl w:ilvl="3" w:tplc="0C090001" w:tentative="1">
      <w:start w:val="1"/>
      <w:numFmt w:val="bullet"/>
      <w:pStyle w:val="Heading4Numbered"/>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0F887C5E"/>
    <w:multiLevelType w:val="hybridMultilevel"/>
    <w:tmpl w:val="F89C03D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19F51F0"/>
    <w:multiLevelType w:val="hybridMultilevel"/>
    <w:tmpl w:val="FFFFFFFF"/>
    <w:lvl w:ilvl="0" w:tplc="987AFE5C">
      <w:start w:val="1"/>
      <w:numFmt w:val="bullet"/>
      <w:lvlText w:val="·"/>
      <w:lvlJc w:val="left"/>
      <w:pPr>
        <w:ind w:left="720" w:hanging="360"/>
      </w:pPr>
      <w:rPr>
        <w:rFonts w:ascii="Symbol" w:hAnsi="Symbol" w:hint="default"/>
      </w:rPr>
    </w:lvl>
    <w:lvl w:ilvl="1" w:tplc="CCE6316C">
      <w:start w:val="1"/>
      <w:numFmt w:val="bullet"/>
      <w:lvlText w:val="o"/>
      <w:lvlJc w:val="left"/>
      <w:pPr>
        <w:ind w:left="1440" w:hanging="360"/>
      </w:pPr>
      <w:rPr>
        <w:rFonts w:ascii="Courier New" w:hAnsi="Courier New" w:hint="default"/>
      </w:rPr>
    </w:lvl>
    <w:lvl w:ilvl="2" w:tplc="60E21294">
      <w:start w:val="1"/>
      <w:numFmt w:val="bullet"/>
      <w:lvlText w:val=""/>
      <w:lvlJc w:val="left"/>
      <w:pPr>
        <w:ind w:left="2160" w:hanging="360"/>
      </w:pPr>
      <w:rPr>
        <w:rFonts w:ascii="Wingdings" w:hAnsi="Wingdings" w:hint="default"/>
      </w:rPr>
    </w:lvl>
    <w:lvl w:ilvl="3" w:tplc="19F051C2">
      <w:start w:val="1"/>
      <w:numFmt w:val="bullet"/>
      <w:lvlText w:val=""/>
      <w:lvlJc w:val="left"/>
      <w:pPr>
        <w:ind w:left="2880" w:hanging="360"/>
      </w:pPr>
      <w:rPr>
        <w:rFonts w:ascii="Symbol" w:hAnsi="Symbol" w:hint="default"/>
      </w:rPr>
    </w:lvl>
    <w:lvl w:ilvl="4" w:tplc="F2F68494">
      <w:start w:val="1"/>
      <w:numFmt w:val="bullet"/>
      <w:lvlText w:val="o"/>
      <w:lvlJc w:val="left"/>
      <w:pPr>
        <w:ind w:left="3600" w:hanging="360"/>
      </w:pPr>
      <w:rPr>
        <w:rFonts w:ascii="Courier New" w:hAnsi="Courier New" w:hint="default"/>
      </w:rPr>
    </w:lvl>
    <w:lvl w:ilvl="5" w:tplc="A8AA1294">
      <w:start w:val="1"/>
      <w:numFmt w:val="bullet"/>
      <w:lvlText w:val=""/>
      <w:lvlJc w:val="left"/>
      <w:pPr>
        <w:ind w:left="4320" w:hanging="360"/>
      </w:pPr>
      <w:rPr>
        <w:rFonts w:ascii="Wingdings" w:hAnsi="Wingdings" w:hint="default"/>
      </w:rPr>
    </w:lvl>
    <w:lvl w:ilvl="6" w:tplc="1A405122">
      <w:start w:val="1"/>
      <w:numFmt w:val="bullet"/>
      <w:lvlText w:val=""/>
      <w:lvlJc w:val="left"/>
      <w:pPr>
        <w:ind w:left="5040" w:hanging="360"/>
      </w:pPr>
      <w:rPr>
        <w:rFonts w:ascii="Symbol" w:hAnsi="Symbol" w:hint="default"/>
      </w:rPr>
    </w:lvl>
    <w:lvl w:ilvl="7" w:tplc="FB6282BC">
      <w:start w:val="1"/>
      <w:numFmt w:val="bullet"/>
      <w:lvlText w:val="o"/>
      <w:lvlJc w:val="left"/>
      <w:pPr>
        <w:ind w:left="5760" w:hanging="360"/>
      </w:pPr>
      <w:rPr>
        <w:rFonts w:ascii="Courier New" w:hAnsi="Courier New" w:hint="default"/>
      </w:rPr>
    </w:lvl>
    <w:lvl w:ilvl="8" w:tplc="EE525402">
      <w:start w:val="1"/>
      <w:numFmt w:val="bullet"/>
      <w:lvlText w:val=""/>
      <w:lvlJc w:val="left"/>
      <w:pPr>
        <w:ind w:left="6480" w:hanging="360"/>
      </w:pPr>
      <w:rPr>
        <w:rFonts w:ascii="Wingdings" w:hAnsi="Wingdings" w:hint="default"/>
      </w:rPr>
    </w:lvl>
  </w:abstractNum>
  <w:abstractNum w:abstractNumId="15" w15:restartNumberingAfterBreak="0">
    <w:nsid w:val="15E40C64"/>
    <w:multiLevelType w:val="hybridMultilevel"/>
    <w:tmpl w:val="22625FC6"/>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pStyle w:val="Bullet2"/>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221631"/>
    <w:multiLevelType w:val="hybridMultilevel"/>
    <w:tmpl w:val="0BAE97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6E0700"/>
    <w:multiLevelType w:val="hybridMultilevel"/>
    <w:tmpl w:val="00F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D8103BC"/>
    <w:multiLevelType w:val="hybridMultilevel"/>
    <w:tmpl w:val="B54226A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E525A92"/>
    <w:multiLevelType w:val="multilevel"/>
    <w:tmpl w:val="B59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4349A"/>
    <w:multiLevelType w:val="hybridMultilevel"/>
    <w:tmpl w:val="4A2A8112"/>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A23BDA"/>
    <w:multiLevelType w:val="hybridMultilevel"/>
    <w:tmpl w:val="3AD6776C"/>
    <w:lvl w:ilvl="0" w:tplc="4F5AC34E">
      <w:start w:val="1"/>
      <w:numFmt w:val="lowerLetter"/>
      <w:lvlText w:val="(%1)"/>
      <w:lvlJc w:val="left"/>
      <w:pPr>
        <w:ind w:left="1080" w:hanging="360"/>
      </w:pPr>
      <w:rPr>
        <w:rFonts w:hint="default"/>
      </w:rPr>
    </w:lvl>
    <w:lvl w:ilvl="1" w:tplc="70B65464">
      <w:start w:val="1"/>
      <w:numFmt w:val="lowerRoman"/>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0784D78"/>
    <w:multiLevelType w:val="hybridMultilevel"/>
    <w:tmpl w:val="7E28599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402151E"/>
    <w:multiLevelType w:val="hybridMultilevel"/>
    <w:tmpl w:val="86ACE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093545"/>
    <w:multiLevelType w:val="hybridMultilevel"/>
    <w:tmpl w:val="B1DE4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52290D"/>
    <w:multiLevelType w:val="hybridMultilevel"/>
    <w:tmpl w:val="84AC3B2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4D25392"/>
    <w:multiLevelType w:val="hybridMultilevel"/>
    <w:tmpl w:val="EE2486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4D41407"/>
    <w:multiLevelType w:val="hybridMultilevel"/>
    <w:tmpl w:val="2800CD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705C42"/>
    <w:multiLevelType w:val="hybridMultilevel"/>
    <w:tmpl w:val="4D2878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EA15B0"/>
    <w:multiLevelType w:val="hybridMultilevel"/>
    <w:tmpl w:val="492EED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96E1D3E"/>
    <w:multiLevelType w:val="hybridMultilevel"/>
    <w:tmpl w:val="5D14396A"/>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A5C3583"/>
    <w:multiLevelType w:val="hybridMultilevel"/>
    <w:tmpl w:val="AB3EF51C"/>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A6937F4"/>
    <w:multiLevelType w:val="multilevel"/>
    <w:tmpl w:val="7C40172C"/>
    <w:styleLink w:val="ATO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3" w15:restartNumberingAfterBreak="0">
    <w:nsid w:val="2ABA6C4E"/>
    <w:multiLevelType w:val="hybridMultilevel"/>
    <w:tmpl w:val="8758AE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3B3DFD"/>
    <w:multiLevelType w:val="hybridMultilevel"/>
    <w:tmpl w:val="F4A64BCE"/>
    <w:lvl w:ilvl="0" w:tplc="FCA60E3A">
      <w:start w:val="1"/>
      <w:numFmt w:val="bullet"/>
      <w:pStyle w:val="BulletedList"/>
      <w:lvlText w:val=""/>
      <w:lvlJc w:val="left"/>
      <w:pPr>
        <w:tabs>
          <w:tab w:val="num" w:pos="360"/>
        </w:tabs>
        <w:ind w:left="360" w:hanging="360"/>
      </w:pPr>
      <w:rPr>
        <w:rFonts w:ascii="Symbol" w:hAnsi="Symbol" w:hint="default"/>
      </w:rPr>
    </w:lvl>
    <w:lvl w:ilvl="1" w:tplc="40CAFF0A">
      <w:numFmt w:val="decimal"/>
      <w:lvlText w:val=""/>
      <w:lvlJc w:val="left"/>
    </w:lvl>
    <w:lvl w:ilvl="2" w:tplc="C0946E4E">
      <w:numFmt w:val="decimal"/>
      <w:lvlText w:val=""/>
      <w:lvlJc w:val="left"/>
    </w:lvl>
    <w:lvl w:ilvl="3" w:tplc="037AB808">
      <w:numFmt w:val="decimal"/>
      <w:lvlText w:val=""/>
      <w:lvlJc w:val="left"/>
    </w:lvl>
    <w:lvl w:ilvl="4" w:tplc="C066A5CA">
      <w:numFmt w:val="decimal"/>
      <w:lvlText w:val=""/>
      <w:lvlJc w:val="left"/>
    </w:lvl>
    <w:lvl w:ilvl="5" w:tplc="A15CD494">
      <w:numFmt w:val="decimal"/>
      <w:lvlText w:val=""/>
      <w:lvlJc w:val="left"/>
    </w:lvl>
    <w:lvl w:ilvl="6" w:tplc="CF1872C8">
      <w:numFmt w:val="decimal"/>
      <w:lvlText w:val=""/>
      <w:lvlJc w:val="left"/>
    </w:lvl>
    <w:lvl w:ilvl="7" w:tplc="BEC64558">
      <w:numFmt w:val="decimal"/>
      <w:lvlText w:val=""/>
      <w:lvlJc w:val="left"/>
    </w:lvl>
    <w:lvl w:ilvl="8" w:tplc="A2D658B6">
      <w:numFmt w:val="decimal"/>
      <w:lvlText w:val=""/>
      <w:lvlJc w:val="left"/>
    </w:lvl>
  </w:abstractNum>
  <w:abstractNum w:abstractNumId="35" w15:restartNumberingAfterBreak="0">
    <w:nsid w:val="328B4E4A"/>
    <w:multiLevelType w:val="hybridMultilevel"/>
    <w:tmpl w:val="83F0F35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33533521"/>
    <w:multiLevelType w:val="hybridMultilevel"/>
    <w:tmpl w:val="9E244B1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5A075B4"/>
    <w:multiLevelType w:val="hybridMultilevel"/>
    <w:tmpl w:val="24A6483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C758D3"/>
    <w:multiLevelType w:val="hybridMultilevel"/>
    <w:tmpl w:val="FF52AD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CE5649"/>
    <w:multiLevelType w:val="hybridMultilevel"/>
    <w:tmpl w:val="F5A45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5F11A6D"/>
    <w:multiLevelType w:val="hybridMultilevel"/>
    <w:tmpl w:val="0EE4C80E"/>
    <w:lvl w:ilvl="0" w:tplc="78804302">
      <w:start w:val="1"/>
      <w:numFmt w:val="bullet"/>
      <w:lvlText w:val="■"/>
      <w:lvlJc w:val="left"/>
      <w:pPr>
        <w:ind w:left="425" w:hanging="425"/>
      </w:pPr>
      <w:rPr>
        <w:rFonts w:ascii="Arial" w:hAnsi="Arial" w:hint="default"/>
        <w:color w:val="C0C0C0"/>
      </w:rPr>
    </w:lvl>
    <w:lvl w:ilvl="1" w:tplc="F53E0424">
      <w:start w:val="1"/>
      <w:numFmt w:val="bullet"/>
      <w:lvlText w:val=""/>
      <w:lvlJc w:val="left"/>
      <w:pPr>
        <w:ind w:left="851" w:hanging="426"/>
      </w:pPr>
      <w:rPr>
        <w:rFonts w:ascii="Wingdings" w:hAnsi="Wingdings" w:hint="default"/>
      </w:rPr>
    </w:lvl>
    <w:lvl w:ilvl="2" w:tplc="41C0EF00">
      <w:numFmt w:val="bullet"/>
      <w:lvlText w:val="‐"/>
      <w:lvlJc w:val="left"/>
      <w:pPr>
        <w:ind w:left="1276" w:hanging="425"/>
      </w:pPr>
      <w:rPr>
        <w:rFonts w:ascii="Calibri" w:eastAsia="Times New Roman" w:hAnsi="Calibri" w:hint="default"/>
      </w:rPr>
    </w:lvl>
    <w:lvl w:ilvl="3" w:tplc="6D62A6B4">
      <w:start w:val="1"/>
      <w:numFmt w:val="none"/>
      <w:lvlText w:val=""/>
      <w:lvlJc w:val="left"/>
      <w:pPr>
        <w:ind w:left="2160" w:hanging="360"/>
      </w:pPr>
      <w:rPr>
        <w:rFonts w:hint="default"/>
      </w:rPr>
    </w:lvl>
    <w:lvl w:ilvl="4" w:tplc="DA7AF762">
      <w:start w:val="1"/>
      <w:numFmt w:val="none"/>
      <w:lvlText w:val=""/>
      <w:lvlJc w:val="left"/>
      <w:pPr>
        <w:ind w:left="2520" w:hanging="360"/>
      </w:pPr>
      <w:rPr>
        <w:rFonts w:hint="default"/>
      </w:rPr>
    </w:lvl>
    <w:lvl w:ilvl="5" w:tplc="07E89E64">
      <w:start w:val="1"/>
      <w:numFmt w:val="none"/>
      <w:lvlText w:val=""/>
      <w:lvlJc w:val="left"/>
      <w:pPr>
        <w:ind w:left="2880" w:hanging="360"/>
      </w:pPr>
      <w:rPr>
        <w:rFonts w:hint="default"/>
      </w:rPr>
    </w:lvl>
    <w:lvl w:ilvl="6" w:tplc="04046C56">
      <w:start w:val="1"/>
      <w:numFmt w:val="none"/>
      <w:lvlText w:val=""/>
      <w:lvlJc w:val="left"/>
      <w:pPr>
        <w:ind w:left="3240" w:hanging="360"/>
      </w:pPr>
      <w:rPr>
        <w:rFonts w:hint="default"/>
      </w:rPr>
    </w:lvl>
    <w:lvl w:ilvl="7" w:tplc="998896A0">
      <w:start w:val="1"/>
      <w:numFmt w:val="none"/>
      <w:lvlText w:val=""/>
      <w:lvlJc w:val="left"/>
      <w:pPr>
        <w:ind w:left="3600" w:hanging="360"/>
      </w:pPr>
      <w:rPr>
        <w:rFonts w:hint="default"/>
      </w:rPr>
    </w:lvl>
    <w:lvl w:ilvl="8" w:tplc="1DBAB48C">
      <w:start w:val="1"/>
      <w:numFmt w:val="none"/>
      <w:lvlText w:val=""/>
      <w:lvlJc w:val="left"/>
      <w:pPr>
        <w:ind w:left="3960" w:hanging="360"/>
      </w:pPr>
      <w:rPr>
        <w:rFonts w:hint="default"/>
      </w:rPr>
    </w:lvl>
  </w:abstractNum>
  <w:abstractNum w:abstractNumId="41"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2" w15:restartNumberingAfterBreak="0">
    <w:nsid w:val="37544ED3"/>
    <w:multiLevelType w:val="multilevel"/>
    <w:tmpl w:val="9430825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38497576"/>
    <w:multiLevelType w:val="hybridMultilevel"/>
    <w:tmpl w:val="1E6463CA"/>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95E1AD1"/>
    <w:multiLevelType w:val="hybridMultilevel"/>
    <w:tmpl w:val="939A15CE"/>
    <w:lvl w:ilvl="0" w:tplc="01FEE3E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3AD94829"/>
    <w:multiLevelType w:val="hybridMultilevel"/>
    <w:tmpl w:val="69100202"/>
    <w:name w:val="NumListNumStart"/>
    <w:lvl w:ilvl="0" w:tplc="3AE270A4">
      <w:start w:val="1"/>
      <w:numFmt w:val="decimal"/>
      <w:pStyle w:val="Numberedlistnumericstart1"/>
      <w:lvlText w:val="%1."/>
      <w:lvlJc w:val="left"/>
      <w:pPr>
        <w:ind w:left="425" w:hanging="425"/>
      </w:pPr>
      <w:rPr>
        <w:rFonts w:hint="default"/>
      </w:rPr>
    </w:lvl>
    <w:lvl w:ilvl="1" w:tplc="A5180AD6">
      <w:start w:val="1"/>
      <w:numFmt w:val="lowerLetter"/>
      <w:pStyle w:val="Numberedlistnumericstart2"/>
      <w:lvlText w:val="%2."/>
      <w:lvlJc w:val="left"/>
      <w:pPr>
        <w:ind w:left="851" w:hanging="426"/>
      </w:pPr>
      <w:rPr>
        <w:rFonts w:hint="default"/>
      </w:rPr>
    </w:lvl>
    <w:lvl w:ilvl="2" w:tplc="02584108">
      <w:start w:val="1"/>
      <w:numFmt w:val="lowerRoman"/>
      <w:pStyle w:val="Numberedlistnumericstart3"/>
      <w:lvlText w:val="%3."/>
      <w:lvlJc w:val="left"/>
      <w:pPr>
        <w:ind w:left="1276" w:hanging="425"/>
      </w:pPr>
      <w:rPr>
        <w:rFonts w:hint="default"/>
      </w:rPr>
    </w:lvl>
    <w:lvl w:ilvl="3" w:tplc="37E0F3B4">
      <w:start w:val="1"/>
      <w:numFmt w:val="upperLetter"/>
      <w:pStyle w:val="Numberedlistnumericstart4"/>
      <w:lvlText w:val="%4."/>
      <w:lvlJc w:val="left"/>
      <w:pPr>
        <w:ind w:left="1701" w:hanging="425"/>
      </w:pPr>
      <w:rPr>
        <w:rFonts w:hint="default"/>
      </w:rPr>
    </w:lvl>
    <w:lvl w:ilvl="4" w:tplc="FE72F10E">
      <w:start w:val="1"/>
      <w:numFmt w:val="upperRoman"/>
      <w:pStyle w:val="Numberedlistnumericstart5"/>
      <w:lvlText w:val="%5."/>
      <w:lvlJc w:val="left"/>
      <w:pPr>
        <w:ind w:left="2126" w:hanging="425"/>
      </w:pPr>
      <w:rPr>
        <w:rFonts w:hint="default"/>
      </w:rPr>
    </w:lvl>
    <w:lvl w:ilvl="5" w:tplc="62E69ECC">
      <w:start w:val="1"/>
      <w:numFmt w:val="none"/>
      <w:lvlText w:val=""/>
      <w:lvlJc w:val="left"/>
      <w:pPr>
        <w:ind w:left="2160" w:hanging="360"/>
      </w:pPr>
      <w:rPr>
        <w:rFonts w:hint="default"/>
      </w:rPr>
    </w:lvl>
    <w:lvl w:ilvl="6" w:tplc="A650C6EA">
      <w:start w:val="1"/>
      <w:numFmt w:val="none"/>
      <w:lvlText w:val=""/>
      <w:lvlJc w:val="left"/>
      <w:pPr>
        <w:ind w:left="2520" w:hanging="360"/>
      </w:pPr>
      <w:rPr>
        <w:rFonts w:hint="default"/>
      </w:rPr>
    </w:lvl>
    <w:lvl w:ilvl="7" w:tplc="B6F6A4F6">
      <w:start w:val="1"/>
      <w:numFmt w:val="none"/>
      <w:lvlText w:val=""/>
      <w:lvlJc w:val="left"/>
      <w:pPr>
        <w:ind w:left="2880" w:hanging="360"/>
      </w:pPr>
      <w:rPr>
        <w:rFonts w:hint="default"/>
      </w:rPr>
    </w:lvl>
    <w:lvl w:ilvl="8" w:tplc="10B2BAF8">
      <w:start w:val="1"/>
      <w:numFmt w:val="none"/>
      <w:lvlText w:val=""/>
      <w:lvlJc w:val="left"/>
      <w:pPr>
        <w:ind w:left="3240" w:hanging="360"/>
      </w:pPr>
      <w:rPr>
        <w:rFonts w:hint="default"/>
      </w:rPr>
    </w:lvl>
  </w:abstractNum>
  <w:abstractNum w:abstractNumId="46" w15:restartNumberingAfterBreak="0">
    <w:nsid w:val="3B822C75"/>
    <w:multiLevelType w:val="hybridMultilevel"/>
    <w:tmpl w:val="7AE88136"/>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CBE10A2"/>
    <w:multiLevelType w:val="hybridMultilevel"/>
    <w:tmpl w:val="DC901262"/>
    <w:lvl w:ilvl="0" w:tplc="0C09000F">
      <w:start w:val="1"/>
      <w:numFmt w:val="decimal"/>
      <w:pStyle w:val="TableBullet"/>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3DB21D88"/>
    <w:multiLevelType w:val="hybridMultilevel"/>
    <w:tmpl w:val="982EA77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F753140"/>
    <w:multiLevelType w:val="hybridMultilevel"/>
    <w:tmpl w:val="8496069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0037B5F"/>
    <w:multiLevelType w:val="hybridMultilevel"/>
    <w:tmpl w:val="77149AE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40B937B6"/>
    <w:multiLevelType w:val="hybridMultilevel"/>
    <w:tmpl w:val="29D8BD7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42B2730A"/>
    <w:multiLevelType w:val="hybridMultilevel"/>
    <w:tmpl w:val="42CE59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8F65B12"/>
    <w:multiLevelType w:val="hybridMultilevel"/>
    <w:tmpl w:val="05E6A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C3D0B4C"/>
    <w:multiLevelType w:val="hybridMultilevel"/>
    <w:tmpl w:val="0AC6BE8C"/>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5" w15:restartNumberingAfterBreak="0">
    <w:nsid w:val="4D712E34"/>
    <w:multiLevelType w:val="hybridMultilevel"/>
    <w:tmpl w:val="279862F6"/>
    <w:lvl w:ilvl="0" w:tplc="0C090005">
      <w:start w:val="1"/>
      <w:numFmt w:val="bullet"/>
      <w:lvlText w:val=""/>
      <w:lvlJc w:val="left"/>
      <w:pPr>
        <w:ind w:left="720" w:hanging="360"/>
      </w:pPr>
      <w:rPr>
        <w:rFonts w:ascii="Wingdings" w:hAnsi="Wingdings" w:hint="default"/>
        <w:sz w:val="22"/>
      </w:rPr>
    </w:lvl>
    <w:lvl w:ilvl="1" w:tplc="09FA0BB2">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E165694"/>
    <w:multiLevelType w:val="multilevel"/>
    <w:tmpl w:val="435A2E34"/>
    <w:styleLink w:val="ATOIntroBullets"/>
    <w:lvl w:ilvl="0">
      <w:start w:val="1"/>
      <w:numFmt w:val="bullet"/>
      <w:lvlText w:val="•"/>
      <w:lvlJc w:val="left"/>
      <w:pPr>
        <w:ind w:left="340" w:hanging="340"/>
      </w:pPr>
      <w:rPr>
        <w:rFonts w:ascii="Arial" w:hAnsi="Arial" w:hint="default"/>
        <w:color w:val="3844CA" w:themeColor="accent1"/>
        <w:sz w:val="28"/>
      </w:rPr>
    </w:lvl>
    <w:lvl w:ilvl="1">
      <w:start w:val="1"/>
      <w:numFmt w:val="bullet"/>
      <w:lvlText w:val="–"/>
      <w:lvlJc w:val="left"/>
      <w:pPr>
        <w:ind w:left="680" w:hanging="340"/>
      </w:pPr>
      <w:rPr>
        <w:rFonts w:ascii="Arial" w:hAnsi="Arial" w:hint="default"/>
        <w:color w:val="3844CA" w:themeColor="accent1"/>
        <w:sz w:val="24"/>
      </w:rPr>
    </w:lvl>
    <w:lvl w:ilvl="2">
      <w:start w:val="1"/>
      <w:numFmt w:val="bullet"/>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7" w15:restartNumberingAfterBreak="0">
    <w:nsid w:val="50047826"/>
    <w:multiLevelType w:val="hybridMultilevel"/>
    <w:tmpl w:val="3AECDA2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8" w15:restartNumberingAfterBreak="0">
    <w:nsid w:val="502B3C58"/>
    <w:multiLevelType w:val="hybridMultilevel"/>
    <w:tmpl w:val="9BF0C0FC"/>
    <w:lvl w:ilvl="0" w:tplc="5B02F366">
      <w:start w:val="1"/>
      <w:numFmt w:val="bullet"/>
      <w:lvlText w:val="■"/>
      <w:lvlJc w:val="left"/>
      <w:pPr>
        <w:ind w:left="425" w:hanging="425"/>
      </w:pPr>
      <w:rPr>
        <w:rFonts w:ascii="Arial" w:hAnsi="Arial" w:hint="default"/>
        <w:color w:val="C0C0C0"/>
      </w:rPr>
    </w:lvl>
    <w:lvl w:ilvl="1" w:tplc="2822E60C">
      <w:start w:val="1"/>
      <w:numFmt w:val="bullet"/>
      <w:lvlText w:val=""/>
      <w:lvlJc w:val="left"/>
      <w:pPr>
        <w:ind w:left="851" w:hanging="426"/>
      </w:pPr>
      <w:rPr>
        <w:rFonts w:ascii="Wingdings" w:hAnsi="Wingdings" w:hint="default"/>
      </w:rPr>
    </w:lvl>
    <w:lvl w:ilvl="2" w:tplc="D7C8B6D2">
      <w:start w:val="1"/>
      <w:numFmt w:val="bullet"/>
      <w:lvlText w:val=""/>
      <w:lvlJc w:val="left"/>
      <w:pPr>
        <w:ind w:left="1276" w:hanging="425"/>
      </w:pPr>
      <w:rPr>
        <w:rFonts w:ascii="Wingdings" w:hAnsi="Wingdings" w:hint="default"/>
      </w:rPr>
    </w:lvl>
    <w:lvl w:ilvl="3" w:tplc="4CCA572A">
      <w:start w:val="1"/>
      <w:numFmt w:val="none"/>
      <w:lvlText w:val=""/>
      <w:lvlJc w:val="left"/>
      <w:pPr>
        <w:ind w:left="2160" w:hanging="360"/>
      </w:pPr>
      <w:rPr>
        <w:rFonts w:hint="default"/>
      </w:rPr>
    </w:lvl>
    <w:lvl w:ilvl="4" w:tplc="65084188">
      <w:start w:val="1"/>
      <w:numFmt w:val="none"/>
      <w:lvlText w:val=""/>
      <w:lvlJc w:val="left"/>
      <w:pPr>
        <w:ind w:left="2520" w:hanging="360"/>
      </w:pPr>
      <w:rPr>
        <w:rFonts w:hint="default"/>
      </w:rPr>
    </w:lvl>
    <w:lvl w:ilvl="5" w:tplc="6F3608D2">
      <w:start w:val="1"/>
      <w:numFmt w:val="none"/>
      <w:lvlText w:val=""/>
      <w:lvlJc w:val="left"/>
      <w:pPr>
        <w:ind w:left="2880" w:hanging="360"/>
      </w:pPr>
      <w:rPr>
        <w:rFonts w:hint="default"/>
      </w:rPr>
    </w:lvl>
    <w:lvl w:ilvl="6" w:tplc="A14C6B78">
      <w:start w:val="1"/>
      <w:numFmt w:val="none"/>
      <w:lvlText w:val=""/>
      <w:lvlJc w:val="left"/>
      <w:pPr>
        <w:ind w:left="3240" w:hanging="360"/>
      </w:pPr>
      <w:rPr>
        <w:rFonts w:hint="default"/>
      </w:rPr>
    </w:lvl>
    <w:lvl w:ilvl="7" w:tplc="5ADADFBC">
      <w:start w:val="1"/>
      <w:numFmt w:val="none"/>
      <w:lvlText w:val=""/>
      <w:lvlJc w:val="left"/>
      <w:pPr>
        <w:ind w:left="3600" w:hanging="360"/>
      </w:pPr>
      <w:rPr>
        <w:rFonts w:hint="default"/>
      </w:rPr>
    </w:lvl>
    <w:lvl w:ilvl="8" w:tplc="C4F6B6B2">
      <w:start w:val="1"/>
      <w:numFmt w:val="none"/>
      <w:lvlText w:val=""/>
      <w:lvlJc w:val="left"/>
      <w:pPr>
        <w:ind w:left="3960" w:hanging="360"/>
      </w:pPr>
      <w:rPr>
        <w:rFonts w:hint="default"/>
      </w:rPr>
    </w:lvl>
  </w:abstractNum>
  <w:abstractNum w:abstractNumId="59" w15:restartNumberingAfterBreak="0">
    <w:nsid w:val="50B32CDF"/>
    <w:multiLevelType w:val="hybridMultilevel"/>
    <w:tmpl w:val="6ADC04B4"/>
    <w:lvl w:ilvl="0" w:tplc="D5C44C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cs="Times New Roman"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cs="Times New Roman"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cs="Times New Roman" w:hint="default"/>
      </w:rPr>
    </w:lvl>
    <w:lvl w:ilvl="8" w:tplc="775471DA">
      <w:start w:val="1"/>
      <w:numFmt w:val="bullet"/>
      <w:lvlText w:val=""/>
      <w:lvlJc w:val="left"/>
      <w:pPr>
        <w:ind w:left="6480" w:hanging="360"/>
      </w:pPr>
      <w:rPr>
        <w:rFonts w:ascii="Wingdings" w:hAnsi="Wingdings" w:hint="default"/>
      </w:rPr>
    </w:lvl>
  </w:abstractNum>
  <w:abstractNum w:abstractNumId="61" w15:restartNumberingAfterBreak="0">
    <w:nsid w:val="51A02B8B"/>
    <w:multiLevelType w:val="hybridMultilevel"/>
    <w:tmpl w:val="43E40A60"/>
    <w:lvl w:ilvl="0" w:tplc="0C090005">
      <w:start w:val="1"/>
      <w:numFmt w:val="bullet"/>
      <w:pStyle w:val="Instruction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54795D48"/>
    <w:multiLevelType w:val="hybridMultilevel"/>
    <w:tmpl w:val="F8F8EC02"/>
    <w:name w:val="BulletedList"/>
    <w:lvl w:ilvl="0" w:tplc="7160C9D2">
      <w:start w:val="1"/>
      <w:numFmt w:val="bullet"/>
      <w:pStyle w:val="Bulletedlist1"/>
      <w:lvlText w:val="■"/>
      <w:lvlJc w:val="left"/>
      <w:pPr>
        <w:ind w:left="425" w:hanging="425"/>
      </w:pPr>
      <w:rPr>
        <w:rFonts w:ascii="Arial" w:hAnsi="Arial" w:hint="default"/>
        <w:color w:val="C0C0C0"/>
      </w:rPr>
    </w:lvl>
    <w:lvl w:ilvl="1" w:tplc="34E0FE96">
      <w:start w:val="1"/>
      <w:numFmt w:val="bullet"/>
      <w:pStyle w:val="Bulletedlist2"/>
      <w:lvlText w:val="–"/>
      <w:lvlJc w:val="left"/>
      <w:pPr>
        <w:ind w:left="851" w:hanging="426"/>
      </w:pPr>
      <w:rPr>
        <w:rFonts w:ascii="Calibri" w:hAnsi="Calibri" w:hint="default"/>
      </w:rPr>
    </w:lvl>
    <w:lvl w:ilvl="2" w:tplc="8DDCB93E">
      <w:start w:val="1"/>
      <w:numFmt w:val="bullet"/>
      <w:pStyle w:val="Bulletedlist3"/>
      <w:lvlText w:val="o"/>
      <w:lvlJc w:val="left"/>
      <w:pPr>
        <w:ind w:left="1276" w:hanging="425"/>
      </w:pPr>
      <w:rPr>
        <w:rFonts w:ascii="Courier New" w:hAnsi="Courier New" w:hint="default"/>
      </w:rPr>
    </w:lvl>
    <w:lvl w:ilvl="3" w:tplc="358CB3F8">
      <w:start w:val="1"/>
      <w:numFmt w:val="none"/>
      <w:lvlText w:val=""/>
      <w:lvlJc w:val="left"/>
      <w:pPr>
        <w:ind w:left="2160" w:hanging="360"/>
      </w:pPr>
      <w:rPr>
        <w:rFonts w:hint="default"/>
      </w:rPr>
    </w:lvl>
    <w:lvl w:ilvl="4" w:tplc="A4FE5060">
      <w:start w:val="1"/>
      <w:numFmt w:val="none"/>
      <w:lvlText w:val=""/>
      <w:lvlJc w:val="left"/>
      <w:pPr>
        <w:ind w:left="2520" w:hanging="360"/>
      </w:pPr>
      <w:rPr>
        <w:rFonts w:hint="default"/>
      </w:rPr>
    </w:lvl>
    <w:lvl w:ilvl="5" w:tplc="05D61FCC">
      <w:start w:val="1"/>
      <w:numFmt w:val="none"/>
      <w:lvlText w:val=""/>
      <w:lvlJc w:val="left"/>
      <w:pPr>
        <w:ind w:left="2880" w:hanging="360"/>
      </w:pPr>
      <w:rPr>
        <w:rFonts w:hint="default"/>
      </w:rPr>
    </w:lvl>
    <w:lvl w:ilvl="6" w:tplc="50565CE4">
      <w:start w:val="1"/>
      <w:numFmt w:val="none"/>
      <w:lvlText w:val=""/>
      <w:lvlJc w:val="left"/>
      <w:pPr>
        <w:ind w:left="3240" w:hanging="360"/>
      </w:pPr>
      <w:rPr>
        <w:rFonts w:hint="default"/>
      </w:rPr>
    </w:lvl>
    <w:lvl w:ilvl="7" w:tplc="318C1960">
      <w:start w:val="1"/>
      <w:numFmt w:val="none"/>
      <w:lvlText w:val=""/>
      <w:lvlJc w:val="left"/>
      <w:pPr>
        <w:ind w:left="3600" w:hanging="360"/>
      </w:pPr>
      <w:rPr>
        <w:rFonts w:hint="default"/>
      </w:rPr>
    </w:lvl>
    <w:lvl w:ilvl="8" w:tplc="B9AA67D6">
      <w:start w:val="1"/>
      <w:numFmt w:val="none"/>
      <w:lvlText w:val=""/>
      <w:lvlJc w:val="left"/>
      <w:pPr>
        <w:ind w:left="3960" w:hanging="360"/>
      </w:pPr>
      <w:rPr>
        <w:rFonts w:hint="default"/>
      </w:rPr>
    </w:lvl>
  </w:abstractNum>
  <w:abstractNum w:abstractNumId="63" w15:restartNumberingAfterBreak="0">
    <w:nsid w:val="55A7276E"/>
    <w:multiLevelType w:val="hybridMultilevel"/>
    <w:tmpl w:val="79FAF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65710B8"/>
    <w:multiLevelType w:val="hybridMultilevel"/>
    <w:tmpl w:val="75F4B0BA"/>
    <w:lvl w:ilvl="0" w:tplc="4B08BEA8">
      <w:start w:val="1"/>
      <w:numFmt w:val="bullet"/>
      <w:pStyle w:val="BulletedList10"/>
      <w:lvlText w:val=""/>
      <w:lvlJc w:val="left"/>
      <w:pPr>
        <w:tabs>
          <w:tab w:val="num" w:pos="720"/>
        </w:tabs>
        <w:ind w:left="720" w:hanging="363"/>
      </w:pPr>
      <w:rPr>
        <w:rFonts w:ascii="Symbol" w:hAnsi="Symbol" w:hint="default"/>
      </w:rPr>
    </w:lvl>
    <w:lvl w:ilvl="1" w:tplc="A79A6BBC">
      <w:numFmt w:val="decimal"/>
      <w:lvlText w:val=""/>
      <w:lvlJc w:val="left"/>
    </w:lvl>
    <w:lvl w:ilvl="2" w:tplc="687852EA">
      <w:numFmt w:val="decimal"/>
      <w:lvlText w:val=""/>
      <w:lvlJc w:val="left"/>
    </w:lvl>
    <w:lvl w:ilvl="3" w:tplc="732A982E">
      <w:numFmt w:val="decimal"/>
      <w:lvlText w:val=""/>
      <w:lvlJc w:val="left"/>
    </w:lvl>
    <w:lvl w:ilvl="4" w:tplc="9D9CD466">
      <w:numFmt w:val="decimal"/>
      <w:lvlText w:val=""/>
      <w:lvlJc w:val="left"/>
    </w:lvl>
    <w:lvl w:ilvl="5" w:tplc="FFCCDEA0">
      <w:numFmt w:val="decimal"/>
      <w:lvlText w:val=""/>
      <w:lvlJc w:val="left"/>
    </w:lvl>
    <w:lvl w:ilvl="6" w:tplc="2B8E34D6">
      <w:numFmt w:val="decimal"/>
      <w:lvlText w:val=""/>
      <w:lvlJc w:val="left"/>
    </w:lvl>
    <w:lvl w:ilvl="7" w:tplc="787C9032">
      <w:numFmt w:val="decimal"/>
      <w:lvlText w:val=""/>
      <w:lvlJc w:val="left"/>
    </w:lvl>
    <w:lvl w:ilvl="8" w:tplc="4DF28F1E">
      <w:numFmt w:val="decimal"/>
      <w:lvlText w:val=""/>
      <w:lvlJc w:val="left"/>
    </w:lvl>
  </w:abstractNum>
  <w:abstractNum w:abstractNumId="65" w15:restartNumberingAfterBreak="0">
    <w:nsid w:val="570642E7"/>
    <w:multiLevelType w:val="multilevel"/>
    <w:tmpl w:val="A0BCFB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79B2A63"/>
    <w:multiLevelType w:val="hybridMultilevel"/>
    <w:tmpl w:val="8870C1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7FD4416"/>
    <w:multiLevelType w:val="hybridMultilevel"/>
    <w:tmpl w:val="9A5686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84462E9"/>
    <w:multiLevelType w:val="hybridMultilevel"/>
    <w:tmpl w:val="0B7E662E"/>
    <w:lvl w:ilvl="0" w:tplc="6186B862">
      <w:start w:val="1"/>
      <w:numFmt w:val="bullet"/>
      <w:lvlText w:val=""/>
      <w:lvlJc w:val="left"/>
      <w:pPr>
        <w:ind w:left="720" w:hanging="360"/>
      </w:pPr>
      <w:rPr>
        <w:rFonts w:ascii="Wingdings" w:hAnsi="Wingdings" w:hint="default"/>
        <w:b w:val="0"/>
        <w:i w:val="0"/>
        <w:strike w:val="0"/>
        <w:dstrike w:val="0"/>
        <w:color w:val="auto"/>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86857CA"/>
    <w:multiLevelType w:val="hybridMultilevel"/>
    <w:tmpl w:val="05A6300A"/>
    <w:styleLink w:val="1111112"/>
    <w:lvl w:ilvl="0" w:tplc="E5768EAE">
      <w:start w:val="1"/>
      <w:numFmt w:val="bullet"/>
      <w:pStyle w:val="Normal11pt"/>
      <w:lvlText w:val=""/>
      <w:lvlJc w:val="left"/>
      <w:pPr>
        <w:tabs>
          <w:tab w:val="num" w:pos="360"/>
        </w:tabs>
        <w:ind w:left="360" w:hanging="360"/>
      </w:pPr>
      <w:rPr>
        <w:rFonts w:ascii="Symbol" w:hAnsi="Symbol" w:hint="default"/>
      </w:rPr>
    </w:lvl>
    <w:lvl w:ilvl="1" w:tplc="0C090003" w:tentative="1">
      <w:start w:val="1"/>
      <w:numFmt w:val="bullet"/>
      <w:pStyle w:val="ListBullet2"/>
      <w:lvlText w:val="o"/>
      <w:lvlJc w:val="left"/>
      <w:pPr>
        <w:tabs>
          <w:tab w:val="num" w:pos="1080"/>
        </w:tabs>
        <w:ind w:left="1080" w:hanging="360"/>
      </w:pPr>
      <w:rPr>
        <w:rFonts w:ascii="Courier New" w:hAnsi="Courier New" w:hint="default"/>
      </w:rPr>
    </w:lvl>
    <w:lvl w:ilvl="2" w:tplc="0C090005" w:tentative="1">
      <w:start w:val="1"/>
      <w:numFmt w:val="bullet"/>
      <w:pStyle w:val="ListBullet3"/>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8D11AF9"/>
    <w:multiLevelType w:val="hybridMultilevel"/>
    <w:tmpl w:val="97041ED0"/>
    <w:lvl w:ilvl="0" w:tplc="0C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592233A5"/>
    <w:multiLevelType w:val="hybridMultilevel"/>
    <w:tmpl w:val="752CAB04"/>
    <w:lvl w:ilvl="0" w:tplc="0C090005">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93172D3"/>
    <w:multiLevelType w:val="multilevel"/>
    <w:tmpl w:val="1848FD20"/>
    <w:lvl w:ilvl="0">
      <w:start w:val="1"/>
      <w:numFmt w:val="decimal"/>
      <w:lvlText w:val="%1"/>
      <w:lvlJc w:val="left"/>
      <w:pPr>
        <w:tabs>
          <w:tab w:val="num" w:pos="360"/>
        </w:tabs>
        <w:ind w:left="360" w:hanging="360"/>
      </w:pPr>
      <w:rPr>
        <w:rFonts w:cs="Times New Roman" w:hint="default"/>
      </w:rPr>
    </w:lvl>
    <w:lvl w:ilvl="1">
      <w:start w:val="1"/>
      <w:numFmt w:val="decimal"/>
      <w:pStyle w:val="RequirementsHeading2"/>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5A361193"/>
    <w:multiLevelType w:val="hybridMultilevel"/>
    <w:tmpl w:val="9F90FB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A9A126E"/>
    <w:multiLevelType w:val="hybridMultilevel"/>
    <w:tmpl w:val="A90CA550"/>
    <w:lvl w:ilvl="0" w:tplc="036CA78C">
      <w:start w:val="1"/>
      <w:numFmt w:val="bullet"/>
      <w:pStyle w:val="Bullets1"/>
      <w:lvlText w:val="&gt;"/>
      <w:lvlJc w:val="left"/>
      <w:pPr>
        <w:ind w:left="284" w:hanging="284"/>
      </w:pPr>
      <w:rPr>
        <w:rFonts w:ascii="Calibri" w:hAnsi="Calibri" w:hint="default"/>
        <w:color w:val="150925" w:themeColor="accent3"/>
      </w:rPr>
    </w:lvl>
    <w:lvl w:ilvl="1" w:tplc="3D8EEE96">
      <w:start w:val="1"/>
      <w:numFmt w:val="bullet"/>
      <w:pStyle w:val="Bullets2"/>
      <w:lvlText w:val="–"/>
      <w:lvlJc w:val="left"/>
      <w:pPr>
        <w:ind w:left="539" w:hanging="255"/>
      </w:pPr>
      <w:rPr>
        <w:rFonts w:ascii="Arial" w:hAnsi="Arial" w:hint="default"/>
        <w:color w:val="150925" w:themeColor="accent3"/>
      </w:rPr>
    </w:lvl>
    <w:lvl w:ilvl="2" w:tplc="9F8E882C">
      <w:start w:val="1"/>
      <w:numFmt w:val="bullet"/>
      <w:pStyle w:val="Bullets3"/>
      <w:lvlText w:val="-"/>
      <w:lvlJc w:val="left"/>
      <w:pPr>
        <w:ind w:left="737" w:hanging="198"/>
      </w:pPr>
      <w:rPr>
        <w:rFonts w:hint="default"/>
        <w:color w:val="150925" w:themeColor="accent3"/>
      </w:rPr>
    </w:lvl>
    <w:lvl w:ilvl="3" w:tplc="7CA095E4">
      <w:start w:val="1"/>
      <w:numFmt w:val="bullet"/>
      <w:lvlText w:val="&gt;"/>
      <w:lvlJc w:val="left"/>
      <w:pPr>
        <w:ind w:left="624" w:hanging="284"/>
      </w:pPr>
      <w:rPr>
        <w:rFonts w:ascii="Arial" w:hAnsi="Arial" w:hint="default"/>
        <w:color w:val="150925" w:themeColor="accent3"/>
      </w:rPr>
    </w:lvl>
    <w:lvl w:ilvl="4" w:tplc="DEAE3E2E">
      <w:start w:val="1"/>
      <w:numFmt w:val="bullet"/>
      <w:lvlText w:val="–"/>
      <w:lvlJc w:val="left"/>
      <w:pPr>
        <w:ind w:left="879" w:hanging="255"/>
      </w:pPr>
      <w:rPr>
        <w:rFonts w:ascii="Arial" w:hAnsi="Arial" w:hint="default"/>
        <w:color w:val="150925" w:themeColor="accent3"/>
      </w:rPr>
    </w:lvl>
    <w:lvl w:ilvl="5" w:tplc="FCA84562">
      <w:start w:val="1"/>
      <w:numFmt w:val="bullet"/>
      <w:lvlText w:val="-"/>
      <w:lvlJc w:val="left"/>
      <w:pPr>
        <w:ind w:left="1077" w:hanging="198"/>
      </w:pPr>
      <w:rPr>
        <w:rFonts w:asciiTheme="minorHAnsi" w:hAnsiTheme="minorHAnsi" w:hint="default"/>
        <w:color w:val="150925" w:themeColor="accent3"/>
      </w:rPr>
    </w:lvl>
    <w:lvl w:ilvl="6" w:tplc="3992055E">
      <w:start w:val="1"/>
      <w:numFmt w:val="bullet"/>
      <w:pStyle w:val="TableBullets1"/>
      <w:lvlText w:val="&gt;"/>
      <w:lvlJc w:val="left"/>
      <w:pPr>
        <w:ind w:left="510" w:hanging="283"/>
      </w:pPr>
      <w:rPr>
        <w:rFonts w:ascii="Arial" w:hAnsi="Arial" w:hint="default"/>
        <w:color w:val="150925" w:themeColor="accent3"/>
      </w:rPr>
    </w:lvl>
    <w:lvl w:ilvl="7" w:tplc="1FAC7A7A">
      <w:start w:val="1"/>
      <w:numFmt w:val="bullet"/>
      <w:pStyle w:val="TableBullets2"/>
      <w:lvlText w:val="–"/>
      <w:lvlJc w:val="left"/>
      <w:pPr>
        <w:ind w:left="765" w:hanging="255"/>
      </w:pPr>
      <w:rPr>
        <w:rFonts w:ascii="Arial" w:hAnsi="Arial" w:hint="default"/>
        <w:color w:val="150925" w:themeColor="accent3"/>
      </w:rPr>
    </w:lvl>
    <w:lvl w:ilvl="8" w:tplc="F5345DDC">
      <w:start w:val="1"/>
      <w:numFmt w:val="bullet"/>
      <w:pStyle w:val="TableBullets3"/>
      <w:lvlText w:val="-"/>
      <w:lvlJc w:val="left"/>
      <w:pPr>
        <w:ind w:left="964" w:hanging="199"/>
      </w:pPr>
      <w:rPr>
        <w:rFonts w:asciiTheme="minorHAnsi" w:hAnsiTheme="minorHAnsi" w:hint="default"/>
        <w:color w:val="150925" w:themeColor="accent3"/>
      </w:rPr>
    </w:lvl>
  </w:abstractNum>
  <w:abstractNum w:abstractNumId="75" w15:restartNumberingAfterBreak="0">
    <w:nsid w:val="5C515631"/>
    <w:multiLevelType w:val="hybridMultilevel"/>
    <w:tmpl w:val="FC305D0A"/>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FAF010B"/>
    <w:multiLevelType w:val="hybridMultilevel"/>
    <w:tmpl w:val="E6D8A27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6020785D"/>
    <w:multiLevelType w:val="hybridMultilevel"/>
    <w:tmpl w:val="A6581FAE"/>
    <w:lvl w:ilvl="0" w:tplc="D5C44C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1D02E79"/>
    <w:multiLevelType w:val="hybridMultilevel"/>
    <w:tmpl w:val="7FAEAF64"/>
    <w:lvl w:ilvl="0" w:tplc="0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3C30E78"/>
    <w:multiLevelType w:val="hybridMultilevel"/>
    <w:tmpl w:val="A6A82662"/>
    <w:lvl w:ilvl="0" w:tplc="0C090005">
      <w:start w:val="1"/>
      <w:numFmt w:val="bullet"/>
      <w:pStyle w:val="Number1"/>
      <w:lvlText w:val=""/>
      <w:lvlJc w:val="left"/>
      <w:pPr>
        <w:tabs>
          <w:tab w:val="num" w:pos="1440"/>
        </w:tabs>
        <w:ind w:left="1440" w:hanging="360"/>
      </w:pPr>
      <w:rPr>
        <w:rFonts w:ascii="Wingdings" w:hAnsi="Wingdings" w:hint="default"/>
      </w:rPr>
    </w:lvl>
    <w:lvl w:ilvl="1" w:tplc="0C090003" w:tentative="1">
      <w:start w:val="1"/>
      <w:numFmt w:val="bullet"/>
      <w:pStyle w:val="Number2"/>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64B82DB6"/>
    <w:multiLevelType w:val="hybridMultilevel"/>
    <w:tmpl w:val="D7F0959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1" w15:restartNumberingAfterBreak="0">
    <w:nsid w:val="663A062B"/>
    <w:multiLevelType w:val="hybridMultilevel"/>
    <w:tmpl w:val="8AA69CEE"/>
    <w:lvl w:ilvl="0" w:tplc="0C090005">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6A802CA"/>
    <w:multiLevelType w:val="hybridMultilevel"/>
    <w:tmpl w:val="4DDED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A325F1D"/>
    <w:multiLevelType w:val="hybridMultilevel"/>
    <w:tmpl w:val="64B04DA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6AF332FB"/>
    <w:multiLevelType w:val="multilevel"/>
    <w:tmpl w:val="91143E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numFmt w:val="bullet"/>
      <w:lvlText w:val="-"/>
      <w:lvlJc w:val="left"/>
      <w:pPr>
        <w:tabs>
          <w:tab w:val="num" w:pos="1800"/>
        </w:tabs>
        <w:ind w:left="1800" w:hanging="360"/>
      </w:pPr>
      <w:rPr>
        <w:rFonts w:ascii="Arial" w:eastAsia="Times New Roman" w:hAnsi="Arial" w:cs="Aria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5" w15:restartNumberingAfterBreak="0">
    <w:nsid w:val="6AF690EB"/>
    <w:multiLevelType w:val="hybridMultilevel"/>
    <w:tmpl w:val="FFFFFFFF"/>
    <w:lvl w:ilvl="0" w:tplc="46EEAA90">
      <w:start w:val="1"/>
      <w:numFmt w:val="bullet"/>
      <w:lvlText w:val="·"/>
      <w:lvlJc w:val="left"/>
      <w:pPr>
        <w:ind w:left="720" w:hanging="360"/>
      </w:pPr>
      <w:rPr>
        <w:rFonts w:ascii="Symbol" w:hAnsi="Symbol" w:hint="default"/>
      </w:rPr>
    </w:lvl>
    <w:lvl w:ilvl="1" w:tplc="E794B7AC">
      <w:start w:val="1"/>
      <w:numFmt w:val="bullet"/>
      <w:lvlText w:val="o"/>
      <w:lvlJc w:val="left"/>
      <w:pPr>
        <w:ind w:left="1440" w:hanging="360"/>
      </w:pPr>
      <w:rPr>
        <w:rFonts w:ascii="Courier New" w:hAnsi="Courier New" w:hint="default"/>
      </w:rPr>
    </w:lvl>
    <w:lvl w:ilvl="2" w:tplc="BA024FA0">
      <w:start w:val="1"/>
      <w:numFmt w:val="bullet"/>
      <w:lvlText w:val=""/>
      <w:lvlJc w:val="left"/>
      <w:pPr>
        <w:ind w:left="2160" w:hanging="360"/>
      </w:pPr>
      <w:rPr>
        <w:rFonts w:ascii="Wingdings" w:hAnsi="Wingdings" w:hint="default"/>
      </w:rPr>
    </w:lvl>
    <w:lvl w:ilvl="3" w:tplc="26947586">
      <w:start w:val="1"/>
      <w:numFmt w:val="bullet"/>
      <w:lvlText w:val=""/>
      <w:lvlJc w:val="left"/>
      <w:pPr>
        <w:ind w:left="2880" w:hanging="360"/>
      </w:pPr>
      <w:rPr>
        <w:rFonts w:ascii="Symbol" w:hAnsi="Symbol" w:hint="default"/>
      </w:rPr>
    </w:lvl>
    <w:lvl w:ilvl="4" w:tplc="1B32D642">
      <w:start w:val="1"/>
      <w:numFmt w:val="bullet"/>
      <w:lvlText w:val="o"/>
      <w:lvlJc w:val="left"/>
      <w:pPr>
        <w:ind w:left="3600" w:hanging="360"/>
      </w:pPr>
      <w:rPr>
        <w:rFonts w:ascii="Courier New" w:hAnsi="Courier New" w:hint="default"/>
      </w:rPr>
    </w:lvl>
    <w:lvl w:ilvl="5" w:tplc="4B6A9C44">
      <w:start w:val="1"/>
      <w:numFmt w:val="bullet"/>
      <w:lvlText w:val=""/>
      <w:lvlJc w:val="left"/>
      <w:pPr>
        <w:ind w:left="4320" w:hanging="360"/>
      </w:pPr>
      <w:rPr>
        <w:rFonts w:ascii="Wingdings" w:hAnsi="Wingdings" w:hint="default"/>
      </w:rPr>
    </w:lvl>
    <w:lvl w:ilvl="6" w:tplc="820694BA">
      <w:start w:val="1"/>
      <w:numFmt w:val="bullet"/>
      <w:lvlText w:val=""/>
      <w:lvlJc w:val="left"/>
      <w:pPr>
        <w:ind w:left="5040" w:hanging="360"/>
      </w:pPr>
      <w:rPr>
        <w:rFonts w:ascii="Symbol" w:hAnsi="Symbol" w:hint="default"/>
      </w:rPr>
    </w:lvl>
    <w:lvl w:ilvl="7" w:tplc="3E746848">
      <w:start w:val="1"/>
      <w:numFmt w:val="bullet"/>
      <w:lvlText w:val="o"/>
      <w:lvlJc w:val="left"/>
      <w:pPr>
        <w:ind w:left="5760" w:hanging="360"/>
      </w:pPr>
      <w:rPr>
        <w:rFonts w:ascii="Courier New" w:hAnsi="Courier New" w:hint="default"/>
      </w:rPr>
    </w:lvl>
    <w:lvl w:ilvl="8" w:tplc="00784BD6">
      <w:start w:val="1"/>
      <w:numFmt w:val="bullet"/>
      <w:lvlText w:val=""/>
      <w:lvlJc w:val="left"/>
      <w:pPr>
        <w:ind w:left="6480" w:hanging="360"/>
      </w:pPr>
      <w:rPr>
        <w:rFonts w:ascii="Wingdings" w:hAnsi="Wingdings" w:hint="default"/>
      </w:rPr>
    </w:lvl>
  </w:abstractNum>
  <w:abstractNum w:abstractNumId="86" w15:restartNumberingAfterBreak="0">
    <w:nsid w:val="6DFF13B1"/>
    <w:multiLevelType w:val="hybridMultilevel"/>
    <w:tmpl w:val="1A384F5C"/>
    <w:lvl w:ilvl="0" w:tplc="B5F2A60E">
      <w:start w:val="1"/>
      <w:numFmt w:val="lowerLetter"/>
      <w:pStyle w:val="ListNumber"/>
      <w:lvlText w:val="(%1)"/>
      <w:lvlJc w:val="left"/>
      <w:pPr>
        <w:tabs>
          <w:tab w:val="num" w:pos="2160"/>
        </w:tabs>
        <w:ind w:left="2160" w:hanging="360"/>
      </w:pPr>
      <w:rPr>
        <w:rFonts w:hint="default"/>
      </w:rPr>
    </w:lvl>
    <w:lvl w:ilvl="1" w:tplc="0C090019" w:tentative="1">
      <w:start w:val="1"/>
      <w:numFmt w:val="lowerLetter"/>
      <w:pStyle w:val="ListNumber2"/>
      <w:lvlText w:val="%2."/>
      <w:lvlJc w:val="left"/>
      <w:pPr>
        <w:tabs>
          <w:tab w:val="num" w:pos="2880"/>
        </w:tabs>
        <w:ind w:left="2880" w:hanging="360"/>
      </w:pPr>
    </w:lvl>
    <w:lvl w:ilvl="2" w:tplc="0C09001B" w:tentative="1">
      <w:start w:val="1"/>
      <w:numFmt w:val="lowerRoman"/>
      <w:pStyle w:val="ListNumber3"/>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87" w15:restartNumberingAfterBreak="0">
    <w:nsid w:val="6E592040"/>
    <w:multiLevelType w:val="hybridMultilevel"/>
    <w:tmpl w:val="F3A820A6"/>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6EB73848"/>
    <w:multiLevelType w:val="multilevel"/>
    <w:tmpl w:val="0C090023"/>
    <w:styleLink w:val="1ai2"/>
    <w:lvl w:ilvl="0">
      <w:start w:val="1"/>
      <w:numFmt w:val="upperRoman"/>
      <w:pStyle w:val="IntroBullet1"/>
      <w:lvlText w:val="Article %1."/>
      <w:lvlJc w:val="left"/>
      <w:pPr>
        <w:tabs>
          <w:tab w:val="num" w:pos="2520"/>
        </w:tabs>
        <w:ind w:left="0" w:firstLine="0"/>
      </w:pPr>
    </w:lvl>
    <w:lvl w:ilvl="1">
      <w:start w:val="1"/>
      <w:numFmt w:val="decimalZero"/>
      <w:pStyle w:val="IntroBullet2"/>
      <w:isLgl/>
      <w:lvlText w:val="Section %1.%2"/>
      <w:lvlJc w:val="left"/>
      <w:pPr>
        <w:tabs>
          <w:tab w:val="num" w:pos="2520"/>
        </w:tabs>
        <w:ind w:left="0" w:firstLine="0"/>
      </w:pPr>
    </w:lvl>
    <w:lvl w:ilvl="2">
      <w:start w:val="1"/>
      <w:numFmt w:val="lowerLetter"/>
      <w:pStyle w:val="IntroBullet3"/>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9" w15:restartNumberingAfterBreak="0">
    <w:nsid w:val="705E0C2E"/>
    <w:multiLevelType w:val="hybridMultilevel"/>
    <w:tmpl w:val="FD44B2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11B608D"/>
    <w:multiLevelType w:val="hybridMultilevel"/>
    <w:tmpl w:val="ADF2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1790497"/>
    <w:multiLevelType w:val="hybridMultilevel"/>
    <w:tmpl w:val="3064FC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2062B60"/>
    <w:multiLevelType w:val="hybridMultilevel"/>
    <w:tmpl w:val="1C404C98"/>
    <w:lvl w:ilvl="0" w:tplc="6784C6AE">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39D1CFC"/>
    <w:multiLevelType w:val="hybridMultilevel"/>
    <w:tmpl w:val="54E8DC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4470A22"/>
    <w:multiLevelType w:val="hybridMultilevel"/>
    <w:tmpl w:val="E752F6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4ED6D82"/>
    <w:multiLevelType w:val="hybridMultilevel"/>
    <w:tmpl w:val="C46036C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6" w15:restartNumberingAfterBreak="0">
    <w:nsid w:val="775A796C"/>
    <w:multiLevelType w:val="hybridMultilevel"/>
    <w:tmpl w:val="D8908636"/>
    <w:lvl w:ilvl="0" w:tplc="01FEE3E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7" w15:restartNumberingAfterBreak="0">
    <w:nsid w:val="77E37F27"/>
    <w:multiLevelType w:val="hybridMultilevel"/>
    <w:tmpl w:val="A910701C"/>
    <w:lvl w:ilvl="0" w:tplc="B9AA6820">
      <w:start w:val="1"/>
      <w:numFmt w:val="bullet"/>
      <w:lvlText w:val="-"/>
      <w:lvlJc w:val="right"/>
      <w:pPr>
        <w:ind w:left="1440" w:hanging="360"/>
      </w:pPr>
      <w:rPr>
        <w:rFonts w:ascii="Courier New" w:hAnsi="Courier New" w:hint="default"/>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8" w15:restartNumberingAfterBreak="0">
    <w:nsid w:val="7816242D"/>
    <w:multiLevelType w:val="multilevel"/>
    <w:tmpl w:val="ECA2CB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pStyle w:val="Heading5Numbered"/>
      <w:lvlText w:val="(%5)"/>
      <w:lvlJc w:val="left"/>
      <w:pPr>
        <w:tabs>
          <w:tab w:val="num" w:pos="1800"/>
        </w:tabs>
        <w:ind w:left="1800" w:hanging="360"/>
      </w:pPr>
      <w:rPr>
        <w:rFonts w:hint="default"/>
      </w:rPr>
    </w:lvl>
    <w:lvl w:ilvl="5">
      <w:start w:val="1"/>
      <w:numFmt w:val="lowerRoman"/>
      <w:pStyle w:val="Heading6Numbered"/>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85F39D4"/>
    <w:multiLevelType w:val="hybridMultilevel"/>
    <w:tmpl w:val="95F8D4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8E2431F"/>
    <w:multiLevelType w:val="hybridMultilevel"/>
    <w:tmpl w:val="98CC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9F7409D"/>
    <w:multiLevelType w:val="hybridMultilevel"/>
    <w:tmpl w:val="1AC097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2" w15:restartNumberingAfterBreak="0">
    <w:nsid w:val="7D0A3681"/>
    <w:multiLevelType w:val="hybridMultilevel"/>
    <w:tmpl w:val="6C80EDAA"/>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74709">
    <w:abstractNumId w:val="65"/>
  </w:num>
  <w:num w:numId="2" w16cid:durableId="969165826">
    <w:abstractNumId w:val="98"/>
  </w:num>
  <w:num w:numId="3" w16cid:durableId="1860392123">
    <w:abstractNumId w:val="41"/>
  </w:num>
  <w:num w:numId="4" w16cid:durableId="151218045">
    <w:abstractNumId w:val="103"/>
  </w:num>
  <w:num w:numId="5" w16cid:durableId="1845633403">
    <w:abstractNumId w:val="88"/>
  </w:num>
  <w:num w:numId="6" w16cid:durableId="533733903">
    <w:abstractNumId w:val="69"/>
  </w:num>
  <w:num w:numId="7" w16cid:durableId="238516540">
    <w:abstractNumId w:val="86"/>
  </w:num>
  <w:num w:numId="8" w16cid:durableId="1864709030">
    <w:abstractNumId w:val="47"/>
  </w:num>
  <w:num w:numId="9" w16cid:durableId="316883613">
    <w:abstractNumId w:val="12"/>
  </w:num>
  <w:num w:numId="10" w16cid:durableId="971208868">
    <w:abstractNumId w:val="22"/>
  </w:num>
  <w:num w:numId="11" w16cid:durableId="82531956">
    <w:abstractNumId w:val="15"/>
  </w:num>
  <w:num w:numId="12" w16cid:durableId="716903895">
    <w:abstractNumId w:val="79"/>
  </w:num>
  <w:num w:numId="13" w16cid:durableId="889192807">
    <w:abstractNumId w:val="61"/>
  </w:num>
  <w:num w:numId="14" w16cid:durableId="413479347">
    <w:abstractNumId w:val="5"/>
  </w:num>
  <w:num w:numId="15" w16cid:durableId="1937589959">
    <w:abstractNumId w:val="8"/>
  </w:num>
  <w:num w:numId="16" w16cid:durableId="1899242765">
    <w:abstractNumId w:val="11"/>
  </w:num>
  <w:num w:numId="17" w16cid:durableId="1407191657">
    <w:abstractNumId w:val="32"/>
  </w:num>
  <w:num w:numId="18" w16cid:durableId="547379233">
    <w:abstractNumId w:val="56"/>
  </w:num>
  <w:num w:numId="19" w16cid:durableId="1071121848">
    <w:abstractNumId w:val="9"/>
  </w:num>
  <w:num w:numId="20" w16cid:durableId="1852986890">
    <w:abstractNumId w:val="72"/>
  </w:num>
  <w:num w:numId="21" w16cid:durableId="53554556">
    <w:abstractNumId w:val="34"/>
  </w:num>
  <w:num w:numId="22" w16cid:durableId="621570486">
    <w:abstractNumId w:val="64"/>
  </w:num>
  <w:num w:numId="23" w16cid:durableId="1578591321">
    <w:abstractNumId w:val="74"/>
  </w:num>
  <w:num w:numId="24" w16cid:durableId="711540287">
    <w:abstractNumId w:val="62"/>
  </w:num>
  <w:num w:numId="25" w16cid:durableId="2062560931">
    <w:abstractNumId w:val="10"/>
  </w:num>
  <w:num w:numId="26" w16cid:durableId="1610164626">
    <w:abstractNumId w:val="6"/>
  </w:num>
  <w:num w:numId="27" w16cid:durableId="2009823271">
    <w:abstractNumId w:val="92"/>
  </w:num>
  <w:num w:numId="28" w16cid:durableId="5646122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3579769">
    <w:abstractNumId w:val="76"/>
  </w:num>
  <w:num w:numId="30" w16cid:durableId="1795712070">
    <w:abstractNumId w:val="66"/>
  </w:num>
  <w:num w:numId="31" w16cid:durableId="417946667">
    <w:abstractNumId w:val="24"/>
  </w:num>
  <w:num w:numId="32" w16cid:durableId="695041563">
    <w:abstractNumId w:val="67"/>
  </w:num>
  <w:num w:numId="33" w16cid:durableId="898367614">
    <w:abstractNumId w:val="89"/>
  </w:num>
  <w:num w:numId="34" w16cid:durableId="217976234">
    <w:abstractNumId w:val="77"/>
  </w:num>
  <w:num w:numId="35" w16cid:durableId="632099823">
    <w:abstractNumId w:val="84"/>
  </w:num>
  <w:num w:numId="36" w16cid:durableId="1740128323">
    <w:abstractNumId w:val="42"/>
  </w:num>
  <w:num w:numId="37" w16cid:durableId="2058552836">
    <w:abstractNumId w:val="81"/>
  </w:num>
  <w:num w:numId="38" w16cid:durableId="1998066649">
    <w:abstractNumId w:val="97"/>
  </w:num>
  <w:num w:numId="39" w16cid:durableId="259220706">
    <w:abstractNumId w:val="40"/>
  </w:num>
  <w:num w:numId="40" w16cid:durableId="297491882">
    <w:abstractNumId w:val="13"/>
  </w:num>
  <w:num w:numId="41" w16cid:durableId="445466025">
    <w:abstractNumId w:val="68"/>
  </w:num>
  <w:num w:numId="42" w16cid:durableId="848829367">
    <w:abstractNumId w:val="58"/>
  </w:num>
  <w:num w:numId="43" w16cid:durableId="1763991849">
    <w:abstractNumId w:val="33"/>
  </w:num>
  <w:num w:numId="44" w16cid:durableId="444496590">
    <w:abstractNumId w:val="94"/>
  </w:num>
  <w:num w:numId="45" w16cid:durableId="345328075">
    <w:abstractNumId w:val="55"/>
  </w:num>
  <w:num w:numId="46" w16cid:durableId="727459384">
    <w:abstractNumId w:val="96"/>
  </w:num>
  <w:num w:numId="47" w16cid:durableId="2027169111">
    <w:abstractNumId w:val="44"/>
  </w:num>
  <w:num w:numId="48" w16cid:durableId="1261835663">
    <w:abstractNumId w:val="43"/>
  </w:num>
  <w:num w:numId="49" w16cid:durableId="1085805836">
    <w:abstractNumId w:val="71"/>
  </w:num>
  <w:num w:numId="50" w16cid:durableId="438764407">
    <w:abstractNumId w:val="4"/>
  </w:num>
  <w:num w:numId="51" w16cid:durableId="464082913">
    <w:abstractNumId w:val="31"/>
  </w:num>
  <w:num w:numId="52" w16cid:durableId="599291933">
    <w:abstractNumId w:val="2"/>
  </w:num>
  <w:num w:numId="53" w16cid:durableId="1421412899">
    <w:abstractNumId w:val="46"/>
  </w:num>
  <w:num w:numId="54" w16cid:durableId="911623177">
    <w:abstractNumId w:val="91"/>
  </w:num>
  <w:num w:numId="55" w16cid:durableId="1178421660">
    <w:abstractNumId w:val="63"/>
  </w:num>
  <w:num w:numId="56" w16cid:durableId="856428417">
    <w:abstractNumId w:val="27"/>
  </w:num>
  <w:num w:numId="57" w16cid:durableId="1821120215">
    <w:abstractNumId w:val="26"/>
  </w:num>
  <w:num w:numId="58" w16cid:durableId="2129740189">
    <w:abstractNumId w:val="73"/>
  </w:num>
  <w:num w:numId="59" w16cid:durableId="1468622957">
    <w:abstractNumId w:val="59"/>
  </w:num>
  <w:num w:numId="60" w16cid:durableId="1616211326">
    <w:abstractNumId w:val="35"/>
  </w:num>
  <w:num w:numId="61" w16cid:durableId="1293826651">
    <w:abstractNumId w:val="52"/>
  </w:num>
  <w:num w:numId="62" w16cid:durableId="1827428918">
    <w:abstractNumId w:val="29"/>
  </w:num>
  <w:num w:numId="63" w16cid:durableId="257443072">
    <w:abstractNumId w:val="83"/>
  </w:num>
  <w:num w:numId="64" w16cid:durableId="1092967877">
    <w:abstractNumId w:val="80"/>
  </w:num>
  <w:num w:numId="65" w16cid:durableId="625703548">
    <w:abstractNumId w:val="7"/>
  </w:num>
  <w:num w:numId="66" w16cid:durableId="1077286784">
    <w:abstractNumId w:val="99"/>
  </w:num>
  <w:num w:numId="67" w16cid:durableId="1195269218">
    <w:abstractNumId w:val="18"/>
  </w:num>
  <w:num w:numId="68" w16cid:durableId="1690646466">
    <w:abstractNumId w:val="93"/>
  </w:num>
  <w:num w:numId="69" w16cid:durableId="1559240381">
    <w:abstractNumId w:val="0"/>
  </w:num>
  <w:num w:numId="70" w16cid:durableId="2110001379">
    <w:abstractNumId w:val="95"/>
  </w:num>
  <w:num w:numId="71" w16cid:durableId="282808617">
    <w:abstractNumId w:val="25"/>
  </w:num>
  <w:num w:numId="72" w16cid:durableId="1602301060">
    <w:abstractNumId w:val="50"/>
  </w:num>
  <w:num w:numId="73" w16cid:durableId="227613892">
    <w:abstractNumId w:val="51"/>
  </w:num>
  <w:num w:numId="74" w16cid:durableId="951403992">
    <w:abstractNumId w:val="21"/>
  </w:num>
  <w:num w:numId="75" w16cid:durableId="1925647091">
    <w:abstractNumId w:val="60"/>
  </w:num>
  <w:num w:numId="76" w16cid:durableId="1472481173">
    <w:abstractNumId w:val="57"/>
  </w:num>
  <w:num w:numId="77" w16cid:durableId="1775051325">
    <w:abstractNumId w:val="49"/>
  </w:num>
  <w:num w:numId="78" w16cid:durableId="34894311">
    <w:abstractNumId w:val="87"/>
  </w:num>
  <w:num w:numId="79" w16cid:durableId="1006329726">
    <w:abstractNumId w:val="102"/>
  </w:num>
  <w:num w:numId="80" w16cid:durableId="1807510247">
    <w:abstractNumId w:val="75"/>
  </w:num>
  <w:num w:numId="81" w16cid:durableId="1326742623">
    <w:abstractNumId w:val="16"/>
  </w:num>
  <w:num w:numId="82" w16cid:durableId="89863332">
    <w:abstractNumId w:val="28"/>
  </w:num>
  <w:num w:numId="83" w16cid:durableId="104229179">
    <w:abstractNumId w:val="70"/>
  </w:num>
  <w:num w:numId="84" w16cid:durableId="1368529947">
    <w:abstractNumId w:val="1"/>
  </w:num>
  <w:num w:numId="85" w16cid:durableId="506218438">
    <w:abstractNumId w:val="3"/>
  </w:num>
  <w:num w:numId="86" w16cid:durableId="658464241">
    <w:abstractNumId w:val="78"/>
  </w:num>
  <w:num w:numId="87" w16cid:durableId="495927148">
    <w:abstractNumId w:val="48"/>
  </w:num>
  <w:num w:numId="88" w16cid:durableId="971600390">
    <w:abstractNumId w:val="20"/>
  </w:num>
  <w:num w:numId="89" w16cid:durableId="1108545133">
    <w:abstractNumId w:val="37"/>
  </w:num>
  <w:num w:numId="90" w16cid:durableId="448277814">
    <w:abstractNumId w:val="36"/>
  </w:num>
  <w:num w:numId="91" w16cid:durableId="1113091287">
    <w:abstractNumId w:val="14"/>
  </w:num>
  <w:num w:numId="92" w16cid:durableId="1421490792">
    <w:abstractNumId w:val="85"/>
  </w:num>
  <w:num w:numId="93" w16cid:durableId="171846054">
    <w:abstractNumId w:val="19"/>
  </w:num>
  <w:num w:numId="94" w16cid:durableId="1285967401">
    <w:abstractNumId w:val="17"/>
  </w:num>
  <w:num w:numId="95" w16cid:durableId="2087796699">
    <w:abstractNumId w:val="101"/>
  </w:num>
  <w:num w:numId="96" w16cid:durableId="2099673173">
    <w:abstractNumId w:val="38"/>
  </w:num>
  <w:num w:numId="97" w16cid:durableId="834565377">
    <w:abstractNumId w:val="90"/>
  </w:num>
  <w:num w:numId="98" w16cid:durableId="511458984">
    <w:abstractNumId w:val="100"/>
  </w:num>
  <w:num w:numId="99" w16cid:durableId="1899589167">
    <w:abstractNumId w:val="53"/>
  </w:num>
  <w:num w:numId="100" w16cid:durableId="1978417920">
    <w:abstractNumId w:val="23"/>
  </w:num>
  <w:num w:numId="101" w16cid:durableId="935943690">
    <w:abstractNumId w:val="82"/>
  </w:num>
  <w:num w:numId="102" w16cid:durableId="1508715307">
    <w:abstractNumId w:val="54"/>
  </w:num>
  <w:num w:numId="103" w16cid:durableId="2103991309">
    <w:abstractNumId w:val="39"/>
  </w:num>
  <w:num w:numId="104" w16cid:durableId="293951454">
    <w:abstractNumId w:val="3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D81A10"/>
    <w:rsid w:val="00000504"/>
    <w:rsid w:val="000008C6"/>
    <w:rsid w:val="00002106"/>
    <w:rsid w:val="00002811"/>
    <w:rsid w:val="00002ABD"/>
    <w:rsid w:val="00002CC2"/>
    <w:rsid w:val="0000380E"/>
    <w:rsid w:val="0000386B"/>
    <w:rsid w:val="00003E4B"/>
    <w:rsid w:val="00003FA4"/>
    <w:rsid w:val="00004D6F"/>
    <w:rsid w:val="00005C6A"/>
    <w:rsid w:val="000060C8"/>
    <w:rsid w:val="00006A2D"/>
    <w:rsid w:val="00006DC9"/>
    <w:rsid w:val="00006EE7"/>
    <w:rsid w:val="00006F99"/>
    <w:rsid w:val="00007FD9"/>
    <w:rsid w:val="000106A2"/>
    <w:rsid w:val="00010D6E"/>
    <w:rsid w:val="0001111B"/>
    <w:rsid w:val="00012A1A"/>
    <w:rsid w:val="00013285"/>
    <w:rsid w:val="00015604"/>
    <w:rsid w:val="00016BD9"/>
    <w:rsid w:val="0001701B"/>
    <w:rsid w:val="000177BE"/>
    <w:rsid w:val="00017DAF"/>
    <w:rsid w:val="00017ECB"/>
    <w:rsid w:val="00017F61"/>
    <w:rsid w:val="00020136"/>
    <w:rsid w:val="00020753"/>
    <w:rsid w:val="00021824"/>
    <w:rsid w:val="0002189E"/>
    <w:rsid w:val="00021E00"/>
    <w:rsid w:val="0002244F"/>
    <w:rsid w:val="00024038"/>
    <w:rsid w:val="000240E7"/>
    <w:rsid w:val="00024725"/>
    <w:rsid w:val="00024EB7"/>
    <w:rsid w:val="0002514C"/>
    <w:rsid w:val="000252D6"/>
    <w:rsid w:val="00025E36"/>
    <w:rsid w:val="0002627C"/>
    <w:rsid w:val="00027008"/>
    <w:rsid w:val="0002756E"/>
    <w:rsid w:val="000301D7"/>
    <w:rsid w:val="000308C8"/>
    <w:rsid w:val="00031499"/>
    <w:rsid w:val="000315B5"/>
    <w:rsid w:val="00031EB2"/>
    <w:rsid w:val="00032158"/>
    <w:rsid w:val="00032922"/>
    <w:rsid w:val="0003499B"/>
    <w:rsid w:val="00034B0B"/>
    <w:rsid w:val="00035018"/>
    <w:rsid w:val="0003535D"/>
    <w:rsid w:val="00035387"/>
    <w:rsid w:val="000359AA"/>
    <w:rsid w:val="00036F5D"/>
    <w:rsid w:val="00037045"/>
    <w:rsid w:val="000374C4"/>
    <w:rsid w:val="0003750A"/>
    <w:rsid w:val="00037647"/>
    <w:rsid w:val="00040A63"/>
    <w:rsid w:val="00040BB0"/>
    <w:rsid w:val="000410C1"/>
    <w:rsid w:val="0004116D"/>
    <w:rsid w:val="00041A3A"/>
    <w:rsid w:val="00042737"/>
    <w:rsid w:val="00042BA0"/>
    <w:rsid w:val="00043423"/>
    <w:rsid w:val="00044521"/>
    <w:rsid w:val="00044C52"/>
    <w:rsid w:val="000452CE"/>
    <w:rsid w:val="000454E3"/>
    <w:rsid w:val="00045550"/>
    <w:rsid w:val="0004557F"/>
    <w:rsid w:val="00046385"/>
    <w:rsid w:val="00046393"/>
    <w:rsid w:val="000464F6"/>
    <w:rsid w:val="00046B05"/>
    <w:rsid w:val="00046C5C"/>
    <w:rsid w:val="00047D56"/>
    <w:rsid w:val="00050AFD"/>
    <w:rsid w:val="00050AFE"/>
    <w:rsid w:val="00051409"/>
    <w:rsid w:val="00051E42"/>
    <w:rsid w:val="000528E8"/>
    <w:rsid w:val="00052D43"/>
    <w:rsid w:val="000534D1"/>
    <w:rsid w:val="00053BAD"/>
    <w:rsid w:val="00053F9D"/>
    <w:rsid w:val="00054862"/>
    <w:rsid w:val="000548C1"/>
    <w:rsid w:val="00056783"/>
    <w:rsid w:val="000569AB"/>
    <w:rsid w:val="00056F01"/>
    <w:rsid w:val="00056F2F"/>
    <w:rsid w:val="0005798A"/>
    <w:rsid w:val="00057BA6"/>
    <w:rsid w:val="00057C3A"/>
    <w:rsid w:val="00060437"/>
    <w:rsid w:val="00060894"/>
    <w:rsid w:val="00060A7B"/>
    <w:rsid w:val="00060DE8"/>
    <w:rsid w:val="0006190A"/>
    <w:rsid w:val="0006225E"/>
    <w:rsid w:val="0006275F"/>
    <w:rsid w:val="00064918"/>
    <w:rsid w:val="000652F8"/>
    <w:rsid w:val="0006545D"/>
    <w:rsid w:val="000655AF"/>
    <w:rsid w:val="0006574E"/>
    <w:rsid w:val="00065D58"/>
    <w:rsid w:val="000672E2"/>
    <w:rsid w:val="00067FC9"/>
    <w:rsid w:val="00070028"/>
    <w:rsid w:val="0007010D"/>
    <w:rsid w:val="00070DC9"/>
    <w:rsid w:val="0007104B"/>
    <w:rsid w:val="000716AC"/>
    <w:rsid w:val="0007183B"/>
    <w:rsid w:val="00071FB9"/>
    <w:rsid w:val="000721A6"/>
    <w:rsid w:val="00072610"/>
    <w:rsid w:val="00073340"/>
    <w:rsid w:val="00073B78"/>
    <w:rsid w:val="00073C53"/>
    <w:rsid w:val="00074468"/>
    <w:rsid w:val="000750C0"/>
    <w:rsid w:val="000751F4"/>
    <w:rsid w:val="000755D9"/>
    <w:rsid w:val="00075D8C"/>
    <w:rsid w:val="0007631B"/>
    <w:rsid w:val="00076542"/>
    <w:rsid w:val="00076B28"/>
    <w:rsid w:val="000771F3"/>
    <w:rsid w:val="00080959"/>
    <w:rsid w:val="00080A49"/>
    <w:rsid w:val="00080E87"/>
    <w:rsid w:val="00081145"/>
    <w:rsid w:val="0008267E"/>
    <w:rsid w:val="000826B1"/>
    <w:rsid w:val="00082BA0"/>
    <w:rsid w:val="000830E1"/>
    <w:rsid w:val="000835FE"/>
    <w:rsid w:val="00084F25"/>
    <w:rsid w:val="00086996"/>
    <w:rsid w:val="00086F2B"/>
    <w:rsid w:val="000875F0"/>
    <w:rsid w:val="00087911"/>
    <w:rsid w:val="00090A8A"/>
    <w:rsid w:val="0009105B"/>
    <w:rsid w:val="00091084"/>
    <w:rsid w:val="00091D01"/>
    <w:rsid w:val="000921DA"/>
    <w:rsid w:val="000923C3"/>
    <w:rsid w:val="000923C5"/>
    <w:rsid w:val="000935F1"/>
    <w:rsid w:val="00093EFC"/>
    <w:rsid w:val="000941B5"/>
    <w:rsid w:val="0009441E"/>
    <w:rsid w:val="000946F1"/>
    <w:rsid w:val="00094CCD"/>
    <w:rsid w:val="00095DE0"/>
    <w:rsid w:val="00096710"/>
    <w:rsid w:val="00096E96"/>
    <w:rsid w:val="00096F4C"/>
    <w:rsid w:val="0009731B"/>
    <w:rsid w:val="00097335"/>
    <w:rsid w:val="000978A8"/>
    <w:rsid w:val="000A08A4"/>
    <w:rsid w:val="000A1A51"/>
    <w:rsid w:val="000A2266"/>
    <w:rsid w:val="000A2FED"/>
    <w:rsid w:val="000A3B4C"/>
    <w:rsid w:val="000A48DD"/>
    <w:rsid w:val="000A4935"/>
    <w:rsid w:val="000A4B82"/>
    <w:rsid w:val="000A5282"/>
    <w:rsid w:val="000A5648"/>
    <w:rsid w:val="000A60B7"/>
    <w:rsid w:val="000A71A8"/>
    <w:rsid w:val="000A72A1"/>
    <w:rsid w:val="000A7BD5"/>
    <w:rsid w:val="000A7D1A"/>
    <w:rsid w:val="000A7ED1"/>
    <w:rsid w:val="000B14B0"/>
    <w:rsid w:val="000B19E7"/>
    <w:rsid w:val="000B1D79"/>
    <w:rsid w:val="000B1DCC"/>
    <w:rsid w:val="000B1E28"/>
    <w:rsid w:val="000B25C3"/>
    <w:rsid w:val="000B3BBB"/>
    <w:rsid w:val="000B3DB5"/>
    <w:rsid w:val="000B46D8"/>
    <w:rsid w:val="000B4C9A"/>
    <w:rsid w:val="000B5367"/>
    <w:rsid w:val="000B540F"/>
    <w:rsid w:val="000B55B1"/>
    <w:rsid w:val="000B5A8B"/>
    <w:rsid w:val="000B5C22"/>
    <w:rsid w:val="000B5DB6"/>
    <w:rsid w:val="000B5E00"/>
    <w:rsid w:val="000B6687"/>
    <w:rsid w:val="000B6AA9"/>
    <w:rsid w:val="000B6B3C"/>
    <w:rsid w:val="000B7957"/>
    <w:rsid w:val="000C0B8D"/>
    <w:rsid w:val="000C0C20"/>
    <w:rsid w:val="000C0C9A"/>
    <w:rsid w:val="000C0F2F"/>
    <w:rsid w:val="000C10D7"/>
    <w:rsid w:val="000C1365"/>
    <w:rsid w:val="000C2CC4"/>
    <w:rsid w:val="000C31F5"/>
    <w:rsid w:val="000C3828"/>
    <w:rsid w:val="000C4D7E"/>
    <w:rsid w:val="000C5011"/>
    <w:rsid w:val="000C54F2"/>
    <w:rsid w:val="000C59B5"/>
    <w:rsid w:val="000C5A44"/>
    <w:rsid w:val="000C5B09"/>
    <w:rsid w:val="000C77AF"/>
    <w:rsid w:val="000D004C"/>
    <w:rsid w:val="000D0115"/>
    <w:rsid w:val="000D0AE5"/>
    <w:rsid w:val="000D0BBE"/>
    <w:rsid w:val="000D0DF7"/>
    <w:rsid w:val="000D1705"/>
    <w:rsid w:val="000D1921"/>
    <w:rsid w:val="000D1B0F"/>
    <w:rsid w:val="000D1EF4"/>
    <w:rsid w:val="000D26AC"/>
    <w:rsid w:val="000D3218"/>
    <w:rsid w:val="000D4159"/>
    <w:rsid w:val="000D444B"/>
    <w:rsid w:val="000D460A"/>
    <w:rsid w:val="000D4A17"/>
    <w:rsid w:val="000D4C81"/>
    <w:rsid w:val="000D540C"/>
    <w:rsid w:val="000D58E1"/>
    <w:rsid w:val="000D67C1"/>
    <w:rsid w:val="000D78E2"/>
    <w:rsid w:val="000D7B04"/>
    <w:rsid w:val="000E172B"/>
    <w:rsid w:val="000E2458"/>
    <w:rsid w:val="000E2B93"/>
    <w:rsid w:val="000E3064"/>
    <w:rsid w:val="000E3356"/>
    <w:rsid w:val="000E3621"/>
    <w:rsid w:val="000E36EC"/>
    <w:rsid w:val="000E37D3"/>
    <w:rsid w:val="000E3EEA"/>
    <w:rsid w:val="000E41CA"/>
    <w:rsid w:val="000E614D"/>
    <w:rsid w:val="000E6FEF"/>
    <w:rsid w:val="000E7348"/>
    <w:rsid w:val="000E7FBE"/>
    <w:rsid w:val="000F0BF6"/>
    <w:rsid w:val="000F1A88"/>
    <w:rsid w:val="000F1C35"/>
    <w:rsid w:val="000F2703"/>
    <w:rsid w:val="000F2F36"/>
    <w:rsid w:val="000F31CC"/>
    <w:rsid w:val="000F3766"/>
    <w:rsid w:val="000F3B03"/>
    <w:rsid w:val="000F3C30"/>
    <w:rsid w:val="000F3D0D"/>
    <w:rsid w:val="000F4519"/>
    <w:rsid w:val="000F4588"/>
    <w:rsid w:val="000F4825"/>
    <w:rsid w:val="000F486C"/>
    <w:rsid w:val="000F549C"/>
    <w:rsid w:val="000F5652"/>
    <w:rsid w:val="000F5BD0"/>
    <w:rsid w:val="000F5C5A"/>
    <w:rsid w:val="000F5F05"/>
    <w:rsid w:val="000F5FE5"/>
    <w:rsid w:val="000F6338"/>
    <w:rsid w:val="000F69D9"/>
    <w:rsid w:val="000F6A05"/>
    <w:rsid w:val="000F6A75"/>
    <w:rsid w:val="000F6E28"/>
    <w:rsid w:val="000F76B2"/>
    <w:rsid w:val="000F77D8"/>
    <w:rsid w:val="000F7E70"/>
    <w:rsid w:val="000F7F37"/>
    <w:rsid w:val="001001BF"/>
    <w:rsid w:val="001002E7"/>
    <w:rsid w:val="001004C7"/>
    <w:rsid w:val="0010066C"/>
    <w:rsid w:val="0010121E"/>
    <w:rsid w:val="00101685"/>
    <w:rsid w:val="0010211A"/>
    <w:rsid w:val="0010253B"/>
    <w:rsid w:val="00103588"/>
    <w:rsid w:val="001037FA"/>
    <w:rsid w:val="0010404A"/>
    <w:rsid w:val="0010431D"/>
    <w:rsid w:val="00104CCB"/>
    <w:rsid w:val="00104E9D"/>
    <w:rsid w:val="00104F44"/>
    <w:rsid w:val="001051B8"/>
    <w:rsid w:val="00105436"/>
    <w:rsid w:val="001057D4"/>
    <w:rsid w:val="00105F31"/>
    <w:rsid w:val="00106781"/>
    <w:rsid w:val="00106ADF"/>
    <w:rsid w:val="00106F68"/>
    <w:rsid w:val="001073F1"/>
    <w:rsid w:val="00107A53"/>
    <w:rsid w:val="00107F42"/>
    <w:rsid w:val="0011031A"/>
    <w:rsid w:val="00110699"/>
    <w:rsid w:val="001108A3"/>
    <w:rsid w:val="00110BC0"/>
    <w:rsid w:val="00110D3C"/>
    <w:rsid w:val="00111094"/>
    <w:rsid w:val="001112BD"/>
    <w:rsid w:val="001114B9"/>
    <w:rsid w:val="001117F0"/>
    <w:rsid w:val="00113327"/>
    <w:rsid w:val="0011375D"/>
    <w:rsid w:val="001139A9"/>
    <w:rsid w:val="00113A42"/>
    <w:rsid w:val="00113CA5"/>
    <w:rsid w:val="00114901"/>
    <w:rsid w:val="00114F2D"/>
    <w:rsid w:val="00115449"/>
    <w:rsid w:val="00115458"/>
    <w:rsid w:val="001163AC"/>
    <w:rsid w:val="001163E2"/>
    <w:rsid w:val="001164AC"/>
    <w:rsid w:val="00116C6A"/>
    <w:rsid w:val="00116FBB"/>
    <w:rsid w:val="001170C2"/>
    <w:rsid w:val="00117677"/>
    <w:rsid w:val="0012010A"/>
    <w:rsid w:val="001205B9"/>
    <w:rsid w:val="001209E5"/>
    <w:rsid w:val="00120FCD"/>
    <w:rsid w:val="00121969"/>
    <w:rsid w:val="001219AC"/>
    <w:rsid w:val="00121CE0"/>
    <w:rsid w:val="00121E71"/>
    <w:rsid w:val="001221FE"/>
    <w:rsid w:val="0012294C"/>
    <w:rsid w:val="00122B36"/>
    <w:rsid w:val="00122DA2"/>
    <w:rsid w:val="00122DE7"/>
    <w:rsid w:val="00122E07"/>
    <w:rsid w:val="00123406"/>
    <w:rsid w:val="00123E94"/>
    <w:rsid w:val="0012408A"/>
    <w:rsid w:val="0012428D"/>
    <w:rsid w:val="001242E2"/>
    <w:rsid w:val="001248A7"/>
    <w:rsid w:val="00124FFB"/>
    <w:rsid w:val="001251A9"/>
    <w:rsid w:val="00125546"/>
    <w:rsid w:val="00125CD2"/>
    <w:rsid w:val="0012668B"/>
    <w:rsid w:val="00126C1C"/>
    <w:rsid w:val="00126DEC"/>
    <w:rsid w:val="0012702E"/>
    <w:rsid w:val="0012751B"/>
    <w:rsid w:val="00127BD9"/>
    <w:rsid w:val="00127D91"/>
    <w:rsid w:val="001306F4"/>
    <w:rsid w:val="00131441"/>
    <w:rsid w:val="0013165E"/>
    <w:rsid w:val="001316DA"/>
    <w:rsid w:val="00131751"/>
    <w:rsid w:val="00131918"/>
    <w:rsid w:val="00132B6E"/>
    <w:rsid w:val="00133983"/>
    <w:rsid w:val="00133BBD"/>
    <w:rsid w:val="00133E23"/>
    <w:rsid w:val="001347F9"/>
    <w:rsid w:val="00134896"/>
    <w:rsid w:val="001348A2"/>
    <w:rsid w:val="001348D8"/>
    <w:rsid w:val="00134B00"/>
    <w:rsid w:val="00134B1C"/>
    <w:rsid w:val="00136197"/>
    <w:rsid w:val="001371BE"/>
    <w:rsid w:val="0013747A"/>
    <w:rsid w:val="0013785C"/>
    <w:rsid w:val="001408EB"/>
    <w:rsid w:val="00141013"/>
    <w:rsid w:val="001419DD"/>
    <w:rsid w:val="00141BED"/>
    <w:rsid w:val="00141F59"/>
    <w:rsid w:val="00142C2E"/>
    <w:rsid w:val="0014308E"/>
    <w:rsid w:val="00144A73"/>
    <w:rsid w:val="00145223"/>
    <w:rsid w:val="0014531E"/>
    <w:rsid w:val="001458C1"/>
    <w:rsid w:val="00146BB1"/>
    <w:rsid w:val="00151496"/>
    <w:rsid w:val="00151759"/>
    <w:rsid w:val="00151D72"/>
    <w:rsid w:val="0015221D"/>
    <w:rsid w:val="001528CF"/>
    <w:rsid w:val="00152F24"/>
    <w:rsid w:val="001535F4"/>
    <w:rsid w:val="00153892"/>
    <w:rsid w:val="001544CC"/>
    <w:rsid w:val="001544FB"/>
    <w:rsid w:val="00154AA9"/>
    <w:rsid w:val="0015515D"/>
    <w:rsid w:val="00155A05"/>
    <w:rsid w:val="00155AC6"/>
    <w:rsid w:val="00156942"/>
    <w:rsid w:val="00156D1A"/>
    <w:rsid w:val="00157F5C"/>
    <w:rsid w:val="0016019A"/>
    <w:rsid w:val="001601AF"/>
    <w:rsid w:val="00160464"/>
    <w:rsid w:val="00161688"/>
    <w:rsid w:val="00162514"/>
    <w:rsid w:val="001625E5"/>
    <w:rsid w:val="0016343C"/>
    <w:rsid w:val="0016406C"/>
    <w:rsid w:val="0016523D"/>
    <w:rsid w:val="0016592F"/>
    <w:rsid w:val="00165A81"/>
    <w:rsid w:val="00165D7A"/>
    <w:rsid w:val="0016642F"/>
    <w:rsid w:val="00167E45"/>
    <w:rsid w:val="00170202"/>
    <w:rsid w:val="00170692"/>
    <w:rsid w:val="00171017"/>
    <w:rsid w:val="001731BD"/>
    <w:rsid w:val="0017362F"/>
    <w:rsid w:val="00173F83"/>
    <w:rsid w:val="00174450"/>
    <w:rsid w:val="001752DF"/>
    <w:rsid w:val="00175516"/>
    <w:rsid w:val="001757BC"/>
    <w:rsid w:val="00175C55"/>
    <w:rsid w:val="0017675F"/>
    <w:rsid w:val="0017681F"/>
    <w:rsid w:val="0017725F"/>
    <w:rsid w:val="001805D1"/>
    <w:rsid w:val="001807F8"/>
    <w:rsid w:val="00180CD8"/>
    <w:rsid w:val="001812E6"/>
    <w:rsid w:val="0018177F"/>
    <w:rsid w:val="00182A70"/>
    <w:rsid w:val="00182B00"/>
    <w:rsid w:val="00182DA8"/>
    <w:rsid w:val="00182DF3"/>
    <w:rsid w:val="001836F2"/>
    <w:rsid w:val="00183DFF"/>
    <w:rsid w:val="00183E3D"/>
    <w:rsid w:val="00183F66"/>
    <w:rsid w:val="0018409D"/>
    <w:rsid w:val="00185471"/>
    <w:rsid w:val="00185E15"/>
    <w:rsid w:val="00186C2B"/>
    <w:rsid w:val="001876C8"/>
    <w:rsid w:val="00190061"/>
    <w:rsid w:val="001905D9"/>
    <w:rsid w:val="001906A8"/>
    <w:rsid w:val="00190823"/>
    <w:rsid w:val="001912D4"/>
    <w:rsid w:val="001926AD"/>
    <w:rsid w:val="0019320C"/>
    <w:rsid w:val="00194224"/>
    <w:rsid w:val="00195CA4"/>
    <w:rsid w:val="001964BB"/>
    <w:rsid w:val="001965E8"/>
    <w:rsid w:val="001965F8"/>
    <w:rsid w:val="0019692F"/>
    <w:rsid w:val="001977C6"/>
    <w:rsid w:val="00197F55"/>
    <w:rsid w:val="00197F9B"/>
    <w:rsid w:val="001A0223"/>
    <w:rsid w:val="001A06F2"/>
    <w:rsid w:val="001A0FC3"/>
    <w:rsid w:val="001A183A"/>
    <w:rsid w:val="001A1C68"/>
    <w:rsid w:val="001A34BC"/>
    <w:rsid w:val="001A39EC"/>
    <w:rsid w:val="001A3A14"/>
    <w:rsid w:val="001A3BA8"/>
    <w:rsid w:val="001A3DE8"/>
    <w:rsid w:val="001A5372"/>
    <w:rsid w:val="001A5B83"/>
    <w:rsid w:val="001A5ECC"/>
    <w:rsid w:val="001A6BB7"/>
    <w:rsid w:val="001A7358"/>
    <w:rsid w:val="001A7472"/>
    <w:rsid w:val="001B00DC"/>
    <w:rsid w:val="001B04D8"/>
    <w:rsid w:val="001B05B9"/>
    <w:rsid w:val="001B0C03"/>
    <w:rsid w:val="001B1525"/>
    <w:rsid w:val="001B1A41"/>
    <w:rsid w:val="001B2559"/>
    <w:rsid w:val="001B3EE1"/>
    <w:rsid w:val="001B4130"/>
    <w:rsid w:val="001B47B1"/>
    <w:rsid w:val="001B4A86"/>
    <w:rsid w:val="001B51CE"/>
    <w:rsid w:val="001B5978"/>
    <w:rsid w:val="001B5C33"/>
    <w:rsid w:val="001B603B"/>
    <w:rsid w:val="001B63C3"/>
    <w:rsid w:val="001B687F"/>
    <w:rsid w:val="001B6D16"/>
    <w:rsid w:val="001B712B"/>
    <w:rsid w:val="001B7295"/>
    <w:rsid w:val="001B741D"/>
    <w:rsid w:val="001C051F"/>
    <w:rsid w:val="001C0F85"/>
    <w:rsid w:val="001C1158"/>
    <w:rsid w:val="001C11A1"/>
    <w:rsid w:val="001C1AEC"/>
    <w:rsid w:val="001C1C21"/>
    <w:rsid w:val="001C1E4B"/>
    <w:rsid w:val="001C3324"/>
    <w:rsid w:val="001C3ACE"/>
    <w:rsid w:val="001C3FB0"/>
    <w:rsid w:val="001C448B"/>
    <w:rsid w:val="001C46E5"/>
    <w:rsid w:val="001C4759"/>
    <w:rsid w:val="001C48ED"/>
    <w:rsid w:val="001C4A87"/>
    <w:rsid w:val="001C52D7"/>
    <w:rsid w:val="001C5744"/>
    <w:rsid w:val="001C6263"/>
    <w:rsid w:val="001C64A5"/>
    <w:rsid w:val="001C6695"/>
    <w:rsid w:val="001C73FF"/>
    <w:rsid w:val="001C75ED"/>
    <w:rsid w:val="001C7654"/>
    <w:rsid w:val="001C7785"/>
    <w:rsid w:val="001D0244"/>
    <w:rsid w:val="001D1314"/>
    <w:rsid w:val="001D29D3"/>
    <w:rsid w:val="001D3173"/>
    <w:rsid w:val="001D3413"/>
    <w:rsid w:val="001D377D"/>
    <w:rsid w:val="001D37F4"/>
    <w:rsid w:val="001D3A03"/>
    <w:rsid w:val="001D3FA4"/>
    <w:rsid w:val="001D48C9"/>
    <w:rsid w:val="001D51AA"/>
    <w:rsid w:val="001D54DD"/>
    <w:rsid w:val="001D5854"/>
    <w:rsid w:val="001D58DC"/>
    <w:rsid w:val="001D593D"/>
    <w:rsid w:val="001D5BD1"/>
    <w:rsid w:val="001D6547"/>
    <w:rsid w:val="001D66E1"/>
    <w:rsid w:val="001D6B62"/>
    <w:rsid w:val="001D6D40"/>
    <w:rsid w:val="001D72B9"/>
    <w:rsid w:val="001D7B93"/>
    <w:rsid w:val="001D7F33"/>
    <w:rsid w:val="001E0B06"/>
    <w:rsid w:val="001E0E2E"/>
    <w:rsid w:val="001E1517"/>
    <w:rsid w:val="001E1A55"/>
    <w:rsid w:val="001E2428"/>
    <w:rsid w:val="001E25EE"/>
    <w:rsid w:val="001E3E0E"/>
    <w:rsid w:val="001E4388"/>
    <w:rsid w:val="001E46D0"/>
    <w:rsid w:val="001E5353"/>
    <w:rsid w:val="001E61EE"/>
    <w:rsid w:val="001E63E3"/>
    <w:rsid w:val="001E6F3D"/>
    <w:rsid w:val="001E754D"/>
    <w:rsid w:val="001E778A"/>
    <w:rsid w:val="001E7C49"/>
    <w:rsid w:val="001E7CE7"/>
    <w:rsid w:val="001F039F"/>
    <w:rsid w:val="001F0FB7"/>
    <w:rsid w:val="001F1083"/>
    <w:rsid w:val="001F19D6"/>
    <w:rsid w:val="001F1DE7"/>
    <w:rsid w:val="001F23F6"/>
    <w:rsid w:val="001F2BFF"/>
    <w:rsid w:val="001F2F56"/>
    <w:rsid w:val="001F3356"/>
    <w:rsid w:val="001F3430"/>
    <w:rsid w:val="001F403E"/>
    <w:rsid w:val="001F4288"/>
    <w:rsid w:val="001F4541"/>
    <w:rsid w:val="001F4A1E"/>
    <w:rsid w:val="001F4F3B"/>
    <w:rsid w:val="001F55F2"/>
    <w:rsid w:val="001F6021"/>
    <w:rsid w:val="001F67C3"/>
    <w:rsid w:val="001F6A2A"/>
    <w:rsid w:val="001F6FCD"/>
    <w:rsid w:val="001F7298"/>
    <w:rsid w:val="001F7584"/>
    <w:rsid w:val="00200DA8"/>
    <w:rsid w:val="00200FBB"/>
    <w:rsid w:val="00201B0E"/>
    <w:rsid w:val="00201BE9"/>
    <w:rsid w:val="00202008"/>
    <w:rsid w:val="0020274F"/>
    <w:rsid w:val="00202EDF"/>
    <w:rsid w:val="00203374"/>
    <w:rsid w:val="00203819"/>
    <w:rsid w:val="00203B68"/>
    <w:rsid w:val="00203C13"/>
    <w:rsid w:val="00203EBA"/>
    <w:rsid w:val="002042D9"/>
    <w:rsid w:val="0020496C"/>
    <w:rsid w:val="0020556E"/>
    <w:rsid w:val="00206244"/>
    <w:rsid w:val="00206CE9"/>
    <w:rsid w:val="00206EE0"/>
    <w:rsid w:val="0020715C"/>
    <w:rsid w:val="00207F12"/>
    <w:rsid w:val="0021081E"/>
    <w:rsid w:val="0021197B"/>
    <w:rsid w:val="002119DF"/>
    <w:rsid w:val="00211BCA"/>
    <w:rsid w:val="00212FD4"/>
    <w:rsid w:val="002134F3"/>
    <w:rsid w:val="00213510"/>
    <w:rsid w:val="00213985"/>
    <w:rsid w:val="00213F5A"/>
    <w:rsid w:val="002147CD"/>
    <w:rsid w:val="002158B6"/>
    <w:rsid w:val="002159F2"/>
    <w:rsid w:val="002161A8"/>
    <w:rsid w:val="00216EFF"/>
    <w:rsid w:val="00216F10"/>
    <w:rsid w:val="0021750A"/>
    <w:rsid w:val="002176D1"/>
    <w:rsid w:val="0021784D"/>
    <w:rsid w:val="00217EA0"/>
    <w:rsid w:val="002206B4"/>
    <w:rsid w:val="00221C82"/>
    <w:rsid w:val="00221C85"/>
    <w:rsid w:val="0022297B"/>
    <w:rsid w:val="00222995"/>
    <w:rsid w:val="00222C08"/>
    <w:rsid w:val="002233D4"/>
    <w:rsid w:val="00223681"/>
    <w:rsid w:val="00223743"/>
    <w:rsid w:val="00223E93"/>
    <w:rsid w:val="00223F2C"/>
    <w:rsid w:val="00224633"/>
    <w:rsid w:val="00224DA3"/>
    <w:rsid w:val="00225BE8"/>
    <w:rsid w:val="00225D48"/>
    <w:rsid w:val="0022601D"/>
    <w:rsid w:val="0022607B"/>
    <w:rsid w:val="00226EFC"/>
    <w:rsid w:val="0022741B"/>
    <w:rsid w:val="00227423"/>
    <w:rsid w:val="00230005"/>
    <w:rsid w:val="0023051C"/>
    <w:rsid w:val="00230E95"/>
    <w:rsid w:val="002317FD"/>
    <w:rsid w:val="00232A8E"/>
    <w:rsid w:val="0023358B"/>
    <w:rsid w:val="00234CE9"/>
    <w:rsid w:val="00234E43"/>
    <w:rsid w:val="0023547A"/>
    <w:rsid w:val="00235D38"/>
    <w:rsid w:val="002363B5"/>
    <w:rsid w:val="00236FF4"/>
    <w:rsid w:val="0023791A"/>
    <w:rsid w:val="00237D3B"/>
    <w:rsid w:val="00240214"/>
    <w:rsid w:val="002412BF"/>
    <w:rsid w:val="002419B4"/>
    <w:rsid w:val="00241BB6"/>
    <w:rsid w:val="00242126"/>
    <w:rsid w:val="00242D46"/>
    <w:rsid w:val="00242E08"/>
    <w:rsid w:val="0024372A"/>
    <w:rsid w:val="002438C5"/>
    <w:rsid w:val="002442EA"/>
    <w:rsid w:val="0024459A"/>
    <w:rsid w:val="0024481B"/>
    <w:rsid w:val="00244E8F"/>
    <w:rsid w:val="00245403"/>
    <w:rsid w:val="00245ACF"/>
    <w:rsid w:val="00245B69"/>
    <w:rsid w:val="00245B7E"/>
    <w:rsid w:val="00246584"/>
    <w:rsid w:val="002466E1"/>
    <w:rsid w:val="00246AA7"/>
    <w:rsid w:val="00246B17"/>
    <w:rsid w:val="00246E96"/>
    <w:rsid w:val="0025049B"/>
    <w:rsid w:val="002506A2"/>
    <w:rsid w:val="00250B20"/>
    <w:rsid w:val="002513EE"/>
    <w:rsid w:val="002515D5"/>
    <w:rsid w:val="002516C3"/>
    <w:rsid w:val="002526DB"/>
    <w:rsid w:val="002529E6"/>
    <w:rsid w:val="00252C04"/>
    <w:rsid w:val="00252C2F"/>
    <w:rsid w:val="002531ED"/>
    <w:rsid w:val="00253900"/>
    <w:rsid w:val="00253C69"/>
    <w:rsid w:val="002564FE"/>
    <w:rsid w:val="00257ACD"/>
    <w:rsid w:val="00257B39"/>
    <w:rsid w:val="00261365"/>
    <w:rsid w:val="002627F8"/>
    <w:rsid w:val="002634BD"/>
    <w:rsid w:val="002635C4"/>
    <w:rsid w:val="002638DF"/>
    <w:rsid w:val="00263C6D"/>
    <w:rsid w:val="00265875"/>
    <w:rsid w:val="002659E6"/>
    <w:rsid w:val="00265C37"/>
    <w:rsid w:val="002662CB"/>
    <w:rsid w:val="00266A28"/>
    <w:rsid w:val="0026734E"/>
    <w:rsid w:val="0026755A"/>
    <w:rsid w:val="00267681"/>
    <w:rsid w:val="002679CA"/>
    <w:rsid w:val="002703C5"/>
    <w:rsid w:val="0027089A"/>
    <w:rsid w:val="00270DEF"/>
    <w:rsid w:val="0027130F"/>
    <w:rsid w:val="00271BDA"/>
    <w:rsid w:val="00271C1F"/>
    <w:rsid w:val="00271E31"/>
    <w:rsid w:val="00273F90"/>
    <w:rsid w:val="00274116"/>
    <w:rsid w:val="00274171"/>
    <w:rsid w:val="00274739"/>
    <w:rsid w:val="002748EB"/>
    <w:rsid w:val="00274D41"/>
    <w:rsid w:val="002766BC"/>
    <w:rsid w:val="002770C6"/>
    <w:rsid w:val="002771D2"/>
    <w:rsid w:val="00277ABD"/>
    <w:rsid w:val="00280095"/>
    <w:rsid w:val="00280BA1"/>
    <w:rsid w:val="00281A03"/>
    <w:rsid w:val="00281F32"/>
    <w:rsid w:val="00282265"/>
    <w:rsid w:val="0028230F"/>
    <w:rsid w:val="0028337D"/>
    <w:rsid w:val="0028338D"/>
    <w:rsid w:val="00283FE3"/>
    <w:rsid w:val="00284466"/>
    <w:rsid w:val="0028578C"/>
    <w:rsid w:val="00285ED2"/>
    <w:rsid w:val="00286785"/>
    <w:rsid w:val="00286DAB"/>
    <w:rsid w:val="002873B2"/>
    <w:rsid w:val="0028764D"/>
    <w:rsid w:val="002877C5"/>
    <w:rsid w:val="00287DEF"/>
    <w:rsid w:val="00290038"/>
    <w:rsid w:val="00290173"/>
    <w:rsid w:val="00290223"/>
    <w:rsid w:val="002904EE"/>
    <w:rsid w:val="00290E36"/>
    <w:rsid w:val="002916C2"/>
    <w:rsid w:val="0029183E"/>
    <w:rsid w:val="002924AF"/>
    <w:rsid w:val="00292A35"/>
    <w:rsid w:val="0029302E"/>
    <w:rsid w:val="002934F4"/>
    <w:rsid w:val="00293CAC"/>
    <w:rsid w:val="0029433B"/>
    <w:rsid w:val="002945C9"/>
    <w:rsid w:val="0029470F"/>
    <w:rsid w:val="002948A9"/>
    <w:rsid w:val="00294C33"/>
    <w:rsid w:val="00295FC8"/>
    <w:rsid w:val="002969FD"/>
    <w:rsid w:val="00296CAC"/>
    <w:rsid w:val="00297952"/>
    <w:rsid w:val="00297B45"/>
    <w:rsid w:val="00297F3B"/>
    <w:rsid w:val="002A03F9"/>
    <w:rsid w:val="002A06F7"/>
    <w:rsid w:val="002A0C53"/>
    <w:rsid w:val="002A0FD5"/>
    <w:rsid w:val="002A10B0"/>
    <w:rsid w:val="002A13F4"/>
    <w:rsid w:val="002A18FA"/>
    <w:rsid w:val="002A1B25"/>
    <w:rsid w:val="002A2710"/>
    <w:rsid w:val="002A2E83"/>
    <w:rsid w:val="002A3010"/>
    <w:rsid w:val="002A4863"/>
    <w:rsid w:val="002A4B3A"/>
    <w:rsid w:val="002A5357"/>
    <w:rsid w:val="002A59FF"/>
    <w:rsid w:val="002A6631"/>
    <w:rsid w:val="002A6E1D"/>
    <w:rsid w:val="002A758A"/>
    <w:rsid w:val="002A76E7"/>
    <w:rsid w:val="002A7926"/>
    <w:rsid w:val="002A7A1E"/>
    <w:rsid w:val="002B0123"/>
    <w:rsid w:val="002B1C66"/>
    <w:rsid w:val="002B27A9"/>
    <w:rsid w:val="002B2C8F"/>
    <w:rsid w:val="002B346C"/>
    <w:rsid w:val="002B36B9"/>
    <w:rsid w:val="002B4D7D"/>
    <w:rsid w:val="002B5226"/>
    <w:rsid w:val="002B564C"/>
    <w:rsid w:val="002B5EE9"/>
    <w:rsid w:val="002B605D"/>
    <w:rsid w:val="002B6306"/>
    <w:rsid w:val="002B6DA2"/>
    <w:rsid w:val="002B7354"/>
    <w:rsid w:val="002B76BF"/>
    <w:rsid w:val="002B7D99"/>
    <w:rsid w:val="002C04DB"/>
    <w:rsid w:val="002C0989"/>
    <w:rsid w:val="002C0A81"/>
    <w:rsid w:val="002C0C62"/>
    <w:rsid w:val="002C2289"/>
    <w:rsid w:val="002C2550"/>
    <w:rsid w:val="002C3635"/>
    <w:rsid w:val="002C4124"/>
    <w:rsid w:val="002C4A82"/>
    <w:rsid w:val="002C4EC2"/>
    <w:rsid w:val="002C506A"/>
    <w:rsid w:val="002C536D"/>
    <w:rsid w:val="002C6417"/>
    <w:rsid w:val="002C6781"/>
    <w:rsid w:val="002C6BDA"/>
    <w:rsid w:val="002C6F00"/>
    <w:rsid w:val="002C712B"/>
    <w:rsid w:val="002C71C9"/>
    <w:rsid w:val="002D0C2F"/>
    <w:rsid w:val="002D1AE8"/>
    <w:rsid w:val="002D1F23"/>
    <w:rsid w:val="002D2D8C"/>
    <w:rsid w:val="002D317C"/>
    <w:rsid w:val="002D328F"/>
    <w:rsid w:val="002D39A1"/>
    <w:rsid w:val="002D39D5"/>
    <w:rsid w:val="002D44CE"/>
    <w:rsid w:val="002D5AE0"/>
    <w:rsid w:val="002D655F"/>
    <w:rsid w:val="002D7E4F"/>
    <w:rsid w:val="002D7E72"/>
    <w:rsid w:val="002E030F"/>
    <w:rsid w:val="002E0590"/>
    <w:rsid w:val="002E07CB"/>
    <w:rsid w:val="002E0A3A"/>
    <w:rsid w:val="002E0AF2"/>
    <w:rsid w:val="002E0BE5"/>
    <w:rsid w:val="002E169F"/>
    <w:rsid w:val="002E1F9C"/>
    <w:rsid w:val="002E2003"/>
    <w:rsid w:val="002E2213"/>
    <w:rsid w:val="002E23E8"/>
    <w:rsid w:val="002E288C"/>
    <w:rsid w:val="002E2896"/>
    <w:rsid w:val="002E2DF2"/>
    <w:rsid w:val="002E2DFC"/>
    <w:rsid w:val="002E34F3"/>
    <w:rsid w:val="002E368C"/>
    <w:rsid w:val="002E381D"/>
    <w:rsid w:val="002E49A5"/>
    <w:rsid w:val="002E5518"/>
    <w:rsid w:val="002E5B30"/>
    <w:rsid w:val="002E5D87"/>
    <w:rsid w:val="002F07C7"/>
    <w:rsid w:val="002F1BD8"/>
    <w:rsid w:val="002F1E28"/>
    <w:rsid w:val="002F200D"/>
    <w:rsid w:val="002F2463"/>
    <w:rsid w:val="002F2AD5"/>
    <w:rsid w:val="002F2E71"/>
    <w:rsid w:val="002F2FBF"/>
    <w:rsid w:val="002F3341"/>
    <w:rsid w:val="002F335E"/>
    <w:rsid w:val="002F352F"/>
    <w:rsid w:val="002F37AC"/>
    <w:rsid w:val="002F39B2"/>
    <w:rsid w:val="002F49B6"/>
    <w:rsid w:val="002F51D3"/>
    <w:rsid w:val="002F52E4"/>
    <w:rsid w:val="002F5559"/>
    <w:rsid w:val="002F5E52"/>
    <w:rsid w:val="002F6434"/>
    <w:rsid w:val="002F6828"/>
    <w:rsid w:val="002F7A60"/>
    <w:rsid w:val="00300345"/>
    <w:rsid w:val="00300601"/>
    <w:rsid w:val="0030107D"/>
    <w:rsid w:val="003012B9"/>
    <w:rsid w:val="0030137E"/>
    <w:rsid w:val="00301939"/>
    <w:rsid w:val="003019C5"/>
    <w:rsid w:val="00301A66"/>
    <w:rsid w:val="00301F1F"/>
    <w:rsid w:val="003021D7"/>
    <w:rsid w:val="00302907"/>
    <w:rsid w:val="003029D0"/>
    <w:rsid w:val="00302A9C"/>
    <w:rsid w:val="00302E32"/>
    <w:rsid w:val="00303D0D"/>
    <w:rsid w:val="00303EA1"/>
    <w:rsid w:val="00304554"/>
    <w:rsid w:val="003047FB"/>
    <w:rsid w:val="00305EDC"/>
    <w:rsid w:val="0030633E"/>
    <w:rsid w:val="00306406"/>
    <w:rsid w:val="003070F1"/>
    <w:rsid w:val="0030728C"/>
    <w:rsid w:val="003074B7"/>
    <w:rsid w:val="00310201"/>
    <w:rsid w:val="0031098D"/>
    <w:rsid w:val="00310FC7"/>
    <w:rsid w:val="003114F1"/>
    <w:rsid w:val="003119CF"/>
    <w:rsid w:val="003119DA"/>
    <w:rsid w:val="00312EE5"/>
    <w:rsid w:val="00312FE3"/>
    <w:rsid w:val="0031374C"/>
    <w:rsid w:val="00314870"/>
    <w:rsid w:val="00314AF6"/>
    <w:rsid w:val="00315B4E"/>
    <w:rsid w:val="00315D3D"/>
    <w:rsid w:val="00316143"/>
    <w:rsid w:val="00316265"/>
    <w:rsid w:val="0031647E"/>
    <w:rsid w:val="00316713"/>
    <w:rsid w:val="00316827"/>
    <w:rsid w:val="00316961"/>
    <w:rsid w:val="003177A0"/>
    <w:rsid w:val="003204A8"/>
    <w:rsid w:val="00320C8B"/>
    <w:rsid w:val="003218D9"/>
    <w:rsid w:val="00322751"/>
    <w:rsid w:val="00323324"/>
    <w:rsid w:val="00323451"/>
    <w:rsid w:val="003235BC"/>
    <w:rsid w:val="003248C3"/>
    <w:rsid w:val="00325650"/>
    <w:rsid w:val="003265D1"/>
    <w:rsid w:val="0032757B"/>
    <w:rsid w:val="003278B7"/>
    <w:rsid w:val="00327C3C"/>
    <w:rsid w:val="00330131"/>
    <w:rsid w:val="003303E7"/>
    <w:rsid w:val="00330408"/>
    <w:rsid w:val="003306D8"/>
    <w:rsid w:val="00330785"/>
    <w:rsid w:val="003307D1"/>
    <w:rsid w:val="00330BF8"/>
    <w:rsid w:val="00331056"/>
    <w:rsid w:val="0033118D"/>
    <w:rsid w:val="00331A6F"/>
    <w:rsid w:val="00331A9F"/>
    <w:rsid w:val="003327BD"/>
    <w:rsid w:val="00332A18"/>
    <w:rsid w:val="00333204"/>
    <w:rsid w:val="0033357D"/>
    <w:rsid w:val="003337B9"/>
    <w:rsid w:val="003342AA"/>
    <w:rsid w:val="00334C3D"/>
    <w:rsid w:val="00334EA3"/>
    <w:rsid w:val="003355CC"/>
    <w:rsid w:val="003357BA"/>
    <w:rsid w:val="00335CDC"/>
    <w:rsid w:val="00336065"/>
    <w:rsid w:val="00340080"/>
    <w:rsid w:val="0034053B"/>
    <w:rsid w:val="00340560"/>
    <w:rsid w:val="00340977"/>
    <w:rsid w:val="0034138B"/>
    <w:rsid w:val="003415B9"/>
    <w:rsid w:val="0034167F"/>
    <w:rsid w:val="0034188A"/>
    <w:rsid w:val="00341E74"/>
    <w:rsid w:val="0034236F"/>
    <w:rsid w:val="00342DF4"/>
    <w:rsid w:val="0034385E"/>
    <w:rsid w:val="00343ABB"/>
    <w:rsid w:val="00343D3D"/>
    <w:rsid w:val="00343F3D"/>
    <w:rsid w:val="003445EA"/>
    <w:rsid w:val="00344E35"/>
    <w:rsid w:val="003452F6"/>
    <w:rsid w:val="003453C8"/>
    <w:rsid w:val="00345C2C"/>
    <w:rsid w:val="00347ADB"/>
    <w:rsid w:val="00347CD0"/>
    <w:rsid w:val="003508AF"/>
    <w:rsid w:val="00350A76"/>
    <w:rsid w:val="00350D57"/>
    <w:rsid w:val="00350F87"/>
    <w:rsid w:val="003527D8"/>
    <w:rsid w:val="0035296B"/>
    <w:rsid w:val="00352FB2"/>
    <w:rsid w:val="003530CF"/>
    <w:rsid w:val="00353682"/>
    <w:rsid w:val="0035389C"/>
    <w:rsid w:val="003539EE"/>
    <w:rsid w:val="00353F51"/>
    <w:rsid w:val="003545E4"/>
    <w:rsid w:val="0035496A"/>
    <w:rsid w:val="00354A73"/>
    <w:rsid w:val="00354B23"/>
    <w:rsid w:val="00355CB6"/>
    <w:rsid w:val="003561F5"/>
    <w:rsid w:val="003562C8"/>
    <w:rsid w:val="00356D4D"/>
    <w:rsid w:val="00356DE6"/>
    <w:rsid w:val="00357978"/>
    <w:rsid w:val="0036082A"/>
    <w:rsid w:val="00360F66"/>
    <w:rsid w:val="00362215"/>
    <w:rsid w:val="00362D23"/>
    <w:rsid w:val="00362DB1"/>
    <w:rsid w:val="00363463"/>
    <w:rsid w:val="003638AF"/>
    <w:rsid w:val="00363A70"/>
    <w:rsid w:val="00363C2C"/>
    <w:rsid w:val="00363E63"/>
    <w:rsid w:val="00364053"/>
    <w:rsid w:val="00365E01"/>
    <w:rsid w:val="00365F48"/>
    <w:rsid w:val="00366459"/>
    <w:rsid w:val="00366767"/>
    <w:rsid w:val="00366FB2"/>
    <w:rsid w:val="003670C2"/>
    <w:rsid w:val="00367428"/>
    <w:rsid w:val="00367AAE"/>
    <w:rsid w:val="0037007B"/>
    <w:rsid w:val="003700C7"/>
    <w:rsid w:val="003708E8"/>
    <w:rsid w:val="00370D91"/>
    <w:rsid w:val="00370DCD"/>
    <w:rsid w:val="003711CD"/>
    <w:rsid w:val="003719CD"/>
    <w:rsid w:val="00372695"/>
    <w:rsid w:val="00372706"/>
    <w:rsid w:val="0037298A"/>
    <w:rsid w:val="00372B4F"/>
    <w:rsid w:val="00372BE8"/>
    <w:rsid w:val="003730F0"/>
    <w:rsid w:val="00374546"/>
    <w:rsid w:val="00375D63"/>
    <w:rsid w:val="00376994"/>
    <w:rsid w:val="00376F91"/>
    <w:rsid w:val="00377041"/>
    <w:rsid w:val="00377129"/>
    <w:rsid w:val="0037795C"/>
    <w:rsid w:val="0038083D"/>
    <w:rsid w:val="003809EF"/>
    <w:rsid w:val="003816CA"/>
    <w:rsid w:val="00382434"/>
    <w:rsid w:val="0038278C"/>
    <w:rsid w:val="00382B98"/>
    <w:rsid w:val="00382EA5"/>
    <w:rsid w:val="00383814"/>
    <w:rsid w:val="003848F0"/>
    <w:rsid w:val="00384AD1"/>
    <w:rsid w:val="00384D0D"/>
    <w:rsid w:val="00384DD5"/>
    <w:rsid w:val="00385B88"/>
    <w:rsid w:val="0038646E"/>
    <w:rsid w:val="0038686A"/>
    <w:rsid w:val="00386930"/>
    <w:rsid w:val="00387048"/>
    <w:rsid w:val="00387100"/>
    <w:rsid w:val="00387122"/>
    <w:rsid w:val="0038726D"/>
    <w:rsid w:val="00387552"/>
    <w:rsid w:val="003876AD"/>
    <w:rsid w:val="00387941"/>
    <w:rsid w:val="00387A87"/>
    <w:rsid w:val="0039143F"/>
    <w:rsid w:val="00391644"/>
    <w:rsid w:val="00391FAB"/>
    <w:rsid w:val="00392271"/>
    <w:rsid w:val="0039250F"/>
    <w:rsid w:val="00393359"/>
    <w:rsid w:val="003935E7"/>
    <w:rsid w:val="00393E1B"/>
    <w:rsid w:val="003943DA"/>
    <w:rsid w:val="003947DE"/>
    <w:rsid w:val="00394BB4"/>
    <w:rsid w:val="0039527F"/>
    <w:rsid w:val="00396222"/>
    <w:rsid w:val="003966DA"/>
    <w:rsid w:val="00396B02"/>
    <w:rsid w:val="00397294"/>
    <w:rsid w:val="00397610"/>
    <w:rsid w:val="00397994"/>
    <w:rsid w:val="00397C23"/>
    <w:rsid w:val="003A15A1"/>
    <w:rsid w:val="003A19A7"/>
    <w:rsid w:val="003A24C4"/>
    <w:rsid w:val="003A28EE"/>
    <w:rsid w:val="003A2991"/>
    <w:rsid w:val="003A2999"/>
    <w:rsid w:val="003A2A7A"/>
    <w:rsid w:val="003A3320"/>
    <w:rsid w:val="003A3E98"/>
    <w:rsid w:val="003A5299"/>
    <w:rsid w:val="003A6610"/>
    <w:rsid w:val="003B0A40"/>
    <w:rsid w:val="003B0E25"/>
    <w:rsid w:val="003B18F6"/>
    <w:rsid w:val="003B19E3"/>
    <w:rsid w:val="003B1BB0"/>
    <w:rsid w:val="003B1FE7"/>
    <w:rsid w:val="003B2B1C"/>
    <w:rsid w:val="003B2F76"/>
    <w:rsid w:val="003B3459"/>
    <w:rsid w:val="003B3E62"/>
    <w:rsid w:val="003B4BF1"/>
    <w:rsid w:val="003B4D31"/>
    <w:rsid w:val="003B532A"/>
    <w:rsid w:val="003B5EEC"/>
    <w:rsid w:val="003B64C6"/>
    <w:rsid w:val="003B64E2"/>
    <w:rsid w:val="003B6A6E"/>
    <w:rsid w:val="003B6BED"/>
    <w:rsid w:val="003B6D43"/>
    <w:rsid w:val="003B6F87"/>
    <w:rsid w:val="003B7FDB"/>
    <w:rsid w:val="003C0946"/>
    <w:rsid w:val="003C0D72"/>
    <w:rsid w:val="003C0F4F"/>
    <w:rsid w:val="003C0FB9"/>
    <w:rsid w:val="003C16FA"/>
    <w:rsid w:val="003C1731"/>
    <w:rsid w:val="003C19B8"/>
    <w:rsid w:val="003C26D5"/>
    <w:rsid w:val="003C2B43"/>
    <w:rsid w:val="003C3526"/>
    <w:rsid w:val="003C3894"/>
    <w:rsid w:val="003C4F9B"/>
    <w:rsid w:val="003C5A65"/>
    <w:rsid w:val="003C5C17"/>
    <w:rsid w:val="003C6390"/>
    <w:rsid w:val="003C67F7"/>
    <w:rsid w:val="003C6CCD"/>
    <w:rsid w:val="003C7604"/>
    <w:rsid w:val="003C7B1F"/>
    <w:rsid w:val="003C7BBF"/>
    <w:rsid w:val="003D020B"/>
    <w:rsid w:val="003D05A9"/>
    <w:rsid w:val="003D0A3F"/>
    <w:rsid w:val="003D0A78"/>
    <w:rsid w:val="003D18A5"/>
    <w:rsid w:val="003D251C"/>
    <w:rsid w:val="003D25D2"/>
    <w:rsid w:val="003D264B"/>
    <w:rsid w:val="003D2E36"/>
    <w:rsid w:val="003D2F98"/>
    <w:rsid w:val="003D317E"/>
    <w:rsid w:val="003D3383"/>
    <w:rsid w:val="003D3435"/>
    <w:rsid w:val="003D35F9"/>
    <w:rsid w:val="003D4C66"/>
    <w:rsid w:val="003D5158"/>
    <w:rsid w:val="003D516B"/>
    <w:rsid w:val="003D5187"/>
    <w:rsid w:val="003D51FE"/>
    <w:rsid w:val="003D56C2"/>
    <w:rsid w:val="003D577D"/>
    <w:rsid w:val="003D57E2"/>
    <w:rsid w:val="003D59AC"/>
    <w:rsid w:val="003D6F45"/>
    <w:rsid w:val="003D72D8"/>
    <w:rsid w:val="003D7B55"/>
    <w:rsid w:val="003E03B1"/>
    <w:rsid w:val="003E0E83"/>
    <w:rsid w:val="003E0F69"/>
    <w:rsid w:val="003E141C"/>
    <w:rsid w:val="003E1A73"/>
    <w:rsid w:val="003E2672"/>
    <w:rsid w:val="003E2804"/>
    <w:rsid w:val="003E3BB6"/>
    <w:rsid w:val="003E3CEC"/>
    <w:rsid w:val="003E3E10"/>
    <w:rsid w:val="003E4241"/>
    <w:rsid w:val="003E4D95"/>
    <w:rsid w:val="003E5961"/>
    <w:rsid w:val="003E5C22"/>
    <w:rsid w:val="003E62B8"/>
    <w:rsid w:val="003E6868"/>
    <w:rsid w:val="003E6933"/>
    <w:rsid w:val="003E6A54"/>
    <w:rsid w:val="003E6FB0"/>
    <w:rsid w:val="003E734F"/>
    <w:rsid w:val="003E76E4"/>
    <w:rsid w:val="003E7870"/>
    <w:rsid w:val="003E7FAA"/>
    <w:rsid w:val="003F00B4"/>
    <w:rsid w:val="003F0DD9"/>
    <w:rsid w:val="003F0E65"/>
    <w:rsid w:val="003F1085"/>
    <w:rsid w:val="003F21DA"/>
    <w:rsid w:val="003F26BD"/>
    <w:rsid w:val="003F2745"/>
    <w:rsid w:val="003F336C"/>
    <w:rsid w:val="003F36C1"/>
    <w:rsid w:val="003F45FB"/>
    <w:rsid w:val="003F4669"/>
    <w:rsid w:val="003F5DB1"/>
    <w:rsid w:val="003F622E"/>
    <w:rsid w:val="003F62A8"/>
    <w:rsid w:val="003F7C1D"/>
    <w:rsid w:val="003F7C53"/>
    <w:rsid w:val="00400005"/>
    <w:rsid w:val="00400821"/>
    <w:rsid w:val="004017F6"/>
    <w:rsid w:val="00401C48"/>
    <w:rsid w:val="0040229E"/>
    <w:rsid w:val="00402B93"/>
    <w:rsid w:val="0040326B"/>
    <w:rsid w:val="004034B4"/>
    <w:rsid w:val="004054A1"/>
    <w:rsid w:val="004056EE"/>
    <w:rsid w:val="0040620B"/>
    <w:rsid w:val="004070C7"/>
    <w:rsid w:val="004075E9"/>
    <w:rsid w:val="00407A67"/>
    <w:rsid w:val="00407B50"/>
    <w:rsid w:val="00407B79"/>
    <w:rsid w:val="004104DE"/>
    <w:rsid w:val="004110DC"/>
    <w:rsid w:val="004114E9"/>
    <w:rsid w:val="004118D8"/>
    <w:rsid w:val="0041255A"/>
    <w:rsid w:val="00412A85"/>
    <w:rsid w:val="004136EB"/>
    <w:rsid w:val="00413B93"/>
    <w:rsid w:val="00414703"/>
    <w:rsid w:val="00414916"/>
    <w:rsid w:val="00415813"/>
    <w:rsid w:val="00415D93"/>
    <w:rsid w:val="004164C5"/>
    <w:rsid w:val="00417716"/>
    <w:rsid w:val="00417BC1"/>
    <w:rsid w:val="00417FCA"/>
    <w:rsid w:val="0042104C"/>
    <w:rsid w:val="004220A8"/>
    <w:rsid w:val="004222CC"/>
    <w:rsid w:val="0042258D"/>
    <w:rsid w:val="00422CC4"/>
    <w:rsid w:val="00423041"/>
    <w:rsid w:val="00423371"/>
    <w:rsid w:val="0042356C"/>
    <w:rsid w:val="004237E5"/>
    <w:rsid w:val="00424301"/>
    <w:rsid w:val="0042458E"/>
    <w:rsid w:val="004249F1"/>
    <w:rsid w:val="00424BB9"/>
    <w:rsid w:val="00424C75"/>
    <w:rsid w:val="004252AC"/>
    <w:rsid w:val="004255A0"/>
    <w:rsid w:val="00425615"/>
    <w:rsid w:val="00425844"/>
    <w:rsid w:val="00425A1F"/>
    <w:rsid w:val="00426495"/>
    <w:rsid w:val="00426A07"/>
    <w:rsid w:val="00427327"/>
    <w:rsid w:val="00427970"/>
    <w:rsid w:val="00427C84"/>
    <w:rsid w:val="00427CBD"/>
    <w:rsid w:val="0043019E"/>
    <w:rsid w:val="0043025A"/>
    <w:rsid w:val="00431138"/>
    <w:rsid w:val="004317B0"/>
    <w:rsid w:val="00431BD3"/>
    <w:rsid w:val="00431E7B"/>
    <w:rsid w:val="00432B10"/>
    <w:rsid w:val="00432C85"/>
    <w:rsid w:val="00432FFD"/>
    <w:rsid w:val="004330ED"/>
    <w:rsid w:val="00433A6C"/>
    <w:rsid w:val="0043452F"/>
    <w:rsid w:val="00434C6D"/>
    <w:rsid w:val="0043558F"/>
    <w:rsid w:val="004358BF"/>
    <w:rsid w:val="004362BA"/>
    <w:rsid w:val="00436617"/>
    <w:rsid w:val="00436D12"/>
    <w:rsid w:val="00437372"/>
    <w:rsid w:val="004375AF"/>
    <w:rsid w:val="00437802"/>
    <w:rsid w:val="00440283"/>
    <w:rsid w:val="00440B9D"/>
    <w:rsid w:val="00441862"/>
    <w:rsid w:val="00441E8D"/>
    <w:rsid w:val="0044217B"/>
    <w:rsid w:val="00442C74"/>
    <w:rsid w:val="00443124"/>
    <w:rsid w:val="0044333A"/>
    <w:rsid w:val="004433F8"/>
    <w:rsid w:val="0044404C"/>
    <w:rsid w:val="0044406C"/>
    <w:rsid w:val="0044410C"/>
    <w:rsid w:val="0044506C"/>
    <w:rsid w:val="004450E3"/>
    <w:rsid w:val="0044510E"/>
    <w:rsid w:val="00445606"/>
    <w:rsid w:val="00445B21"/>
    <w:rsid w:val="004463E0"/>
    <w:rsid w:val="00447196"/>
    <w:rsid w:val="00447B0E"/>
    <w:rsid w:val="00447D4A"/>
    <w:rsid w:val="0045009C"/>
    <w:rsid w:val="004500B9"/>
    <w:rsid w:val="0045098B"/>
    <w:rsid w:val="00451625"/>
    <w:rsid w:val="00452046"/>
    <w:rsid w:val="00452275"/>
    <w:rsid w:val="00453790"/>
    <w:rsid w:val="0045383B"/>
    <w:rsid w:val="00453C60"/>
    <w:rsid w:val="004546D2"/>
    <w:rsid w:val="00455F0F"/>
    <w:rsid w:val="004579ED"/>
    <w:rsid w:val="00457BB8"/>
    <w:rsid w:val="004602B1"/>
    <w:rsid w:val="004603B7"/>
    <w:rsid w:val="00460862"/>
    <w:rsid w:val="00463394"/>
    <w:rsid w:val="0046414B"/>
    <w:rsid w:val="00464212"/>
    <w:rsid w:val="0046432A"/>
    <w:rsid w:val="00464384"/>
    <w:rsid w:val="00464B9C"/>
    <w:rsid w:val="00464D7F"/>
    <w:rsid w:val="00464D9D"/>
    <w:rsid w:val="004652F3"/>
    <w:rsid w:val="0046628C"/>
    <w:rsid w:val="0046686C"/>
    <w:rsid w:val="00467817"/>
    <w:rsid w:val="00470349"/>
    <w:rsid w:val="004707C3"/>
    <w:rsid w:val="004708DC"/>
    <w:rsid w:val="00471488"/>
    <w:rsid w:val="00471E21"/>
    <w:rsid w:val="00471E5D"/>
    <w:rsid w:val="00472210"/>
    <w:rsid w:val="004724FF"/>
    <w:rsid w:val="00472C34"/>
    <w:rsid w:val="00472C6A"/>
    <w:rsid w:val="00473598"/>
    <w:rsid w:val="00473983"/>
    <w:rsid w:val="00473B7F"/>
    <w:rsid w:val="004748D5"/>
    <w:rsid w:val="00475BE4"/>
    <w:rsid w:val="0047609F"/>
    <w:rsid w:val="00476368"/>
    <w:rsid w:val="00476429"/>
    <w:rsid w:val="0047661A"/>
    <w:rsid w:val="004768EA"/>
    <w:rsid w:val="004769AF"/>
    <w:rsid w:val="00476CB0"/>
    <w:rsid w:val="004806E2"/>
    <w:rsid w:val="00480B52"/>
    <w:rsid w:val="00480B6E"/>
    <w:rsid w:val="004815B9"/>
    <w:rsid w:val="004820AF"/>
    <w:rsid w:val="00482349"/>
    <w:rsid w:val="00482A36"/>
    <w:rsid w:val="00482F86"/>
    <w:rsid w:val="00483F40"/>
    <w:rsid w:val="00484325"/>
    <w:rsid w:val="004844CD"/>
    <w:rsid w:val="00484BBB"/>
    <w:rsid w:val="0048667A"/>
    <w:rsid w:val="00486812"/>
    <w:rsid w:val="00486A3F"/>
    <w:rsid w:val="0048714A"/>
    <w:rsid w:val="00490027"/>
    <w:rsid w:val="0049024D"/>
    <w:rsid w:val="00490353"/>
    <w:rsid w:val="004904AD"/>
    <w:rsid w:val="0049126A"/>
    <w:rsid w:val="0049167F"/>
    <w:rsid w:val="004920F0"/>
    <w:rsid w:val="0049220F"/>
    <w:rsid w:val="0049287C"/>
    <w:rsid w:val="004930C2"/>
    <w:rsid w:val="0049316F"/>
    <w:rsid w:val="00493BC1"/>
    <w:rsid w:val="0049428A"/>
    <w:rsid w:val="0049435F"/>
    <w:rsid w:val="00494ADC"/>
    <w:rsid w:val="0049580D"/>
    <w:rsid w:val="00495F63"/>
    <w:rsid w:val="00496076"/>
    <w:rsid w:val="00496FD2"/>
    <w:rsid w:val="004974AA"/>
    <w:rsid w:val="0049785F"/>
    <w:rsid w:val="004A060C"/>
    <w:rsid w:val="004A15DA"/>
    <w:rsid w:val="004A25AD"/>
    <w:rsid w:val="004A2E8A"/>
    <w:rsid w:val="004A347F"/>
    <w:rsid w:val="004A3C8A"/>
    <w:rsid w:val="004A4590"/>
    <w:rsid w:val="004A4C24"/>
    <w:rsid w:val="004A4D32"/>
    <w:rsid w:val="004A5DA4"/>
    <w:rsid w:val="004A62C4"/>
    <w:rsid w:val="004A6B1D"/>
    <w:rsid w:val="004A6E6F"/>
    <w:rsid w:val="004A6F48"/>
    <w:rsid w:val="004A6F71"/>
    <w:rsid w:val="004A71D0"/>
    <w:rsid w:val="004A735F"/>
    <w:rsid w:val="004A7735"/>
    <w:rsid w:val="004B29F4"/>
    <w:rsid w:val="004B2B9A"/>
    <w:rsid w:val="004B3BCB"/>
    <w:rsid w:val="004B45F5"/>
    <w:rsid w:val="004B4793"/>
    <w:rsid w:val="004B4A5F"/>
    <w:rsid w:val="004B4FF4"/>
    <w:rsid w:val="004B56C1"/>
    <w:rsid w:val="004B5ED4"/>
    <w:rsid w:val="004B63B5"/>
    <w:rsid w:val="004B63E6"/>
    <w:rsid w:val="004B64CD"/>
    <w:rsid w:val="004B6F4A"/>
    <w:rsid w:val="004B6F56"/>
    <w:rsid w:val="004B711B"/>
    <w:rsid w:val="004B7C62"/>
    <w:rsid w:val="004B7EF5"/>
    <w:rsid w:val="004C0173"/>
    <w:rsid w:val="004C017B"/>
    <w:rsid w:val="004C0549"/>
    <w:rsid w:val="004C0E5E"/>
    <w:rsid w:val="004C15AB"/>
    <w:rsid w:val="004C166F"/>
    <w:rsid w:val="004C1F53"/>
    <w:rsid w:val="004C2AE4"/>
    <w:rsid w:val="004C30E3"/>
    <w:rsid w:val="004C40D6"/>
    <w:rsid w:val="004C46B7"/>
    <w:rsid w:val="004C4CE2"/>
    <w:rsid w:val="004C4DF7"/>
    <w:rsid w:val="004C50A9"/>
    <w:rsid w:val="004C56E7"/>
    <w:rsid w:val="004C59EB"/>
    <w:rsid w:val="004C6557"/>
    <w:rsid w:val="004C7012"/>
    <w:rsid w:val="004C7C60"/>
    <w:rsid w:val="004C7E4B"/>
    <w:rsid w:val="004D00AF"/>
    <w:rsid w:val="004D0793"/>
    <w:rsid w:val="004D0F9B"/>
    <w:rsid w:val="004D2FD3"/>
    <w:rsid w:val="004D42B3"/>
    <w:rsid w:val="004D4631"/>
    <w:rsid w:val="004D4DD8"/>
    <w:rsid w:val="004D545B"/>
    <w:rsid w:val="004D575A"/>
    <w:rsid w:val="004D7B96"/>
    <w:rsid w:val="004D7D96"/>
    <w:rsid w:val="004E0256"/>
    <w:rsid w:val="004E04EE"/>
    <w:rsid w:val="004E0830"/>
    <w:rsid w:val="004E0EE6"/>
    <w:rsid w:val="004E0F22"/>
    <w:rsid w:val="004E10A7"/>
    <w:rsid w:val="004E11C3"/>
    <w:rsid w:val="004E14E0"/>
    <w:rsid w:val="004E184B"/>
    <w:rsid w:val="004E1B43"/>
    <w:rsid w:val="004E1C36"/>
    <w:rsid w:val="004E2086"/>
    <w:rsid w:val="004E2382"/>
    <w:rsid w:val="004E3621"/>
    <w:rsid w:val="004E3B71"/>
    <w:rsid w:val="004E470A"/>
    <w:rsid w:val="004E4FBA"/>
    <w:rsid w:val="004E502F"/>
    <w:rsid w:val="004E616C"/>
    <w:rsid w:val="004E7B14"/>
    <w:rsid w:val="004F04E3"/>
    <w:rsid w:val="004F11A8"/>
    <w:rsid w:val="004F1359"/>
    <w:rsid w:val="004F157F"/>
    <w:rsid w:val="004F2453"/>
    <w:rsid w:val="004F2647"/>
    <w:rsid w:val="004F2B48"/>
    <w:rsid w:val="004F2F33"/>
    <w:rsid w:val="004F356E"/>
    <w:rsid w:val="004F3611"/>
    <w:rsid w:val="004F504A"/>
    <w:rsid w:val="004F6448"/>
    <w:rsid w:val="004F6CC1"/>
    <w:rsid w:val="004F6D0A"/>
    <w:rsid w:val="004F6DCB"/>
    <w:rsid w:val="004F727C"/>
    <w:rsid w:val="004F7C17"/>
    <w:rsid w:val="0050091E"/>
    <w:rsid w:val="005010B1"/>
    <w:rsid w:val="00501ED1"/>
    <w:rsid w:val="00502003"/>
    <w:rsid w:val="0050242D"/>
    <w:rsid w:val="005024E9"/>
    <w:rsid w:val="005034F4"/>
    <w:rsid w:val="00503C80"/>
    <w:rsid w:val="00504861"/>
    <w:rsid w:val="00504D7B"/>
    <w:rsid w:val="0050541F"/>
    <w:rsid w:val="00506233"/>
    <w:rsid w:val="0050639A"/>
    <w:rsid w:val="00507835"/>
    <w:rsid w:val="00510176"/>
    <w:rsid w:val="005107E9"/>
    <w:rsid w:val="00511A94"/>
    <w:rsid w:val="0051218B"/>
    <w:rsid w:val="005125D4"/>
    <w:rsid w:val="00512C3D"/>
    <w:rsid w:val="00512E0D"/>
    <w:rsid w:val="00513164"/>
    <w:rsid w:val="00513865"/>
    <w:rsid w:val="005141D4"/>
    <w:rsid w:val="00514636"/>
    <w:rsid w:val="005152E7"/>
    <w:rsid w:val="005153FD"/>
    <w:rsid w:val="0051561B"/>
    <w:rsid w:val="00520618"/>
    <w:rsid w:val="0052083B"/>
    <w:rsid w:val="005208D4"/>
    <w:rsid w:val="00522A17"/>
    <w:rsid w:val="00522B25"/>
    <w:rsid w:val="005237DA"/>
    <w:rsid w:val="00524576"/>
    <w:rsid w:val="00524998"/>
    <w:rsid w:val="005254FB"/>
    <w:rsid w:val="005258AD"/>
    <w:rsid w:val="00525C23"/>
    <w:rsid w:val="00525F80"/>
    <w:rsid w:val="005264E6"/>
    <w:rsid w:val="00527A43"/>
    <w:rsid w:val="00530115"/>
    <w:rsid w:val="0053046B"/>
    <w:rsid w:val="00531312"/>
    <w:rsid w:val="005313E9"/>
    <w:rsid w:val="00531B7D"/>
    <w:rsid w:val="005324E4"/>
    <w:rsid w:val="00533036"/>
    <w:rsid w:val="005332BF"/>
    <w:rsid w:val="00533301"/>
    <w:rsid w:val="00533499"/>
    <w:rsid w:val="00533563"/>
    <w:rsid w:val="0053376D"/>
    <w:rsid w:val="005339CD"/>
    <w:rsid w:val="005349FF"/>
    <w:rsid w:val="00534C51"/>
    <w:rsid w:val="0053547E"/>
    <w:rsid w:val="00535497"/>
    <w:rsid w:val="00535D1C"/>
    <w:rsid w:val="00535E04"/>
    <w:rsid w:val="00536503"/>
    <w:rsid w:val="005376DE"/>
    <w:rsid w:val="00537D3D"/>
    <w:rsid w:val="005403F1"/>
    <w:rsid w:val="005404C7"/>
    <w:rsid w:val="005410A1"/>
    <w:rsid w:val="005410C9"/>
    <w:rsid w:val="00541405"/>
    <w:rsid w:val="0054180C"/>
    <w:rsid w:val="00541970"/>
    <w:rsid w:val="00542054"/>
    <w:rsid w:val="005426AC"/>
    <w:rsid w:val="00543343"/>
    <w:rsid w:val="00543512"/>
    <w:rsid w:val="005436DC"/>
    <w:rsid w:val="005439FD"/>
    <w:rsid w:val="00544044"/>
    <w:rsid w:val="005446D8"/>
    <w:rsid w:val="005449A3"/>
    <w:rsid w:val="00544B3E"/>
    <w:rsid w:val="00545A87"/>
    <w:rsid w:val="005461F0"/>
    <w:rsid w:val="0054669E"/>
    <w:rsid w:val="00546C35"/>
    <w:rsid w:val="005473A6"/>
    <w:rsid w:val="005476CA"/>
    <w:rsid w:val="00550BA1"/>
    <w:rsid w:val="00550C08"/>
    <w:rsid w:val="00550CB8"/>
    <w:rsid w:val="005515E5"/>
    <w:rsid w:val="00551FEB"/>
    <w:rsid w:val="00552309"/>
    <w:rsid w:val="00552983"/>
    <w:rsid w:val="00552B0F"/>
    <w:rsid w:val="00552C56"/>
    <w:rsid w:val="005537BB"/>
    <w:rsid w:val="00554949"/>
    <w:rsid w:val="0055532C"/>
    <w:rsid w:val="0055546B"/>
    <w:rsid w:val="0055664D"/>
    <w:rsid w:val="00556F79"/>
    <w:rsid w:val="00557028"/>
    <w:rsid w:val="005570B7"/>
    <w:rsid w:val="005575D6"/>
    <w:rsid w:val="00557CF0"/>
    <w:rsid w:val="00560035"/>
    <w:rsid w:val="0056006B"/>
    <w:rsid w:val="005605E7"/>
    <w:rsid w:val="00560B80"/>
    <w:rsid w:val="00560BDA"/>
    <w:rsid w:val="00560C39"/>
    <w:rsid w:val="0056182C"/>
    <w:rsid w:val="00562288"/>
    <w:rsid w:val="0056258F"/>
    <w:rsid w:val="00562824"/>
    <w:rsid w:val="00562842"/>
    <w:rsid w:val="00562B87"/>
    <w:rsid w:val="00563BC1"/>
    <w:rsid w:val="005643AE"/>
    <w:rsid w:val="00564AB6"/>
    <w:rsid w:val="00564D93"/>
    <w:rsid w:val="00566CE2"/>
    <w:rsid w:val="00566EB0"/>
    <w:rsid w:val="005677A9"/>
    <w:rsid w:val="005677BB"/>
    <w:rsid w:val="00570281"/>
    <w:rsid w:val="00570C29"/>
    <w:rsid w:val="00570DD9"/>
    <w:rsid w:val="0057155E"/>
    <w:rsid w:val="0057322D"/>
    <w:rsid w:val="00573C7B"/>
    <w:rsid w:val="00574569"/>
    <w:rsid w:val="005746A8"/>
    <w:rsid w:val="0057577D"/>
    <w:rsid w:val="00577778"/>
    <w:rsid w:val="0058035C"/>
    <w:rsid w:val="00580692"/>
    <w:rsid w:val="00580995"/>
    <w:rsid w:val="005810A5"/>
    <w:rsid w:val="0058298A"/>
    <w:rsid w:val="005839E8"/>
    <w:rsid w:val="00584D24"/>
    <w:rsid w:val="00585B1D"/>
    <w:rsid w:val="005867F8"/>
    <w:rsid w:val="00587D62"/>
    <w:rsid w:val="00591C7D"/>
    <w:rsid w:val="005924FD"/>
    <w:rsid w:val="0059276F"/>
    <w:rsid w:val="0059319A"/>
    <w:rsid w:val="005933EF"/>
    <w:rsid w:val="00593479"/>
    <w:rsid w:val="005938FF"/>
    <w:rsid w:val="0059406D"/>
    <w:rsid w:val="005940D0"/>
    <w:rsid w:val="00594394"/>
    <w:rsid w:val="00595E4F"/>
    <w:rsid w:val="005961B0"/>
    <w:rsid w:val="0059646D"/>
    <w:rsid w:val="00596511"/>
    <w:rsid w:val="00596663"/>
    <w:rsid w:val="00597413"/>
    <w:rsid w:val="005974A4"/>
    <w:rsid w:val="005A03EF"/>
    <w:rsid w:val="005A0C87"/>
    <w:rsid w:val="005A0E22"/>
    <w:rsid w:val="005A12BD"/>
    <w:rsid w:val="005A1B7F"/>
    <w:rsid w:val="005A2115"/>
    <w:rsid w:val="005A2179"/>
    <w:rsid w:val="005A25C9"/>
    <w:rsid w:val="005A377C"/>
    <w:rsid w:val="005A4E85"/>
    <w:rsid w:val="005A5541"/>
    <w:rsid w:val="005A59C7"/>
    <w:rsid w:val="005A6778"/>
    <w:rsid w:val="005A67A7"/>
    <w:rsid w:val="005A6814"/>
    <w:rsid w:val="005A6BE1"/>
    <w:rsid w:val="005A7773"/>
    <w:rsid w:val="005A784C"/>
    <w:rsid w:val="005A7DA0"/>
    <w:rsid w:val="005B0874"/>
    <w:rsid w:val="005B16B8"/>
    <w:rsid w:val="005B1D54"/>
    <w:rsid w:val="005B2476"/>
    <w:rsid w:val="005B3064"/>
    <w:rsid w:val="005B3308"/>
    <w:rsid w:val="005B3A48"/>
    <w:rsid w:val="005B4843"/>
    <w:rsid w:val="005B527A"/>
    <w:rsid w:val="005B608E"/>
    <w:rsid w:val="005B60ED"/>
    <w:rsid w:val="005B62D9"/>
    <w:rsid w:val="005B743E"/>
    <w:rsid w:val="005B76E1"/>
    <w:rsid w:val="005B7D8F"/>
    <w:rsid w:val="005C05B0"/>
    <w:rsid w:val="005C089C"/>
    <w:rsid w:val="005C16E0"/>
    <w:rsid w:val="005C173A"/>
    <w:rsid w:val="005C1A7A"/>
    <w:rsid w:val="005C2747"/>
    <w:rsid w:val="005C337C"/>
    <w:rsid w:val="005C33B4"/>
    <w:rsid w:val="005C3563"/>
    <w:rsid w:val="005C3725"/>
    <w:rsid w:val="005C3778"/>
    <w:rsid w:val="005C3CAC"/>
    <w:rsid w:val="005C4117"/>
    <w:rsid w:val="005C43E9"/>
    <w:rsid w:val="005C43F3"/>
    <w:rsid w:val="005C495B"/>
    <w:rsid w:val="005C4B6F"/>
    <w:rsid w:val="005C4FB8"/>
    <w:rsid w:val="005C51E8"/>
    <w:rsid w:val="005C597A"/>
    <w:rsid w:val="005C5D49"/>
    <w:rsid w:val="005C6D11"/>
    <w:rsid w:val="005C7AB2"/>
    <w:rsid w:val="005C7D66"/>
    <w:rsid w:val="005C7E56"/>
    <w:rsid w:val="005D03ED"/>
    <w:rsid w:val="005D0AF6"/>
    <w:rsid w:val="005D0E1A"/>
    <w:rsid w:val="005D1922"/>
    <w:rsid w:val="005D1A60"/>
    <w:rsid w:val="005D1C9A"/>
    <w:rsid w:val="005D1D2A"/>
    <w:rsid w:val="005D1F6D"/>
    <w:rsid w:val="005D212E"/>
    <w:rsid w:val="005D21B5"/>
    <w:rsid w:val="005D2765"/>
    <w:rsid w:val="005D29FE"/>
    <w:rsid w:val="005D36F0"/>
    <w:rsid w:val="005D3834"/>
    <w:rsid w:val="005D3B1D"/>
    <w:rsid w:val="005D3D6B"/>
    <w:rsid w:val="005D3D6F"/>
    <w:rsid w:val="005D3FF3"/>
    <w:rsid w:val="005D467C"/>
    <w:rsid w:val="005D5218"/>
    <w:rsid w:val="005D562C"/>
    <w:rsid w:val="005D5C2C"/>
    <w:rsid w:val="005D6BD2"/>
    <w:rsid w:val="005D6F91"/>
    <w:rsid w:val="005D7530"/>
    <w:rsid w:val="005D7699"/>
    <w:rsid w:val="005D79AC"/>
    <w:rsid w:val="005E044E"/>
    <w:rsid w:val="005E0594"/>
    <w:rsid w:val="005E140F"/>
    <w:rsid w:val="005E163D"/>
    <w:rsid w:val="005E1B5C"/>
    <w:rsid w:val="005E1EF3"/>
    <w:rsid w:val="005E1F31"/>
    <w:rsid w:val="005E2905"/>
    <w:rsid w:val="005E3702"/>
    <w:rsid w:val="005E499C"/>
    <w:rsid w:val="005E5483"/>
    <w:rsid w:val="005E5756"/>
    <w:rsid w:val="005E5F75"/>
    <w:rsid w:val="005E728C"/>
    <w:rsid w:val="005E7693"/>
    <w:rsid w:val="005F1430"/>
    <w:rsid w:val="005F26C0"/>
    <w:rsid w:val="005F3DAC"/>
    <w:rsid w:val="005F412E"/>
    <w:rsid w:val="005F4621"/>
    <w:rsid w:val="005F4852"/>
    <w:rsid w:val="005F5FA4"/>
    <w:rsid w:val="005F67DB"/>
    <w:rsid w:val="005F6C24"/>
    <w:rsid w:val="005F70EC"/>
    <w:rsid w:val="005F77D4"/>
    <w:rsid w:val="006002A5"/>
    <w:rsid w:val="0060054C"/>
    <w:rsid w:val="006005F7"/>
    <w:rsid w:val="00600CBF"/>
    <w:rsid w:val="00600EC6"/>
    <w:rsid w:val="00601143"/>
    <w:rsid w:val="006015E4"/>
    <w:rsid w:val="006016EB"/>
    <w:rsid w:val="00601701"/>
    <w:rsid w:val="00602173"/>
    <w:rsid w:val="0060220E"/>
    <w:rsid w:val="0060257A"/>
    <w:rsid w:val="006028F2"/>
    <w:rsid w:val="00602B3B"/>
    <w:rsid w:val="00602BD4"/>
    <w:rsid w:val="00602C86"/>
    <w:rsid w:val="00602F2F"/>
    <w:rsid w:val="006038C9"/>
    <w:rsid w:val="00604F06"/>
    <w:rsid w:val="0060500F"/>
    <w:rsid w:val="00605971"/>
    <w:rsid w:val="006065FB"/>
    <w:rsid w:val="00606A28"/>
    <w:rsid w:val="00606C7C"/>
    <w:rsid w:val="00606FC8"/>
    <w:rsid w:val="006073BF"/>
    <w:rsid w:val="00607933"/>
    <w:rsid w:val="006105E7"/>
    <w:rsid w:val="00610646"/>
    <w:rsid w:val="00610C2E"/>
    <w:rsid w:val="00611B96"/>
    <w:rsid w:val="00611F82"/>
    <w:rsid w:val="00612D85"/>
    <w:rsid w:val="0061334C"/>
    <w:rsid w:val="00613AFA"/>
    <w:rsid w:val="00613E31"/>
    <w:rsid w:val="00613ECB"/>
    <w:rsid w:val="00614764"/>
    <w:rsid w:val="00614ABA"/>
    <w:rsid w:val="00614F83"/>
    <w:rsid w:val="0061506C"/>
    <w:rsid w:val="006150AD"/>
    <w:rsid w:val="00616016"/>
    <w:rsid w:val="00616868"/>
    <w:rsid w:val="00617701"/>
    <w:rsid w:val="006200BA"/>
    <w:rsid w:val="00620483"/>
    <w:rsid w:val="00621556"/>
    <w:rsid w:val="006218BD"/>
    <w:rsid w:val="00621C9A"/>
    <w:rsid w:val="0062240A"/>
    <w:rsid w:val="006229A9"/>
    <w:rsid w:val="00622BC3"/>
    <w:rsid w:val="0062311F"/>
    <w:rsid w:val="00623170"/>
    <w:rsid w:val="00623B30"/>
    <w:rsid w:val="00623CAC"/>
    <w:rsid w:val="00624191"/>
    <w:rsid w:val="0062454D"/>
    <w:rsid w:val="00624AF0"/>
    <w:rsid w:val="00625E66"/>
    <w:rsid w:val="006263CF"/>
    <w:rsid w:val="0062640E"/>
    <w:rsid w:val="00627A4F"/>
    <w:rsid w:val="00627C37"/>
    <w:rsid w:val="00627CDF"/>
    <w:rsid w:val="00630918"/>
    <w:rsid w:val="00630CF3"/>
    <w:rsid w:val="00631019"/>
    <w:rsid w:val="0063149B"/>
    <w:rsid w:val="00631E2F"/>
    <w:rsid w:val="006329DA"/>
    <w:rsid w:val="006337BE"/>
    <w:rsid w:val="0063380B"/>
    <w:rsid w:val="00633A5C"/>
    <w:rsid w:val="00634538"/>
    <w:rsid w:val="00634D3E"/>
    <w:rsid w:val="0063594D"/>
    <w:rsid w:val="00635CB0"/>
    <w:rsid w:val="00635F5B"/>
    <w:rsid w:val="006377C0"/>
    <w:rsid w:val="006401F6"/>
    <w:rsid w:val="0064081F"/>
    <w:rsid w:val="006419DA"/>
    <w:rsid w:val="00641C3D"/>
    <w:rsid w:val="00641CE9"/>
    <w:rsid w:val="006429DA"/>
    <w:rsid w:val="00643CC7"/>
    <w:rsid w:val="00643F13"/>
    <w:rsid w:val="00644B6C"/>
    <w:rsid w:val="00644BA6"/>
    <w:rsid w:val="00645397"/>
    <w:rsid w:val="006457B0"/>
    <w:rsid w:val="0064628D"/>
    <w:rsid w:val="00646416"/>
    <w:rsid w:val="00650B4B"/>
    <w:rsid w:val="0065120A"/>
    <w:rsid w:val="00651930"/>
    <w:rsid w:val="00651953"/>
    <w:rsid w:val="00651C81"/>
    <w:rsid w:val="00653909"/>
    <w:rsid w:val="00653FD7"/>
    <w:rsid w:val="00654238"/>
    <w:rsid w:val="00654B67"/>
    <w:rsid w:val="00654E01"/>
    <w:rsid w:val="00655330"/>
    <w:rsid w:val="006557FC"/>
    <w:rsid w:val="00655EF3"/>
    <w:rsid w:val="00656112"/>
    <w:rsid w:val="00656BB9"/>
    <w:rsid w:val="00656EBF"/>
    <w:rsid w:val="006572FC"/>
    <w:rsid w:val="0065761F"/>
    <w:rsid w:val="006577FC"/>
    <w:rsid w:val="00660C50"/>
    <w:rsid w:val="0066189E"/>
    <w:rsid w:val="00662BFE"/>
    <w:rsid w:val="00662E9A"/>
    <w:rsid w:val="00663B7D"/>
    <w:rsid w:val="00663BAF"/>
    <w:rsid w:val="00664E28"/>
    <w:rsid w:val="00665418"/>
    <w:rsid w:val="00665508"/>
    <w:rsid w:val="00665907"/>
    <w:rsid w:val="00665B44"/>
    <w:rsid w:val="00665C7E"/>
    <w:rsid w:val="00665D8E"/>
    <w:rsid w:val="00665E74"/>
    <w:rsid w:val="00666399"/>
    <w:rsid w:val="00666EFD"/>
    <w:rsid w:val="006677AA"/>
    <w:rsid w:val="00670038"/>
    <w:rsid w:val="0067021D"/>
    <w:rsid w:val="0067127F"/>
    <w:rsid w:val="00671C25"/>
    <w:rsid w:val="00671D8D"/>
    <w:rsid w:val="006725F7"/>
    <w:rsid w:val="00672671"/>
    <w:rsid w:val="0067317F"/>
    <w:rsid w:val="0067376A"/>
    <w:rsid w:val="00673951"/>
    <w:rsid w:val="0067396D"/>
    <w:rsid w:val="00673C54"/>
    <w:rsid w:val="00673E13"/>
    <w:rsid w:val="00673F7A"/>
    <w:rsid w:val="00673FAD"/>
    <w:rsid w:val="00674408"/>
    <w:rsid w:val="006752E0"/>
    <w:rsid w:val="006758E1"/>
    <w:rsid w:val="00676B91"/>
    <w:rsid w:val="00676DB1"/>
    <w:rsid w:val="0067752C"/>
    <w:rsid w:val="00677867"/>
    <w:rsid w:val="006778C5"/>
    <w:rsid w:val="00680256"/>
    <w:rsid w:val="006804B1"/>
    <w:rsid w:val="00680556"/>
    <w:rsid w:val="00680D38"/>
    <w:rsid w:val="00681219"/>
    <w:rsid w:val="00681BD5"/>
    <w:rsid w:val="00681F7B"/>
    <w:rsid w:val="00682375"/>
    <w:rsid w:val="00682664"/>
    <w:rsid w:val="00682B2C"/>
    <w:rsid w:val="00682F38"/>
    <w:rsid w:val="00683608"/>
    <w:rsid w:val="00683A82"/>
    <w:rsid w:val="00684E2A"/>
    <w:rsid w:val="006850B5"/>
    <w:rsid w:val="006851D7"/>
    <w:rsid w:val="0068548C"/>
    <w:rsid w:val="006868F9"/>
    <w:rsid w:val="00686E3B"/>
    <w:rsid w:val="00687042"/>
    <w:rsid w:val="0068787F"/>
    <w:rsid w:val="006878DF"/>
    <w:rsid w:val="00687C12"/>
    <w:rsid w:val="0069006E"/>
    <w:rsid w:val="00690111"/>
    <w:rsid w:val="00690FD3"/>
    <w:rsid w:val="0069180A"/>
    <w:rsid w:val="0069280E"/>
    <w:rsid w:val="006933D0"/>
    <w:rsid w:val="0069392A"/>
    <w:rsid w:val="00693B55"/>
    <w:rsid w:val="00693EA1"/>
    <w:rsid w:val="0069620D"/>
    <w:rsid w:val="00696BBC"/>
    <w:rsid w:val="00696BE3"/>
    <w:rsid w:val="006975A9"/>
    <w:rsid w:val="00697612"/>
    <w:rsid w:val="006A0285"/>
    <w:rsid w:val="006A050E"/>
    <w:rsid w:val="006A0CB7"/>
    <w:rsid w:val="006A1037"/>
    <w:rsid w:val="006A12F4"/>
    <w:rsid w:val="006A137A"/>
    <w:rsid w:val="006A2117"/>
    <w:rsid w:val="006A2146"/>
    <w:rsid w:val="006A29EE"/>
    <w:rsid w:val="006A42AC"/>
    <w:rsid w:val="006A44EA"/>
    <w:rsid w:val="006A473B"/>
    <w:rsid w:val="006A4B91"/>
    <w:rsid w:val="006A4E2A"/>
    <w:rsid w:val="006A51D2"/>
    <w:rsid w:val="006A5294"/>
    <w:rsid w:val="006A5A15"/>
    <w:rsid w:val="006A5A29"/>
    <w:rsid w:val="006A5B2F"/>
    <w:rsid w:val="006A5C8E"/>
    <w:rsid w:val="006A5E27"/>
    <w:rsid w:val="006A6F1F"/>
    <w:rsid w:val="006A721E"/>
    <w:rsid w:val="006A7269"/>
    <w:rsid w:val="006A72B2"/>
    <w:rsid w:val="006B056B"/>
    <w:rsid w:val="006B0646"/>
    <w:rsid w:val="006B068B"/>
    <w:rsid w:val="006B111A"/>
    <w:rsid w:val="006B1925"/>
    <w:rsid w:val="006B1BAD"/>
    <w:rsid w:val="006B2FF7"/>
    <w:rsid w:val="006B39C9"/>
    <w:rsid w:val="006B43E0"/>
    <w:rsid w:val="006B459F"/>
    <w:rsid w:val="006B4AE7"/>
    <w:rsid w:val="006B5714"/>
    <w:rsid w:val="006B5E43"/>
    <w:rsid w:val="006B5FBC"/>
    <w:rsid w:val="006B5FFA"/>
    <w:rsid w:val="006B6695"/>
    <w:rsid w:val="006B7022"/>
    <w:rsid w:val="006B736C"/>
    <w:rsid w:val="006B7E11"/>
    <w:rsid w:val="006C01F4"/>
    <w:rsid w:val="006C0625"/>
    <w:rsid w:val="006C0DE1"/>
    <w:rsid w:val="006C1097"/>
    <w:rsid w:val="006C1D6A"/>
    <w:rsid w:val="006C2007"/>
    <w:rsid w:val="006C20C0"/>
    <w:rsid w:val="006C2207"/>
    <w:rsid w:val="006C32B5"/>
    <w:rsid w:val="006C4745"/>
    <w:rsid w:val="006C47B0"/>
    <w:rsid w:val="006C4A81"/>
    <w:rsid w:val="006C5C3F"/>
    <w:rsid w:val="006C663B"/>
    <w:rsid w:val="006C7666"/>
    <w:rsid w:val="006C7ABF"/>
    <w:rsid w:val="006C7B67"/>
    <w:rsid w:val="006C7E3F"/>
    <w:rsid w:val="006D13BE"/>
    <w:rsid w:val="006D25F2"/>
    <w:rsid w:val="006D28DD"/>
    <w:rsid w:val="006D3087"/>
    <w:rsid w:val="006D359C"/>
    <w:rsid w:val="006D38F5"/>
    <w:rsid w:val="006D4AE7"/>
    <w:rsid w:val="006D4E53"/>
    <w:rsid w:val="006D4EEE"/>
    <w:rsid w:val="006D54FA"/>
    <w:rsid w:val="006D5BE2"/>
    <w:rsid w:val="006D5CE6"/>
    <w:rsid w:val="006D66D3"/>
    <w:rsid w:val="006D66FF"/>
    <w:rsid w:val="006D67E9"/>
    <w:rsid w:val="006D71EB"/>
    <w:rsid w:val="006D7EF5"/>
    <w:rsid w:val="006E1546"/>
    <w:rsid w:val="006E17AB"/>
    <w:rsid w:val="006E239B"/>
    <w:rsid w:val="006E2825"/>
    <w:rsid w:val="006E2EB9"/>
    <w:rsid w:val="006E3E55"/>
    <w:rsid w:val="006E4B6D"/>
    <w:rsid w:val="006E535F"/>
    <w:rsid w:val="006E6A38"/>
    <w:rsid w:val="006E7EA3"/>
    <w:rsid w:val="006F05B7"/>
    <w:rsid w:val="006F070D"/>
    <w:rsid w:val="006F0FDB"/>
    <w:rsid w:val="006F1C90"/>
    <w:rsid w:val="006F2C2C"/>
    <w:rsid w:val="006F2E88"/>
    <w:rsid w:val="006F31D2"/>
    <w:rsid w:val="006F3B00"/>
    <w:rsid w:val="006F3BEE"/>
    <w:rsid w:val="006F3CD1"/>
    <w:rsid w:val="006F3D6D"/>
    <w:rsid w:val="006F3FCF"/>
    <w:rsid w:val="006F40E8"/>
    <w:rsid w:val="006F482F"/>
    <w:rsid w:val="006F4AB2"/>
    <w:rsid w:val="006F4D54"/>
    <w:rsid w:val="006F5130"/>
    <w:rsid w:val="006F558A"/>
    <w:rsid w:val="006F5D00"/>
    <w:rsid w:val="006F69C8"/>
    <w:rsid w:val="006F7406"/>
    <w:rsid w:val="006F7AE9"/>
    <w:rsid w:val="006F7EAC"/>
    <w:rsid w:val="00700A53"/>
    <w:rsid w:val="00700DD6"/>
    <w:rsid w:val="00702518"/>
    <w:rsid w:val="00702804"/>
    <w:rsid w:val="00702B2C"/>
    <w:rsid w:val="00703672"/>
    <w:rsid w:val="007037A6"/>
    <w:rsid w:val="007039F6"/>
    <w:rsid w:val="00703B0D"/>
    <w:rsid w:val="00704695"/>
    <w:rsid w:val="00704D7F"/>
    <w:rsid w:val="00704E70"/>
    <w:rsid w:val="0070566C"/>
    <w:rsid w:val="00705DF0"/>
    <w:rsid w:val="00706808"/>
    <w:rsid w:val="007071AC"/>
    <w:rsid w:val="007074BF"/>
    <w:rsid w:val="007075F2"/>
    <w:rsid w:val="0071085A"/>
    <w:rsid w:val="007109FA"/>
    <w:rsid w:val="00710D3E"/>
    <w:rsid w:val="007113E7"/>
    <w:rsid w:val="00711ED5"/>
    <w:rsid w:val="00712AA2"/>
    <w:rsid w:val="00713351"/>
    <w:rsid w:val="00713639"/>
    <w:rsid w:val="00713B78"/>
    <w:rsid w:val="00713F70"/>
    <w:rsid w:val="0071626E"/>
    <w:rsid w:val="0071628E"/>
    <w:rsid w:val="00716F1A"/>
    <w:rsid w:val="00717766"/>
    <w:rsid w:val="00717AE2"/>
    <w:rsid w:val="00717C02"/>
    <w:rsid w:val="00717FC4"/>
    <w:rsid w:val="0072037E"/>
    <w:rsid w:val="0072044C"/>
    <w:rsid w:val="0072055D"/>
    <w:rsid w:val="0072096E"/>
    <w:rsid w:val="00720977"/>
    <w:rsid w:val="00720C43"/>
    <w:rsid w:val="00720E5A"/>
    <w:rsid w:val="007212B7"/>
    <w:rsid w:val="00721FBD"/>
    <w:rsid w:val="00722659"/>
    <w:rsid w:val="007228DB"/>
    <w:rsid w:val="00722A71"/>
    <w:rsid w:val="00722C6C"/>
    <w:rsid w:val="00723552"/>
    <w:rsid w:val="007238EB"/>
    <w:rsid w:val="00723B25"/>
    <w:rsid w:val="007244B7"/>
    <w:rsid w:val="00724C4C"/>
    <w:rsid w:val="00724DC6"/>
    <w:rsid w:val="007263BD"/>
    <w:rsid w:val="00727457"/>
    <w:rsid w:val="007274B1"/>
    <w:rsid w:val="007276D0"/>
    <w:rsid w:val="00727AC6"/>
    <w:rsid w:val="00727BF8"/>
    <w:rsid w:val="00730233"/>
    <w:rsid w:val="007303C3"/>
    <w:rsid w:val="00731B8F"/>
    <w:rsid w:val="00732881"/>
    <w:rsid w:val="00734B11"/>
    <w:rsid w:val="007353A5"/>
    <w:rsid w:val="00735991"/>
    <w:rsid w:val="00736225"/>
    <w:rsid w:val="00736436"/>
    <w:rsid w:val="00736BA4"/>
    <w:rsid w:val="00736D15"/>
    <w:rsid w:val="00740FCC"/>
    <w:rsid w:val="00741173"/>
    <w:rsid w:val="00741208"/>
    <w:rsid w:val="00741378"/>
    <w:rsid w:val="007417BD"/>
    <w:rsid w:val="007419E8"/>
    <w:rsid w:val="00741D13"/>
    <w:rsid w:val="00742643"/>
    <w:rsid w:val="00743622"/>
    <w:rsid w:val="007436C2"/>
    <w:rsid w:val="00743808"/>
    <w:rsid w:val="00743D7A"/>
    <w:rsid w:val="007452B9"/>
    <w:rsid w:val="00746063"/>
    <w:rsid w:val="00746495"/>
    <w:rsid w:val="0074685E"/>
    <w:rsid w:val="00746E36"/>
    <w:rsid w:val="0074791E"/>
    <w:rsid w:val="00747DB2"/>
    <w:rsid w:val="007502FA"/>
    <w:rsid w:val="00750AFE"/>
    <w:rsid w:val="00751200"/>
    <w:rsid w:val="0075176C"/>
    <w:rsid w:val="00752068"/>
    <w:rsid w:val="007522B1"/>
    <w:rsid w:val="0075313A"/>
    <w:rsid w:val="00753218"/>
    <w:rsid w:val="00753459"/>
    <w:rsid w:val="00753AE8"/>
    <w:rsid w:val="00753CE5"/>
    <w:rsid w:val="0075484E"/>
    <w:rsid w:val="00754904"/>
    <w:rsid w:val="00754D88"/>
    <w:rsid w:val="0075569D"/>
    <w:rsid w:val="0075586A"/>
    <w:rsid w:val="00756828"/>
    <w:rsid w:val="00756C68"/>
    <w:rsid w:val="0075744C"/>
    <w:rsid w:val="0075767E"/>
    <w:rsid w:val="00757853"/>
    <w:rsid w:val="00757ACE"/>
    <w:rsid w:val="00757F79"/>
    <w:rsid w:val="00757FDF"/>
    <w:rsid w:val="0076059B"/>
    <w:rsid w:val="00761883"/>
    <w:rsid w:val="007623C0"/>
    <w:rsid w:val="00762B8D"/>
    <w:rsid w:val="007637A3"/>
    <w:rsid w:val="0076398B"/>
    <w:rsid w:val="007656FB"/>
    <w:rsid w:val="0076573C"/>
    <w:rsid w:val="00765BF3"/>
    <w:rsid w:val="00766177"/>
    <w:rsid w:val="00766FDE"/>
    <w:rsid w:val="00767087"/>
    <w:rsid w:val="00767405"/>
    <w:rsid w:val="00767675"/>
    <w:rsid w:val="00770A0B"/>
    <w:rsid w:val="00770C66"/>
    <w:rsid w:val="00770CC8"/>
    <w:rsid w:val="0077139F"/>
    <w:rsid w:val="007713DD"/>
    <w:rsid w:val="0077186F"/>
    <w:rsid w:val="0077190E"/>
    <w:rsid w:val="00771C0A"/>
    <w:rsid w:val="00771F5B"/>
    <w:rsid w:val="007724E6"/>
    <w:rsid w:val="007727B7"/>
    <w:rsid w:val="00772BE3"/>
    <w:rsid w:val="00772CB2"/>
    <w:rsid w:val="007732D0"/>
    <w:rsid w:val="0077357A"/>
    <w:rsid w:val="00773D41"/>
    <w:rsid w:val="007741F8"/>
    <w:rsid w:val="007746B6"/>
    <w:rsid w:val="00774F0B"/>
    <w:rsid w:val="00774F3C"/>
    <w:rsid w:val="007762F7"/>
    <w:rsid w:val="00776543"/>
    <w:rsid w:val="00776762"/>
    <w:rsid w:val="00776D44"/>
    <w:rsid w:val="00776DAD"/>
    <w:rsid w:val="00777177"/>
    <w:rsid w:val="0077778E"/>
    <w:rsid w:val="00777C43"/>
    <w:rsid w:val="00777FBF"/>
    <w:rsid w:val="00780798"/>
    <w:rsid w:val="00780AC7"/>
    <w:rsid w:val="00781677"/>
    <w:rsid w:val="007818FA"/>
    <w:rsid w:val="007824D1"/>
    <w:rsid w:val="007826B3"/>
    <w:rsid w:val="00783925"/>
    <w:rsid w:val="00784264"/>
    <w:rsid w:val="0078426A"/>
    <w:rsid w:val="00784F33"/>
    <w:rsid w:val="00785709"/>
    <w:rsid w:val="00786158"/>
    <w:rsid w:val="00786782"/>
    <w:rsid w:val="007869D8"/>
    <w:rsid w:val="00786A3E"/>
    <w:rsid w:val="00786B04"/>
    <w:rsid w:val="00786BFA"/>
    <w:rsid w:val="007871AF"/>
    <w:rsid w:val="0078754A"/>
    <w:rsid w:val="00787737"/>
    <w:rsid w:val="00790B39"/>
    <w:rsid w:val="00791692"/>
    <w:rsid w:val="00791D01"/>
    <w:rsid w:val="00792885"/>
    <w:rsid w:val="00794034"/>
    <w:rsid w:val="00794286"/>
    <w:rsid w:val="0079462F"/>
    <w:rsid w:val="0079514C"/>
    <w:rsid w:val="007957E0"/>
    <w:rsid w:val="00796CB9"/>
    <w:rsid w:val="00796F0A"/>
    <w:rsid w:val="00797462"/>
    <w:rsid w:val="00797892"/>
    <w:rsid w:val="00797A59"/>
    <w:rsid w:val="007A06E0"/>
    <w:rsid w:val="007A07BD"/>
    <w:rsid w:val="007A0A35"/>
    <w:rsid w:val="007A104E"/>
    <w:rsid w:val="007A16A7"/>
    <w:rsid w:val="007A19F0"/>
    <w:rsid w:val="007A1AD9"/>
    <w:rsid w:val="007A1CE2"/>
    <w:rsid w:val="007A2151"/>
    <w:rsid w:val="007A2271"/>
    <w:rsid w:val="007A23CB"/>
    <w:rsid w:val="007A245E"/>
    <w:rsid w:val="007A25D6"/>
    <w:rsid w:val="007A2C98"/>
    <w:rsid w:val="007A351A"/>
    <w:rsid w:val="007A3BAF"/>
    <w:rsid w:val="007A3E4D"/>
    <w:rsid w:val="007A52F3"/>
    <w:rsid w:val="007A6022"/>
    <w:rsid w:val="007A6092"/>
    <w:rsid w:val="007A61E8"/>
    <w:rsid w:val="007A6333"/>
    <w:rsid w:val="007A63EF"/>
    <w:rsid w:val="007A7E0F"/>
    <w:rsid w:val="007A7F0A"/>
    <w:rsid w:val="007B0382"/>
    <w:rsid w:val="007B0CA7"/>
    <w:rsid w:val="007B0EA6"/>
    <w:rsid w:val="007B0EE0"/>
    <w:rsid w:val="007B0FCD"/>
    <w:rsid w:val="007B147D"/>
    <w:rsid w:val="007B1B7A"/>
    <w:rsid w:val="007B29DB"/>
    <w:rsid w:val="007B2CCC"/>
    <w:rsid w:val="007B3FC7"/>
    <w:rsid w:val="007B4533"/>
    <w:rsid w:val="007B479B"/>
    <w:rsid w:val="007B4807"/>
    <w:rsid w:val="007B4F91"/>
    <w:rsid w:val="007B5C20"/>
    <w:rsid w:val="007B62F2"/>
    <w:rsid w:val="007B6547"/>
    <w:rsid w:val="007B6939"/>
    <w:rsid w:val="007B766E"/>
    <w:rsid w:val="007B7D98"/>
    <w:rsid w:val="007B7F90"/>
    <w:rsid w:val="007C0A83"/>
    <w:rsid w:val="007C0BAA"/>
    <w:rsid w:val="007C0ECB"/>
    <w:rsid w:val="007C1499"/>
    <w:rsid w:val="007C1681"/>
    <w:rsid w:val="007C17B4"/>
    <w:rsid w:val="007C1E3D"/>
    <w:rsid w:val="007C28F1"/>
    <w:rsid w:val="007C3042"/>
    <w:rsid w:val="007C4CF4"/>
    <w:rsid w:val="007C5281"/>
    <w:rsid w:val="007C583D"/>
    <w:rsid w:val="007C657B"/>
    <w:rsid w:val="007C6976"/>
    <w:rsid w:val="007C7D28"/>
    <w:rsid w:val="007C7DC0"/>
    <w:rsid w:val="007D0A05"/>
    <w:rsid w:val="007D0A4A"/>
    <w:rsid w:val="007D0CAA"/>
    <w:rsid w:val="007D0D93"/>
    <w:rsid w:val="007D15E0"/>
    <w:rsid w:val="007D18EB"/>
    <w:rsid w:val="007D1D22"/>
    <w:rsid w:val="007D4E6D"/>
    <w:rsid w:val="007D50CE"/>
    <w:rsid w:val="007D53DA"/>
    <w:rsid w:val="007D59A1"/>
    <w:rsid w:val="007D5A3F"/>
    <w:rsid w:val="007D5E15"/>
    <w:rsid w:val="007D5F90"/>
    <w:rsid w:val="007D65F6"/>
    <w:rsid w:val="007D71AB"/>
    <w:rsid w:val="007D77D7"/>
    <w:rsid w:val="007E0023"/>
    <w:rsid w:val="007E1306"/>
    <w:rsid w:val="007E173D"/>
    <w:rsid w:val="007E1920"/>
    <w:rsid w:val="007E1EA5"/>
    <w:rsid w:val="007E1ECD"/>
    <w:rsid w:val="007E27A5"/>
    <w:rsid w:val="007E3972"/>
    <w:rsid w:val="007E3F4E"/>
    <w:rsid w:val="007E446B"/>
    <w:rsid w:val="007E584A"/>
    <w:rsid w:val="007E5894"/>
    <w:rsid w:val="007E5FD2"/>
    <w:rsid w:val="007E6420"/>
    <w:rsid w:val="007E68BB"/>
    <w:rsid w:val="007E6A16"/>
    <w:rsid w:val="007E6EFF"/>
    <w:rsid w:val="007F10D2"/>
    <w:rsid w:val="007F147D"/>
    <w:rsid w:val="007F187B"/>
    <w:rsid w:val="007F1CE8"/>
    <w:rsid w:val="007F1D51"/>
    <w:rsid w:val="007F239D"/>
    <w:rsid w:val="007F2961"/>
    <w:rsid w:val="007F2D85"/>
    <w:rsid w:val="007F304E"/>
    <w:rsid w:val="007F3E00"/>
    <w:rsid w:val="007F3E09"/>
    <w:rsid w:val="007F461B"/>
    <w:rsid w:val="007F6219"/>
    <w:rsid w:val="007F671B"/>
    <w:rsid w:val="007F67E1"/>
    <w:rsid w:val="007F7021"/>
    <w:rsid w:val="007F738E"/>
    <w:rsid w:val="007F78E3"/>
    <w:rsid w:val="007F7A35"/>
    <w:rsid w:val="007F7DF2"/>
    <w:rsid w:val="007F7F5A"/>
    <w:rsid w:val="0080002F"/>
    <w:rsid w:val="008001F3"/>
    <w:rsid w:val="00800914"/>
    <w:rsid w:val="008015E7"/>
    <w:rsid w:val="0080295A"/>
    <w:rsid w:val="00802F21"/>
    <w:rsid w:val="00803F71"/>
    <w:rsid w:val="0080528D"/>
    <w:rsid w:val="00805392"/>
    <w:rsid w:val="0080565F"/>
    <w:rsid w:val="00805D10"/>
    <w:rsid w:val="008066CC"/>
    <w:rsid w:val="00806E58"/>
    <w:rsid w:val="0080706B"/>
    <w:rsid w:val="00807358"/>
    <w:rsid w:val="00807869"/>
    <w:rsid w:val="00807B89"/>
    <w:rsid w:val="00807C97"/>
    <w:rsid w:val="008103E5"/>
    <w:rsid w:val="00810580"/>
    <w:rsid w:val="00810C04"/>
    <w:rsid w:val="008111E1"/>
    <w:rsid w:val="0081143C"/>
    <w:rsid w:val="0081183D"/>
    <w:rsid w:val="00811B80"/>
    <w:rsid w:val="0081214F"/>
    <w:rsid w:val="00812196"/>
    <w:rsid w:val="00812650"/>
    <w:rsid w:val="00812DE8"/>
    <w:rsid w:val="00813BB1"/>
    <w:rsid w:val="008142B8"/>
    <w:rsid w:val="0081439B"/>
    <w:rsid w:val="0081481D"/>
    <w:rsid w:val="00814C05"/>
    <w:rsid w:val="0081519F"/>
    <w:rsid w:val="0081526D"/>
    <w:rsid w:val="00816541"/>
    <w:rsid w:val="00816829"/>
    <w:rsid w:val="00816EBC"/>
    <w:rsid w:val="00817C15"/>
    <w:rsid w:val="0082028C"/>
    <w:rsid w:val="00820462"/>
    <w:rsid w:val="008207E7"/>
    <w:rsid w:val="00820C9B"/>
    <w:rsid w:val="00821961"/>
    <w:rsid w:val="00822208"/>
    <w:rsid w:val="008223D3"/>
    <w:rsid w:val="008224EB"/>
    <w:rsid w:val="00822B5C"/>
    <w:rsid w:val="008230AF"/>
    <w:rsid w:val="00823B50"/>
    <w:rsid w:val="00823E2C"/>
    <w:rsid w:val="00823FB4"/>
    <w:rsid w:val="00824C14"/>
    <w:rsid w:val="00824F2E"/>
    <w:rsid w:val="008256D1"/>
    <w:rsid w:val="00825A4B"/>
    <w:rsid w:val="00826A89"/>
    <w:rsid w:val="0082778E"/>
    <w:rsid w:val="00827B05"/>
    <w:rsid w:val="00827BD8"/>
    <w:rsid w:val="00830281"/>
    <w:rsid w:val="0083075A"/>
    <w:rsid w:val="00830E1B"/>
    <w:rsid w:val="00830EBD"/>
    <w:rsid w:val="008317FA"/>
    <w:rsid w:val="0083317A"/>
    <w:rsid w:val="00833603"/>
    <w:rsid w:val="0083377D"/>
    <w:rsid w:val="00833E04"/>
    <w:rsid w:val="0083412F"/>
    <w:rsid w:val="0083444C"/>
    <w:rsid w:val="00834945"/>
    <w:rsid w:val="00834B87"/>
    <w:rsid w:val="00835508"/>
    <w:rsid w:val="00835A7E"/>
    <w:rsid w:val="008363D2"/>
    <w:rsid w:val="00836C2C"/>
    <w:rsid w:val="00837907"/>
    <w:rsid w:val="00837919"/>
    <w:rsid w:val="00840098"/>
    <w:rsid w:val="008407B8"/>
    <w:rsid w:val="00840D54"/>
    <w:rsid w:val="00840F4D"/>
    <w:rsid w:val="00842BC3"/>
    <w:rsid w:val="00843242"/>
    <w:rsid w:val="0084358B"/>
    <w:rsid w:val="00843C30"/>
    <w:rsid w:val="00844CD2"/>
    <w:rsid w:val="00844D75"/>
    <w:rsid w:val="008451D0"/>
    <w:rsid w:val="0084677B"/>
    <w:rsid w:val="00847093"/>
    <w:rsid w:val="008470FE"/>
    <w:rsid w:val="00847442"/>
    <w:rsid w:val="00850281"/>
    <w:rsid w:val="0085041E"/>
    <w:rsid w:val="0085067A"/>
    <w:rsid w:val="00850F1B"/>
    <w:rsid w:val="0085102D"/>
    <w:rsid w:val="0085103F"/>
    <w:rsid w:val="0085128A"/>
    <w:rsid w:val="00851B4D"/>
    <w:rsid w:val="0085262B"/>
    <w:rsid w:val="00852676"/>
    <w:rsid w:val="00853DE0"/>
    <w:rsid w:val="0085415A"/>
    <w:rsid w:val="008541FC"/>
    <w:rsid w:val="00854EB2"/>
    <w:rsid w:val="008555EB"/>
    <w:rsid w:val="00855AB9"/>
    <w:rsid w:val="008564A7"/>
    <w:rsid w:val="00856E9F"/>
    <w:rsid w:val="008570BA"/>
    <w:rsid w:val="00857111"/>
    <w:rsid w:val="008574AB"/>
    <w:rsid w:val="008575B9"/>
    <w:rsid w:val="00857AA9"/>
    <w:rsid w:val="00857DA6"/>
    <w:rsid w:val="00857F50"/>
    <w:rsid w:val="00860D60"/>
    <w:rsid w:val="00860FEB"/>
    <w:rsid w:val="0086246E"/>
    <w:rsid w:val="00862B32"/>
    <w:rsid w:val="00862C15"/>
    <w:rsid w:val="008636B4"/>
    <w:rsid w:val="00863883"/>
    <w:rsid w:val="00863930"/>
    <w:rsid w:val="0086417A"/>
    <w:rsid w:val="00864A3B"/>
    <w:rsid w:val="0086513C"/>
    <w:rsid w:val="0086516B"/>
    <w:rsid w:val="00865202"/>
    <w:rsid w:val="00866081"/>
    <w:rsid w:val="00866CE5"/>
    <w:rsid w:val="00866F41"/>
    <w:rsid w:val="008679D4"/>
    <w:rsid w:val="00870B66"/>
    <w:rsid w:val="00870BDA"/>
    <w:rsid w:val="00870D64"/>
    <w:rsid w:val="008711E0"/>
    <w:rsid w:val="008718B0"/>
    <w:rsid w:val="0087221D"/>
    <w:rsid w:val="00872484"/>
    <w:rsid w:val="00872A60"/>
    <w:rsid w:val="0087328B"/>
    <w:rsid w:val="0087401B"/>
    <w:rsid w:val="0087451B"/>
    <w:rsid w:val="008746DE"/>
    <w:rsid w:val="00874F68"/>
    <w:rsid w:val="00875333"/>
    <w:rsid w:val="00875882"/>
    <w:rsid w:val="00875965"/>
    <w:rsid w:val="00875B7F"/>
    <w:rsid w:val="00875E57"/>
    <w:rsid w:val="00875FA7"/>
    <w:rsid w:val="00876409"/>
    <w:rsid w:val="00876C92"/>
    <w:rsid w:val="00876F76"/>
    <w:rsid w:val="008776CF"/>
    <w:rsid w:val="00877D1A"/>
    <w:rsid w:val="00877FBC"/>
    <w:rsid w:val="00880C75"/>
    <w:rsid w:val="00880EE0"/>
    <w:rsid w:val="0088151B"/>
    <w:rsid w:val="008816B0"/>
    <w:rsid w:val="008816C9"/>
    <w:rsid w:val="00881993"/>
    <w:rsid w:val="00881C2F"/>
    <w:rsid w:val="00881FF4"/>
    <w:rsid w:val="008835FD"/>
    <w:rsid w:val="00883877"/>
    <w:rsid w:val="00883A34"/>
    <w:rsid w:val="00884008"/>
    <w:rsid w:val="00884410"/>
    <w:rsid w:val="0088463D"/>
    <w:rsid w:val="008849C1"/>
    <w:rsid w:val="00884BBD"/>
    <w:rsid w:val="00885AF6"/>
    <w:rsid w:val="00886BAE"/>
    <w:rsid w:val="00886CF1"/>
    <w:rsid w:val="008872C3"/>
    <w:rsid w:val="00887893"/>
    <w:rsid w:val="00890344"/>
    <w:rsid w:val="00890ACF"/>
    <w:rsid w:val="00890D50"/>
    <w:rsid w:val="008911C3"/>
    <w:rsid w:val="00891524"/>
    <w:rsid w:val="00891C92"/>
    <w:rsid w:val="00891F85"/>
    <w:rsid w:val="008926EF"/>
    <w:rsid w:val="00894E40"/>
    <w:rsid w:val="00894EA1"/>
    <w:rsid w:val="00895804"/>
    <w:rsid w:val="00895A13"/>
    <w:rsid w:val="00895CBA"/>
    <w:rsid w:val="00895E83"/>
    <w:rsid w:val="0089736F"/>
    <w:rsid w:val="00897498"/>
    <w:rsid w:val="008976EC"/>
    <w:rsid w:val="00897762"/>
    <w:rsid w:val="0089788B"/>
    <w:rsid w:val="00897EA6"/>
    <w:rsid w:val="008A0302"/>
    <w:rsid w:val="008A054D"/>
    <w:rsid w:val="008A1396"/>
    <w:rsid w:val="008A16D7"/>
    <w:rsid w:val="008A2397"/>
    <w:rsid w:val="008A2450"/>
    <w:rsid w:val="008A24FE"/>
    <w:rsid w:val="008A271D"/>
    <w:rsid w:val="008A2D16"/>
    <w:rsid w:val="008A34A7"/>
    <w:rsid w:val="008A35A0"/>
    <w:rsid w:val="008A366A"/>
    <w:rsid w:val="008A3728"/>
    <w:rsid w:val="008A3A01"/>
    <w:rsid w:val="008A3D78"/>
    <w:rsid w:val="008A453B"/>
    <w:rsid w:val="008A4CC6"/>
    <w:rsid w:val="008A52C8"/>
    <w:rsid w:val="008A531B"/>
    <w:rsid w:val="008A5610"/>
    <w:rsid w:val="008A5673"/>
    <w:rsid w:val="008A5775"/>
    <w:rsid w:val="008A5968"/>
    <w:rsid w:val="008A5A00"/>
    <w:rsid w:val="008A6BA0"/>
    <w:rsid w:val="008A6F89"/>
    <w:rsid w:val="008A73BA"/>
    <w:rsid w:val="008A78D7"/>
    <w:rsid w:val="008A79AD"/>
    <w:rsid w:val="008B01F0"/>
    <w:rsid w:val="008B0919"/>
    <w:rsid w:val="008B0E15"/>
    <w:rsid w:val="008B150D"/>
    <w:rsid w:val="008B1BD6"/>
    <w:rsid w:val="008B22C9"/>
    <w:rsid w:val="008B269A"/>
    <w:rsid w:val="008B2C78"/>
    <w:rsid w:val="008B3275"/>
    <w:rsid w:val="008B5133"/>
    <w:rsid w:val="008B7C05"/>
    <w:rsid w:val="008B7CF1"/>
    <w:rsid w:val="008C068A"/>
    <w:rsid w:val="008C0E68"/>
    <w:rsid w:val="008C11F6"/>
    <w:rsid w:val="008C12A9"/>
    <w:rsid w:val="008C1385"/>
    <w:rsid w:val="008C1E6F"/>
    <w:rsid w:val="008C2138"/>
    <w:rsid w:val="008C2BE9"/>
    <w:rsid w:val="008C2F82"/>
    <w:rsid w:val="008C300B"/>
    <w:rsid w:val="008C3E68"/>
    <w:rsid w:val="008C488C"/>
    <w:rsid w:val="008C4DA9"/>
    <w:rsid w:val="008C6BEA"/>
    <w:rsid w:val="008C6CC8"/>
    <w:rsid w:val="008C6CE8"/>
    <w:rsid w:val="008C7087"/>
    <w:rsid w:val="008C7206"/>
    <w:rsid w:val="008C7591"/>
    <w:rsid w:val="008C762D"/>
    <w:rsid w:val="008C7736"/>
    <w:rsid w:val="008C796D"/>
    <w:rsid w:val="008C7A1A"/>
    <w:rsid w:val="008D078C"/>
    <w:rsid w:val="008D085F"/>
    <w:rsid w:val="008D0995"/>
    <w:rsid w:val="008D2CDD"/>
    <w:rsid w:val="008D343C"/>
    <w:rsid w:val="008D3689"/>
    <w:rsid w:val="008D3941"/>
    <w:rsid w:val="008D3AD4"/>
    <w:rsid w:val="008D404A"/>
    <w:rsid w:val="008D4950"/>
    <w:rsid w:val="008D5185"/>
    <w:rsid w:val="008D5CC5"/>
    <w:rsid w:val="008D6259"/>
    <w:rsid w:val="008D6AEB"/>
    <w:rsid w:val="008D6B4A"/>
    <w:rsid w:val="008E027B"/>
    <w:rsid w:val="008E07C4"/>
    <w:rsid w:val="008E0AF0"/>
    <w:rsid w:val="008E0B7E"/>
    <w:rsid w:val="008E1B73"/>
    <w:rsid w:val="008E27D2"/>
    <w:rsid w:val="008E3311"/>
    <w:rsid w:val="008E33D8"/>
    <w:rsid w:val="008E37F1"/>
    <w:rsid w:val="008E3F77"/>
    <w:rsid w:val="008E44E5"/>
    <w:rsid w:val="008E5699"/>
    <w:rsid w:val="008E5938"/>
    <w:rsid w:val="008E5F31"/>
    <w:rsid w:val="008E63B3"/>
    <w:rsid w:val="008E6FCF"/>
    <w:rsid w:val="008E70B4"/>
    <w:rsid w:val="008E7182"/>
    <w:rsid w:val="008F082A"/>
    <w:rsid w:val="008F089F"/>
    <w:rsid w:val="008F16A2"/>
    <w:rsid w:val="008F19A0"/>
    <w:rsid w:val="008F1D88"/>
    <w:rsid w:val="008F1D94"/>
    <w:rsid w:val="008F23F9"/>
    <w:rsid w:val="008F25B5"/>
    <w:rsid w:val="008F27EC"/>
    <w:rsid w:val="008F28BC"/>
    <w:rsid w:val="008F2B48"/>
    <w:rsid w:val="008F33C3"/>
    <w:rsid w:val="008F34C1"/>
    <w:rsid w:val="008F3512"/>
    <w:rsid w:val="008F37C0"/>
    <w:rsid w:val="008F37D0"/>
    <w:rsid w:val="008F3D4D"/>
    <w:rsid w:val="008F4227"/>
    <w:rsid w:val="008F42E2"/>
    <w:rsid w:val="008F4E85"/>
    <w:rsid w:val="008F5670"/>
    <w:rsid w:val="008F6E2E"/>
    <w:rsid w:val="008F6F99"/>
    <w:rsid w:val="00900383"/>
    <w:rsid w:val="009003A4"/>
    <w:rsid w:val="009005B9"/>
    <w:rsid w:val="009005DB"/>
    <w:rsid w:val="00900FB9"/>
    <w:rsid w:val="0090167B"/>
    <w:rsid w:val="009017C6"/>
    <w:rsid w:val="00902098"/>
    <w:rsid w:val="0090209A"/>
    <w:rsid w:val="00902749"/>
    <w:rsid w:val="0090275D"/>
    <w:rsid w:val="009035EA"/>
    <w:rsid w:val="0090428B"/>
    <w:rsid w:val="0090467F"/>
    <w:rsid w:val="00906E33"/>
    <w:rsid w:val="00910206"/>
    <w:rsid w:val="00910391"/>
    <w:rsid w:val="009107C6"/>
    <w:rsid w:val="00910B0E"/>
    <w:rsid w:val="009110D0"/>
    <w:rsid w:val="00912F4E"/>
    <w:rsid w:val="00913238"/>
    <w:rsid w:val="00913D40"/>
    <w:rsid w:val="00914693"/>
    <w:rsid w:val="00914C9F"/>
    <w:rsid w:val="009155BC"/>
    <w:rsid w:val="00915BF3"/>
    <w:rsid w:val="00915C5C"/>
    <w:rsid w:val="00915E06"/>
    <w:rsid w:val="00916932"/>
    <w:rsid w:val="0091794B"/>
    <w:rsid w:val="009200AC"/>
    <w:rsid w:val="00920183"/>
    <w:rsid w:val="00920274"/>
    <w:rsid w:val="00920C57"/>
    <w:rsid w:val="00921247"/>
    <w:rsid w:val="00921302"/>
    <w:rsid w:val="0092175A"/>
    <w:rsid w:val="00921BB7"/>
    <w:rsid w:val="00921C04"/>
    <w:rsid w:val="00921ECC"/>
    <w:rsid w:val="009221D1"/>
    <w:rsid w:val="00922B33"/>
    <w:rsid w:val="00923629"/>
    <w:rsid w:val="00923CD2"/>
    <w:rsid w:val="00923D49"/>
    <w:rsid w:val="00924C23"/>
    <w:rsid w:val="009278D7"/>
    <w:rsid w:val="009303A7"/>
    <w:rsid w:val="00930885"/>
    <w:rsid w:val="00930A5A"/>
    <w:rsid w:val="009310DA"/>
    <w:rsid w:val="009315EB"/>
    <w:rsid w:val="00932AC8"/>
    <w:rsid w:val="00933084"/>
    <w:rsid w:val="00933A7B"/>
    <w:rsid w:val="00933E9A"/>
    <w:rsid w:val="0093400D"/>
    <w:rsid w:val="009345BE"/>
    <w:rsid w:val="00934D96"/>
    <w:rsid w:val="0093500D"/>
    <w:rsid w:val="009352E5"/>
    <w:rsid w:val="0093557F"/>
    <w:rsid w:val="00936447"/>
    <w:rsid w:val="0093668C"/>
    <w:rsid w:val="00936A49"/>
    <w:rsid w:val="009370C6"/>
    <w:rsid w:val="00937AF8"/>
    <w:rsid w:val="00937B32"/>
    <w:rsid w:val="0094101B"/>
    <w:rsid w:val="00941202"/>
    <w:rsid w:val="009412E8"/>
    <w:rsid w:val="00941983"/>
    <w:rsid w:val="00942411"/>
    <w:rsid w:val="009424D0"/>
    <w:rsid w:val="0094255A"/>
    <w:rsid w:val="009428EF"/>
    <w:rsid w:val="009431C8"/>
    <w:rsid w:val="00943554"/>
    <w:rsid w:val="00943DDA"/>
    <w:rsid w:val="00943F28"/>
    <w:rsid w:val="00943FE3"/>
    <w:rsid w:val="009443DB"/>
    <w:rsid w:val="009443DD"/>
    <w:rsid w:val="00944B5E"/>
    <w:rsid w:val="00944D41"/>
    <w:rsid w:val="009451AB"/>
    <w:rsid w:val="009453D2"/>
    <w:rsid w:val="00945480"/>
    <w:rsid w:val="009455A1"/>
    <w:rsid w:val="009457EB"/>
    <w:rsid w:val="0094601A"/>
    <w:rsid w:val="0094634A"/>
    <w:rsid w:val="00946699"/>
    <w:rsid w:val="00946759"/>
    <w:rsid w:val="0094677A"/>
    <w:rsid w:val="00947E44"/>
    <w:rsid w:val="00947ECF"/>
    <w:rsid w:val="0095051C"/>
    <w:rsid w:val="00950558"/>
    <w:rsid w:val="009511E9"/>
    <w:rsid w:val="0095179D"/>
    <w:rsid w:val="009517EE"/>
    <w:rsid w:val="00951A78"/>
    <w:rsid w:val="00951F98"/>
    <w:rsid w:val="00952127"/>
    <w:rsid w:val="0095250B"/>
    <w:rsid w:val="00952BD8"/>
    <w:rsid w:val="00952CD4"/>
    <w:rsid w:val="00954C57"/>
    <w:rsid w:val="00954EB1"/>
    <w:rsid w:val="00955685"/>
    <w:rsid w:val="009556EE"/>
    <w:rsid w:val="00955737"/>
    <w:rsid w:val="00955A85"/>
    <w:rsid w:val="00956734"/>
    <w:rsid w:val="00956F9B"/>
    <w:rsid w:val="00957ADE"/>
    <w:rsid w:val="00957B75"/>
    <w:rsid w:val="009605B8"/>
    <w:rsid w:val="00961A9A"/>
    <w:rsid w:val="00963772"/>
    <w:rsid w:val="00965892"/>
    <w:rsid w:val="009659DC"/>
    <w:rsid w:val="00965DC1"/>
    <w:rsid w:val="00966064"/>
    <w:rsid w:val="00966388"/>
    <w:rsid w:val="00966738"/>
    <w:rsid w:val="00967ADD"/>
    <w:rsid w:val="0097041E"/>
    <w:rsid w:val="0097099D"/>
    <w:rsid w:val="0097102F"/>
    <w:rsid w:val="009725EB"/>
    <w:rsid w:val="00973962"/>
    <w:rsid w:val="00974483"/>
    <w:rsid w:val="00975472"/>
    <w:rsid w:val="0097575F"/>
    <w:rsid w:val="00976348"/>
    <w:rsid w:val="0097662D"/>
    <w:rsid w:val="00976CB5"/>
    <w:rsid w:val="00977988"/>
    <w:rsid w:val="00977C50"/>
    <w:rsid w:val="00980965"/>
    <w:rsid w:val="0098175F"/>
    <w:rsid w:val="00982606"/>
    <w:rsid w:val="00982B38"/>
    <w:rsid w:val="00982F6A"/>
    <w:rsid w:val="00983EFF"/>
    <w:rsid w:val="0098420F"/>
    <w:rsid w:val="0098433B"/>
    <w:rsid w:val="0098436F"/>
    <w:rsid w:val="009845F6"/>
    <w:rsid w:val="00985D0E"/>
    <w:rsid w:val="009860CE"/>
    <w:rsid w:val="009907EB"/>
    <w:rsid w:val="009912B9"/>
    <w:rsid w:val="0099143F"/>
    <w:rsid w:val="0099144A"/>
    <w:rsid w:val="0099229C"/>
    <w:rsid w:val="009923E4"/>
    <w:rsid w:val="009924EC"/>
    <w:rsid w:val="00992583"/>
    <w:rsid w:val="009928FF"/>
    <w:rsid w:val="00993720"/>
    <w:rsid w:val="00993D9D"/>
    <w:rsid w:val="00993DDD"/>
    <w:rsid w:val="0099421A"/>
    <w:rsid w:val="009943BA"/>
    <w:rsid w:val="00994663"/>
    <w:rsid w:val="009949AC"/>
    <w:rsid w:val="009952EC"/>
    <w:rsid w:val="00995567"/>
    <w:rsid w:val="009967ED"/>
    <w:rsid w:val="00996A64"/>
    <w:rsid w:val="0099748B"/>
    <w:rsid w:val="00997726"/>
    <w:rsid w:val="00997965"/>
    <w:rsid w:val="009A0E8B"/>
    <w:rsid w:val="009A16AF"/>
    <w:rsid w:val="009A171B"/>
    <w:rsid w:val="009A263C"/>
    <w:rsid w:val="009A2651"/>
    <w:rsid w:val="009A2F4A"/>
    <w:rsid w:val="009A367B"/>
    <w:rsid w:val="009A4272"/>
    <w:rsid w:val="009A4FD2"/>
    <w:rsid w:val="009A5E25"/>
    <w:rsid w:val="009A605E"/>
    <w:rsid w:val="009A618D"/>
    <w:rsid w:val="009A67ED"/>
    <w:rsid w:val="009A6834"/>
    <w:rsid w:val="009A6CE3"/>
    <w:rsid w:val="009A7395"/>
    <w:rsid w:val="009A79B6"/>
    <w:rsid w:val="009A7AB0"/>
    <w:rsid w:val="009B0441"/>
    <w:rsid w:val="009B079D"/>
    <w:rsid w:val="009B0DA2"/>
    <w:rsid w:val="009B275F"/>
    <w:rsid w:val="009B28DE"/>
    <w:rsid w:val="009B2B89"/>
    <w:rsid w:val="009B33B8"/>
    <w:rsid w:val="009B345F"/>
    <w:rsid w:val="009B375F"/>
    <w:rsid w:val="009B3FE1"/>
    <w:rsid w:val="009B4F83"/>
    <w:rsid w:val="009B513E"/>
    <w:rsid w:val="009B51F6"/>
    <w:rsid w:val="009B5C10"/>
    <w:rsid w:val="009B5C61"/>
    <w:rsid w:val="009B5EA1"/>
    <w:rsid w:val="009B69A0"/>
    <w:rsid w:val="009B6E03"/>
    <w:rsid w:val="009B7AD5"/>
    <w:rsid w:val="009B7E27"/>
    <w:rsid w:val="009C0663"/>
    <w:rsid w:val="009C084F"/>
    <w:rsid w:val="009C0B01"/>
    <w:rsid w:val="009C1122"/>
    <w:rsid w:val="009C11DC"/>
    <w:rsid w:val="009C1223"/>
    <w:rsid w:val="009C1776"/>
    <w:rsid w:val="009C18A2"/>
    <w:rsid w:val="009C1E27"/>
    <w:rsid w:val="009C22C1"/>
    <w:rsid w:val="009C2DEC"/>
    <w:rsid w:val="009C2F15"/>
    <w:rsid w:val="009C3639"/>
    <w:rsid w:val="009C3BD6"/>
    <w:rsid w:val="009C3DFE"/>
    <w:rsid w:val="009C3FC6"/>
    <w:rsid w:val="009C4891"/>
    <w:rsid w:val="009C5C23"/>
    <w:rsid w:val="009C65D7"/>
    <w:rsid w:val="009C70E7"/>
    <w:rsid w:val="009C720C"/>
    <w:rsid w:val="009C754E"/>
    <w:rsid w:val="009C7ED9"/>
    <w:rsid w:val="009D081B"/>
    <w:rsid w:val="009D17D5"/>
    <w:rsid w:val="009D1EBB"/>
    <w:rsid w:val="009D1EF4"/>
    <w:rsid w:val="009D2D85"/>
    <w:rsid w:val="009D333E"/>
    <w:rsid w:val="009D465D"/>
    <w:rsid w:val="009D4A1D"/>
    <w:rsid w:val="009D5854"/>
    <w:rsid w:val="009D60A2"/>
    <w:rsid w:val="009D6F5F"/>
    <w:rsid w:val="009D7561"/>
    <w:rsid w:val="009D7970"/>
    <w:rsid w:val="009D7B9E"/>
    <w:rsid w:val="009D7F87"/>
    <w:rsid w:val="009E056F"/>
    <w:rsid w:val="009E16F1"/>
    <w:rsid w:val="009E219E"/>
    <w:rsid w:val="009E25A6"/>
    <w:rsid w:val="009E2D9A"/>
    <w:rsid w:val="009E2F9E"/>
    <w:rsid w:val="009E3902"/>
    <w:rsid w:val="009E3B5A"/>
    <w:rsid w:val="009E42E4"/>
    <w:rsid w:val="009E478F"/>
    <w:rsid w:val="009E4B7F"/>
    <w:rsid w:val="009E4DED"/>
    <w:rsid w:val="009E531C"/>
    <w:rsid w:val="009E5BB2"/>
    <w:rsid w:val="009E5CCE"/>
    <w:rsid w:val="009E644A"/>
    <w:rsid w:val="009E668D"/>
    <w:rsid w:val="009E682D"/>
    <w:rsid w:val="009E6B65"/>
    <w:rsid w:val="009E6CEE"/>
    <w:rsid w:val="009E739D"/>
    <w:rsid w:val="009F019A"/>
    <w:rsid w:val="009F0322"/>
    <w:rsid w:val="009F032B"/>
    <w:rsid w:val="009F07D6"/>
    <w:rsid w:val="009F0A2E"/>
    <w:rsid w:val="009F0D32"/>
    <w:rsid w:val="009F0E2E"/>
    <w:rsid w:val="009F0F05"/>
    <w:rsid w:val="009F2863"/>
    <w:rsid w:val="009F2B5F"/>
    <w:rsid w:val="009F2D4F"/>
    <w:rsid w:val="009F2DB2"/>
    <w:rsid w:val="009F2F26"/>
    <w:rsid w:val="009F3566"/>
    <w:rsid w:val="009F48B3"/>
    <w:rsid w:val="009F5B23"/>
    <w:rsid w:val="009F68A4"/>
    <w:rsid w:val="009F6A60"/>
    <w:rsid w:val="009F72AF"/>
    <w:rsid w:val="009F741A"/>
    <w:rsid w:val="009F76A1"/>
    <w:rsid w:val="009F76E6"/>
    <w:rsid w:val="009F7CBE"/>
    <w:rsid w:val="009F7EB7"/>
    <w:rsid w:val="00A002E5"/>
    <w:rsid w:val="00A006A8"/>
    <w:rsid w:val="00A0081D"/>
    <w:rsid w:val="00A00A24"/>
    <w:rsid w:val="00A00C74"/>
    <w:rsid w:val="00A010BF"/>
    <w:rsid w:val="00A02E79"/>
    <w:rsid w:val="00A03042"/>
    <w:rsid w:val="00A0307B"/>
    <w:rsid w:val="00A03B97"/>
    <w:rsid w:val="00A042B0"/>
    <w:rsid w:val="00A05028"/>
    <w:rsid w:val="00A0504E"/>
    <w:rsid w:val="00A05875"/>
    <w:rsid w:val="00A05BE2"/>
    <w:rsid w:val="00A05D47"/>
    <w:rsid w:val="00A05FCF"/>
    <w:rsid w:val="00A06097"/>
    <w:rsid w:val="00A0614C"/>
    <w:rsid w:val="00A069B8"/>
    <w:rsid w:val="00A06C63"/>
    <w:rsid w:val="00A07019"/>
    <w:rsid w:val="00A0755F"/>
    <w:rsid w:val="00A07DEE"/>
    <w:rsid w:val="00A100C3"/>
    <w:rsid w:val="00A105CD"/>
    <w:rsid w:val="00A108F6"/>
    <w:rsid w:val="00A112C7"/>
    <w:rsid w:val="00A112D8"/>
    <w:rsid w:val="00A1148F"/>
    <w:rsid w:val="00A117D4"/>
    <w:rsid w:val="00A11AC4"/>
    <w:rsid w:val="00A12382"/>
    <w:rsid w:val="00A128AD"/>
    <w:rsid w:val="00A1355B"/>
    <w:rsid w:val="00A13FC4"/>
    <w:rsid w:val="00A142F5"/>
    <w:rsid w:val="00A1482A"/>
    <w:rsid w:val="00A14CE2"/>
    <w:rsid w:val="00A15339"/>
    <w:rsid w:val="00A157C8"/>
    <w:rsid w:val="00A15DBF"/>
    <w:rsid w:val="00A16C2A"/>
    <w:rsid w:val="00A16E5D"/>
    <w:rsid w:val="00A17845"/>
    <w:rsid w:val="00A1799B"/>
    <w:rsid w:val="00A17C49"/>
    <w:rsid w:val="00A20223"/>
    <w:rsid w:val="00A204E8"/>
    <w:rsid w:val="00A212AF"/>
    <w:rsid w:val="00A2170E"/>
    <w:rsid w:val="00A22110"/>
    <w:rsid w:val="00A224AE"/>
    <w:rsid w:val="00A22517"/>
    <w:rsid w:val="00A2297F"/>
    <w:rsid w:val="00A23343"/>
    <w:rsid w:val="00A241F0"/>
    <w:rsid w:val="00A24242"/>
    <w:rsid w:val="00A24F7C"/>
    <w:rsid w:val="00A270D3"/>
    <w:rsid w:val="00A2756D"/>
    <w:rsid w:val="00A277D8"/>
    <w:rsid w:val="00A278D9"/>
    <w:rsid w:val="00A27929"/>
    <w:rsid w:val="00A27F01"/>
    <w:rsid w:val="00A30A63"/>
    <w:rsid w:val="00A30DBA"/>
    <w:rsid w:val="00A30FE7"/>
    <w:rsid w:val="00A30FFB"/>
    <w:rsid w:val="00A31622"/>
    <w:rsid w:val="00A31D27"/>
    <w:rsid w:val="00A31F61"/>
    <w:rsid w:val="00A323CD"/>
    <w:rsid w:val="00A33F27"/>
    <w:rsid w:val="00A34490"/>
    <w:rsid w:val="00A35458"/>
    <w:rsid w:val="00A36EDD"/>
    <w:rsid w:val="00A379F9"/>
    <w:rsid w:val="00A37F81"/>
    <w:rsid w:val="00A40214"/>
    <w:rsid w:val="00A40746"/>
    <w:rsid w:val="00A407E9"/>
    <w:rsid w:val="00A40A37"/>
    <w:rsid w:val="00A4104B"/>
    <w:rsid w:val="00A414F8"/>
    <w:rsid w:val="00A41506"/>
    <w:rsid w:val="00A42248"/>
    <w:rsid w:val="00A42264"/>
    <w:rsid w:val="00A42445"/>
    <w:rsid w:val="00A42460"/>
    <w:rsid w:val="00A424EB"/>
    <w:rsid w:val="00A43228"/>
    <w:rsid w:val="00A43A56"/>
    <w:rsid w:val="00A448B3"/>
    <w:rsid w:val="00A4505D"/>
    <w:rsid w:val="00A4524C"/>
    <w:rsid w:val="00A46168"/>
    <w:rsid w:val="00A469FC"/>
    <w:rsid w:val="00A46BCA"/>
    <w:rsid w:val="00A4747B"/>
    <w:rsid w:val="00A50B43"/>
    <w:rsid w:val="00A50C05"/>
    <w:rsid w:val="00A5115E"/>
    <w:rsid w:val="00A51E33"/>
    <w:rsid w:val="00A52703"/>
    <w:rsid w:val="00A52BF0"/>
    <w:rsid w:val="00A530AD"/>
    <w:rsid w:val="00A53731"/>
    <w:rsid w:val="00A538B4"/>
    <w:rsid w:val="00A54487"/>
    <w:rsid w:val="00A54588"/>
    <w:rsid w:val="00A5518A"/>
    <w:rsid w:val="00A555E8"/>
    <w:rsid w:val="00A55BFF"/>
    <w:rsid w:val="00A563FC"/>
    <w:rsid w:val="00A564CB"/>
    <w:rsid w:val="00A56525"/>
    <w:rsid w:val="00A56E77"/>
    <w:rsid w:val="00A570A2"/>
    <w:rsid w:val="00A5731D"/>
    <w:rsid w:val="00A575CD"/>
    <w:rsid w:val="00A57A0B"/>
    <w:rsid w:val="00A57A3D"/>
    <w:rsid w:val="00A60197"/>
    <w:rsid w:val="00A605D6"/>
    <w:rsid w:val="00A60899"/>
    <w:rsid w:val="00A6264D"/>
    <w:rsid w:val="00A629F0"/>
    <w:rsid w:val="00A62CCB"/>
    <w:rsid w:val="00A62E70"/>
    <w:rsid w:val="00A63457"/>
    <w:rsid w:val="00A645FC"/>
    <w:rsid w:val="00A64A25"/>
    <w:rsid w:val="00A65786"/>
    <w:rsid w:val="00A65A5F"/>
    <w:rsid w:val="00A65EBD"/>
    <w:rsid w:val="00A65FA8"/>
    <w:rsid w:val="00A66A76"/>
    <w:rsid w:val="00A66BC4"/>
    <w:rsid w:val="00A66F7B"/>
    <w:rsid w:val="00A6718C"/>
    <w:rsid w:val="00A67636"/>
    <w:rsid w:val="00A67818"/>
    <w:rsid w:val="00A71483"/>
    <w:rsid w:val="00A714AF"/>
    <w:rsid w:val="00A715F3"/>
    <w:rsid w:val="00A729CF"/>
    <w:rsid w:val="00A74547"/>
    <w:rsid w:val="00A74A77"/>
    <w:rsid w:val="00A7517C"/>
    <w:rsid w:val="00A75675"/>
    <w:rsid w:val="00A76C76"/>
    <w:rsid w:val="00A76C9E"/>
    <w:rsid w:val="00A77019"/>
    <w:rsid w:val="00A77B55"/>
    <w:rsid w:val="00A80AB1"/>
    <w:rsid w:val="00A8136A"/>
    <w:rsid w:val="00A816BC"/>
    <w:rsid w:val="00A81D07"/>
    <w:rsid w:val="00A820FB"/>
    <w:rsid w:val="00A82BAB"/>
    <w:rsid w:val="00A830EA"/>
    <w:rsid w:val="00A83196"/>
    <w:rsid w:val="00A8322E"/>
    <w:rsid w:val="00A83338"/>
    <w:rsid w:val="00A8344B"/>
    <w:rsid w:val="00A83581"/>
    <w:rsid w:val="00A8367B"/>
    <w:rsid w:val="00A8392A"/>
    <w:rsid w:val="00A83A21"/>
    <w:rsid w:val="00A83A5D"/>
    <w:rsid w:val="00A83FCE"/>
    <w:rsid w:val="00A84E5C"/>
    <w:rsid w:val="00A865D7"/>
    <w:rsid w:val="00A8671F"/>
    <w:rsid w:val="00A86CEC"/>
    <w:rsid w:val="00A871EC"/>
    <w:rsid w:val="00A90A66"/>
    <w:rsid w:val="00A90F51"/>
    <w:rsid w:val="00A91012"/>
    <w:rsid w:val="00A919EB"/>
    <w:rsid w:val="00A91F34"/>
    <w:rsid w:val="00A92ECE"/>
    <w:rsid w:val="00A93034"/>
    <w:rsid w:val="00A93131"/>
    <w:rsid w:val="00A93480"/>
    <w:rsid w:val="00A937D2"/>
    <w:rsid w:val="00A93820"/>
    <w:rsid w:val="00A94123"/>
    <w:rsid w:val="00A942E6"/>
    <w:rsid w:val="00A94765"/>
    <w:rsid w:val="00A94F87"/>
    <w:rsid w:val="00A955BB"/>
    <w:rsid w:val="00A958BA"/>
    <w:rsid w:val="00A95DF9"/>
    <w:rsid w:val="00A96CB0"/>
    <w:rsid w:val="00A970FC"/>
    <w:rsid w:val="00A97F8D"/>
    <w:rsid w:val="00AA01F8"/>
    <w:rsid w:val="00AA14E9"/>
    <w:rsid w:val="00AA1751"/>
    <w:rsid w:val="00AA1E5F"/>
    <w:rsid w:val="00AA228E"/>
    <w:rsid w:val="00AA2BC5"/>
    <w:rsid w:val="00AA30A4"/>
    <w:rsid w:val="00AA382D"/>
    <w:rsid w:val="00AA3E40"/>
    <w:rsid w:val="00AA4918"/>
    <w:rsid w:val="00AA5817"/>
    <w:rsid w:val="00AA5BC4"/>
    <w:rsid w:val="00AA677F"/>
    <w:rsid w:val="00AA67D1"/>
    <w:rsid w:val="00AA700C"/>
    <w:rsid w:val="00AA70D4"/>
    <w:rsid w:val="00AA755F"/>
    <w:rsid w:val="00AB0740"/>
    <w:rsid w:val="00AB0B16"/>
    <w:rsid w:val="00AB194F"/>
    <w:rsid w:val="00AB1ACE"/>
    <w:rsid w:val="00AB1C60"/>
    <w:rsid w:val="00AB1DC6"/>
    <w:rsid w:val="00AB1ED4"/>
    <w:rsid w:val="00AB2C0E"/>
    <w:rsid w:val="00AB2CA1"/>
    <w:rsid w:val="00AB302F"/>
    <w:rsid w:val="00AB307A"/>
    <w:rsid w:val="00AB3578"/>
    <w:rsid w:val="00AB368B"/>
    <w:rsid w:val="00AB3A0B"/>
    <w:rsid w:val="00AB3ADE"/>
    <w:rsid w:val="00AB4054"/>
    <w:rsid w:val="00AB4627"/>
    <w:rsid w:val="00AB4BE6"/>
    <w:rsid w:val="00AB4D9F"/>
    <w:rsid w:val="00AB4E8D"/>
    <w:rsid w:val="00AB5141"/>
    <w:rsid w:val="00AB5F6F"/>
    <w:rsid w:val="00AB6064"/>
    <w:rsid w:val="00AB6504"/>
    <w:rsid w:val="00AB6CA7"/>
    <w:rsid w:val="00AB709E"/>
    <w:rsid w:val="00AB731A"/>
    <w:rsid w:val="00AB7368"/>
    <w:rsid w:val="00AB778F"/>
    <w:rsid w:val="00AB7BBE"/>
    <w:rsid w:val="00AB7FAE"/>
    <w:rsid w:val="00AC1376"/>
    <w:rsid w:val="00AC25B8"/>
    <w:rsid w:val="00AC27A6"/>
    <w:rsid w:val="00AC2C45"/>
    <w:rsid w:val="00AC33B4"/>
    <w:rsid w:val="00AC3616"/>
    <w:rsid w:val="00AC3733"/>
    <w:rsid w:val="00AC3C60"/>
    <w:rsid w:val="00AC400E"/>
    <w:rsid w:val="00AC46ED"/>
    <w:rsid w:val="00AC48FC"/>
    <w:rsid w:val="00AC4F61"/>
    <w:rsid w:val="00AC50C8"/>
    <w:rsid w:val="00AC519A"/>
    <w:rsid w:val="00AC532C"/>
    <w:rsid w:val="00AC5D95"/>
    <w:rsid w:val="00AC6B52"/>
    <w:rsid w:val="00AC7747"/>
    <w:rsid w:val="00AC7A9D"/>
    <w:rsid w:val="00AD0DB4"/>
    <w:rsid w:val="00AD124A"/>
    <w:rsid w:val="00AD1590"/>
    <w:rsid w:val="00AD18BF"/>
    <w:rsid w:val="00AD1EFB"/>
    <w:rsid w:val="00AD2723"/>
    <w:rsid w:val="00AD2869"/>
    <w:rsid w:val="00AD2DA5"/>
    <w:rsid w:val="00AD32BD"/>
    <w:rsid w:val="00AD48E7"/>
    <w:rsid w:val="00AD536E"/>
    <w:rsid w:val="00AD565F"/>
    <w:rsid w:val="00AD5FAD"/>
    <w:rsid w:val="00AD61BC"/>
    <w:rsid w:val="00AD7802"/>
    <w:rsid w:val="00AD7F82"/>
    <w:rsid w:val="00AE0FA1"/>
    <w:rsid w:val="00AE1288"/>
    <w:rsid w:val="00AE162F"/>
    <w:rsid w:val="00AE1EE6"/>
    <w:rsid w:val="00AE2229"/>
    <w:rsid w:val="00AE2836"/>
    <w:rsid w:val="00AE2F5E"/>
    <w:rsid w:val="00AE39BD"/>
    <w:rsid w:val="00AE3C7D"/>
    <w:rsid w:val="00AE3CA9"/>
    <w:rsid w:val="00AE3E5D"/>
    <w:rsid w:val="00AE518E"/>
    <w:rsid w:val="00AE546E"/>
    <w:rsid w:val="00AE5533"/>
    <w:rsid w:val="00AE55EC"/>
    <w:rsid w:val="00AE5A8C"/>
    <w:rsid w:val="00AE6101"/>
    <w:rsid w:val="00AE72BA"/>
    <w:rsid w:val="00AE72F9"/>
    <w:rsid w:val="00AF02F1"/>
    <w:rsid w:val="00AF0440"/>
    <w:rsid w:val="00AF1799"/>
    <w:rsid w:val="00AF1A83"/>
    <w:rsid w:val="00AF1C9F"/>
    <w:rsid w:val="00AF25F7"/>
    <w:rsid w:val="00AF26DD"/>
    <w:rsid w:val="00AF28D8"/>
    <w:rsid w:val="00AF2CC0"/>
    <w:rsid w:val="00AF31F2"/>
    <w:rsid w:val="00AF3454"/>
    <w:rsid w:val="00AF37EF"/>
    <w:rsid w:val="00AF4C70"/>
    <w:rsid w:val="00AF4FF3"/>
    <w:rsid w:val="00AF5545"/>
    <w:rsid w:val="00AF605B"/>
    <w:rsid w:val="00AF6324"/>
    <w:rsid w:val="00AF655B"/>
    <w:rsid w:val="00AF6647"/>
    <w:rsid w:val="00AF6848"/>
    <w:rsid w:val="00AF69BB"/>
    <w:rsid w:val="00AF6B3E"/>
    <w:rsid w:val="00AF7FCF"/>
    <w:rsid w:val="00B0022B"/>
    <w:rsid w:val="00B00AC9"/>
    <w:rsid w:val="00B020B2"/>
    <w:rsid w:val="00B02181"/>
    <w:rsid w:val="00B028BD"/>
    <w:rsid w:val="00B02FF1"/>
    <w:rsid w:val="00B0387A"/>
    <w:rsid w:val="00B03D63"/>
    <w:rsid w:val="00B05582"/>
    <w:rsid w:val="00B05991"/>
    <w:rsid w:val="00B05FB7"/>
    <w:rsid w:val="00B06782"/>
    <w:rsid w:val="00B06F5E"/>
    <w:rsid w:val="00B10C25"/>
    <w:rsid w:val="00B11B96"/>
    <w:rsid w:val="00B11C05"/>
    <w:rsid w:val="00B11CD5"/>
    <w:rsid w:val="00B11E65"/>
    <w:rsid w:val="00B12824"/>
    <w:rsid w:val="00B128C1"/>
    <w:rsid w:val="00B12E65"/>
    <w:rsid w:val="00B12F1F"/>
    <w:rsid w:val="00B13877"/>
    <w:rsid w:val="00B13A34"/>
    <w:rsid w:val="00B13D7F"/>
    <w:rsid w:val="00B13E87"/>
    <w:rsid w:val="00B1402B"/>
    <w:rsid w:val="00B16111"/>
    <w:rsid w:val="00B16136"/>
    <w:rsid w:val="00B167F4"/>
    <w:rsid w:val="00B16B7F"/>
    <w:rsid w:val="00B16F4F"/>
    <w:rsid w:val="00B17067"/>
    <w:rsid w:val="00B17202"/>
    <w:rsid w:val="00B178BE"/>
    <w:rsid w:val="00B20013"/>
    <w:rsid w:val="00B209C0"/>
    <w:rsid w:val="00B210CC"/>
    <w:rsid w:val="00B211CB"/>
    <w:rsid w:val="00B21C65"/>
    <w:rsid w:val="00B22D3A"/>
    <w:rsid w:val="00B23940"/>
    <w:rsid w:val="00B23A6D"/>
    <w:rsid w:val="00B23C4B"/>
    <w:rsid w:val="00B23D28"/>
    <w:rsid w:val="00B24136"/>
    <w:rsid w:val="00B24222"/>
    <w:rsid w:val="00B24308"/>
    <w:rsid w:val="00B24FED"/>
    <w:rsid w:val="00B24FFD"/>
    <w:rsid w:val="00B256FA"/>
    <w:rsid w:val="00B257DA"/>
    <w:rsid w:val="00B257FF"/>
    <w:rsid w:val="00B258DC"/>
    <w:rsid w:val="00B260B2"/>
    <w:rsid w:val="00B26175"/>
    <w:rsid w:val="00B266D7"/>
    <w:rsid w:val="00B279D3"/>
    <w:rsid w:val="00B32173"/>
    <w:rsid w:val="00B32566"/>
    <w:rsid w:val="00B33105"/>
    <w:rsid w:val="00B33897"/>
    <w:rsid w:val="00B33A44"/>
    <w:rsid w:val="00B34674"/>
    <w:rsid w:val="00B34A9B"/>
    <w:rsid w:val="00B34C95"/>
    <w:rsid w:val="00B34E33"/>
    <w:rsid w:val="00B3512C"/>
    <w:rsid w:val="00B359D4"/>
    <w:rsid w:val="00B35AB6"/>
    <w:rsid w:val="00B36432"/>
    <w:rsid w:val="00B3754C"/>
    <w:rsid w:val="00B3790A"/>
    <w:rsid w:val="00B37ADB"/>
    <w:rsid w:val="00B37BE8"/>
    <w:rsid w:val="00B37E4F"/>
    <w:rsid w:val="00B40187"/>
    <w:rsid w:val="00B40208"/>
    <w:rsid w:val="00B4160A"/>
    <w:rsid w:val="00B417CE"/>
    <w:rsid w:val="00B41E69"/>
    <w:rsid w:val="00B42188"/>
    <w:rsid w:val="00B42715"/>
    <w:rsid w:val="00B4343E"/>
    <w:rsid w:val="00B43890"/>
    <w:rsid w:val="00B43964"/>
    <w:rsid w:val="00B44B09"/>
    <w:rsid w:val="00B44EA2"/>
    <w:rsid w:val="00B44EFE"/>
    <w:rsid w:val="00B45856"/>
    <w:rsid w:val="00B45CEC"/>
    <w:rsid w:val="00B465D4"/>
    <w:rsid w:val="00B470B4"/>
    <w:rsid w:val="00B525B0"/>
    <w:rsid w:val="00B52C93"/>
    <w:rsid w:val="00B52FF9"/>
    <w:rsid w:val="00B5346A"/>
    <w:rsid w:val="00B540EE"/>
    <w:rsid w:val="00B542D9"/>
    <w:rsid w:val="00B55134"/>
    <w:rsid w:val="00B551F0"/>
    <w:rsid w:val="00B55737"/>
    <w:rsid w:val="00B565A2"/>
    <w:rsid w:val="00B56A21"/>
    <w:rsid w:val="00B574B8"/>
    <w:rsid w:val="00B5777A"/>
    <w:rsid w:val="00B57979"/>
    <w:rsid w:val="00B60033"/>
    <w:rsid w:val="00B6090E"/>
    <w:rsid w:val="00B60E99"/>
    <w:rsid w:val="00B60FA0"/>
    <w:rsid w:val="00B61AAD"/>
    <w:rsid w:val="00B61D89"/>
    <w:rsid w:val="00B62632"/>
    <w:rsid w:val="00B62AE7"/>
    <w:rsid w:val="00B631C6"/>
    <w:rsid w:val="00B63E9D"/>
    <w:rsid w:val="00B63EBE"/>
    <w:rsid w:val="00B64AF6"/>
    <w:rsid w:val="00B64CA7"/>
    <w:rsid w:val="00B64F18"/>
    <w:rsid w:val="00B64F6E"/>
    <w:rsid w:val="00B65E62"/>
    <w:rsid w:val="00B65F2E"/>
    <w:rsid w:val="00B675BA"/>
    <w:rsid w:val="00B6790E"/>
    <w:rsid w:val="00B67E98"/>
    <w:rsid w:val="00B7014A"/>
    <w:rsid w:val="00B7021B"/>
    <w:rsid w:val="00B70323"/>
    <w:rsid w:val="00B70CA9"/>
    <w:rsid w:val="00B711A6"/>
    <w:rsid w:val="00B718F8"/>
    <w:rsid w:val="00B726C9"/>
    <w:rsid w:val="00B7294B"/>
    <w:rsid w:val="00B730BC"/>
    <w:rsid w:val="00B74EB7"/>
    <w:rsid w:val="00B7573D"/>
    <w:rsid w:val="00B76C51"/>
    <w:rsid w:val="00B76CC3"/>
    <w:rsid w:val="00B76E6C"/>
    <w:rsid w:val="00B77065"/>
    <w:rsid w:val="00B802F3"/>
    <w:rsid w:val="00B80A7A"/>
    <w:rsid w:val="00B80B96"/>
    <w:rsid w:val="00B80CC6"/>
    <w:rsid w:val="00B80F94"/>
    <w:rsid w:val="00B81355"/>
    <w:rsid w:val="00B818D3"/>
    <w:rsid w:val="00B8244D"/>
    <w:rsid w:val="00B82728"/>
    <w:rsid w:val="00B832A6"/>
    <w:rsid w:val="00B836EE"/>
    <w:rsid w:val="00B841AB"/>
    <w:rsid w:val="00B842A9"/>
    <w:rsid w:val="00B84598"/>
    <w:rsid w:val="00B852F1"/>
    <w:rsid w:val="00B85E0C"/>
    <w:rsid w:val="00B8633F"/>
    <w:rsid w:val="00B87193"/>
    <w:rsid w:val="00B87769"/>
    <w:rsid w:val="00B87BD4"/>
    <w:rsid w:val="00B87E2A"/>
    <w:rsid w:val="00B90D8E"/>
    <w:rsid w:val="00B9121D"/>
    <w:rsid w:val="00B91F74"/>
    <w:rsid w:val="00B927B8"/>
    <w:rsid w:val="00B9314E"/>
    <w:rsid w:val="00B93D46"/>
    <w:rsid w:val="00B94A3A"/>
    <w:rsid w:val="00B9516F"/>
    <w:rsid w:val="00B9585D"/>
    <w:rsid w:val="00B96009"/>
    <w:rsid w:val="00B962D0"/>
    <w:rsid w:val="00B962D8"/>
    <w:rsid w:val="00B97183"/>
    <w:rsid w:val="00B976D4"/>
    <w:rsid w:val="00B977DB"/>
    <w:rsid w:val="00B97AF3"/>
    <w:rsid w:val="00B97D81"/>
    <w:rsid w:val="00BA0913"/>
    <w:rsid w:val="00BA22D7"/>
    <w:rsid w:val="00BA2DF7"/>
    <w:rsid w:val="00BA3515"/>
    <w:rsid w:val="00BA39F4"/>
    <w:rsid w:val="00BA3BE8"/>
    <w:rsid w:val="00BA3C77"/>
    <w:rsid w:val="00BA3FB1"/>
    <w:rsid w:val="00BA4606"/>
    <w:rsid w:val="00BA4B99"/>
    <w:rsid w:val="00BA5D8D"/>
    <w:rsid w:val="00BA5FD8"/>
    <w:rsid w:val="00BA6079"/>
    <w:rsid w:val="00BA64F1"/>
    <w:rsid w:val="00BA69AA"/>
    <w:rsid w:val="00BA6B40"/>
    <w:rsid w:val="00BA6E34"/>
    <w:rsid w:val="00BA6FAE"/>
    <w:rsid w:val="00BA7234"/>
    <w:rsid w:val="00BA7610"/>
    <w:rsid w:val="00BA7624"/>
    <w:rsid w:val="00BA7698"/>
    <w:rsid w:val="00BA7A3D"/>
    <w:rsid w:val="00BA7A47"/>
    <w:rsid w:val="00BB0F9A"/>
    <w:rsid w:val="00BB194F"/>
    <w:rsid w:val="00BB2259"/>
    <w:rsid w:val="00BB2CA4"/>
    <w:rsid w:val="00BB48D4"/>
    <w:rsid w:val="00BB4A24"/>
    <w:rsid w:val="00BB4BCE"/>
    <w:rsid w:val="00BB4D70"/>
    <w:rsid w:val="00BB54E8"/>
    <w:rsid w:val="00BB5FD1"/>
    <w:rsid w:val="00BB6383"/>
    <w:rsid w:val="00BB6C1E"/>
    <w:rsid w:val="00BB708E"/>
    <w:rsid w:val="00BB7602"/>
    <w:rsid w:val="00BB7777"/>
    <w:rsid w:val="00BB7C78"/>
    <w:rsid w:val="00BC0D89"/>
    <w:rsid w:val="00BC0E1F"/>
    <w:rsid w:val="00BC13B8"/>
    <w:rsid w:val="00BC1D78"/>
    <w:rsid w:val="00BC28DB"/>
    <w:rsid w:val="00BC2B25"/>
    <w:rsid w:val="00BC2E7F"/>
    <w:rsid w:val="00BC320D"/>
    <w:rsid w:val="00BC3E30"/>
    <w:rsid w:val="00BC49D9"/>
    <w:rsid w:val="00BC4D91"/>
    <w:rsid w:val="00BC4E35"/>
    <w:rsid w:val="00BC5A1B"/>
    <w:rsid w:val="00BC5BA9"/>
    <w:rsid w:val="00BC70A8"/>
    <w:rsid w:val="00BC718F"/>
    <w:rsid w:val="00BC767E"/>
    <w:rsid w:val="00BD08C7"/>
    <w:rsid w:val="00BD0967"/>
    <w:rsid w:val="00BD0B5F"/>
    <w:rsid w:val="00BD1A1A"/>
    <w:rsid w:val="00BD1AF5"/>
    <w:rsid w:val="00BD1C3F"/>
    <w:rsid w:val="00BD2807"/>
    <w:rsid w:val="00BD2852"/>
    <w:rsid w:val="00BD2B3B"/>
    <w:rsid w:val="00BD337C"/>
    <w:rsid w:val="00BD345C"/>
    <w:rsid w:val="00BD3A85"/>
    <w:rsid w:val="00BD3B45"/>
    <w:rsid w:val="00BD441F"/>
    <w:rsid w:val="00BD4533"/>
    <w:rsid w:val="00BD49E5"/>
    <w:rsid w:val="00BD50C8"/>
    <w:rsid w:val="00BD539B"/>
    <w:rsid w:val="00BD55DE"/>
    <w:rsid w:val="00BD62D2"/>
    <w:rsid w:val="00BD7179"/>
    <w:rsid w:val="00BD7649"/>
    <w:rsid w:val="00BD777B"/>
    <w:rsid w:val="00BD799E"/>
    <w:rsid w:val="00BE04E4"/>
    <w:rsid w:val="00BE0A46"/>
    <w:rsid w:val="00BE0B9E"/>
    <w:rsid w:val="00BE0BF7"/>
    <w:rsid w:val="00BE0CA8"/>
    <w:rsid w:val="00BE0CFB"/>
    <w:rsid w:val="00BE22AA"/>
    <w:rsid w:val="00BE2A49"/>
    <w:rsid w:val="00BE2AF7"/>
    <w:rsid w:val="00BE2B8B"/>
    <w:rsid w:val="00BE2FD8"/>
    <w:rsid w:val="00BE3C99"/>
    <w:rsid w:val="00BE3E54"/>
    <w:rsid w:val="00BE3E5B"/>
    <w:rsid w:val="00BE4311"/>
    <w:rsid w:val="00BE48BE"/>
    <w:rsid w:val="00BE54D7"/>
    <w:rsid w:val="00BE59C5"/>
    <w:rsid w:val="00BE5CA9"/>
    <w:rsid w:val="00BE6B56"/>
    <w:rsid w:val="00BE6E59"/>
    <w:rsid w:val="00BE749B"/>
    <w:rsid w:val="00BE7872"/>
    <w:rsid w:val="00BF191C"/>
    <w:rsid w:val="00BF1E04"/>
    <w:rsid w:val="00BF1E69"/>
    <w:rsid w:val="00BF21A2"/>
    <w:rsid w:val="00BF271B"/>
    <w:rsid w:val="00BF2D11"/>
    <w:rsid w:val="00BF3425"/>
    <w:rsid w:val="00BF3AEE"/>
    <w:rsid w:val="00BF457D"/>
    <w:rsid w:val="00BF4651"/>
    <w:rsid w:val="00BF567B"/>
    <w:rsid w:val="00BF5B0D"/>
    <w:rsid w:val="00BF6028"/>
    <w:rsid w:val="00BF60A5"/>
    <w:rsid w:val="00BF65CB"/>
    <w:rsid w:val="00BF6ABF"/>
    <w:rsid w:val="00BF7852"/>
    <w:rsid w:val="00BF7CA9"/>
    <w:rsid w:val="00C0012B"/>
    <w:rsid w:val="00C00234"/>
    <w:rsid w:val="00C008D2"/>
    <w:rsid w:val="00C012BC"/>
    <w:rsid w:val="00C01410"/>
    <w:rsid w:val="00C01CE9"/>
    <w:rsid w:val="00C01D71"/>
    <w:rsid w:val="00C01E90"/>
    <w:rsid w:val="00C0251C"/>
    <w:rsid w:val="00C02858"/>
    <w:rsid w:val="00C036FB"/>
    <w:rsid w:val="00C037F2"/>
    <w:rsid w:val="00C040D2"/>
    <w:rsid w:val="00C05318"/>
    <w:rsid w:val="00C056CF"/>
    <w:rsid w:val="00C05ADB"/>
    <w:rsid w:val="00C06526"/>
    <w:rsid w:val="00C065D2"/>
    <w:rsid w:val="00C065E6"/>
    <w:rsid w:val="00C06D99"/>
    <w:rsid w:val="00C070B9"/>
    <w:rsid w:val="00C07185"/>
    <w:rsid w:val="00C0730D"/>
    <w:rsid w:val="00C074D7"/>
    <w:rsid w:val="00C07D18"/>
    <w:rsid w:val="00C100BF"/>
    <w:rsid w:val="00C10312"/>
    <w:rsid w:val="00C110D6"/>
    <w:rsid w:val="00C1144C"/>
    <w:rsid w:val="00C11551"/>
    <w:rsid w:val="00C116B6"/>
    <w:rsid w:val="00C13323"/>
    <w:rsid w:val="00C134D6"/>
    <w:rsid w:val="00C13711"/>
    <w:rsid w:val="00C13A7F"/>
    <w:rsid w:val="00C13DD2"/>
    <w:rsid w:val="00C14550"/>
    <w:rsid w:val="00C155ED"/>
    <w:rsid w:val="00C15B32"/>
    <w:rsid w:val="00C16030"/>
    <w:rsid w:val="00C16839"/>
    <w:rsid w:val="00C16889"/>
    <w:rsid w:val="00C16D3E"/>
    <w:rsid w:val="00C17344"/>
    <w:rsid w:val="00C177A4"/>
    <w:rsid w:val="00C17C74"/>
    <w:rsid w:val="00C17F5E"/>
    <w:rsid w:val="00C17F5F"/>
    <w:rsid w:val="00C20FEC"/>
    <w:rsid w:val="00C21538"/>
    <w:rsid w:val="00C21763"/>
    <w:rsid w:val="00C21788"/>
    <w:rsid w:val="00C220B9"/>
    <w:rsid w:val="00C222C9"/>
    <w:rsid w:val="00C2277E"/>
    <w:rsid w:val="00C227F3"/>
    <w:rsid w:val="00C234B5"/>
    <w:rsid w:val="00C238AB"/>
    <w:rsid w:val="00C242B1"/>
    <w:rsid w:val="00C24429"/>
    <w:rsid w:val="00C24807"/>
    <w:rsid w:val="00C24EF7"/>
    <w:rsid w:val="00C260DF"/>
    <w:rsid w:val="00C269F4"/>
    <w:rsid w:val="00C26BC4"/>
    <w:rsid w:val="00C26E78"/>
    <w:rsid w:val="00C27867"/>
    <w:rsid w:val="00C27A5E"/>
    <w:rsid w:val="00C27C32"/>
    <w:rsid w:val="00C27D73"/>
    <w:rsid w:val="00C30F25"/>
    <w:rsid w:val="00C3125F"/>
    <w:rsid w:val="00C31352"/>
    <w:rsid w:val="00C31709"/>
    <w:rsid w:val="00C31C70"/>
    <w:rsid w:val="00C3202B"/>
    <w:rsid w:val="00C34354"/>
    <w:rsid w:val="00C34478"/>
    <w:rsid w:val="00C34AD6"/>
    <w:rsid w:val="00C35217"/>
    <w:rsid w:val="00C353E2"/>
    <w:rsid w:val="00C35458"/>
    <w:rsid w:val="00C3584A"/>
    <w:rsid w:val="00C35E90"/>
    <w:rsid w:val="00C36113"/>
    <w:rsid w:val="00C3672F"/>
    <w:rsid w:val="00C36CEB"/>
    <w:rsid w:val="00C36F8D"/>
    <w:rsid w:val="00C372D6"/>
    <w:rsid w:val="00C37443"/>
    <w:rsid w:val="00C37DBE"/>
    <w:rsid w:val="00C40CEE"/>
    <w:rsid w:val="00C40F0A"/>
    <w:rsid w:val="00C4141E"/>
    <w:rsid w:val="00C41498"/>
    <w:rsid w:val="00C43900"/>
    <w:rsid w:val="00C4487C"/>
    <w:rsid w:val="00C44ED6"/>
    <w:rsid w:val="00C45607"/>
    <w:rsid w:val="00C46C94"/>
    <w:rsid w:val="00C47017"/>
    <w:rsid w:val="00C47B9E"/>
    <w:rsid w:val="00C505D3"/>
    <w:rsid w:val="00C50D9C"/>
    <w:rsid w:val="00C50DD2"/>
    <w:rsid w:val="00C518A7"/>
    <w:rsid w:val="00C5289D"/>
    <w:rsid w:val="00C52A73"/>
    <w:rsid w:val="00C531FB"/>
    <w:rsid w:val="00C53591"/>
    <w:rsid w:val="00C53D2C"/>
    <w:rsid w:val="00C53D41"/>
    <w:rsid w:val="00C553CC"/>
    <w:rsid w:val="00C5557C"/>
    <w:rsid w:val="00C56561"/>
    <w:rsid w:val="00C5729A"/>
    <w:rsid w:val="00C572B5"/>
    <w:rsid w:val="00C574F4"/>
    <w:rsid w:val="00C57897"/>
    <w:rsid w:val="00C61543"/>
    <w:rsid w:val="00C6195B"/>
    <w:rsid w:val="00C61DA6"/>
    <w:rsid w:val="00C6274F"/>
    <w:rsid w:val="00C63A07"/>
    <w:rsid w:val="00C63C3C"/>
    <w:rsid w:val="00C64BF9"/>
    <w:rsid w:val="00C64C2D"/>
    <w:rsid w:val="00C65F02"/>
    <w:rsid w:val="00C65F0C"/>
    <w:rsid w:val="00C65F91"/>
    <w:rsid w:val="00C66271"/>
    <w:rsid w:val="00C66337"/>
    <w:rsid w:val="00C66C2B"/>
    <w:rsid w:val="00C67A3C"/>
    <w:rsid w:val="00C67B24"/>
    <w:rsid w:val="00C67F84"/>
    <w:rsid w:val="00C70ED0"/>
    <w:rsid w:val="00C71851"/>
    <w:rsid w:val="00C71E12"/>
    <w:rsid w:val="00C721FA"/>
    <w:rsid w:val="00C72448"/>
    <w:rsid w:val="00C725D5"/>
    <w:rsid w:val="00C72DED"/>
    <w:rsid w:val="00C73156"/>
    <w:rsid w:val="00C731D6"/>
    <w:rsid w:val="00C733DD"/>
    <w:rsid w:val="00C7431B"/>
    <w:rsid w:val="00C743B5"/>
    <w:rsid w:val="00C75169"/>
    <w:rsid w:val="00C75267"/>
    <w:rsid w:val="00C7528B"/>
    <w:rsid w:val="00C75707"/>
    <w:rsid w:val="00C761A4"/>
    <w:rsid w:val="00C779FB"/>
    <w:rsid w:val="00C80146"/>
    <w:rsid w:val="00C81383"/>
    <w:rsid w:val="00C81699"/>
    <w:rsid w:val="00C816FA"/>
    <w:rsid w:val="00C8185C"/>
    <w:rsid w:val="00C81F0B"/>
    <w:rsid w:val="00C82851"/>
    <w:rsid w:val="00C83075"/>
    <w:rsid w:val="00C830DA"/>
    <w:rsid w:val="00C84133"/>
    <w:rsid w:val="00C847D7"/>
    <w:rsid w:val="00C848D6"/>
    <w:rsid w:val="00C85A3E"/>
    <w:rsid w:val="00C85A94"/>
    <w:rsid w:val="00C85C23"/>
    <w:rsid w:val="00C86576"/>
    <w:rsid w:val="00C868C4"/>
    <w:rsid w:val="00C8720E"/>
    <w:rsid w:val="00C873DE"/>
    <w:rsid w:val="00C87547"/>
    <w:rsid w:val="00C87F25"/>
    <w:rsid w:val="00C90576"/>
    <w:rsid w:val="00C9113D"/>
    <w:rsid w:val="00C92059"/>
    <w:rsid w:val="00C927AF"/>
    <w:rsid w:val="00C92836"/>
    <w:rsid w:val="00C9289E"/>
    <w:rsid w:val="00C92B38"/>
    <w:rsid w:val="00C92E39"/>
    <w:rsid w:val="00C931B9"/>
    <w:rsid w:val="00C93706"/>
    <w:rsid w:val="00C93ADD"/>
    <w:rsid w:val="00C94FCD"/>
    <w:rsid w:val="00C953E2"/>
    <w:rsid w:val="00C95D40"/>
    <w:rsid w:val="00C963AA"/>
    <w:rsid w:val="00C9668C"/>
    <w:rsid w:val="00C9671D"/>
    <w:rsid w:val="00C96C80"/>
    <w:rsid w:val="00C96DD0"/>
    <w:rsid w:val="00C972A1"/>
    <w:rsid w:val="00C97828"/>
    <w:rsid w:val="00C97B82"/>
    <w:rsid w:val="00C97F32"/>
    <w:rsid w:val="00CA023C"/>
    <w:rsid w:val="00CA0446"/>
    <w:rsid w:val="00CA137F"/>
    <w:rsid w:val="00CA1F8B"/>
    <w:rsid w:val="00CA28EA"/>
    <w:rsid w:val="00CA2948"/>
    <w:rsid w:val="00CA2C7A"/>
    <w:rsid w:val="00CA2CA9"/>
    <w:rsid w:val="00CA3940"/>
    <w:rsid w:val="00CA429B"/>
    <w:rsid w:val="00CA454F"/>
    <w:rsid w:val="00CA49E2"/>
    <w:rsid w:val="00CA4C64"/>
    <w:rsid w:val="00CA58B5"/>
    <w:rsid w:val="00CA5DA2"/>
    <w:rsid w:val="00CA5EF5"/>
    <w:rsid w:val="00CA719E"/>
    <w:rsid w:val="00CA7566"/>
    <w:rsid w:val="00CB09AD"/>
    <w:rsid w:val="00CB0D65"/>
    <w:rsid w:val="00CB1EAD"/>
    <w:rsid w:val="00CB2D4B"/>
    <w:rsid w:val="00CB2F45"/>
    <w:rsid w:val="00CB2F4A"/>
    <w:rsid w:val="00CB36C3"/>
    <w:rsid w:val="00CB3E3C"/>
    <w:rsid w:val="00CB3EB0"/>
    <w:rsid w:val="00CB3EDC"/>
    <w:rsid w:val="00CB3FE0"/>
    <w:rsid w:val="00CB4BE8"/>
    <w:rsid w:val="00CB5619"/>
    <w:rsid w:val="00CB6246"/>
    <w:rsid w:val="00CB6269"/>
    <w:rsid w:val="00CB7B86"/>
    <w:rsid w:val="00CC0CAA"/>
    <w:rsid w:val="00CC100F"/>
    <w:rsid w:val="00CC1174"/>
    <w:rsid w:val="00CC1719"/>
    <w:rsid w:val="00CC1724"/>
    <w:rsid w:val="00CC1AB6"/>
    <w:rsid w:val="00CC21C5"/>
    <w:rsid w:val="00CC21D0"/>
    <w:rsid w:val="00CC26E3"/>
    <w:rsid w:val="00CC2E48"/>
    <w:rsid w:val="00CC30F6"/>
    <w:rsid w:val="00CC3169"/>
    <w:rsid w:val="00CC33E7"/>
    <w:rsid w:val="00CC3486"/>
    <w:rsid w:val="00CC375A"/>
    <w:rsid w:val="00CC3D6E"/>
    <w:rsid w:val="00CC41BA"/>
    <w:rsid w:val="00CC53F7"/>
    <w:rsid w:val="00CC5922"/>
    <w:rsid w:val="00CC603A"/>
    <w:rsid w:val="00CC64FB"/>
    <w:rsid w:val="00CC6C48"/>
    <w:rsid w:val="00CC6F3C"/>
    <w:rsid w:val="00CC7671"/>
    <w:rsid w:val="00CD00A4"/>
    <w:rsid w:val="00CD0522"/>
    <w:rsid w:val="00CD066C"/>
    <w:rsid w:val="00CD0C0F"/>
    <w:rsid w:val="00CD24B8"/>
    <w:rsid w:val="00CD2586"/>
    <w:rsid w:val="00CD25D0"/>
    <w:rsid w:val="00CD2A25"/>
    <w:rsid w:val="00CD3315"/>
    <w:rsid w:val="00CD34E7"/>
    <w:rsid w:val="00CD3DFF"/>
    <w:rsid w:val="00CD4401"/>
    <w:rsid w:val="00CD5092"/>
    <w:rsid w:val="00CD51EB"/>
    <w:rsid w:val="00CD5499"/>
    <w:rsid w:val="00CD5622"/>
    <w:rsid w:val="00CD596C"/>
    <w:rsid w:val="00CD5BE6"/>
    <w:rsid w:val="00CD75AD"/>
    <w:rsid w:val="00CD77E4"/>
    <w:rsid w:val="00CD7965"/>
    <w:rsid w:val="00CD7FB5"/>
    <w:rsid w:val="00CE0210"/>
    <w:rsid w:val="00CE146D"/>
    <w:rsid w:val="00CE1A35"/>
    <w:rsid w:val="00CE2750"/>
    <w:rsid w:val="00CE28CB"/>
    <w:rsid w:val="00CE29AD"/>
    <w:rsid w:val="00CE3761"/>
    <w:rsid w:val="00CE3C0B"/>
    <w:rsid w:val="00CE45BB"/>
    <w:rsid w:val="00CE4A2C"/>
    <w:rsid w:val="00CE4B79"/>
    <w:rsid w:val="00CE4ECB"/>
    <w:rsid w:val="00CE59AB"/>
    <w:rsid w:val="00CE5D00"/>
    <w:rsid w:val="00CE68C7"/>
    <w:rsid w:val="00CE6AB0"/>
    <w:rsid w:val="00CE72C1"/>
    <w:rsid w:val="00CE7BE2"/>
    <w:rsid w:val="00CE7CD0"/>
    <w:rsid w:val="00CE7D1D"/>
    <w:rsid w:val="00CF056D"/>
    <w:rsid w:val="00CF0AD5"/>
    <w:rsid w:val="00CF0DF6"/>
    <w:rsid w:val="00CF0F3D"/>
    <w:rsid w:val="00CF1761"/>
    <w:rsid w:val="00CF1DF1"/>
    <w:rsid w:val="00CF2C7E"/>
    <w:rsid w:val="00CF2DBC"/>
    <w:rsid w:val="00CF345D"/>
    <w:rsid w:val="00CF350C"/>
    <w:rsid w:val="00CF3723"/>
    <w:rsid w:val="00CF3EA2"/>
    <w:rsid w:val="00CF446F"/>
    <w:rsid w:val="00CF511A"/>
    <w:rsid w:val="00CF51E5"/>
    <w:rsid w:val="00CF659D"/>
    <w:rsid w:val="00CF6A20"/>
    <w:rsid w:val="00CF6A99"/>
    <w:rsid w:val="00CF6D30"/>
    <w:rsid w:val="00CF746A"/>
    <w:rsid w:val="00CF78C3"/>
    <w:rsid w:val="00CF78E3"/>
    <w:rsid w:val="00CF7EBE"/>
    <w:rsid w:val="00D004C4"/>
    <w:rsid w:val="00D00B66"/>
    <w:rsid w:val="00D010E4"/>
    <w:rsid w:val="00D0151F"/>
    <w:rsid w:val="00D0164B"/>
    <w:rsid w:val="00D01A4F"/>
    <w:rsid w:val="00D0309F"/>
    <w:rsid w:val="00D030A0"/>
    <w:rsid w:val="00D030CF"/>
    <w:rsid w:val="00D03AEA"/>
    <w:rsid w:val="00D03D60"/>
    <w:rsid w:val="00D0420C"/>
    <w:rsid w:val="00D04296"/>
    <w:rsid w:val="00D04A9D"/>
    <w:rsid w:val="00D04DE0"/>
    <w:rsid w:val="00D04EDB"/>
    <w:rsid w:val="00D0530A"/>
    <w:rsid w:val="00D054F4"/>
    <w:rsid w:val="00D055FE"/>
    <w:rsid w:val="00D0609A"/>
    <w:rsid w:val="00D0650A"/>
    <w:rsid w:val="00D06BCE"/>
    <w:rsid w:val="00D101CE"/>
    <w:rsid w:val="00D10C7B"/>
    <w:rsid w:val="00D111DE"/>
    <w:rsid w:val="00D1204D"/>
    <w:rsid w:val="00D12124"/>
    <w:rsid w:val="00D131D4"/>
    <w:rsid w:val="00D1382E"/>
    <w:rsid w:val="00D13F59"/>
    <w:rsid w:val="00D15798"/>
    <w:rsid w:val="00D165EE"/>
    <w:rsid w:val="00D167D4"/>
    <w:rsid w:val="00D16C86"/>
    <w:rsid w:val="00D17082"/>
    <w:rsid w:val="00D174C5"/>
    <w:rsid w:val="00D17756"/>
    <w:rsid w:val="00D17B65"/>
    <w:rsid w:val="00D21A17"/>
    <w:rsid w:val="00D2210B"/>
    <w:rsid w:val="00D225E9"/>
    <w:rsid w:val="00D227A8"/>
    <w:rsid w:val="00D22B0F"/>
    <w:rsid w:val="00D23ABB"/>
    <w:rsid w:val="00D23FD9"/>
    <w:rsid w:val="00D242A1"/>
    <w:rsid w:val="00D244B0"/>
    <w:rsid w:val="00D25F88"/>
    <w:rsid w:val="00D26143"/>
    <w:rsid w:val="00D263AE"/>
    <w:rsid w:val="00D26859"/>
    <w:rsid w:val="00D2692F"/>
    <w:rsid w:val="00D26CA7"/>
    <w:rsid w:val="00D2751E"/>
    <w:rsid w:val="00D30514"/>
    <w:rsid w:val="00D30985"/>
    <w:rsid w:val="00D3098B"/>
    <w:rsid w:val="00D30A63"/>
    <w:rsid w:val="00D30ACD"/>
    <w:rsid w:val="00D312B4"/>
    <w:rsid w:val="00D31861"/>
    <w:rsid w:val="00D321D2"/>
    <w:rsid w:val="00D32BF3"/>
    <w:rsid w:val="00D33C8E"/>
    <w:rsid w:val="00D33DE1"/>
    <w:rsid w:val="00D34D28"/>
    <w:rsid w:val="00D3522E"/>
    <w:rsid w:val="00D355E4"/>
    <w:rsid w:val="00D35A09"/>
    <w:rsid w:val="00D36041"/>
    <w:rsid w:val="00D365CA"/>
    <w:rsid w:val="00D3681F"/>
    <w:rsid w:val="00D369F5"/>
    <w:rsid w:val="00D36FC7"/>
    <w:rsid w:val="00D37468"/>
    <w:rsid w:val="00D37C8F"/>
    <w:rsid w:val="00D400BF"/>
    <w:rsid w:val="00D40196"/>
    <w:rsid w:val="00D403CB"/>
    <w:rsid w:val="00D40448"/>
    <w:rsid w:val="00D417FA"/>
    <w:rsid w:val="00D41A67"/>
    <w:rsid w:val="00D41BC9"/>
    <w:rsid w:val="00D41F09"/>
    <w:rsid w:val="00D4253A"/>
    <w:rsid w:val="00D428B9"/>
    <w:rsid w:val="00D42952"/>
    <w:rsid w:val="00D42995"/>
    <w:rsid w:val="00D434FD"/>
    <w:rsid w:val="00D438DE"/>
    <w:rsid w:val="00D43A91"/>
    <w:rsid w:val="00D4412A"/>
    <w:rsid w:val="00D44BF5"/>
    <w:rsid w:val="00D453B7"/>
    <w:rsid w:val="00D460C8"/>
    <w:rsid w:val="00D46299"/>
    <w:rsid w:val="00D472B7"/>
    <w:rsid w:val="00D4769C"/>
    <w:rsid w:val="00D476C3"/>
    <w:rsid w:val="00D47B25"/>
    <w:rsid w:val="00D503E1"/>
    <w:rsid w:val="00D509C1"/>
    <w:rsid w:val="00D50A89"/>
    <w:rsid w:val="00D50DBF"/>
    <w:rsid w:val="00D5147C"/>
    <w:rsid w:val="00D51798"/>
    <w:rsid w:val="00D524C6"/>
    <w:rsid w:val="00D52D4C"/>
    <w:rsid w:val="00D52F4C"/>
    <w:rsid w:val="00D535DB"/>
    <w:rsid w:val="00D53EF5"/>
    <w:rsid w:val="00D54CE4"/>
    <w:rsid w:val="00D55F3A"/>
    <w:rsid w:val="00D56AEB"/>
    <w:rsid w:val="00D572CD"/>
    <w:rsid w:val="00D577BE"/>
    <w:rsid w:val="00D57BC3"/>
    <w:rsid w:val="00D57C6A"/>
    <w:rsid w:val="00D605E1"/>
    <w:rsid w:val="00D60A78"/>
    <w:rsid w:val="00D61EEC"/>
    <w:rsid w:val="00D620EE"/>
    <w:rsid w:val="00D62121"/>
    <w:rsid w:val="00D63528"/>
    <w:rsid w:val="00D64230"/>
    <w:rsid w:val="00D65392"/>
    <w:rsid w:val="00D66054"/>
    <w:rsid w:val="00D66DBE"/>
    <w:rsid w:val="00D66E0F"/>
    <w:rsid w:val="00D66F3F"/>
    <w:rsid w:val="00D67EDC"/>
    <w:rsid w:val="00D7022A"/>
    <w:rsid w:val="00D71018"/>
    <w:rsid w:val="00D710CA"/>
    <w:rsid w:val="00D7138F"/>
    <w:rsid w:val="00D716A5"/>
    <w:rsid w:val="00D72283"/>
    <w:rsid w:val="00D72CFE"/>
    <w:rsid w:val="00D7386E"/>
    <w:rsid w:val="00D73C4E"/>
    <w:rsid w:val="00D7401B"/>
    <w:rsid w:val="00D746D6"/>
    <w:rsid w:val="00D75496"/>
    <w:rsid w:val="00D759E9"/>
    <w:rsid w:val="00D75B52"/>
    <w:rsid w:val="00D75CAA"/>
    <w:rsid w:val="00D771E6"/>
    <w:rsid w:val="00D80756"/>
    <w:rsid w:val="00D81565"/>
    <w:rsid w:val="00D81766"/>
    <w:rsid w:val="00D8181C"/>
    <w:rsid w:val="00D81A10"/>
    <w:rsid w:val="00D825A4"/>
    <w:rsid w:val="00D82735"/>
    <w:rsid w:val="00D82E4C"/>
    <w:rsid w:val="00D841DC"/>
    <w:rsid w:val="00D844EA"/>
    <w:rsid w:val="00D84C2A"/>
    <w:rsid w:val="00D8500B"/>
    <w:rsid w:val="00D857C1"/>
    <w:rsid w:val="00D85B88"/>
    <w:rsid w:val="00D85FBF"/>
    <w:rsid w:val="00D8658F"/>
    <w:rsid w:val="00D8660A"/>
    <w:rsid w:val="00D86682"/>
    <w:rsid w:val="00D87A08"/>
    <w:rsid w:val="00D87BA8"/>
    <w:rsid w:val="00D87E09"/>
    <w:rsid w:val="00D903DE"/>
    <w:rsid w:val="00D90C31"/>
    <w:rsid w:val="00D91596"/>
    <w:rsid w:val="00D919FF"/>
    <w:rsid w:val="00D91DFB"/>
    <w:rsid w:val="00D92791"/>
    <w:rsid w:val="00D92DBD"/>
    <w:rsid w:val="00D9328A"/>
    <w:rsid w:val="00D93408"/>
    <w:rsid w:val="00D93418"/>
    <w:rsid w:val="00D936C7"/>
    <w:rsid w:val="00D93CF4"/>
    <w:rsid w:val="00D94200"/>
    <w:rsid w:val="00D948E0"/>
    <w:rsid w:val="00D94B82"/>
    <w:rsid w:val="00D951BD"/>
    <w:rsid w:val="00D958B4"/>
    <w:rsid w:val="00D95FC5"/>
    <w:rsid w:val="00D96477"/>
    <w:rsid w:val="00D96832"/>
    <w:rsid w:val="00D9689F"/>
    <w:rsid w:val="00D970D8"/>
    <w:rsid w:val="00D97BF9"/>
    <w:rsid w:val="00D97FD7"/>
    <w:rsid w:val="00DA11FC"/>
    <w:rsid w:val="00DA1252"/>
    <w:rsid w:val="00DA15AB"/>
    <w:rsid w:val="00DA17E4"/>
    <w:rsid w:val="00DA182D"/>
    <w:rsid w:val="00DA1961"/>
    <w:rsid w:val="00DA2990"/>
    <w:rsid w:val="00DA2EC5"/>
    <w:rsid w:val="00DA3CA7"/>
    <w:rsid w:val="00DA4A0E"/>
    <w:rsid w:val="00DA54BE"/>
    <w:rsid w:val="00DA551A"/>
    <w:rsid w:val="00DA5C8A"/>
    <w:rsid w:val="00DA5FCD"/>
    <w:rsid w:val="00DA606E"/>
    <w:rsid w:val="00DA64A9"/>
    <w:rsid w:val="00DA6C0F"/>
    <w:rsid w:val="00DA71C9"/>
    <w:rsid w:val="00DA7711"/>
    <w:rsid w:val="00DB0080"/>
    <w:rsid w:val="00DB0416"/>
    <w:rsid w:val="00DB0426"/>
    <w:rsid w:val="00DB12AE"/>
    <w:rsid w:val="00DB1B6B"/>
    <w:rsid w:val="00DB2134"/>
    <w:rsid w:val="00DB283D"/>
    <w:rsid w:val="00DB4696"/>
    <w:rsid w:val="00DB4911"/>
    <w:rsid w:val="00DB4BEF"/>
    <w:rsid w:val="00DB52D9"/>
    <w:rsid w:val="00DB7274"/>
    <w:rsid w:val="00DB7778"/>
    <w:rsid w:val="00DC0112"/>
    <w:rsid w:val="00DC0795"/>
    <w:rsid w:val="00DC0E42"/>
    <w:rsid w:val="00DC10BD"/>
    <w:rsid w:val="00DC1708"/>
    <w:rsid w:val="00DC20C0"/>
    <w:rsid w:val="00DC2C88"/>
    <w:rsid w:val="00DC3418"/>
    <w:rsid w:val="00DC390B"/>
    <w:rsid w:val="00DC4405"/>
    <w:rsid w:val="00DC574E"/>
    <w:rsid w:val="00DC57C6"/>
    <w:rsid w:val="00DC64D5"/>
    <w:rsid w:val="00DC6AF9"/>
    <w:rsid w:val="00DC73A6"/>
    <w:rsid w:val="00DC7F7A"/>
    <w:rsid w:val="00DD0232"/>
    <w:rsid w:val="00DD0BA1"/>
    <w:rsid w:val="00DD100B"/>
    <w:rsid w:val="00DD1BBA"/>
    <w:rsid w:val="00DD28BC"/>
    <w:rsid w:val="00DD3FC5"/>
    <w:rsid w:val="00DD413D"/>
    <w:rsid w:val="00DD4598"/>
    <w:rsid w:val="00DD49C8"/>
    <w:rsid w:val="00DD4EC2"/>
    <w:rsid w:val="00DD506D"/>
    <w:rsid w:val="00DD5104"/>
    <w:rsid w:val="00DD552F"/>
    <w:rsid w:val="00DD566A"/>
    <w:rsid w:val="00DD594D"/>
    <w:rsid w:val="00DD5B26"/>
    <w:rsid w:val="00DD65D2"/>
    <w:rsid w:val="00DD6644"/>
    <w:rsid w:val="00DD685A"/>
    <w:rsid w:val="00DD6DFD"/>
    <w:rsid w:val="00DD6E3F"/>
    <w:rsid w:val="00DD7644"/>
    <w:rsid w:val="00DD78D3"/>
    <w:rsid w:val="00DD794F"/>
    <w:rsid w:val="00DE046E"/>
    <w:rsid w:val="00DE09C9"/>
    <w:rsid w:val="00DE1416"/>
    <w:rsid w:val="00DE3A79"/>
    <w:rsid w:val="00DE4C68"/>
    <w:rsid w:val="00DE4F64"/>
    <w:rsid w:val="00DE5014"/>
    <w:rsid w:val="00DE5486"/>
    <w:rsid w:val="00DE54A1"/>
    <w:rsid w:val="00DE55CE"/>
    <w:rsid w:val="00DE5C04"/>
    <w:rsid w:val="00DE5F7D"/>
    <w:rsid w:val="00DE65AD"/>
    <w:rsid w:val="00DE6A46"/>
    <w:rsid w:val="00DE75D0"/>
    <w:rsid w:val="00DF168C"/>
    <w:rsid w:val="00DF1912"/>
    <w:rsid w:val="00DF1F99"/>
    <w:rsid w:val="00DF23F9"/>
    <w:rsid w:val="00DF2534"/>
    <w:rsid w:val="00DF2639"/>
    <w:rsid w:val="00DF2716"/>
    <w:rsid w:val="00DF2922"/>
    <w:rsid w:val="00DF2C40"/>
    <w:rsid w:val="00DF2DA3"/>
    <w:rsid w:val="00DF2F0A"/>
    <w:rsid w:val="00DF4406"/>
    <w:rsid w:val="00DF5006"/>
    <w:rsid w:val="00DF52DD"/>
    <w:rsid w:val="00DF570D"/>
    <w:rsid w:val="00DF66B3"/>
    <w:rsid w:val="00DF6A0C"/>
    <w:rsid w:val="00DF6FBB"/>
    <w:rsid w:val="00DF75E5"/>
    <w:rsid w:val="00E01581"/>
    <w:rsid w:val="00E0167B"/>
    <w:rsid w:val="00E01F3D"/>
    <w:rsid w:val="00E02031"/>
    <w:rsid w:val="00E02320"/>
    <w:rsid w:val="00E0262A"/>
    <w:rsid w:val="00E026AF"/>
    <w:rsid w:val="00E042C8"/>
    <w:rsid w:val="00E043C0"/>
    <w:rsid w:val="00E0571B"/>
    <w:rsid w:val="00E0596E"/>
    <w:rsid w:val="00E06C44"/>
    <w:rsid w:val="00E10C31"/>
    <w:rsid w:val="00E11AC5"/>
    <w:rsid w:val="00E1251B"/>
    <w:rsid w:val="00E1267C"/>
    <w:rsid w:val="00E129D6"/>
    <w:rsid w:val="00E13B3F"/>
    <w:rsid w:val="00E1410C"/>
    <w:rsid w:val="00E148F1"/>
    <w:rsid w:val="00E15219"/>
    <w:rsid w:val="00E15353"/>
    <w:rsid w:val="00E15750"/>
    <w:rsid w:val="00E15891"/>
    <w:rsid w:val="00E15E1B"/>
    <w:rsid w:val="00E1632B"/>
    <w:rsid w:val="00E169BE"/>
    <w:rsid w:val="00E16ACB"/>
    <w:rsid w:val="00E16E57"/>
    <w:rsid w:val="00E17359"/>
    <w:rsid w:val="00E20165"/>
    <w:rsid w:val="00E217D0"/>
    <w:rsid w:val="00E21BDE"/>
    <w:rsid w:val="00E21E35"/>
    <w:rsid w:val="00E22482"/>
    <w:rsid w:val="00E226DE"/>
    <w:rsid w:val="00E22C0A"/>
    <w:rsid w:val="00E22C8D"/>
    <w:rsid w:val="00E22F28"/>
    <w:rsid w:val="00E22FA0"/>
    <w:rsid w:val="00E23EE0"/>
    <w:rsid w:val="00E24726"/>
    <w:rsid w:val="00E24A89"/>
    <w:rsid w:val="00E24AEB"/>
    <w:rsid w:val="00E26CBE"/>
    <w:rsid w:val="00E26D74"/>
    <w:rsid w:val="00E26DCB"/>
    <w:rsid w:val="00E271EF"/>
    <w:rsid w:val="00E27408"/>
    <w:rsid w:val="00E2774E"/>
    <w:rsid w:val="00E27A97"/>
    <w:rsid w:val="00E27FE8"/>
    <w:rsid w:val="00E300A6"/>
    <w:rsid w:val="00E30DAA"/>
    <w:rsid w:val="00E312A8"/>
    <w:rsid w:val="00E315B7"/>
    <w:rsid w:val="00E31786"/>
    <w:rsid w:val="00E31BFB"/>
    <w:rsid w:val="00E32160"/>
    <w:rsid w:val="00E3270D"/>
    <w:rsid w:val="00E32CE8"/>
    <w:rsid w:val="00E331DC"/>
    <w:rsid w:val="00E33225"/>
    <w:rsid w:val="00E33A02"/>
    <w:rsid w:val="00E33A78"/>
    <w:rsid w:val="00E33AA1"/>
    <w:rsid w:val="00E33B74"/>
    <w:rsid w:val="00E34134"/>
    <w:rsid w:val="00E342B1"/>
    <w:rsid w:val="00E3547D"/>
    <w:rsid w:val="00E357FB"/>
    <w:rsid w:val="00E359B2"/>
    <w:rsid w:val="00E360B3"/>
    <w:rsid w:val="00E36194"/>
    <w:rsid w:val="00E371AB"/>
    <w:rsid w:val="00E375EC"/>
    <w:rsid w:val="00E41572"/>
    <w:rsid w:val="00E419EB"/>
    <w:rsid w:val="00E423E2"/>
    <w:rsid w:val="00E424D0"/>
    <w:rsid w:val="00E42F59"/>
    <w:rsid w:val="00E432DB"/>
    <w:rsid w:val="00E43D65"/>
    <w:rsid w:val="00E448C5"/>
    <w:rsid w:val="00E4494A"/>
    <w:rsid w:val="00E44E79"/>
    <w:rsid w:val="00E45241"/>
    <w:rsid w:val="00E45584"/>
    <w:rsid w:val="00E469F5"/>
    <w:rsid w:val="00E46BE1"/>
    <w:rsid w:val="00E46D40"/>
    <w:rsid w:val="00E47B24"/>
    <w:rsid w:val="00E47E0E"/>
    <w:rsid w:val="00E50345"/>
    <w:rsid w:val="00E50906"/>
    <w:rsid w:val="00E50B9E"/>
    <w:rsid w:val="00E512EA"/>
    <w:rsid w:val="00E5144C"/>
    <w:rsid w:val="00E52152"/>
    <w:rsid w:val="00E537D0"/>
    <w:rsid w:val="00E53C6E"/>
    <w:rsid w:val="00E54122"/>
    <w:rsid w:val="00E5452D"/>
    <w:rsid w:val="00E548B4"/>
    <w:rsid w:val="00E54EF1"/>
    <w:rsid w:val="00E55452"/>
    <w:rsid w:val="00E55ADA"/>
    <w:rsid w:val="00E5620A"/>
    <w:rsid w:val="00E564FF"/>
    <w:rsid w:val="00E57639"/>
    <w:rsid w:val="00E5790F"/>
    <w:rsid w:val="00E57C00"/>
    <w:rsid w:val="00E610AD"/>
    <w:rsid w:val="00E6145C"/>
    <w:rsid w:val="00E61E02"/>
    <w:rsid w:val="00E62AB6"/>
    <w:rsid w:val="00E63061"/>
    <w:rsid w:val="00E634AB"/>
    <w:rsid w:val="00E6486E"/>
    <w:rsid w:val="00E66235"/>
    <w:rsid w:val="00E6650A"/>
    <w:rsid w:val="00E66D91"/>
    <w:rsid w:val="00E66F23"/>
    <w:rsid w:val="00E673C8"/>
    <w:rsid w:val="00E67522"/>
    <w:rsid w:val="00E67A9D"/>
    <w:rsid w:val="00E67ACE"/>
    <w:rsid w:val="00E67AE5"/>
    <w:rsid w:val="00E67B66"/>
    <w:rsid w:val="00E67F5D"/>
    <w:rsid w:val="00E7047B"/>
    <w:rsid w:val="00E71562"/>
    <w:rsid w:val="00E71599"/>
    <w:rsid w:val="00E71A46"/>
    <w:rsid w:val="00E722A0"/>
    <w:rsid w:val="00E73166"/>
    <w:rsid w:val="00E73AD7"/>
    <w:rsid w:val="00E73B03"/>
    <w:rsid w:val="00E73FA8"/>
    <w:rsid w:val="00E746B2"/>
    <w:rsid w:val="00E7494D"/>
    <w:rsid w:val="00E7594A"/>
    <w:rsid w:val="00E766CF"/>
    <w:rsid w:val="00E76A69"/>
    <w:rsid w:val="00E76B07"/>
    <w:rsid w:val="00E76CB8"/>
    <w:rsid w:val="00E7721A"/>
    <w:rsid w:val="00E803B0"/>
    <w:rsid w:val="00E8066E"/>
    <w:rsid w:val="00E8067A"/>
    <w:rsid w:val="00E8092C"/>
    <w:rsid w:val="00E80B4A"/>
    <w:rsid w:val="00E81180"/>
    <w:rsid w:val="00E8132B"/>
    <w:rsid w:val="00E81F50"/>
    <w:rsid w:val="00E821BB"/>
    <w:rsid w:val="00E824DB"/>
    <w:rsid w:val="00E82AE0"/>
    <w:rsid w:val="00E82BB9"/>
    <w:rsid w:val="00E82E8F"/>
    <w:rsid w:val="00E8336A"/>
    <w:rsid w:val="00E8360E"/>
    <w:rsid w:val="00E838B0"/>
    <w:rsid w:val="00E83B27"/>
    <w:rsid w:val="00E8489C"/>
    <w:rsid w:val="00E85400"/>
    <w:rsid w:val="00E85D3D"/>
    <w:rsid w:val="00E85E4E"/>
    <w:rsid w:val="00E869D1"/>
    <w:rsid w:val="00E8760D"/>
    <w:rsid w:val="00E87C63"/>
    <w:rsid w:val="00E87EC1"/>
    <w:rsid w:val="00E90081"/>
    <w:rsid w:val="00E9084B"/>
    <w:rsid w:val="00E91920"/>
    <w:rsid w:val="00E9193B"/>
    <w:rsid w:val="00E92087"/>
    <w:rsid w:val="00E923ED"/>
    <w:rsid w:val="00E93DB8"/>
    <w:rsid w:val="00E93DD0"/>
    <w:rsid w:val="00E93DD3"/>
    <w:rsid w:val="00E93F05"/>
    <w:rsid w:val="00E93FA6"/>
    <w:rsid w:val="00E948E3"/>
    <w:rsid w:val="00E94961"/>
    <w:rsid w:val="00E96012"/>
    <w:rsid w:val="00E96DFC"/>
    <w:rsid w:val="00E97500"/>
    <w:rsid w:val="00E97EA1"/>
    <w:rsid w:val="00E97EF6"/>
    <w:rsid w:val="00E97F33"/>
    <w:rsid w:val="00EA0149"/>
    <w:rsid w:val="00EA07D1"/>
    <w:rsid w:val="00EA177A"/>
    <w:rsid w:val="00EA18DB"/>
    <w:rsid w:val="00EA1C11"/>
    <w:rsid w:val="00EA1F8F"/>
    <w:rsid w:val="00EA2190"/>
    <w:rsid w:val="00EA25BE"/>
    <w:rsid w:val="00EA26A7"/>
    <w:rsid w:val="00EA284D"/>
    <w:rsid w:val="00EA2BB4"/>
    <w:rsid w:val="00EA3336"/>
    <w:rsid w:val="00EA3749"/>
    <w:rsid w:val="00EA3ADB"/>
    <w:rsid w:val="00EA3AF8"/>
    <w:rsid w:val="00EA3DB4"/>
    <w:rsid w:val="00EA3F7E"/>
    <w:rsid w:val="00EA4444"/>
    <w:rsid w:val="00EA5553"/>
    <w:rsid w:val="00EA5BE2"/>
    <w:rsid w:val="00EA6F05"/>
    <w:rsid w:val="00EA70C7"/>
    <w:rsid w:val="00EA7268"/>
    <w:rsid w:val="00EA7B8E"/>
    <w:rsid w:val="00EB0A63"/>
    <w:rsid w:val="00EB0EB1"/>
    <w:rsid w:val="00EB1020"/>
    <w:rsid w:val="00EB129B"/>
    <w:rsid w:val="00EB225F"/>
    <w:rsid w:val="00EB260B"/>
    <w:rsid w:val="00EB2CDE"/>
    <w:rsid w:val="00EB2FBE"/>
    <w:rsid w:val="00EB3405"/>
    <w:rsid w:val="00EB3843"/>
    <w:rsid w:val="00EB39E2"/>
    <w:rsid w:val="00EB43F7"/>
    <w:rsid w:val="00EB4C3B"/>
    <w:rsid w:val="00EB5741"/>
    <w:rsid w:val="00EB59E1"/>
    <w:rsid w:val="00EB66AD"/>
    <w:rsid w:val="00EB6EF7"/>
    <w:rsid w:val="00EB7147"/>
    <w:rsid w:val="00EB78F0"/>
    <w:rsid w:val="00EC0068"/>
    <w:rsid w:val="00EC0128"/>
    <w:rsid w:val="00EC035D"/>
    <w:rsid w:val="00EC0376"/>
    <w:rsid w:val="00EC074B"/>
    <w:rsid w:val="00EC07D0"/>
    <w:rsid w:val="00EC0A5A"/>
    <w:rsid w:val="00EC0CD6"/>
    <w:rsid w:val="00EC1557"/>
    <w:rsid w:val="00EC1563"/>
    <w:rsid w:val="00EC306F"/>
    <w:rsid w:val="00EC3C3F"/>
    <w:rsid w:val="00EC48DA"/>
    <w:rsid w:val="00EC48E3"/>
    <w:rsid w:val="00EC4AB0"/>
    <w:rsid w:val="00EC533D"/>
    <w:rsid w:val="00EC58AC"/>
    <w:rsid w:val="00EC596A"/>
    <w:rsid w:val="00EC6497"/>
    <w:rsid w:val="00EC65ED"/>
    <w:rsid w:val="00EC6619"/>
    <w:rsid w:val="00EC6782"/>
    <w:rsid w:val="00EC6AE5"/>
    <w:rsid w:val="00EC6C56"/>
    <w:rsid w:val="00EC6EC8"/>
    <w:rsid w:val="00EC785B"/>
    <w:rsid w:val="00EC7BBF"/>
    <w:rsid w:val="00ED01C1"/>
    <w:rsid w:val="00ED2028"/>
    <w:rsid w:val="00ED20FD"/>
    <w:rsid w:val="00ED25AF"/>
    <w:rsid w:val="00ED2662"/>
    <w:rsid w:val="00ED26B3"/>
    <w:rsid w:val="00ED2725"/>
    <w:rsid w:val="00ED2830"/>
    <w:rsid w:val="00ED295E"/>
    <w:rsid w:val="00ED3271"/>
    <w:rsid w:val="00ED36ED"/>
    <w:rsid w:val="00ED41DF"/>
    <w:rsid w:val="00ED50D1"/>
    <w:rsid w:val="00ED5291"/>
    <w:rsid w:val="00ED53F6"/>
    <w:rsid w:val="00ED5745"/>
    <w:rsid w:val="00ED64CF"/>
    <w:rsid w:val="00ED6D92"/>
    <w:rsid w:val="00ED6DD2"/>
    <w:rsid w:val="00ED75E3"/>
    <w:rsid w:val="00ED77A3"/>
    <w:rsid w:val="00EE08F0"/>
    <w:rsid w:val="00EE0DA4"/>
    <w:rsid w:val="00EE15D0"/>
    <w:rsid w:val="00EE187B"/>
    <w:rsid w:val="00EE2060"/>
    <w:rsid w:val="00EE20F7"/>
    <w:rsid w:val="00EE24E4"/>
    <w:rsid w:val="00EE2D0C"/>
    <w:rsid w:val="00EE30D7"/>
    <w:rsid w:val="00EE34B4"/>
    <w:rsid w:val="00EE34B9"/>
    <w:rsid w:val="00EE3615"/>
    <w:rsid w:val="00EE37B3"/>
    <w:rsid w:val="00EE3AE5"/>
    <w:rsid w:val="00EE3C86"/>
    <w:rsid w:val="00EE44C8"/>
    <w:rsid w:val="00EE4789"/>
    <w:rsid w:val="00EE4920"/>
    <w:rsid w:val="00EE5384"/>
    <w:rsid w:val="00EE53FF"/>
    <w:rsid w:val="00EE574F"/>
    <w:rsid w:val="00EE5827"/>
    <w:rsid w:val="00EE5AB0"/>
    <w:rsid w:val="00EE5BE1"/>
    <w:rsid w:val="00EE5E04"/>
    <w:rsid w:val="00EE6564"/>
    <w:rsid w:val="00EE6861"/>
    <w:rsid w:val="00EE69B5"/>
    <w:rsid w:val="00EE7214"/>
    <w:rsid w:val="00EF061E"/>
    <w:rsid w:val="00EF0D26"/>
    <w:rsid w:val="00EF1147"/>
    <w:rsid w:val="00EF114C"/>
    <w:rsid w:val="00EF1374"/>
    <w:rsid w:val="00EF1B38"/>
    <w:rsid w:val="00EF2B98"/>
    <w:rsid w:val="00EF2FA1"/>
    <w:rsid w:val="00EF3BC6"/>
    <w:rsid w:val="00EF3D38"/>
    <w:rsid w:val="00EF3E1B"/>
    <w:rsid w:val="00EF40E1"/>
    <w:rsid w:val="00EF446B"/>
    <w:rsid w:val="00EF5A6B"/>
    <w:rsid w:val="00EF6148"/>
    <w:rsid w:val="00EF7261"/>
    <w:rsid w:val="00EF769C"/>
    <w:rsid w:val="00EF7F9D"/>
    <w:rsid w:val="00F00346"/>
    <w:rsid w:val="00F01484"/>
    <w:rsid w:val="00F014F7"/>
    <w:rsid w:val="00F01712"/>
    <w:rsid w:val="00F01A4B"/>
    <w:rsid w:val="00F01B09"/>
    <w:rsid w:val="00F024FC"/>
    <w:rsid w:val="00F02AE6"/>
    <w:rsid w:val="00F03058"/>
    <w:rsid w:val="00F03183"/>
    <w:rsid w:val="00F03729"/>
    <w:rsid w:val="00F0568B"/>
    <w:rsid w:val="00F05CB8"/>
    <w:rsid w:val="00F05E81"/>
    <w:rsid w:val="00F05FCD"/>
    <w:rsid w:val="00F06B7D"/>
    <w:rsid w:val="00F06EDB"/>
    <w:rsid w:val="00F06F58"/>
    <w:rsid w:val="00F06F93"/>
    <w:rsid w:val="00F072F5"/>
    <w:rsid w:val="00F07902"/>
    <w:rsid w:val="00F07D0F"/>
    <w:rsid w:val="00F07FD0"/>
    <w:rsid w:val="00F1018D"/>
    <w:rsid w:val="00F105A4"/>
    <w:rsid w:val="00F108A1"/>
    <w:rsid w:val="00F10AC7"/>
    <w:rsid w:val="00F10CAB"/>
    <w:rsid w:val="00F10D81"/>
    <w:rsid w:val="00F1196F"/>
    <w:rsid w:val="00F11C84"/>
    <w:rsid w:val="00F12999"/>
    <w:rsid w:val="00F12BA7"/>
    <w:rsid w:val="00F1380A"/>
    <w:rsid w:val="00F13BE6"/>
    <w:rsid w:val="00F142B9"/>
    <w:rsid w:val="00F144A6"/>
    <w:rsid w:val="00F148A7"/>
    <w:rsid w:val="00F15591"/>
    <w:rsid w:val="00F15F95"/>
    <w:rsid w:val="00F167DB"/>
    <w:rsid w:val="00F16846"/>
    <w:rsid w:val="00F170A5"/>
    <w:rsid w:val="00F17759"/>
    <w:rsid w:val="00F1792A"/>
    <w:rsid w:val="00F17BFC"/>
    <w:rsid w:val="00F205F3"/>
    <w:rsid w:val="00F20D4C"/>
    <w:rsid w:val="00F21703"/>
    <w:rsid w:val="00F22DEC"/>
    <w:rsid w:val="00F2457F"/>
    <w:rsid w:val="00F248A9"/>
    <w:rsid w:val="00F24F8D"/>
    <w:rsid w:val="00F250CE"/>
    <w:rsid w:val="00F2519D"/>
    <w:rsid w:val="00F25333"/>
    <w:rsid w:val="00F256F8"/>
    <w:rsid w:val="00F25A69"/>
    <w:rsid w:val="00F2610A"/>
    <w:rsid w:val="00F263C2"/>
    <w:rsid w:val="00F265CC"/>
    <w:rsid w:val="00F26A92"/>
    <w:rsid w:val="00F27ADE"/>
    <w:rsid w:val="00F3084E"/>
    <w:rsid w:val="00F313CA"/>
    <w:rsid w:val="00F3157A"/>
    <w:rsid w:val="00F32194"/>
    <w:rsid w:val="00F3350B"/>
    <w:rsid w:val="00F33885"/>
    <w:rsid w:val="00F33B26"/>
    <w:rsid w:val="00F3428E"/>
    <w:rsid w:val="00F3445C"/>
    <w:rsid w:val="00F34C4A"/>
    <w:rsid w:val="00F34CFA"/>
    <w:rsid w:val="00F34E22"/>
    <w:rsid w:val="00F35147"/>
    <w:rsid w:val="00F351BA"/>
    <w:rsid w:val="00F355D6"/>
    <w:rsid w:val="00F3670F"/>
    <w:rsid w:val="00F3692F"/>
    <w:rsid w:val="00F36E22"/>
    <w:rsid w:val="00F40693"/>
    <w:rsid w:val="00F406A1"/>
    <w:rsid w:val="00F406B8"/>
    <w:rsid w:val="00F4085C"/>
    <w:rsid w:val="00F413DB"/>
    <w:rsid w:val="00F41673"/>
    <w:rsid w:val="00F4209B"/>
    <w:rsid w:val="00F429E1"/>
    <w:rsid w:val="00F43D6C"/>
    <w:rsid w:val="00F44016"/>
    <w:rsid w:val="00F448D6"/>
    <w:rsid w:val="00F44F0F"/>
    <w:rsid w:val="00F4506D"/>
    <w:rsid w:val="00F4538E"/>
    <w:rsid w:val="00F45515"/>
    <w:rsid w:val="00F458C4"/>
    <w:rsid w:val="00F45949"/>
    <w:rsid w:val="00F45DC5"/>
    <w:rsid w:val="00F4606C"/>
    <w:rsid w:val="00F4676B"/>
    <w:rsid w:val="00F46823"/>
    <w:rsid w:val="00F472CD"/>
    <w:rsid w:val="00F500C8"/>
    <w:rsid w:val="00F50222"/>
    <w:rsid w:val="00F51210"/>
    <w:rsid w:val="00F52089"/>
    <w:rsid w:val="00F52389"/>
    <w:rsid w:val="00F528CC"/>
    <w:rsid w:val="00F5293E"/>
    <w:rsid w:val="00F52A59"/>
    <w:rsid w:val="00F52B5A"/>
    <w:rsid w:val="00F52B6B"/>
    <w:rsid w:val="00F52FED"/>
    <w:rsid w:val="00F534D7"/>
    <w:rsid w:val="00F535ED"/>
    <w:rsid w:val="00F53945"/>
    <w:rsid w:val="00F53A25"/>
    <w:rsid w:val="00F53D1E"/>
    <w:rsid w:val="00F553DE"/>
    <w:rsid w:val="00F567C1"/>
    <w:rsid w:val="00F57055"/>
    <w:rsid w:val="00F5744C"/>
    <w:rsid w:val="00F57705"/>
    <w:rsid w:val="00F5791C"/>
    <w:rsid w:val="00F60557"/>
    <w:rsid w:val="00F60A6E"/>
    <w:rsid w:val="00F60D59"/>
    <w:rsid w:val="00F611BE"/>
    <w:rsid w:val="00F620A6"/>
    <w:rsid w:val="00F6289F"/>
    <w:rsid w:val="00F63044"/>
    <w:rsid w:val="00F632C4"/>
    <w:rsid w:val="00F646B2"/>
    <w:rsid w:val="00F64EA1"/>
    <w:rsid w:val="00F67FF1"/>
    <w:rsid w:val="00F70001"/>
    <w:rsid w:val="00F70ABE"/>
    <w:rsid w:val="00F71E03"/>
    <w:rsid w:val="00F72982"/>
    <w:rsid w:val="00F73826"/>
    <w:rsid w:val="00F73BDD"/>
    <w:rsid w:val="00F73C57"/>
    <w:rsid w:val="00F74420"/>
    <w:rsid w:val="00F74619"/>
    <w:rsid w:val="00F74A1B"/>
    <w:rsid w:val="00F74B12"/>
    <w:rsid w:val="00F74B86"/>
    <w:rsid w:val="00F74C8E"/>
    <w:rsid w:val="00F758C6"/>
    <w:rsid w:val="00F75F7C"/>
    <w:rsid w:val="00F76C4D"/>
    <w:rsid w:val="00F76CF3"/>
    <w:rsid w:val="00F7737D"/>
    <w:rsid w:val="00F77402"/>
    <w:rsid w:val="00F80D37"/>
    <w:rsid w:val="00F8115B"/>
    <w:rsid w:val="00F81557"/>
    <w:rsid w:val="00F81F1D"/>
    <w:rsid w:val="00F82AED"/>
    <w:rsid w:val="00F84634"/>
    <w:rsid w:val="00F84A65"/>
    <w:rsid w:val="00F85456"/>
    <w:rsid w:val="00F85B25"/>
    <w:rsid w:val="00F86B6D"/>
    <w:rsid w:val="00F87D9F"/>
    <w:rsid w:val="00F90C4F"/>
    <w:rsid w:val="00F90EB5"/>
    <w:rsid w:val="00F910C5"/>
    <w:rsid w:val="00F9113E"/>
    <w:rsid w:val="00F915B3"/>
    <w:rsid w:val="00F91BB9"/>
    <w:rsid w:val="00F92231"/>
    <w:rsid w:val="00F9240B"/>
    <w:rsid w:val="00F925FA"/>
    <w:rsid w:val="00F92FD3"/>
    <w:rsid w:val="00F93BBB"/>
    <w:rsid w:val="00F93EC5"/>
    <w:rsid w:val="00F9478A"/>
    <w:rsid w:val="00F94DFB"/>
    <w:rsid w:val="00F94F53"/>
    <w:rsid w:val="00F9500E"/>
    <w:rsid w:val="00F962CC"/>
    <w:rsid w:val="00F967E9"/>
    <w:rsid w:val="00F96D1F"/>
    <w:rsid w:val="00F96D6A"/>
    <w:rsid w:val="00F96D9F"/>
    <w:rsid w:val="00F96F39"/>
    <w:rsid w:val="00F96FF9"/>
    <w:rsid w:val="00F97130"/>
    <w:rsid w:val="00F976D6"/>
    <w:rsid w:val="00F97862"/>
    <w:rsid w:val="00F97D30"/>
    <w:rsid w:val="00F97E79"/>
    <w:rsid w:val="00FA0285"/>
    <w:rsid w:val="00FA0929"/>
    <w:rsid w:val="00FA093D"/>
    <w:rsid w:val="00FA0A4C"/>
    <w:rsid w:val="00FA135D"/>
    <w:rsid w:val="00FA17E6"/>
    <w:rsid w:val="00FA21AB"/>
    <w:rsid w:val="00FA2517"/>
    <w:rsid w:val="00FA26D9"/>
    <w:rsid w:val="00FA3587"/>
    <w:rsid w:val="00FA3A85"/>
    <w:rsid w:val="00FA3B22"/>
    <w:rsid w:val="00FA3BEC"/>
    <w:rsid w:val="00FA424F"/>
    <w:rsid w:val="00FA433B"/>
    <w:rsid w:val="00FA43F0"/>
    <w:rsid w:val="00FA494D"/>
    <w:rsid w:val="00FA4A2B"/>
    <w:rsid w:val="00FA4B7E"/>
    <w:rsid w:val="00FA4DE3"/>
    <w:rsid w:val="00FA4F99"/>
    <w:rsid w:val="00FA63F8"/>
    <w:rsid w:val="00FA69AB"/>
    <w:rsid w:val="00FA6A4B"/>
    <w:rsid w:val="00FA6D80"/>
    <w:rsid w:val="00FA7C07"/>
    <w:rsid w:val="00FB083D"/>
    <w:rsid w:val="00FB2B99"/>
    <w:rsid w:val="00FB2EE1"/>
    <w:rsid w:val="00FB2F2D"/>
    <w:rsid w:val="00FB3052"/>
    <w:rsid w:val="00FB307C"/>
    <w:rsid w:val="00FB3C56"/>
    <w:rsid w:val="00FB4491"/>
    <w:rsid w:val="00FB48F2"/>
    <w:rsid w:val="00FB4A4D"/>
    <w:rsid w:val="00FB4EBA"/>
    <w:rsid w:val="00FB51AD"/>
    <w:rsid w:val="00FB54C4"/>
    <w:rsid w:val="00FB5637"/>
    <w:rsid w:val="00FB5B84"/>
    <w:rsid w:val="00FC00AD"/>
    <w:rsid w:val="00FC03D6"/>
    <w:rsid w:val="00FC0AF7"/>
    <w:rsid w:val="00FC16B1"/>
    <w:rsid w:val="00FC2D66"/>
    <w:rsid w:val="00FC319E"/>
    <w:rsid w:val="00FC3227"/>
    <w:rsid w:val="00FC4312"/>
    <w:rsid w:val="00FC4A58"/>
    <w:rsid w:val="00FC4DEA"/>
    <w:rsid w:val="00FC6936"/>
    <w:rsid w:val="00FC69DA"/>
    <w:rsid w:val="00FC6C76"/>
    <w:rsid w:val="00FC6D87"/>
    <w:rsid w:val="00FC74B5"/>
    <w:rsid w:val="00FC7654"/>
    <w:rsid w:val="00FC7A1F"/>
    <w:rsid w:val="00FC7C8B"/>
    <w:rsid w:val="00FC7C98"/>
    <w:rsid w:val="00FD0191"/>
    <w:rsid w:val="00FD0196"/>
    <w:rsid w:val="00FD064F"/>
    <w:rsid w:val="00FD0D41"/>
    <w:rsid w:val="00FD11E0"/>
    <w:rsid w:val="00FD17D4"/>
    <w:rsid w:val="00FD1F5C"/>
    <w:rsid w:val="00FD2AD0"/>
    <w:rsid w:val="00FD3F7A"/>
    <w:rsid w:val="00FD40F7"/>
    <w:rsid w:val="00FD431C"/>
    <w:rsid w:val="00FD5409"/>
    <w:rsid w:val="00FD5723"/>
    <w:rsid w:val="00FD593E"/>
    <w:rsid w:val="00FD5A8F"/>
    <w:rsid w:val="00FD6B8F"/>
    <w:rsid w:val="00FD7248"/>
    <w:rsid w:val="00FD7CF8"/>
    <w:rsid w:val="00FD7D82"/>
    <w:rsid w:val="00FE03B0"/>
    <w:rsid w:val="00FE03DF"/>
    <w:rsid w:val="00FE0DC7"/>
    <w:rsid w:val="00FE0FE2"/>
    <w:rsid w:val="00FE1F7E"/>
    <w:rsid w:val="00FE2B96"/>
    <w:rsid w:val="00FE2E03"/>
    <w:rsid w:val="00FE35F5"/>
    <w:rsid w:val="00FE3D1C"/>
    <w:rsid w:val="00FE4205"/>
    <w:rsid w:val="00FE4605"/>
    <w:rsid w:val="00FE4A8F"/>
    <w:rsid w:val="00FE569A"/>
    <w:rsid w:val="00FE5E71"/>
    <w:rsid w:val="00FE607A"/>
    <w:rsid w:val="00FE67D4"/>
    <w:rsid w:val="00FE74B3"/>
    <w:rsid w:val="00FE7806"/>
    <w:rsid w:val="00FE7BF9"/>
    <w:rsid w:val="00FE7E2C"/>
    <w:rsid w:val="00FF0908"/>
    <w:rsid w:val="00FF09B3"/>
    <w:rsid w:val="00FF196F"/>
    <w:rsid w:val="00FF1D5C"/>
    <w:rsid w:val="00FF20F5"/>
    <w:rsid w:val="00FF2529"/>
    <w:rsid w:val="00FF2E34"/>
    <w:rsid w:val="00FF2F43"/>
    <w:rsid w:val="00FF37F8"/>
    <w:rsid w:val="00FF3D64"/>
    <w:rsid w:val="00FF3F9C"/>
    <w:rsid w:val="00FF48E9"/>
    <w:rsid w:val="00FF5C68"/>
    <w:rsid w:val="00FF5D47"/>
    <w:rsid w:val="00FF61E9"/>
    <w:rsid w:val="00FF67BF"/>
    <w:rsid w:val="00FF68FF"/>
    <w:rsid w:val="00FF728E"/>
    <w:rsid w:val="00FF752B"/>
    <w:rsid w:val="00FF7B8F"/>
    <w:rsid w:val="0261DA09"/>
    <w:rsid w:val="02890C0A"/>
    <w:rsid w:val="02DA9B47"/>
    <w:rsid w:val="03CC2BC3"/>
    <w:rsid w:val="05BC4F80"/>
    <w:rsid w:val="05C5E416"/>
    <w:rsid w:val="07237D93"/>
    <w:rsid w:val="081870BA"/>
    <w:rsid w:val="093F77F6"/>
    <w:rsid w:val="0A9A9976"/>
    <w:rsid w:val="0B5A20C7"/>
    <w:rsid w:val="0D902287"/>
    <w:rsid w:val="0D90FBF5"/>
    <w:rsid w:val="0DF89A8D"/>
    <w:rsid w:val="14B1A632"/>
    <w:rsid w:val="15440AEF"/>
    <w:rsid w:val="16FB2D4B"/>
    <w:rsid w:val="18693FD6"/>
    <w:rsid w:val="1A3D1F1F"/>
    <w:rsid w:val="1BDEA90A"/>
    <w:rsid w:val="1CD7A560"/>
    <w:rsid w:val="1E18DCE7"/>
    <w:rsid w:val="1EBE6E8A"/>
    <w:rsid w:val="1EF8B030"/>
    <w:rsid w:val="1F4BDD3C"/>
    <w:rsid w:val="20AFB36D"/>
    <w:rsid w:val="20F261A0"/>
    <w:rsid w:val="25AB4AEA"/>
    <w:rsid w:val="28B54D5A"/>
    <w:rsid w:val="29805538"/>
    <w:rsid w:val="29C4BD03"/>
    <w:rsid w:val="2A6B0038"/>
    <w:rsid w:val="2DFBB85C"/>
    <w:rsid w:val="2FE783BB"/>
    <w:rsid w:val="31A93485"/>
    <w:rsid w:val="325D5EF1"/>
    <w:rsid w:val="331C0155"/>
    <w:rsid w:val="3626511C"/>
    <w:rsid w:val="36B482B8"/>
    <w:rsid w:val="3ABE3D13"/>
    <w:rsid w:val="3BFCE260"/>
    <w:rsid w:val="3DACE9BA"/>
    <w:rsid w:val="3E79CC04"/>
    <w:rsid w:val="3E98E57E"/>
    <w:rsid w:val="408C2440"/>
    <w:rsid w:val="41A1386C"/>
    <w:rsid w:val="42BCEE7E"/>
    <w:rsid w:val="42E7811A"/>
    <w:rsid w:val="43A3CD22"/>
    <w:rsid w:val="48BB944D"/>
    <w:rsid w:val="491872A2"/>
    <w:rsid w:val="49734F9D"/>
    <w:rsid w:val="4B2F100E"/>
    <w:rsid w:val="4B705D48"/>
    <w:rsid w:val="5511C1B4"/>
    <w:rsid w:val="5698880E"/>
    <w:rsid w:val="578D8475"/>
    <w:rsid w:val="58C6A3E3"/>
    <w:rsid w:val="5BB3708E"/>
    <w:rsid w:val="5D8F8FFC"/>
    <w:rsid w:val="5E25CC81"/>
    <w:rsid w:val="5EC74B4F"/>
    <w:rsid w:val="60073D65"/>
    <w:rsid w:val="605FC916"/>
    <w:rsid w:val="615E587C"/>
    <w:rsid w:val="61A8374A"/>
    <w:rsid w:val="64200424"/>
    <w:rsid w:val="6676DC4D"/>
    <w:rsid w:val="6706AA94"/>
    <w:rsid w:val="6884AFD1"/>
    <w:rsid w:val="68DC8F40"/>
    <w:rsid w:val="6A6D1AE8"/>
    <w:rsid w:val="6B54CF8D"/>
    <w:rsid w:val="6CF48863"/>
    <w:rsid w:val="6E15EFF5"/>
    <w:rsid w:val="73402EB1"/>
    <w:rsid w:val="7484294B"/>
    <w:rsid w:val="76C68695"/>
    <w:rsid w:val="79643AD8"/>
    <w:rsid w:val="7AD19447"/>
    <w:rsid w:val="7C0876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88D5"/>
  <w15:docId w15:val="{45FBA7CF-B0FB-4F06-A1C7-8D70910A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51B4D"/>
  </w:style>
  <w:style w:type="paragraph" w:styleId="Heading1">
    <w:name w:val="heading 1"/>
    <w:aliases w:val="h1 Char,II+ Char,I Char,1 Char,H1 Char,H11 Char,H12 Char,H13 Char,H14 Char,H15 Char,H16 Char,H17 Char,temp Char,l1 Char,Head1 Char,Head Char,Numbered Char,nu Char,Level 1 Head Char,Header 1 Char,RFP Head 1 Char,Heading1 Char,h1"/>
    <w:next w:val="Normal"/>
    <w:link w:val="Heading1Char"/>
    <w:qFormat/>
    <w:rsid w:val="008A054D"/>
    <w:pPr>
      <w:keepNext/>
      <w:keepLines/>
      <w:spacing w:before="480" w:after="260" w:line="520" w:lineRule="atLeast"/>
      <w:outlineLvl w:val="0"/>
    </w:pPr>
    <w:rPr>
      <w:rFonts w:asciiTheme="majorHAnsi" w:eastAsiaTheme="majorEastAsia" w:hAnsiTheme="majorHAnsi" w:cstheme="majorBidi"/>
      <w:b/>
      <w:color w:val="3844CA" w:themeColor="background2"/>
      <w:spacing w:val="-10"/>
      <w:sz w:val="44"/>
      <w:szCs w:val="32"/>
    </w:rPr>
  </w:style>
  <w:style w:type="paragraph" w:styleId="Heading2">
    <w:name w:val="heading 2"/>
    <w:aliases w:val="Heading 2 Char1 Char,Heading 2 Char Char Char,h2 Char Char Char,A Char Char Char,2 Char Char Char,H2 Char Char Char,l2 Char Char Char,Head2 Char Char Char,Header 2 Char Char Char,Header2 Char Char Char,Prophead 2 Char Char Char"/>
    <w:next w:val="Normal"/>
    <w:link w:val="Heading2Char"/>
    <w:qFormat/>
    <w:rsid w:val="008A054D"/>
    <w:pPr>
      <w:keepNext/>
      <w:keepLines/>
      <w:spacing w:before="480" w:after="200" w:line="400" w:lineRule="atLeast"/>
      <w:outlineLvl w:val="1"/>
    </w:pPr>
    <w:rPr>
      <w:rFonts w:asciiTheme="majorHAnsi" w:eastAsiaTheme="majorEastAsia" w:hAnsiTheme="majorHAnsi" w:cstheme="majorBidi"/>
      <w:b/>
      <w:color w:val="3844CA" w:themeColor="accent1"/>
      <w:spacing w:val="-4"/>
      <w:sz w:val="32"/>
      <w:szCs w:val="26"/>
    </w:rPr>
  </w:style>
  <w:style w:type="paragraph" w:styleId="Heading3">
    <w:name w:val="heading 3"/>
    <w:aliases w:val="Heading 3 Char3,h3 Char,TF-Overskrift 3 Char,subhead Char,1. Char,3 Char,l3 Char,CT Char,Head3 Char,Level 3 Head Char,H3 Char,alltoc Char,Table3 Char,Heading 3 Char Char1,Heading 3 Char1 Char,Heading 3 Char Char Char,Heading 3 Char1,h3,subhea"/>
    <w:next w:val="Normal"/>
    <w:link w:val="Heading3Char"/>
    <w:qFormat/>
    <w:rsid w:val="00175C55"/>
    <w:pPr>
      <w:keepNext/>
      <w:keepLines/>
      <w:spacing w:before="320" w:after="160" w:line="320" w:lineRule="atLeast"/>
      <w:outlineLvl w:val="2"/>
    </w:pPr>
    <w:rPr>
      <w:rFonts w:eastAsiaTheme="majorEastAsia" w:cstheme="majorBidi"/>
      <w:b/>
      <w:spacing w:val="4"/>
      <w:sz w:val="24"/>
      <w:szCs w:val="24"/>
    </w:rPr>
  </w:style>
  <w:style w:type="paragraph" w:styleId="Heading4">
    <w:name w:val="heading 4"/>
    <w:aliases w:val="Heading 4 Char3,Heading 4 Char2 Char1,Heading 4 Char1 Char Char1,Map Title Char Char Char1,h4 Char Char Char1,a. Char Char Char1,4 Char Char Char1,l4 Char Char Char1,I4 Char Char Char1,Head4 Char Char Char1,Heading 4 Char Char Char Char1"/>
    <w:link w:val="Heading4Char"/>
    <w:qFormat/>
    <w:rsid w:val="008A054D"/>
    <w:pPr>
      <w:keepNext/>
      <w:keepLines/>
      <w:spacing w:before="280"/>
      <w:outlineLvl w:val="3"/>
    </w:pPr>
    <w:rPr>
      <w:rFonts w:eastAsiaTheme="majorEastAsia" w:cstheme="majorBidi"/>
      <w:b/>
      <w:iCs/>
    </w:rPr>
  </w:style>
  <w:style w:type="paragraph" w:styleId="Heading5">
    <w:name w:val="heading 5"/>
    <w:aliases w:val="Block Label,h5,5,l5,Head5,Level 5,Atty Info 3,Level 51,not set up (5)"/>
    <w:basedOn w:val="Normal"/>
    <w:next w:val="Normal"/>
    <w:link w:val="Heading5Char"/>
    <w:qFormat/>
    <w:rsid w:val="00850F1B"/>
    <w:pPr>
      <w:keepNext/>
      <w:keepLines/>
      <w:spacing w:before="300" w:after="240"/>
      <w:outlineLvl w:val="4"/>
    </w:pPr>
    <w:rPr>
      <w:rFonts w:asciiTheme="majorHAnsi" w:eastAsiaTheme="majorEastAsia" w:hAnsiTheme="majorHAnsi" w:cstheme="majorBidi"/>
      <w:sz w:val="24"/>
      <w:u w:val="single"/>
    </w:rPr>
  </w:style>
  <w:style w:type="paragraph" w:styleId="Heading6">
    <w:name w:val="heading 6"/>
    <w:basedOn w:val="Normal"/>
    <w:next w:val="Normal"/>
    <w:link w:val="Heading6Char"/>
    <w:qFormat/>
    <w:rsid w:val="00850F1B"/>
    <w:pPr>
      <w:keepNext/>
      <w:keepLines/>
      <w:spacing w:before="40" w:after="240"/>
      <w:outlineLvl w:val="5"/>
    </w:pPr>
    <w:rPr>
      <w:rFonts w:asciiTheme="majorHAnsi" w:eastAsiaTheme="majorEastAsia" w:hAnsiTheme="majorHAnsi" w:cstheme="majorBidi"/>
      <w:i/>
      <w:sz w:val="24"/>
    </w:rPr>
  </w:style>
  <w:style w:type="paragraph" w:styleId="Heading7">
    <w:name w:val="heading 7"/>
    <w:basedOn w:val="Normal"/>
    <w:next w:val="Normal"/>
    <w:link w:val="Heading7Char"/>
    <w:qFormat/>
    <w:rsid w:val="00F962CC"/>
    <w:pPr>
      <w:keepNext/>
      <w:keepLines/>
      <w:spacing w:before="40" w:after="0"/>
      <w:ind w:left="1296" w:hanging="288"/>
      <w:outlineLvl w:val="6"/>
    </w:pPr>
    <w:rPr>
      <w:rFonts w:ascii="Cambria" w:eastAsia="Times New Roman" w:hAnsi="Cambria"/>
      <w:i/>
      <w:iCs/>
      <w:color w:val="243F60"/>
    </w:rPr>
  </w:style>
  <w:style w:type="paragraph" w:styleId="Heading8">
    <w:name w:val="heading 8"/>
    <w:basedOn w:val="Normal"/>
    <w:next w:val="Normal"/>
    <w:link w:val="Heading8Char"/>
    <w:qFormat/>
    <w:rsid w:val="00F962CC"/>
    <w:pPr>
      <w:keepNext/>
      <w:keepLines/>
      <w:spacing w:before="40" w:after="0"/>
      <w:ind w:left="1440" w:hanging="432"/>
      <w:outlineLvl w:val="7"/>
    </w:pPr>
    <w:rPr>
      <w:rFonts w:ascii="Cambria" w:eastAsia="Times New Roman" w:hAnsi="Cambria"/>
      <w:color w:val="272727"/>
      <w:sz w:val="21"/>
      <w:szCs w:val="21"/>
    </w:rPr>
  </w:style>
  <w:style w:type="paragraph" w:styleId="Heading9">
    <w:name w:val="heading 9"/>
    <w:basedOn w:val="Normal"/>
    <w:next w:val="Normal"/>
    <w:link w:val="Heading9Char"/>
    <w:qFormat/>
    <w:rsid w:val="00F962CC"/>
    <w:pPr>
      <w:keepNext/>
      <w:keepLines/>
      <w:spacing w:before="40" w:after="0"/>
      <w:ind w:left="1584" w:hanging="144"/>
      <w:outlineLvl w:val="8"/>
    </w:pPr>
    <w:rPr>
      <w:rFonts w:ascii="Cambria" w:eastAsia="Times New Roman"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qFormat/>
    <w:rsid w:val="00197F55"/>
    <w:pPr>
      <w:adjustRightInd w:val="0"/>
      <w:snapToGrid w:val="0"/>
      <w:spacing w:after="100" w:line="192" w:lineRule="atLeast"/>
    </w:pPr>
    <w:rPr>
      <w:rFonts w:cstheme="minorBidi"/>
      <w:sz w:val="16"/>
      <w:szCs w:val="22"/>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uiPriority w:val="39"/>
    <w:rsid w:val="003C4F9B"/>
    <w:rPr>
      <w:sz w:val="18"/>
      <w:lang w:val="en-US"/>
    </w:rPr>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link w:val="FooterChar"/>
    <w:qFormat/>
    <w:rsid w:val="00175C55"/>
    <w:rPr>
      <w:rFonts w:eastAsia="MS Mincho" w:cstheme="minorHAnsi"/>
      <w:caps/>
      <w:szCs w:val="14"/>
      <w:lang w:eastAsia="ja-JP"/>
    </w:rPr>
  </w:style>
  <w:style w:type="character" w:customStyle="1" w:styleId="FooterChar">
    <w:name w:val="Footer Char"/>
    <w:basedOn w:val="DefaultParagraphFont"/>
    <w:link w:val="Footer"/>
    <w:uiPriority w:val="99"/>
    <w:rsid w:val="00175C55"/>
    <w:rPr>
      <w:rFonts w:eastAsia="MS Mincho" w:cstheme="minorHAnsi"/>
      <w:caps/>
      <w:szCs w:val="14"/>
      <w:lang w:eastAsia="ja-JP"/>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rsid w:val="005938FF"/>
    <w:pPr>
      <w:tabs>
        <w:tab w:val="center" w:pos="4513"/>
        <w:tab w:val="right" w:pos="9026"/>
      </w:tabs>
      <w:spacing w:after="0"/>
      <w:jc w:val="right"/>
    </w:pPr>
  </w:style>
  <w:style w:type="character" w:customStyle="1" w:styleId="HeaderChar">
    <w:name w:val="Header Char"/>
    <w:basedOn w:val="DefaultParagraphFont"/>
    <w:link w:val="Header"/>
    <w:rsid w:val="005938FF"/>
    <w:rPr>
      <w:color w:val="000000" w:themeColor="text1"/>
      <w:sz w:val="20"/>
    </w:rPr>
  </w:style>
  <w:style w:type="character" w:customStyle="1" w:styleId="Heading1Char">
    <w:name w:val="Heading 1 Char"/>
    <w:aliases w:val="h1 Char Char1,II+ Char Char1,I Char Char1,1 Char Char1,H1 Char Char1,H11 Char Char1,H12 Char Char1,H13 Char Char1,H14 Char Char1,H15 Char Char1,H16 Char Char1,H17 Char Char1,temp Char Char1,l1 Char Char1,Head1 Char Char1,Head Char Char1"/>
    <w:basedOn w:val="DefaultParagraphFont"/>
    <w:link w:val="Heading1"/>
    <w:rsid w:val="008A054D"/>
    <w:rPr>
      <w:rFonts w:asciiTheme="majorHAnsi" w:eastAsiaTheme="majorEastAsia" w:hAnsiTheme="majorHAnsi" w:cstheme="majorBidi"/>
      <w:b/>
      <w:color w:val="3844CA" w:themeColor="background2"/>
      <w:spacing w:val="-10"/>
      <w:sz w:val="44"/>
      <w:szCs w:val="32"/>
    </w:rPr>
  </w:style>
  <w:style w:type="character" w:customStyle="1" w:styleId="Heading2Char">
    <w:name w:val="Heading 2 Char"/>
    <w:aliases w:val="Heading 2 Char1 Char Char1,Heading 2 Char Char Char Char1,h2 Char Char Char Char1,A Char Char Char Char1,2 Char Char Char Char1,H2 Char Char Char Char1,l2 Char Char Char Char1,Head2 Char Char Char Char1,Header 2 Char Char Char Char1"/>
    <w:basedOn w:val="DefaultParagraphFont"/>
    <w:link w:val="Heading2"/>
    <w:uiPriority w:val="9"/>
    <w:rsid w:val="008A054D"/>
    <w:rPr>
      <w:rFonts w:asciiTheme="majorHAnsi" w:eastAsiaTheme="majorEastAsia" w:hAnsiTheme="majorHAnsi" w:cstheme="majorBidi"/>
      <w:b/>
      <w:color w:val="3844CA" w:themeColor="accent1"/>
      <w:spacing w:val="-4"/>
      <w:sz w:val="32"/>
      <w:szCs w:val="26"/>
    </w:rPr>
  </w:style>
  <w:style w:type="character" w:customStyle="1" w:styleId="Heading3Char">
    <w:name w:val="Heading 3 Char"/>
    <w:aliases w:val="Heading 3 Char3 Char,h3 Char Char,TF-Overskrift 3 Char Char,subhead Char Char,1. Char Char,3 Char Char,l3 Char Char,CT Char Char,Head3 Char Char,Level 3 Head Char Char,H3 Char Char,alltoc Char Char,Table3 Char Char,Heading 3 Char1 Char1"/>
    <w:basedOn w:val="DefaultParagraphFont"/>
    <w:link w:val="Heading3"/>
    <w:rsid w:val="00175C55"/>
    <w:rPr>
      <w:rFonts w:eastAsiaTheme="majorEastAsia" w:cstheme="majorBidi"/>
      <w:b/>
      <w:spacing w:val="4"/>
      <w:sz w:val="24"/>
      <w:szCs w:val="24"/>
    </w:rPr>
  </w:style>
  <w:style w:type="character" w:customStyle="1" w:styleId="Heading4Char">
    <w:name w:val="Heading 4 Char"/>
    <w:aliases w:val="Heading 4 Char3 Char1,Heading 4 Char2 Char1 Char1,Heading 4 Char1 Char Char1 Char1,Map Title Char Char Char1 Char1,h4 Char Char Char1 Char1,a. Char Char Char1 Char1,4 Char Char Char1 Char1,l4 Char Char Char1 Char1,I4 Char Char Char1 Char1"/>
    <w:basedOn w:val="DefaultParagraphFont"/>
    <w:link w:val="Heading4"/>
    <w:uiPriority w:val="9"/>
    <w:rsid w:val="008A054D"/>
    <w:rPr>
      <w:rFonts w:eastAsiaTheme="majorEastAsia" w:cstheme="majorBidi"/>
      <w:b/>
      <w:iCs/>
    </w:rPr>
  </w:style>
  <w:style w:type="paragraph" w:styleId="ListBullet">
    <w:name w:val="List Bullet"/>
    <w:basedOn w:val="Normal"/>
    <w:qFormat/>
    <w:rsid w:val="00175C55"/>
    <w:pPr>
      <w:tabs>
        <w:tab w:val="num" w:pos="360"/>
      </w:tabs>
      <w:spacing w:after="60"/>
      <w:ind w:left="360" w:hanging="360"/>
    </w:pPr>
  </w:style>
  <w:style w:type="paragraph" w:styleId="ListBullet2">
    <w:name w:val="List Bullet 2"/>
    <w:basedOn w:val="Normal"/>
    <w:uiPriority w:val="5"/>
    <w:qFormat/>
    <w:rsid w:val="00197F55"/>
    <w:pPr>
      <w:numPr>
        <w:ilvl w:val="1"/>
        <w:numId w:val="6"/>
      </w:numPr>
      <w:spacing w:after="60"/>
    </w:pPr>
  </w:style>
  <w:style w:type="paragraph" w:styleId="ListBullet3">
    <w:name w:val="List Bullet 3"/>
    <w:basedOn w:val="Normal"/>
    <w:uiPriority w:val="5"/>
    <w:qFormat/>
    <w:rsid w:val="00197F55"/>
    <w:pPr>
      <w:numPr>
        <w:ilvl w:val="2"/>
        <w:numId w:val="6"/>
      </w:numPr>
      <w:spacing w:after="60"/>
    </w:pPr>
  </w:style>
  <w:style w:type="paragraph" w:styleId="ListNumber">
    <w:name w:val="List Number"/>
    <w:basedOn w:val="Normal"/>
    <w:uiPriority w:val="6"/>
    <w:qFormat/>
    <w:rsid w:val="00197F55"/>
    <w:pPr>
      <w:numPr>
        <w:numId w:val="7"/>
      </w:numPr>
      <w:tabs>
        <w:tab w:val="left" w:pos="5318"/>
      </w:tabs>
      <w:spacing w:after="60"/>
    </w:pPr>
    <w:rPr>
      <w:spacing w:val="2"/>
      <w:szCs w:val="22"/>
    </w:rPr>
  </w:style>
  <w:style w:type="paragraph" w:styleId="ListNumber2">
    <w:name w:val="List Number 2"/>
    <w:basedOn w:val="Normal"/>
    <w:uiPriority w:val="6"/>
    <w:qFormat/>
    <w:rsid w:val="00197F55"/>
    <w:pPr>
      <w:numPr>
        <w:ilvl w:val="1"/>
        <w:numId w:val="7"/>
      </w:numPr>
      <w:tabs>
        <w:tab w:val="left" w:pos="5318"/>
      </w:tabs>
      <w:spacing w:after="60"/>
    </w:pPr>
    <w:rPr>
      <w:spacing w:val="2"/>
      <w:szCs w:val="22"/>
    </w:rPr>
  </w:style>
  <w:style w:type="paragraph" w:styleId="ListNumber3">
    <w:name w:val="List Number 3"/>
    <w:basedOn w:val="Normal"/>
    <w:uiPriority w:val="6"/>
    <w:qFormat/>
    <w:rsid w:val="00197F55"/>
    <w:pPr>
      <w:numPr>
        <w:ilvl w:val="2"/>
        <w:numId w:val="7"/>
      </w:numPr>
      <w:tabs>
        <w:tab w:val="left" w:pos="5318"/>
      </w:tabs>
      <w:spacing w:after="60"/>
    </w:pPr>
    <w:rPr>
      <w:spacing w:val="2"/>
      <w:szCs w:val="22"/>
    </w:r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175C55"/>
    <w:pPr>
      <w:adjustRightInd w:val="0"/>
      <w:snapToGrid w:val="0"/>
      <w:spacing w:line="320" w:lineRule="atLeast"/>
    </w:pPr>
    <w:rPr>
      <w:color w:val="FFFFFF" w:themeColor="background1"/>
      <w:sz w:val="24"/>
    </w:rPr>
  </w:style>
  <w:style w:type="paragraph" w:customStyle="1" w:styleId="TableText">
    <w:name w:val="Table Text"/>
    <w:qFormat/>
    <w:rsid w:val="00175C55"/>
    <w:pPr>
      <w:adjustRightInd w:val="0"/>
      <w:snapToGrid w:val="0"/>
      <w:spacing w:before="60" w:after="60"/>
    </w:pPr>
    <w:rPr>
      <w:szCs w:val="22"/>
    </w:rPr>
  </w:style>
  <w:style w:type="character" w:customStyle="1" w:styleId="FootnoteTextChar">
    <w:name w:val="Footnote Text Char"/>
    <w:basedOn w:val="DefaultParagraphFont"/>
    <w:link w:val="FootnoteText"/>
    <w:rsid w:val="00197F55"/>
    <w:rPr>
      <w:rFonts w:cstheme="minorBidi"/>
      <w:sz w:val="16"/>
      <w:szCs w:val="22"/>
    </w:rPr>
  </w:style>
  <w:style w:type="character" w:styleId="FootnoteReference">
    <w:name w:val="footnote reference"/>
    <w:basedOn w:val="DefaultParagraphFont"/>
    <w:rsid w:val="00533563"/>
    <w:rPr>
      <w:vertAlign w:val="superscript"/>
    </w:rPr>
  </w:style>
  <w:style w:type="paragraph" w:styleId="TOC2">
    <w:name w:val="toc 2"/>
    <w:basedOn w:val="TOC1"/>
    <w:next w:val="Normal"/>
    <w:link w:val="TOC2Char1"/>
    <w:uiPriority w:val="39"/>
    <w:rsid w:val="005A6778"/>
    <w:pPr>
      <w:spacing w:before="170" w:after="60" w:line="280" w:lineRule="atLeast"/>
    </w:pPr>
    <w:rPr>
      <w:rFonts w:ascii="Inter SemiBold" w:hAnsi="Inter SemiBold"/>
      <w:b w:val="0"/>
      <w:color w:val="000000" w:themeColor="text1"/>
      <w:sz w:val="20"/>
    </w:rPr>
  </w:style>
  <w:style w:type="paragraph" w:styleId="TOC1">
    <w:name w:val="toc 1"/>
    <w:basedOn w:val="Normal"/>
    <w:next w:val="Normal"/>
    <w:uiPriority w:val="39"/>
    <w:rsid w:val="00786782"/>
    <w:pPr>
      <w:keepNext/>
      <w:keepLines/>
      <w:tabs>
        <w:tab w:val="right" w:pos="9639"/>
      </w:tabs>
      <w:spacing w:before="480" w:after="200" w:line="400" w:lineRule="atLeast"/>
    </w:pPr>
    <w:rPr>
      <w:rFonts w:asciiTheme="majorHAnsi" w:eastAsiaTheme="majorEastAsia" w:hAnsiTheme="majorHAnsi" w:cstheme="majorBidi"/>
      <w:b/>
      <w:color w:val="3844CA" w:themeColor="accent1"/>
      <w:spacing w:val="-4"/>
      <w:sz w:val="32"/>
      <w:szCs w:val="26"/>
    </w:rPr>
  </w:style>
  <w:style w:type="paragraph" w:styleId="TOC3">
    <w:name w:val="toc 3"/>
    <w:basedOn w:val="TOC2"/>
    <w:next w:val="Normal"/>
    <w:link w:val="TOC3Char1"/>
    <w:uiPriority w:val="39"/>
    <w:rsid w:val="00304554"/>
    <w:pPr>
      <w:spacing w:before="0" w:after="136"/>
      <w:ind w:left="284"/>
    </w:pPr>
    <w:rPr>
      <w:rFonts w:asciiTheme="minorHAnsi" w:hAnsiTheme="minorHAnsi"/>
    </w:rPr>
  </w:style>
  <w:style w:type="paragraph" w:styleId="TOC4">
    <w:name w:val="toc 4"/>
    <w:basedOn w:val="Normal"/>
    <w:next w:val="Normal"/>
    <w:link w:val="TOC4Char1"/>
    <w:autoRedefine/>
    <w:uiPriority w:val="39"/>
    <w:rsid w:val="0097102F"/>
    <w:pPr>
      <w:tabs>
        <w:tab w:val="left" w:pos="1418"/>
        <w:tab w:val="right" w:leader="dot" w:pos="9628"/>
      </w:tabs>
      <w:spacing w:after="100"/>
      <w:ind w:left="601"/>
    </w:pPr>
  </w:style>
  <w:style w:type="paragraph" w:styleId="TOC5">
    <w:name w:val="toc 5"/>
    <w:basedOn w:val="Normal"/>
    <w:next w:val="Normal"/>
    <w:autoRedefine/>
    <w:uiPriority w:val="39"/>
    <w:rsid w:val="00FC03D6"/>
    <w:pPr>
      <w:spacing w:after="100"/>
      <w:ind w:left="800"/>
    </w:pPr>
  </w:style>
  <w:style w:type="paragraph" w:styleId="TOC6">
    <w:name w:val="toc 6"/>
    <w:basedOn w:val="Normal"/>
    <w:next w:val="Normal"/>
    <w:autoRedefine/>
    <w:uiPriority w:val="39"/>
    <w:rsid w:val="00FC03D6"/>
    <w:pPr>
      <w:spacing w:after="100"/>
      <w:ind w:left="1000"/>
    </w:pPr>
  </w:style>
  <w:style w:type="paragraph" w:styleId="TOC7">
    <w:name w:val="toc 7"/>
    <w:basedOn w:val="Normal"/>
    <w:next w:val="Normal"/>
    <w:autoRedefine/>
    <w:uiPriority w:val="39"/>
    <w:rsid w:val="00FC03D6"/>
    <w:pPr>
      <w:spacing w:after="100"/>
      <w:ind w:left="1200"/>
    </w:pPr>
  </w:style>
  <w:style w:type="paragraph" w:styleId="TOC8">
    <w:name w:val="toc 8"/>
    <w:basedOn w:val="Normal"/>
    <w:next w:val="Normal"/>
    <w:autoRedefine/>
    <w:uiPriority w:val="39"/>
    <w:rsid w:val="00FC03D6"/>
    <w:pPr>
      <w:spacing w:after="100"/>
      <w:ind w:left="1400"/>
    </w:pPr>
  </w:style>
  <w:style w:type="character" w:styleId="Hyperlink">
    <w:name w:val="Hyperlink"/>
    <w:basedOn w:val="DefaultParagraphFont"/>
    <w:uiPriority w:val="99"/>
    <w:rsid w:val="00197F55"/>
    <w:rPr>
      <w:b w:val="0"/>
      <w:color w:val="3844CA"/>
      <w:sz w:val="20"/>
      <w:u w:val="single"/>
    </w:rPr>
  </w:style>
  <w:style w:type="paragraph" w:styleId="Caption">
    <w:name w:val="caption"/>
    <w:next w:val="Normal"/>
    <w:link w:val="CaptionChar"/>
    <w:qFormat/>
    <w:rsid w:val="00750AFE"/>
    <w:pPr>
      <w:keepNext/>
    </w:pPr>
    <w:rPr>
      <w:b/>
      <w:iCs/>
      <w:szCs w:val="18"/>
    </w:rPr>
  </w:style>
  <w:style w:type="paragraph" w:styleId="EndnoteText">
    <w:name w:val="endnote text"/>
    <w:basedOn w:val="ContactName"/>
    <w:link w:val="EndnoteTextChar"/>
    <w:uiPriority w:val="99"/>
    <w:qFormat/>
    <w:rsid w:val="00175C55"/>
    <w:pPr>
      <w:tabs>
        <w:tab w:val="left" w:pos="5318"/>
      </w:tabs>
      <w:spacing w:line="200" w:lineRule="atLeast"/>
    </w:pPr>
    <w:rPr>
      <w:rFonts w:asciiTheme="minorHAnsi" w:hAnsiTheme="minorHAnsi"/>
      <w:b w:val="0"/>
      <w:color w:val="000000" w:themeColor="text1"/>
      <w:spacing w:val="2"/>
      <w:sz w:val="16"/>
      <w:lang w:val="en-AU"/>
    </w:rPr>
  </w:style>
  <w:style w:type="character" w:customStyle="1" w:styleId="EndnoteTextChar">
    <w:name w:val="Endnote Text Char"/>
    <w:basedOn w:val="DefaultParagraphFont"/>
    <w:link w:val="EndnoteText"/>
    <w:uiPriority w:val="99"/>
    <w:rsid w:val="00175C55"/>
    <w:rPr>
      <w:spacing w:val="2"/>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Normal"/>
    <w:next w:val="Normal"/>
    <w:uiPriority w:val="39"/>
    <w:qFormat/>
    <w:rsid w:val="00EE08F0"/>
    <w:pPr>
      <w:keepNext/>
      <w:keepLines/>
      <w:spacing w:before="480" w:after="260" w:line="520" w:lineRule="atLeast"/>
    </w:pPr>
    <w:rPr>
      <w:rFonts w:asciiTheme="majorHAnsi" w:eastAsiaTheme="majorEastAsia" w:hAnsiTheme="majorHAnsi" w:cstheme="majorBidi"/>
      <w:b/>
      <w:color w:val="3844CA" w:themeColor="background2"/>
      <w:spacing w:val="-10"/>
      <w:sz w:val="44"/>
      <w:szCs w:val="32"/>
    </w:rPr>
  </w:style>
  <w:style w:type="paragraph" w:customStyle="1" w:styleId="IntroText">
    <w:name w:val="Intro Text"/>
    <w:basedOn w:val="Normal"/>
    <w:next w:val="Normal"/>
    <w:uiPriority w:val="3"/>
    <w:qFormat/>
    <w:rsid w:val="0095179D"/>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747DB2"/>
    <w:rPr>
      <w:color w:val="605E5C"/>
      <w:shd w:val="clear" w:color="auto" w:fill="E1DFDD"/>
    </w:rPr>
  </w:style>
  <w:style w:type="character" w:styleId="PlaceholderText">
    <w:name w:val="Placeholder Text"/>
    <w:basedOn w:val="DefaultParagraphFont"/>
    <w:uiPriority w:val="99"/>
    <w:semiHidden/>
    <w:rsid w:val="00104F44"/>
    <w:rPr>
      <w:color w:val="808080"/>
    </w:rPr>
  </w:style>
  <w:style w:type="paragraph" w:customStyle="1" w:styleId="CoverFooter">
    <w:name w:val="Cover Footer"/>
    <w:basedOn w:val="Footer"/>
    <w:uiPriority w:val="99"/>
    <w:qFormat/>
    <w:rsid w:val="00185471"/>
    <w:rPr>
      <w:noProof/>
    </w:rPr>
  </w:style>
  <w:style w:type="paragraph" w:styleId="BalloonText">
    <w:name w:val="Balloon Text"/>
    <w:basedOn w:val="Normal"/>
    <w:link w:val="BalloonTextChar"/>
    <w:uiPriority w:val="99"/>
    <w:semiHidden/>
    <w:unhideWhenUsed/>
    <w:rsid w:val="00E3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style>
  <w:style w:type="paragraph" w:customStyle="1" w:styleId="CoverHeading">
    <w:name w:val="Cover Heading"/>
    <w:basedOn w:val="Header"/>
    <w:qFormat/>
    <w:rsid w:val="00FE2E03"/>
    <w:pPr>
      <w:spacing w:line="900" w:lineRule="exact"/>
      <w:jc w:val="left"/>
    </w:pPr>
    <w:rPr>
      <w:rFonts w:asciiTheme="majorHAnsi" w:hAnsiTheme="majorHAnsi"/>
      <w:b/>
      <w:color w:val="3844CA" w:themeColor="background2"/>
      <w:spacing w:val="-16"/>
      <w:sz w:val="64"/>
    </w:rPr>
  </w:style>
  <w:style w:type="paragraph" w:customStyle="1" w:styleId="CoverSubheading">
    <w:name w:val="Cover Subheading"/>
    <w:basedOn w:val="CoverHeading"/>
    <w:qFormat/>
    <w:rsid w:val="00FE2E03"/>
    <w:pPr>
      <w:spacing w:after="20" w:line="560" w:lineRule="exact"/>
    </w:pPr>
    <w:rPr>
      <w:spacing w:val="-10"/>
      <w:sz w:val="40"/>
    </w:rPr>
  </w:style>
  <w:style w:type="paragraph" w:customStyle="1" w:styleId="CoverDetails">
    <w:name w:val="Cover Details"/>
    <w:basedOn w:val="CoverSubheading"/>
    <w:qFormat/>
    <w:rsid w:val="00910206"/>
    <w:pPr>
      <w:spacing w:line="280" w:lineRule="atLeast"/>
    </w:pPr>
    <w:rPr>
      <w:rFonts w:asciiTheme="minorHAnsi" w:hAnsiTheme="minorHAnsi"/>
      <w:b w:val="0"/>
      <w:bCs/>
      <w:spacing w:val="2"/>
      <w:sz w:val="20"/>
    </w:rPr>
  </w:style>
  <w:style w:type="paragraph" w:customStyle="1" w:styleId="CoverHeadingSmall">
    <w:name w:val="Cover Heading Small"/>
    <w:basedOn w:val="CoverHeading"/>
    <w:uiPriority w:val="3"/>
    <w:semiHidden/>
    <w:qFormat/>
    <w:rsid w:val="000F3D0D"/>
    <w:pPr>
      <w:spacing w:line="780" w:lineRule="exact"/>
    </w:pPr>
    <w:rPr>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StylePr w:type="lastRow">
      <w:rPr>
        <w:i/>
        <w:iCs/>
      </w:rPr>
    </w:tblStylePr>
    <w:tblStylePr w:type="lastCol">
      <w:rPr>
        <w:i/>
        <w:iCs/>
      </w:rPr>
    </w:tblStylePr>
  </w:style>
  <w:style w:type="numbering" w:customStyle="1" w:styleId="ATOBullets">
    <w:name w:val="ATO Bullets"/>
    <w:uiPriority w:val="99"/>
    <w:rsid w:val="00B77065"/>
    <w:pPr>
      <w:numPr>
        <w:numId w:val="16"/>
      </w:numPr>
    </w:pPr>
  </w:style>
  <w:style w:type="paragraph" w:customStyle="1" w:styleId="TableBullet">
    <w:name w:val="Table Bullet"/>
    <w:basedOn w:val="TableText"/>
    <w:uiPriority w:val="11"/>
    <w:qFormat/>
    <w:rsid w:val="00197F55"/>
    <w:pPr>
      <w:numPr>
        <w:numId w:val="8"/>
      </w:numPr>
    </w:pPr>
    <w:rPr>
      <w:rFonts w:eastAsia="Calibri"/>
      <w:color w:val="000000"/>
    </w:rPr>
  </w:style>
  <w:style w:type="character" w:customStyle="1" w:styleId="Heading5Char">
    <w:name w:val="Heading 5 Char"/>
    <w:aliases w:val="Block Label Char,h5 Char,5 Char,l5 Char,Head5 Char,Level 5 Char,Atty Info 3 Char,Level 51 Char,not set up (5) Char"/>
    <w:basedOn w:val="DefaultParagraphFont"/>
    <w:link w:val="Heading5"/>
    <w:rsid w:val="00CE68C7"/>
    <w:rPr>
      <w:rFonts w:asciiTheme="majorHAnsi" w:eastAsiaTheme="majorEastAsia" w:hAnsiTheme="majorHAnsi" w:cstheme="majorBidi"/>
      <w:sz w:val="24"/>
      <w:u w:val="single"/>
    </w:rPr>
  </w:style>
  <w:style w:type="numbering" w:customStyle="1" w:styleId="HaldonHeadings">
    <w:name w:val="HaldonHeadings"/>
    <w:uiPriority w:val="99"/>
    <w:rsid w:val="001A6BB7"/>
    <w:pPr>
      <w:numPr>
        <w:numId w:val="14"/>
      </w:numPr>
    </w:pPr>
  </w:style>
  <w:style w:type="paragraph" w:customStyle="1" w:styleId="Heading5Numbered">
    <w:name w:val="Heading 5 Numbered"/>
    <w:basedOn w:val="Heading5"/>
    <w:uiPriority w:val="2"/>
    <w:semiHidden/>
    <w:qFormat/>
    <w:rsid w:val="001A6BB7"/>
    <w:pPr>
      <w:numPr>
        <w:ilvl w:val="4"/>
        <w:numId w:val="2"/>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750AFE"/>
    <w:pPr>
      <w:spacing w:after="120" w:line="240" w:lineRule="atLeast"/>
    </w:pPr>
    <w:rPr>
      <w:b w:val="0"/>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8A054D"/>
    <w:tblPr>
      <w:tblStyleRowBandSize w:val="1"/>
    </w:tblPr>
    <w:trPr>
      <w:tblHeader/>
    </w:trPr>
    <w:tcPr>
      <w:tcBorders>
        <w:bottom w:val="single" w:sz="4" w:space="0" w:color="000000" w:themeColor="text1"/>
      </w:tcBorders>
      <w:shd w:val="clear" w:color="auto" w:fill="3844CA" w:themeFill="accent1"/>
    </w:tcPr>
    <w:tblStylePr w:type="firstRow">
      <w:pPr>
        <w:jc w:val="left"/>
      </w:pPr>
      <w:rPr>
        <w:rFonts w:asciiTheme="minorHAnsi" w:hAnsiTheme="minorHAnsi"/>
        <w:b/>
        <w:color w:val="FFFFFF"/>
        <w:sz w:val="24"/>
      </w:rPr>
    </w:tblStylePr>
    <w:tblStylePr w:type="lastRow">
      <w:rPr>
        <w:b/>
        <w:color w:val="000000" w:themeColor="text1"/>
      </w:rPr>
    </w:tblStylePr>
    <w:tblStylePr w:type="firstCol">
      <w:rPr>
        <w:b/>
        <w:color w:val="000000" w:themeColor="text1"/>
      </w:rPr>
    </w:tblStylePr>
  </w:style>
  <w:style w:type="character" w:customStyle="1" w:styleId="Heading6Char">
    <w:name w:val="Heading 6 Char"/>
    <w:basedOn w:val="DefaultParagraphFont"/>
    <w:link w:val="Heading6"/>
    <w:rsid w:val="00CE68C7"/>
    <w:rPr>
      <w:rFonts w:asciiTheme="majorHAnsi" w:eastAsiaTheme="majorEastAsia" w:hAnsiTheme="majorHAnsi" w:cstheme="majorBidi"/>
      <w:i/>
      <w:sz w:val="24"/>
    </w:rPr>
  </w:style>
  <w:style w:type="paragraph" w:customStyle="1" w:styleId="Heading6Numbered">
    <w:name w:val="Heading 6 Numbered"/>
    <w:basedOn w:val="Heading6"/>
    <w:uiPriority w:val="2"/>
    <w:semiHidden/>
    <w:qFormat/>
    <w:rsid w:val="001A6BB7"/>
    <w:pPr>
      <w:numPr>
        <w:ilvl w:val="5"/>
        <w:numId w:val="2"/>
      </w:numPr>
      <w:spacing w:before="240"/>
    </w:pPr>
    <w:rPr>
      <w:noProof/>
    </w:rPr>
  </w:style>
  <w:style w:type="paragraph" w:styleId="TableofFigures">
    <w:name w:val="table of figures"/>
    <w:basedOn w:val="Normal"/>
    <w:next w:val="Normal"/>
    <w:semiHidden/>
    <w:rsid w:val="0090275D"/>
    <w:pPr>
      <w:spacing w:after="0"/>
    </w:pPr>
  </w:style>
  <w:style w:type="paragraph" w:styleId="NoSpacing">
    <w:name w:val="No Spacing"/>
    <w:basedOn w:val="Normal"/>
    <w:uiPriority w:val="3"/>
    <w:qFormat/>
    <w:rsid w:val="000935F1"/>
    <w:pPr>
      <w:spacing w:after="0"/>
    </w:pPr>
  </w:style>
  <w:style w:type="numbering" w:customStyle="1" w:styleId="ATONumbers">
    <w:name w:val="ATO Numbers"/>
    <w:uiPriority w:val="99"/>
    <w:rsid w:val="0095179D"/>
    <w:pPr>
      <w:numPr>
        <w:numId w:val="15"/>
      </w:numPr>
    </w:pPr>
  </w:style>
  <w:style w:type="character" w:customStyle="1" w:styleId="CaptionChar">
    <w:name w:val="Caption Char"/>
    <w:basedOn w:val="DefaultParagraphFont"/>
    <w:link w:val="Caption"/>
    <w:uiPriority w:val="99"/>
    <w:rsid w:val="00750AFE"/>
    <w:rPr>
      <w:b/>
      <w:iCs/>
      <w:color w:val="000000" w:themeColor="text1"/>
      <w:sz w:val="20"/>
      <w:szCs w:val="18"/>
    </w:rPr>
  </w:style>
  <w:style w:type="character" w:customStyle="1" w:styleId="FootnoteChar">
    <w:name w:val="Footnote Char"/>
    <w:basedOn w:val="CaptionChar"/>
    <w:link w:val="Footnote"/>
    <w:uiPriority w:val="99"/>
    <w:rsid w:val="00750AFE"/>
    <w:rPr>
      <w:b w:val="0"/>
      <w:iCs/>
      <w:color w:val="000000" w:themeColor="text1"/>
      <w:sz w:val="16"/>
      <w:szCs w:val="18"/>
    </w:rPr>
  </w:style>
  <w:style w:type="numbering" w:customStyle="1" w:styleId="ATOHeadings">
    <w:name w:val="ATO Headings"/>
    <w:uiPriority w:val="99"/>
    <w:rsid w:val="008A054D"/>
    <w:pPr>
      <w:numPr>
        <w:numId w:val="17"/>
      </w:numPr>
    </w:pPr>
  </w:style>
  <w:style w:type="paragraph" w:styleId="Quote">
    <w:name w:val="Quote"/>
    <w:basedOn w:val="Normal"/>
    <w:next w:val="Normal"/>
    <w:link w:val="QuoteChar"/>
    <w:uiPriority w:val="7"/>
    <w:rsid w:val="0095179D"/>
    <w:pPr>
      <w:ind w:left="720"/>
    </w:pPr>
    <w:rPr>
      <w:iCs/>
      <w:color w:val="404040" w:themeColor="text1" w:themeTint="BF"/>
    </w:rPr>
  </w:style>
  <w:style w:type="character" w:customStyle="1" w:styleId="QuoteChar">
    <w:name w:val="Quote Char"/>
    <w:basedOn w:val="DefaultParagraphFont"/>
    <w:link w:val="Quote"/>
    <w:uiPriority w:val="7"/>
    <w:rsid w:val="0095179D"/>
    <w:rPr>
      <w:iCs/>
      <w:color w:val="404040" w:themeColor="text1" w:themeTint="BF"/>
      <w:spacing w:val="2"/>
      <w:sz w:val="20"/>
    </w:rPr>
  </w:style>
  <w:style w:type="numbering" w:customStyle="1" w:styleId="ATOIntroBullets">
    <w:name w:val="ATO Intro Bullets"/>
    <w:uiPriority w:val="99"/>
    <w:rsid w:val="00B77065"/>
    <w:pPr>
      <w:numPr>
        <w:numId w:val="18"/>
      </w:numPr>
    </w:pPr>
  </w:style>
  <w:style w:type="paragraph" w:customStyle="1" w:styleId="IntroBullet1">
    <w:name w:val="Intro Bullet 1"/>
    <w:basedOn w:val="ListBullet"/>
    <w:uiPriority w:val="4"/>
    <w:qFormat/>
    <w:rsid w:val="00175C55"/>
    <w:pPr>
      <w:numPr>
        <w:numId w:val="5"/>
      </w:numPr>
      <w:spacing w:after="80" w:line="320" w:lineRule="atLeast"/>
    </w:pPr>
    <w:rPr>
      <w:color w:val="3844CA" w:themeColor="background2"/>
      <w:sz w:val="24"/>
    </w:rPr>
  </w:style>
  <w:style w:type="paragraph" w:customStyle="1" w:styleId="IntroBullet2">
    <w:name w:val="Intro Bullet 2"/>
    <w:basedOn w:val="ListBullet2"/>
    <w:uiPriority w:val="4"/>
    <w:qFormat/>
    <w:rsid w:val="00197F55"/>
    <w:pPr>
      <w:numPr>
        <w:numId w:val="5"/>
      </w:numPr>
      <w:spacing w:after="80" w:line="320" w:lineRule="atLeast"/>
    </w:pPr>
    <w:rPr>
      <w:color w:val="3844CA" w:themeColor="background2"/>
      <w:sz w:val="24"/>
    </w:rPr>
  </w:style>
  <w:style w:type="paragraph" w:customStyle="1" w:styleId="IntroBullet3">
    <w:name w:val="Intro Bullet 3"/>
    <w:basedOn w:val="ListBullet3"/>
    <w:uiPriority w:val="4"/>
    <w:qFormat/>
    <w:rsid w:val="00197F55"/>
    <w:pPr>
      <w:numPr>
        <w:numId w:val="5"/>
      </w:numPr>
      <w:spacing w:after="80" w:line="320" w:lineRule="atLeast"/>
    </w:pPr>
    <w:rPr>
      <w:color w:val="3844CA" w:themeColor="background2"/>
      <w:sz w:val="24"/>
    </w:rPr>
  </w:style>
  <w:style w:type="paragraph" w:customStyle="1" w:styleId="BackPageURL">
    <w:name w:val="BackPageURL"/>
    <w:basedOn w:val="NoSpacing"/>
    <w:uiPriority w:val="2"/>
    <w:rsid w:val="00DD552F"/>
    <w:rPr>
      <w:rFonts w:asciiTheme="majorHAnsi" w:hAnsiTheme="majorHAnsi"/>
      <w:b/>
      <w:color w:val="3844CA" w:themeColor="background2"/>
      <w:sz w:val="30"/>
    </w:rPr>
  </w:style>
  <w:style w:type="paragraph" w:styleId="CommentText">
    <w:name w:val="annotation text"/>
    <w:basedOn w:val="Normal"/>
    <w:link w:val="CommentTextChar"/>
    <w:uiPriority w:val="99"/>
    <w:unhideWhenUsed/>
    <w:rsid w:val="00B35AB6"/>
    <w:pPr>
      <w:spacing w:line="240" w:lineRule="auto"/>
    </w:pPr>
    <w:rPr>
      <w:spacing w:val="2"/>
    </w:rPr>
  </w:style>
  <w:style w:type="character" w:customStyle="1" w:styleId="CommentTextChar">
    <w:name w:val="Comment Text Char"/>
    <w:basedOn w:val="DefaultParagraphFont"/>
    <w:link w:val="CommentText"/>
    <w:uiPriority w:val="99"/>
    <w:rsid w:val="00B35AB6"/>
    <w:rPr>
      <w:spacing w:val="2"/>
    </w:rPr>
  </w:style>
  <w:style w:type="paragraph" w:styleId="ListParagraph">
    <w:name w:val="List Paragraph"/>
    <w:basedOn w:val="Normal"/>
    <w:uiPriority w:val="34"/>
    <w:qFormat/>
    <w:rsid w:val="00B35AB6"/>
    <w:pPr>
      <w:ind w:left="720"/>
      <w:contextualSpacing/>
    </w:pPr>
  </w:style>
  <w:style w:type="character" w:styleId="CommentReference">
    <w:name w:val="annotation reference"/>
    <w:basedOn w:val="DefaultParagraphFont"/>
    <w:uiPriority w:val="99"/>
    <w:unhideWhenUsed/>
    <w:rsid w:val="00B35AB6"/>
    <w:rPr>
      <w:sz w:val="16"/>
      <w:szCs w:val="16"/>
    </w:rPr>
  </w:style>
  <w:style w:type="paragraph" w:customStyle="1" w:styleId="URL">
    <w:name w:val="URL"/>
    <w:basedOn w:val="NoSpacing"/>
    <w:uiPriority w:val="2"/>
    <w:rsid w:val="009278D7"/>
    <w:rPr>
      <w:rFonts w:asciiTheme="majorHAnsi" w:hAnsiTheme="majorHAnsi"/>
      <w:b/>
      <w:color w:val="3844CA" w:themeColor="background2"/>
      <w:sz w:val="30"/>
    </w:rPr>
  </w:style>
  <w:style w:type="character" w:customStyle="1" w:styleId="ui-provider">
    <w:name w:val="ui-provider"/>
    <w:basedOn w:val="DefaultParagraphFont"/>
    <w:semiHidden/>
    <w:rsid w:val="00CF2DBC"/>
  </w:style>
  <w:style w:type="character" w:styleId="FollowedHyperlink">
    <w:name w:val="FollowedHyperlink"/>
    <w:basedOn w:val="DefaultParagraphFont"/>
    <w:uiPriority w:val="99"/>
    <w:unhideWhenUsed/>
    <w:rsid w:val="00CF2DBC"/>
    <w:rPr>
      <w:color w:val="9D469A" w:themeColor="followedHyperlink"/>
      <w:u w:val="single"/>
    </w:rPr>
  </w:style>
  <w:style w:type="paragraph" w:customStyle="1" w:styleId="Heading1Numbered">
    <w:name w:val="Heading 1 Numbered"/>
    <w:basedOn w:val="Heading1"/>
    <w:next w:val="Normal"/>
    <w:uiPriority w:val="1"/>
    <w:qFormat/>
    <w:rsid w:val="008A054D"/>
    <w:pPr>
      <w:numPr>
        <w:numId w:val="9"/>
      </w:numPr>
    </w:pPr>
  </w:style>
  <w:style w:type="paragraph" w:customStyle="1" w:styleId="Heading2Numbered">
    <w:name w:val="Heading 2 Numbered"/>
    <w:basedOn w:val="Heading2"/>
    <w:next w:val="Normal"/>
    <w:uiPriority w:val="1"/>
    <w:qFormat/>
    <w:rsid w:val="008A054D"/>
    <w:pPr>
      <w:numPr>
        <w:ilvl w:val="1"/>
        <w:numId w:val="9"/>
      </w:numPr>
    </w:pPr>
  </w:style>
  <w:style w:type="paragraph" w:customStyle="1" w:styleId="Heading3Numbered">
    <w:name w:val="Heading 3 Numbered"/>
    <w:basedOn w:val="Heading3"/>
    <w:next w:val="Normal"/>
    <w:uiPriority w:val="1"/>
    <w:qFormat/>
    <w:rsid w:val="008A054D"/>
    <w:pPr>
      <w:numPr>
        <w:ilvl w:val="2"/>
        <w:numId w:val="9"/>
      </w:numPr>
    </w:pPr>
  </w:style>
  <w:style w:type="paragraph" w:customStyle="1" w:styleId="Heading4Numbered">
    <w:name w:val="Heading 4 Numbered"/>
    <w:basedOn w:val="Heading4"/>
    <w:next w:val="Normal"/>
    <w:uiPriority w:val="1"/>
    <w:qFormat/>
    <w:rsid w:val="008A054D"/>
    <w:pPr>
      <w:numPr>
        <w:ilvl w:val="3"/>
        <w:numId w:val="9"/>
      </w:numPr>
    </w:pPr>
  </w:style>
  <w:style w:type="paragraph" w:customStyle="1" w:styleId="ReportTitle">
    <w:name w:val="ReportTitle"/>
    <w:basedOn w:val="Normal"/>
    <w:next w:val="Normal"/>
    <w:rsid w:val="00D81A10"/>
    <w:pPr>
      <w:spacing w:after="400" w:line="216" w:lineRule="auto"/>
    </w:pPr>
    <w:rPr>
      <w:rFonts w:ascii="Arial" w:eastAsia="Times New Roman" w:hAnsi="Arial" w:cs="Tahoma"/>
      <w:color w:val="auto"/>
      <w:sz w:val="120"/>
      <w:szCs w:val="120"/>
      <w:lang w:eastAsia="en-AU"/>
    </w:rPr>
  </w:style>
  <w:style w:type="paragraph" w:customStyle="1" w:styleId="Maintext">
    <w:name w:val="Main text"/>
    <w:basedOn w:val="Normal"/>
    <w:link w:val="MaintextCharChar"/>
    <w:qFormat/>
    <w:rsid w:val="00DD566A"/>
    <w:pPr>
      <w:spacing w:after="0" w:line="240" w:lineRule="auto"/>
    </w:pPr>
    <w:rPr>
      <w:rFonts w:ascii="Arial" w:eastAsia="Times New Roman" w:hAnsi="Arial"/>
      <w:color w:val="auto"/>
      <w:sz w:val="22"/>
      <w:szCs w:val="24"/>
      <w:lang w:eastAsia="en-AU"/>
    </w:rPr>
  </w:style>
  <w:style w:type="character" w:customStyle="1" w:styleId="MaintextCharChar">
    <w:name w:val="Main text Char Char"/>
    <w:link w:val="Maintext"/>
    <w:rsid w:val="00DD566A"/>
    <w:rPr>
      <w:rFonts w:ascii="Arial" w:eastAsia="Times New Roman" w:hAnsi="Arial"/>
      <w:color w:val="auto"/>
      <w:sz w:val="22"/>
      <w:szCs w:val="24"/>
      <w:lang w:eastAsia="en-AU"/>
    </w:rPr>
  </w:style>
  <w:style w:type="paragraph" w:customStyle="1" w:styleId="VersionHead">
    <w:name w:val="VersionHead"/>
    <w:basedOn w:val="Maintext"/>
    <w:semiHidden/>
    <w:rsid w:val="00DD566A"/>
    <w:pPr>
      <w:spacing w:before="240" w:after="80"/>
      <w:ind w:left="32" w:right="-62"/>
    </w:pPr>
    <w:rPr>
      <w:rFonts w:cs="Arial"/>
      <w:kern w:val="22"/>
      <w:szCs w:val="22"/>
    </w:rPr>
  </w:style>
  <w:style w:type="paragraph" w:customStyle="1" w:styleId="Bullet1">
    <w:name w:val="Bullet 1"/>
    <w:basedOn w:val="Normal"/>
    <w:link w:val="Bullet1Char"/>
    <w:qFormat/>
    <w:rsid w:val="00DD566A"/>
    <w:pPr>
      <w:spacing w:before="60" w:after="60" w:line="240" w:lineRule="auto"/>
    </w:pPr>
    <w:rPr>
      <w:rFonts w:ascii="Arial" w:eastAsia="Times New Roman" w:hAnsi="Arial"/>
      <w:color w:val="auto"/>
      <w:sz w:val="22"/>
      <w:szCs w:val="24"/>
      <w:lang w:eastAsia="en-AU"/>
    </w:rPr>
  </w:style>
  <w:style w:type="paragraph" w:customStyle="1" w:styleId="Bullet2">
    <w:name w:val="Bullet 2"/>
    <w:basedOn w:val="Normal"/>
    <w:link w:val="Bullet2Char"/>
    <w:rsid w:val="00DD566A"/>
    <w:pPr>
      <w:numPr>
        <w:ilvl w:val="1"/>
        <w:numId w:val="11"/>
      </w:numPr>
      <w:spacing w:before="60" w:after="60" w:line="240" w:lineRule="auto"/>
    </w:pPr>
    <w:rPr>
      <w:rFonts w:ascii="Arial" w:eastAsia="Times New Roman" w:hAnsi="Arial"/>
      <w:color w:val="auto"/>
      <w:sz w:val="22"/>
      <w:szCs w:val="24"/>
      <w:lang w:eastAsia="en-AU"/>
    </w:rPr>
  </w:style>
  <w:style w:type="paragraph" w:customStyle="1" w:styleId="Number1">
    <w:name w:val="Number 1"/>
    <w:basedOn w:val="Normal"/>
    <w:rsid w:val="00DD566A"/>
    <w:pPr>
      <w:numPr>
        <w:numId w:val="12"/>
      </w:numPr>
      <w:spacing w:before="60" w:after="60" w:line="240" w:lineRule="auto"/>
    </w:pPr>
    <w:rPr>
      <w:rFonts w:ascii="Arial" w:eastAsia="Times New Roman" w:hAnsi="Arial"/>
      <w:color w:val="auto"/>
      <w:sz w:val="22"/>
      <w:szCs w:val="24"/>
      <w:lang w:eastAsia="en-AU"/>
    </w:rPr>
  </w:style>
  <w:style w:type="paragraph" w:customStyle="1" w:styleId="Number2">
    <w:name w:val="Number 2"/>
    <w:basedOn w:val="Normal"/>
    <w:rsid w:val="00DD566A"/>
    <w:pPr>
      <w:numPr>
        <w:ilvl w:val="1"/>
        <w:numId w:val="12"/>
      </w:numPr>
      <w:spacing w:before="60" w:after="60" w:line="240" w:lineRule="auto"/>
    </w:pPr>
    <w:rPr>
      <w:rFonts w:ascii="Arial" w:eastAsia="Times New Roman" w:hAnsi="Arial"/>
      <w:color w:val="auto"/>
      <w:sz w:val="22"/>
      <w:szCs w:val="24"/>
      <w:lang w:eastAsia="en-AU"/>
    </w:rPr>
  </w:style>
  <w:style w:type="character" w:customStyle="1" w:styleId="Bullet1Char">
    <w:name w:val="Bullet 1 Char"/>
    <w:link w:val="Bullet1"/>
    <w:rsid w:val="00DD566A"/>
    <w:rPr>
      <w:rFonts w:ascii="Arial" w:eastAsia="Times New Roman" w:hAnsi="Arial"/>
      <w:color w:val="auto"/>
      <w:sz w:val="22"/>
      <w:szCs w:val="24"/>
      <w:lang w:eastAsia="en-AU"/>
    </w:rPr>
  </w:style>
  <w:style w:type="character" w:customStyle="1" w:styleId="Bullet2Char">
    <w:name w:val="Bullet 2 Char"/>
    <w:link w:val="Bullet2"/>
    <w:rsid w:val="00DD566A"/>
    <w:rPr>
      <w:rFonts w:ascii="Arial" w:eastAsia="Times New Roman" w:hAnsi="Arial"/>
      <w:color w:val="auto"/>
      <w:sz w:val="22"/>
      <w:szCs w:val="24"/>
      <w:lang w:eastAsia="en-AU"/>
    </w:rPr>
  </w:style>
  <w:style w:type="paragraph" w:customStyle="1" w:styleId="Definition">
    <w:name w:val="Definition"/>
    <w:aliases w:val="dd"/>
    <w:basedOn w:val="Normal"/>
    <w:rsid w:val="00DD566A"/>
    <w:pPr>
      <w:spacing w:before="180" w:after="0" w:line="240" w:lineRule="auto"/>
      <w:ind w:left="1134"/>
    </w:pPr>
    <w:rPr>
      <w:rFonts w:ascii="Times New Roman" w:eastAsia="Times New Roman" w:hAnsi="Times New Roman"/>
      <w:color w:val="auto"/>
      <w:sz w:val="22"/>
      <w:lang w:eastAsia="en-AU"/>
    </w:rPr>
  </w:style>
  <w:style w:type="paragraph" w:customStyle="1" w:styleId="paragraphsub">
    <w:name w:val="paragraph(sub)"/>
    <w:aliases w:val="aa"/>
    <w:basedOn w:val="Normal"/>
    <w:rsid w:val="00DD566A"/>
    <w:pPr>
      <w:tabs>
        <w:tab w:val="right" w:pos="1985"/>
      </w:tabs>
      <w:spacing w:before="40" w:after="0" w:line="240" w:lineRule="auto"/>
      <w:ind w:left="2098" w:hanging="2098"/>
    </w:pPr>
    <w:rPr>
      <w:rFonts w:ascii="Times New Roman" w:eastAsia="Times New Roman" w:hAnsi="Times New Roman"/>
      <w:color w:val="auto"/>
      <w:sz w:val="22"/>
      <w:lang w:eastAsia="en-AU"/>
    </w:rPr>
  </w:style>
  <w:style w:type="paragraph" w:customStyle="1" w:styleId="subsection2">
    <w:name w:val="subsection2"/>
    <w:aliases w:val="ss2"/>
    <w:basedOn w:val="Normal"/>
    <w:next w:val="Normal"/>
    <w:rsid w:val="00DD566A"/>
    <w:pPr>
      <w:spacing w:before="40" w:after="0" w:line="240" w:lineRule="auto"/>
      <w:ind w:left="1134"/>
    </w:pPr>
    <w:rPr>
      <w:rFonts w:ascii="Times New Roman" w:eastAsia="Times New Roman" w:hAnsi="Times New Roman"/>
      <w:color w:val="auto"/>
      <w:sz w:val="22"/>
      <w:lang w:eastAsia="en-AU"/>
    </w:rPr>
  </w:style>
  <w:style w:type="table" w:customStyle="1" w:styleId="TableATO1">
    <w:name w:val="Table_ATO1"/>
    <w:basedOn w:val="TableNormal"/>
    <w:uiPriority w:val="99"/>
    <w:rsid w:val="00E824DB"/>
    <w:tblPr/>
    <w:tblStylePr w:type="firstRow">
      <w:pPr>
        <w:jc w:val="left"/>
      </w:pPr>
      <w:rPr>
        <w:rFonts w:ascii="Calibri" w:hAnsi="Calibri"/>
        <w:b/>
        <w:color w:val="FFFFFF"/>
        <w:sz w:val="24"/>
      </w:rPr>
    </w:tblStylePr>
    <w:tblStylePr w:type="lastRow">
      <w:rPr>
        <w:b/>
        <w:color w:val="000000"/>
      </w:rPr>
    </w:tblStylePr>
    <w:tblStylePr w:type="firstCol">
      <w:rPr>
        <w:b/>
        <w:color w:val="000000"/>
      </w:rPr>
    </w:tblStylePr>
  </w:style>
  <w:style w:type="paragraph" w:customStyle="1" w:styleId="Head1">
    <w:name w:val="Head 1"/>
    <w:basedOn w:val="Normal"/>
    <w:next w:val="Maintext"/>
    <w:link w:val="Head1Char"/>
    <w:rsid w:val="00E824DB"/>
    <w:pPr>
      <w:keepNext/>
      <w:spacing w:after="220" w:line="240" w:lineRule="auto"/>
      <w:outlineLvl w:val="0"/>
    </w:pPr>
    <w:rPr>
      <w:rFonts w:ascii="Arial" w:eastAsia="Times New Roman" w:hAnsi="Arial" w:cs="Arial"/>
      <w:caps/>
      <w:color w:val="auto"/>
      <w:kern w:val="36"/>
      <w:sz w:val="36"/>
      <w:szCs w:val="36"/>
      <w:lang w:eastAsia="en-AU"/>
    </w:rPr>
  </w:style>
  <w:style w:type="paragraph" w:customStyle="1" w:styleId="Head2">
    <w:name w:val="Head 2"/>
    <w:basedOn w:val="Normal"/>
    <w:next w:val="Maintext"/>
    <w:link w:val="Head2Char"/>
    <w:rsid w:val="00E824DB"/>
    <w:pPr>
      <w:keepNext/>
      <w:spacing w:before="440" w:after="220" w:line="240" w:lineRule="auto"/>
      <w:outlineLvl w:val="1"/>
    </w:pPr>
    <w:rPr>
      <w:rFonts w:ascii="Arial" w:eastAsia="Times New Roman" w:hAnsi="Arial" w:cs="Arial"/>
      <w:b/>
      <w:caps/>
      <w:color w:val="auto"/>
      <w:kern w:val="36"/>
      <w:sz w:val="24"/>
      <w:szCs w:val="24"/>
      <w:lang w:eastAsia="en-AU"/>
    </w:rPr>
  </w:style>
  <w:style w:type="character" w:customStyle="1" w:styleId="Head2Char">
    <w:name w:val="Head 2 Char"/>
    <w:link w:val="Head2"/>
    <w:rsid w:val="00E824DB"/>
    <w:rPr>
      <w:rFonts w:ascii="Arial" w:eastAsia="Times New Roman" w:hAnsi="Arial" w:cs="Arial"/>
      <w:b/>
      <w:caps/>
      <w:color w:val="auto"/>
      <w:kern w:val="36"/>
      <w:sz w:val="24"/>
      <w:szCs w:val="24"/>
      <w:lang w:eastAsia="en-AU"/>
    </w:rPr>
  </w:style>
  <w:style w:type="character" w:customStyle="1" w:styleId="Head1Char">
    <w:name w:val="Head 1 Char"/>
    <w:link w:val="Head1"/>
    <w:rsid w:val="00E824DB"/>
    <w:rPr>
      <w:rFonts w:ascii="Arial" w:eastAsia="Times New Roman" w:hAnsi="Arial" w:cs="Arial"/>
      <w:caps/>
      <w:color w:val="auto"/>
      <w:kern w:val="36"/>
      <w:sz w:val="36"/>
      <w:szCs w:val="36"/>
      <w:lang w:eastAsia="en-AU"/>
    </w:rPr>
  </w:style>
  <w:style w:type="paragraph" w:styleId="CommentSubject">
    <w:name w:val="annotation subject"/>
    <w:basedOn w:val="CommentText"/>
    <w:next w:val="CommentText"/>
    <w:link w:val="CommentSubjectChar"/>
    <w:uiPriority w:val="99"/>
    <w:semiHidden/>
    <w:unhideWhenUsed/>
    <w:rsid w:val="00E824DB"/>
    <w:rPr>
      <w:b/>
      <w:bCs/>
      <w:spacing w:val="0"/>
    </w:rPr>
  </w:style>
  <w:style w:type="character" w:customStyle="1" w:styleId="CommentSubjectChar">
    <w:name w:val="Comment Subject Char"/>
    <w:basedOn w:val="CommentTextChar"/>
    <w:link w:val="CommentSubject"/>
    <w:uiPriority w:val="99"/>
    <w:semiHidden/>
    <w:rsid w:val="00E824DB"/>
    <w:rPr>
      <w:b/>
      <w:bCs/>
      <w:spacing w:val="2"/>
    </w:rPr>
  </w:style>
  <w:style w:type="paragraph" w:customStyle="1" w:styleId="Head3">
    <w:name w:val="Head 3"/>
    <w:basedOn w:val="Normal"/>
    <w:next w:val="Maintext"/>
    <w:link w:val="Head3Char"/>
    <w:rsid w:val="00A13FC4"/>
    <w:pPr>
      <w:keepNext/>
      <w:spacing w:before="360" w:after="220" w:line="240" w:lineRule="auto"/>
      <w:outlineLvl w:val="2"/>
    </w:pPr>
    <w:rPr>
      <w:rFonts w:ascii="Arial" w:eastAsia="Times New Roman" w:hAnsi="Arial" w:cs="Arial"/>
      <w:b/>
      <w:color w:val="auto"/>
      <w:sz w:val="24"/>
      <w:szCs w:val="24"/>
      <w:lang w:eastAsia="en-AU"/>
    </w:rPr>
  </w:style>
  <w:style w:type="character" w:customStyle="1" w:styleId="Heading7Char">
    <w:name w:val="Heading 7 Char"/>
    <w:basedOn w:val="DefaultParagraphFont"/>
    <w:link w:val="Heading7"/>
    <w:rsid w:val="00F962CC"/>
    <w:rPr>
      <w:rFonts w:ascii="Cambria" w:eastAsia="Times New Roman" w:hAnsi="Cambria"/>
      <w:i/>
      <w:iCs/>
      <w:color w:val="243F60"/>
    </w:rPr>
  </w:style>
  <w:style w:type="character" w:customStyle="1" w:styleId="Heading8Char">
    <w:name w:val="Heading 8 Char"/>
    <w:basedOn w:val="DefaultParagraphFont"/>
    <w:link w:val="Heading8"/>
    <w:rsid w:val="00F962CC"/>
    <w:rPr>
      <w:rFonts w:ascii="Cambria" w:eastAsia="Times New Roman" w:hAnsi="Cambria"/>
      <w:color w:val="272727"/>
      <w:sz w:val="21"/>
      <w:szCs w:val="21"/>
    </w:rPr>
  </w:style>
  <w:style w:type="character" w:customStyle="1" w:styleId="Heading9Char">
    <w:name w:val="Heading 9 Char"/>
    <w:basedOn w:val="DefaultParagraphFont"/>
    <w:link w:val="Heading9"/>
    <w:rsid w:val="00F962CC"/>
    <w:rPr>
      <w:rFonts w:ascii="Cambria" w:eastAsia="Times New Roman" w:hAnsi="Cambria"/>
      <w:i/>
      <w:iCs/>
      <w:color w:val="272727"/>
      <w:sz w:val="21"/>
      <w:szCs w:val="21"/>
    </w:rPr>
  </w:style>
  <w:style w:type="paragraph" w:customStyle="1" w:styleId="Label">
    <w:name w:val="Label"/>
    <w:basedOn w:val="Normal"/>
    <w:link w:val="LabelChar"/>
    <w:qFormat/>
    <w:rsid w:val="00F962CC"/>
    <w:rPr>
      <w:b/>
    </w:rPr>
  </w:style>
  <w:style w:type="paragraph" w:customStyle="1" w:styleId="Details">
    <w:name w:val="Details"/>
    <w:basedOn w:val="Label"/>
    <w:uiPriority w:val="99"/>
    <w:qFormat/>
    <w:rsid w:val="00F962CC"/>
    <w:rPr>
      <w:b w:val="0"/>
    </w:rPr>
  </w:style>
  <w:style w:type="character" w:customStyle="1" w:styleId="LabelChar">
    <w:name w:val="Label Char"/>
    <w:basedOn w:val="DefaultParagraphFont"/>
    <w:link w:val="Label"/>
    <w:uiPriority w:val="99"/>
    <w:rsid w:val="00F962CC"/>
    <w:rPr>
      <w:b/>
    </w:rPr>
  </w:style>
  <w:style w:type="paragraph" w:customStyle="1" w:styleId="bannertop">
    <w:name w:val="bannertop"/>
    <w:basedOn w:val="Normal"/>
    <w:link w:val="bannertopChar"/>
    <w:semiHidden/>
    <w:rsid w:val="00F962CC"/>
    <w:pPr>
      <w:tabs>
        <w:tab w:val="left" w:pos="2586"/>
        <w:tab w:val="left" w:pos="5279"/>
        <w:tab w:val="left" w:pos="7405"/>
      </w:tabs>
      <w:spacing w:before="113" w:after="0" w:line="240" w:lineRule="auto"/>
      <w:ind w:left="60" w:right="56"/>
    </w:pPr>
    <w:rPr>
      <w:rFonts w:ascii="Arial" w:eastAsia="Times New Roman" w:hAnsi="Arial" w:cs="Arial"/>
      <w:caps/>
      <w:color w:val="auto"/>
      <w:sz w:val="18"/>
      <w:szCs w:val="18"/>
      <w:lang w:eastAsia="en-AU"/>
    </w:rPr>
  </w:style>
  <w:style w:type="character" w:customStyle="1" w:styleId="bannertopChar">
    <w:name w:val="bannertop Char"/>
    <w:link w:val="bannertop"/>
    <w:rsid w:val="00F962CC"/>
    <w:rPr>
      <w:rFonts w:ascii="Arial" w:eastAsia="Times New Roman" w:hAnsi="Arial" w:cs="Arial"/>
      <w:caps/>
      <w:color w:val="auto"/>
      <w:sz w:val="18"/>
      <w:szCs w:val="18"/>
      <w:lang w:eastAsia="en-AU"/>
    </w:rPr>
  </w:style>
  <w:style w:type="paragraph" w:customStyle="1" w:styleId="bannertop2">
    <w:name w:val="bannertop2"/>
    <w:basedOn w:val="bannertop"/>
    <w:link w:val="bannertop2Char"/>
    <w:semiHidden/>
    <w:rsid w:val="00F962CC"/>
    <w:rPr>
      <w:sz w:val="32"/>
      <w:szCs w:val="32"/>
    </w:rPr>
  </w:style>
  <w:style w:type="character" w:customStyle="1" w:styleId="bannertop2Char">
    <w:name w:val="bannertop2 Char"/>
    <w:link w:val="bannertop2"/>
    <w:rsid w:val="00F962CC"/>
    <w:rPr>
      <w:rFonts w:ascii="Arial" w:eastAsia="Times New Roman" w:hAnsi="Arial" w:cs="Arial"/>
      <w:caps/>
      <w:color w:val="auto"/>
      <w:sz w:val="32"/>
      <w:szCs w:val="32"/>
      <w:lang w:eastAsia="en-AU"/>
    </w:rPr>
  </w:style>
  <w:style w:type="paragraph" w:customStyle="1" w:styleId="Bannertop3">
    <w:name w:val="Bannertop3"/>
    <w:basedOn w:val="bannertop"/>
    <w:semiHidden/>
    <w:rsid w:val="00F962CC"/>
    <w:pPr>
      <w:spacing w:before="0" w:after="113"/>
    </w:pPr>
    <w:rPr>
      <w:sz w:val="15"/>
      <w:szCs w:val="20"/>
    </w:rPr>
  </w:style>
  <w:style w:type="character" w:customStyle="1" w:styleId="Classification">
    <w:name w:val="Classification"/>
    <w:semiHidden/>
    <w:rsid w:val="00F962CC"/>
    <w:rPr>
      <w:caps/>
      <w:sz w:val="32"/>
      <w:szCs w:val="32"/>
      <w:lang w:val="en-AU"/>
    </w:rPr>
  </w:style>
  <w:style w:type="paragraph" w:customStyle="1" w:styleId="ReportDescription">
    <w:name w:val="ReportDescription"/>
    <w:basedOn w:val="Normal"/>
    <w:rsid w:val="00F962CC"/>
    <w:pPr>
      <w:spacing w:after="0" w:line="240" w:lineRule="auto"/>
    </w:pPr>
    <w:rPr>
      <w:rFonts w:ascii="Arial" w:eastAsia="Times New Roman" w:hAnsi="Arial"/>
      <w:color w:val="auto"/>
      <w:sz w:val="32"/>
      <w:szCs w:val="24"/>
      <w:lang w:eastAsia="en-AU"/>
    </w:rPr>
  </w:style>
  <w:style w:type="paragraph" w:customStyle="1" w:styleId="FooterPortrait">
    <w:name w:val="FooterPortrait"/>
    <w:basedOn w:val="Footer"/>
    <w:semiHidden/>
    <w:rsid w:val="00F962CC"/>
    <w:pPr>
      <w:tabs>
        <w:tab w:val="center" w:pos="1021"/>
      </w:tabs>
      <w:spacing w:after="100" w:line="240" w:lineRule="auto"/>
    </w:pPr>
    <w:rPr>
      <w:rFonts w:ascii="Arial" w:eastAsia="Times New Roman" w:hAnsi="Arial" w:cs="Arial"/>
      <w:color w:val="auto"/>
      <w:sz w:val="15"/>
      <w:szCs w:val="15"/>
      <w:lang w:eastAsia="en-AU"/>
    </w:rPr>
  </w:style>
  <w:style w:type="paragraph" w:customStyle="1" w:styleId="Instructionbullet">
    <w:name w:val="Instructionbullet"/>
    <w:basedOn w:val="Normal"/>
    <w:semiHidden/>
    <w:rsid w:val="00F962CC"/>
    <w:pPr>
      <w:numPr>
        <w:numId w:val="13"/>
      </w:numPr>
      <w:tabs>
        <w:tab w:val="left" w:pos="-1418"/>
        <w:tab w:val="left" w:pos="896"/>
      </w:tabs>
      <w:spacing w:after="60" w:line="240" w:lineRule="auto"/>
      <w:ind w:left="910"/>
    </w:pPr>
    <w:rPr>
      <w:rFonts w:ascii="Arial" w:eastAsia="Times New Roman" w:hAnsi="Arial" w:cs="Arial"/>
      <w:color w:val="auto"/>
      <w:sz w:val="22"/>
      <w:szCs w:val="22"/>
      <w:lang w:eastAsia="en-AU"/>
    </w:rPr>
  </w:style>
  <w:style w:type="character" w:styleId="PageNumber">
    <w:name w:val="page number"/>
    <w:semiHidden/>
    <w:rsid w:val="00F962CC"/>
    <w:rPr>
      <w:sz w:val="15"/>
      <w:szCs w:val="15"/>
    </w:rPr>
  </w:style>
  <w:style w:type="paragraph" w:customStyle="1" w:styleId="ClassificationFooter">
    <w:name w:val="ClassificationFooter"/>
    <w:basedOn w:val="Normal"/>
    <w:semiHidden/>
    <w:rsid w:val="00F962CC"/>
    <w:pPr>
      <w:spacing w:after="80" w:line="320" w:lineRule="exact"/>
    </w:pPr>
    <w:rPr>
      <w:rFonts w:ascii="Arial" w:eastAsia="Times New Roman" w:hAnsi="Arial"/>
      <w:caps/>
      <w:color w:val="auto"/>
      <w:sz w:val="32"/>
      <w:szCs w:val="32"/>
      <w:lang w:eastAsia="en-AU"/>
    </w:rPr>
  </w:style>
  <w:style w:type="paragraph" w:customStyle="1" w:styleId="HEADAA">
    <w:name w:val="HEAD AA"/>
    <w:basedOn w:val="Normal"/>
    <w:semiHidden/>
    <w:rsid w:val="00F962CC"/>
    <w:pPr>
      <w:spacing w:after="220" w:line="240" w:lineRule="auto"/>
      <w:ind w:right="57"/>
      <w:outlineLvl w:val="0"/>
    </w:pPr>
    <w:rPr>
      <w:rFonts w:ascii="Arial" w:eastAsia="Times New Roman" w:hAnsi="Arial" w:cs="Arial"/>
      <w:caps/>
      <w:color w:val="auto"/>
      <w:kern w:val="36"/>
      <w:sz w:val="36"/>
      <w:szCs w:val="36"/>
      <w:lang w:eastAsia="en-AU"/>
    </w:rPr>
  </w:style>
  <w:style w:type="paragraph" w:customStyle="1" w:styleId="AgendaItem">
    <w:name w:val="Agenda Item"/>
    <w:basedOn w:val="Normal"/>
    <w:semiHidden/>
    <w:rsid w:val="00F962CC"/>
    <w:pPr>
      <w:spacing w:before="120" w:after="120" w:line="240" w:lineRule="auto"/>
    </w:pPr>
    <w:rPr>
      <w:rFonts w:ascii="Arial" w:eastAsia="Times New Roman" w:hAnsi="Arial"/>
      <w:color w:val="auto"/>
      <w:sz w:val="22"/>
      <w:szCs w:val="24"/>
      <w:lang w:eastAsia="en-AU"/>
    </w:rPr>
  </w:style>
  <w:style w:type="table" w:customStyle="1" w:styleId="TableGrid10">
    <w:name w:val="Table Grid1"/>
    <w:basedOn w:val="TableNormal"/>
    <w:next w:val="TableGrid"/>
    <w:uiPriority w:val="59"/>
    <w:rsid w:val="00F962CC"/>
    <w:pPr>
      <w:spacing w:after="0" w:line="240" w:lineRule="auto"/>
    </w:pPr>
    <w:rPr>
      <w:rFonts w:ascii="Times New Roman" w:eastAsia="Times New Roman" w:hAnsi="Times New Roman"/>
      <w:color w:val="auto"/>
      <w:lang w:eastAsia="en-AU"/>
    </w:rPr>
    <w:tblPr/>
  </w:style>
  <w:style w:type="table" w:customStyle="1" w:styleId="ATOTable">
    <w:name w:val="ATOTable"/>
    <w:basedOn w:val="TableGrid"/>
    <w:rsid w:val="00F962CC"/>
    <w:pPr>
      <w:spacing w:before="60" w:after="60" w:line="240" w:lineRule="auto"/>
    </w:pPr>
    <w:rPr>
      <w:rFonts w:ascii="Times New Roman" w:eastAsia="Times New Roman" w:hAnsi="Times New Roman"/>
      <w:color w:val="auto"/>
      <w:sz w:val="20"/>
      <w:lang w:val="en-AU" w:eastAsia="en-AU"/>
    </w:rPr>
    <w:tblPr/>
  </w:style>
  <w:style w:type="paragraph" w:customStyle="1" w:styleId="ListText">
    <w:name w:val="List Text"/>
    <w:basedOn w:val="Normal"/>
    <w:link w:val="ListTextChar"/>
    <w:rsid w:val="00F962CC"/>
    <w:pPr>
      <w:spacing w:before="60" w:after="60" w:line="240" w:lineRule="auto"/>
    </w:pPr>
    <w:rPr>
      <w:rFonts w:ascii="Arial" w:eastAsia="Times New Roman" w:hAnsi="Arial"/>
      <w:color w:val="auto"/>
      <w:sz w:val="22"/>
      <w:szCs w:val="24"/>
      <w:lang w:eastAsia="en-AU"/>
    </w:rPr>
  </w:style>
  <w:style w:type="paragraph" w:customStyle="1" w:styleId="Content">
    <w:name w:val="Content"/>
    <w:basedOn w:val="Normal"/>
    <w:semiHidden/>
    <w:rsid w:val="00F962CC"/>
    <w:pPr>
      <w:spacing w:before="20" w:after="20" w:line="240" w:lineRule="auto"/>
    </w:pPr>
    <w:rPr>
      <w:rFonts w:ascii="Arial" w:eastAsia="Times New Roman" w:hAnsi="Arial" w:cs="Arial"/>
      <w:color w:val="auto"/>
      <w:szCs w:val="22"/>
      <w:lang w:eastAsia="en-AU"/>
    </w:rPr>
  </w:style>
  <w:style w:type="character" w:customStyle="1" w:styleId="DocTypeTitle">
    <w:name w:val="DocTypeTitle"/>
    <w:semiHidden/>
    <w:rsid w:val="00F962CC"/>
    <w:rPr>
      <w:sz w:val="36"/>
      <w:szCs w:val="36"/>
    </w:rPr>
  </w:style>
  <w:style w:type="paragraph" w:styleId="DocumentMap">
    <w:name w:val="Document Map"/>
    <w:basedOn w:val="Normal"/>
    <w:link w:val="DocumentMapChar"/>
    <w:semiHidden/>
    <w:rsid w:val="00F962CC"/>
    <w:pPr>
      <w:shd w:val="clear" w:color="auto" w:fill="000080"/>
      <w:spacing w:after="0" w:line="240" w:lineRule="auto"/>
    </w:pPr>
    <w:rPr>
      <w:rFonts w:ascii="Tahoma" w:eastAsia="Times New Roman" w:hAnsi="Tahoma" w:cs="Tahoma"/>
      <w:color w:val="auto"/>
      <w:lang w:eastAsia="en-AU"/>
    </w:rPr>
  </w:style>
  <w:style w:type="character" w:customStyle="1" w:styleId="DocumentMapChar">
    <w:name w:val="Document Map Char"/>
    <w:basedOn w:val="DefaultParagraphFont"/>
    <w:link w:val="DocumentMap"/>
    <w:semiHidden/>
    <w:rsid w:val="00F962CC"/>
    <w:rPr>
      <w:rFonts w:ascii="Tahoma" w:eastAsia="Times New Roman" w:hAnsi="Tahoma" w:cs="Tahoma"/>
      <w:color w:val="auto"/>
      <w:shd w:val="clear" w:color="auto" w:fill="000080"/>
      <w:lang w:eastAsia="en-AU"/>
    </w:rPr>
  </w:style>
  <w:style w:type="paragraph" w:customStyle="1" w:styleId="FileRefRow">
    <w:name w:val="FileRefRow"/>
    <w:basedOn w:val="Normal"/>
    <w:semiHidden/>
    <w:rsid w:val="00F962CC"/>
    <w:pPr>
      <w:tabs>
        <w:tab w:val="right" w:pos="8250"/>
        <w:tab w:val="right" w:pos="9299"/>
      </w:tabs>
      <w:spacing w:after="0" w:line="240" w:lineRule="auto"/>
    </w:pPr>
    <w:rPr>
      <w:rFonts w:ascii="Arial" w:eastAsia="Times New Roman" w:hAnsi="Arial"/>
      <w:caps/>
      <w:color w:val="auto"/>
      <w:sz w:val="18"/>
      <w:szCs w:val="18"/>
      <w:lang w:eastAsia="en-AU"/>
    </w:rPr>
  </w:style>
  <w:style w:type="paragraph" w:customStyle="1" w:styleId="Head4">
    <w:name w:val="Head 4"/>
    <w:basedOn w:val="Normal"/>
    <w:next w:val="Maintext"/>
    <w:link w:val="Head4Char"/>
    <w:rsid w:val="00F962CC"/>
    <w:pPr>
      <w:keepNext/>
      <w:spacing w:before="280" w:after="220" w:line="240" w:lineRule="auto"/>
      <w:outlineLvl w:val="3"/>
    </w:pPr>
    <w:rPr>
      <w:rFonts w:ascii="Arial" w:eastAsia="Times New Roman" w:hAnsi="Arial" w:cs="Arial"/>
      <w:b/>
      <w:color w:val="auto"/>
      <w:sz w:val="22"/>
      <w:szCs w:val="22"/>
      <w:lang w:eastAsia="en-AU"/>
    </w:rPr>
  </w:style>
  <w:style w:type="paragraph" w:customStyle="1" w:styleId="TitleRow">
    <w:name w:val="Title Row"/>
    <w:basedOn w:val="Normal"/>
    <w:semiHidden/>
    <w:rsid w:val="00F962CC"/>
    <w:pPr>
      <w:spacing w:before="120" w:after="120" w:line="240" w:lineRule="auto"/>
    </w:pPr>
    <w:rPr>
      <w:rFonts w:ascii="Arial" w:eastAsia="Times New Roman" w:hAnsi="Arial"/>
      <w:b/>
      <w:caps/>
      <w:color w:val="auto"/>
      <w:lang w:eastAsia="en-AU"/>
    </w:rPr>
  </w:style>
  <w:style w:type="character" w:customStyle="1" w:styleId="MaintextChar">
    <w:name w:val="Main text Char"/>
    <w:semiHidden/>
    <w:rsid w:val="00F962CC"/>
    <w:rPr>
      <w:rFonts w:ascii="Arial" w:hAnsi="Arial" w:cs="Arial"/>
      <w:kern w:val="22"/>
      <w:sz w:val="22"/>
      <w:szCs w:val="22"/>
      <w:lang w:val="en-AU" w:eastAsia="en-AU" w:bidi="ar-SA"/>
    </w:rPr>
  </w:style>
  <w:style w:type="paragraph" w:customStyle="1" w:styleId="HeadCC">
    <w:name w:val="Head CC"/>
    <w:basedOn w:val="Normal"/>
    <w:semiHidden/>
    <w:rsid w:val="00F962CC"/>
    <w:pPr>
      <w:spacing w:before="360" w:after="220" w:line="240" w:lineRule="auto"/>
      <w:outlineLvl w:val="2"/>
    </w:pPr>
    <w:rPr>
      <w:rFonts w:ascii="Arial" w:eastAsia="Times New Roman" w:hAnsi="Arial" w:cs="Arial"/>
      <w:b/>
      <w:color w:val="auto"/>
      <w:sz w:val="24"/>
      <w:szCs w:val="24"/>
      <w:lang w:eastAsia="en-AU"/>
    </w:rPr>
  </w:style>
  <w:style w:type="paragraph" w:customStyle="1" w:styleId="InstructionText">
    <w:name w:val="InstructionText"/>
    <w:basedOn w:val="Maintext"/>
    <w:semiHidden/>
    <w:rsid w:val="00F962CC"/>
    <w:pPr>
      <w:ind w:left="550" w:right="-62" w:hanging="567"/>
    </w:pPr>
    <w:rPr>
      <w:rFonts w:cs="Arial"/>
      <w:kern w:val="22"/>
      <w:szCs w:val="22"/>
    </w:rPr>
  </w:style>
  <w:style w:type="paragraph" w:customStyle="1" w:styleId="Tabletext0">
    <w:name w:val="Table text"/>
    <w:basedOn w:val="Maintext"/>
    <w:rsid w:val="00F962CC"/>
    <w:pPr>
      <w:tabs>
        <w:tab w:val="left" w:pos="2586"/>
        <w:tab w:val="left" w:pos="5279"/>
        <w:tab w:val="left" w:pos="7405"/>
      </w:tabs>
      <w:spacing w:before="60" w:after="60"/>
      <w:ind w:left="4" w:right="-62"/>
    </w:pPr>
    <w:rPr>
      <w:rFonts w:cs="Arial"/>
      <w:kern w:val="22"/>
      <w:szCs w:val="22"/>
    </w:rPr>
  </w:style>
  <w:style w:type="paragraph" w:customStyle="1" w:styleId="HeadBB">
    <w:name w:val="Head BB"/>
    <w:basedOn w:val="Normal"/>
    <w:semiHidden/>
    <w:rsid w:val="00F962CC"/>
    <w:pPr>
      <w:spacing w:before="440" w:after="220" w:line="240" w:lineRule="auto"/>
    </w:pPr>
    <w:rPr>
      <w:rFonts w:ascii="Arial" w:eastAsia="Times New Roman" w:hAnsi="Arial" w:cs="Arial"/>
      <w:b/>
      <w:caps/>
      <w:color w:val="auto"/>
      <w:kern w:val="36"/>
      <w:sz w:val="24"/>
      <w:szCs w:val="24"/>
      <w:lang w:eastAsia="en-AU"/>
    </w:rPr>
  </w:style>
  <w:style w:type="paragraph" w:customStyle="1" w:styleId="Version2">
    <w:name w:val="Version2"/>
    <w:basedOn w:val="Normal"/>
    <w:semiHidden/>
    <w:rsid w:val="00F962CC"/>
    <w:pPr>
      <w:spacing w:before="60" w:after="60" w:line="240" w:lineRule="auto"/>
      <w:ind w:left="32"/>
    </w:pPr>
    <w:rPr>
      <w:rFonts w:ascii="Arial" w:eastAsia="Times New Roman" w:hAnsi="Arial" w:cs="Arial"/>
      <w:color w:val="auto"/>
      <w:sz w:val="22"/>
      <w:szCs w:val="22"/>
      <w:lang w:eastAsia="en-AU"/>
    </w:rPr>
  </w:style>
  <w:style w:type="paragraph" w:customStyle="1" w:styleId="VersionHeadA">
    <w:name w:val="VersionHeadA"/>
    <w:basedOn w:val="Maintext"/>
    <w:semiHidden/>
    <w:rsid w:val="00F962CC"/>
    <w:pPr>
      <w:ind w:right="-62"/>
    </w:pPr>
    <w:rPr>
      <w:rFonts w:cs="Arial"/>
      <w:kern w:val="22"/>
      <w:sz w:val="36"/>
      <w:szCs w:val="36"/>
    </w:rPr>
  </w:style>
  <w:style w:type="paragraph" w:customStyle="1" w:styleId="VersionHeadTop">
    <w:name w:val="VersionHeadTop"/>
    <w:basedOn w:val="VersionHead"/>
    <w:semiHidden/>
    <w:rsid w:val="00F962CC"/>
    <w:pPr>
      <w:spacing w:before="0"/>
    </w:pPr>
  </w:style>
  <w:style w:type="paragraph" w:customStyle="1" w:styleId="Version3">
    <w:name w:val="Version3"/>
    <w:basedOn w:val="Maintext"/>
    <w:semiHidden/>
    <w:rsid w:val="00F962CC"/>
    <w:pPr>
      <w:ind w:right="-62" w:firstLine="142"/>
    </w:pPr>
    <w:rPr>
      <w:rFonts w:cs="Arial"/>
      <w:b/>
      <w:kern w:val="22"/>
      <w:sz w:val="24"/>
    </w:rPr>
  </w:style>
  <w:style w:type="numbering" w:styleId="111111">
    <w:name w:val="Outline List 2"/>
    <w:basedOn w:val="NoList"/>
    <w:uiPriority w:val="99"/>
    <w:semiHidden/>
    <w:rsid w:val="00F962CC"/>
    <w:pPr>
      <w:numPr>
        <w:numId w:val="3"/>
      </w:numPr>
    </w:pPr>
  </w:style>
  <w:style w:type="numbering" w:styleId="1ai">
    <w:name w:val="Outline List 1"/>
    <w:basedOn w:val="NoList"/>
    <w:semiHidden/>
    <w:rsid w:val="00F962CC"/>
    <w:pPr>
      <w:numPr>
        <w:numId w:val="4"/>
      </w:numPr>
    </w:pPr>
  </w:style>
  <w:style w:type="numbering" w:styleId="ArticleSection">
    <w:name w:val="Outline List 3"/>
    <w:basedOn w:val="NoList"/>
    <w:semiHidden/>
    <w:rsid w:val="00F962CC"/>
  </w:style>
  <w:style w:type="paragraph" w:customStyle="1" w:styleId="FooterLandscape">
    <w:name w:val="FooterLandscape"/>
    <w:basedOn w:val="Footer"/>
    <w:semiHidden/>
    <w:rsid w:val="00F962CC"/>
    <w:pPr>
      <w:tabs>
        <w:tab w:val="center" w:pos="3487"/>
      </w:tabs>
      <w:spacing w:after="100" w:line="240" w:lineRule="auto"/>
    </w:pPr>
    <w:rPr>
      <w:rFonts w:ascii="Arial" w:eastAsia="Times New Roman" w:hAnsi="Arial" w:cs="Arial"/>
      <w:color w:val="auto"/>
      <w:sz w:val="15"/>
      <w:szCs w:val="15"/>
      <w:lang w:eastAsia="en-AU"/>
    </w:rPr>
  </w:style>
  <w:style w:type="character" w:customStyle="1" w:styleId="TOC2Char1">
    <w:name w:val="TOC 2 Char1"/>
    <w:link w:val="TOC2"/>
    <w:rsid w:val="00F962CC"/>
    <w:rPr>
      <w:rFonts w:ascii="Inter SemiBold" w:eastAsiaTheme="majorEastAsia" w:hAnsi="Inter SemiBold" w:cstheme="majorBidi"/>
      <w:spacing w:val="-4"/>
      <w:szCs w:val="26"/>
    </w:rPr>
  </w:style>
  <w:style w:type="character" w:customStyle="1" w:styleId="TOC3Char1">
    <w:name w:val="TOC 3 Char1"/>
    <w:link w:val="TOC3"/>
    <w:rsid w:val="00F962CC"/>
    <w:rPr>
      <w:rFonts w:eastAsiaTheme="majorEastAsia" w:cstheme="majorBidi"/>
      <w:spacing w:val="-4"/>
      <w:szCs w:val="26"/>
    </w:rPr>
  </w:style>
  <w:style w:type="character" w:customStyle="1" w:styleId="TOC4Char1">
    <w:name w:val="TOC 4 Char1"/>
    <w:link w:val="TOC4"/>
    <w:rsid w:val="00F962CC"/>
  </w:style>
  <w:style w:type="table" w:customStyle="1" w:styleId="ATOStructure">
    <w:name w:val="ATOStructure"/>
    <w:basedOn w:val="TableNormal"/>
    <w:rsid w:val="00F962CC"/>
    <w:pPr>
      <w:spacing w:after="0" w:line="240" w:lineRule="auto"/>
    </w:pPr>
    <w:rPr>
      <w:rFonts w:ascii="Times New Roman" w:eastAsia="Times New Roman" w:hAnsi="Times New Roman"/>
      <w:color w:val="auto"/>
      <w:lang w:eastAsia="en-AU"/>
    </w:rPr>
    <w:tblPr/>
  </w:style>
  <w:style w:type="paragraph" w:customStyle="1" w:styleId="Char">
    <w:name w:val="Char"/>
    <w:basedOn w:val="Normal"/>
    <w:rsid w:val="00F962CC"/>
    <w:pPr>
      <w:spacing w:after="160" w:line="240" w:lineRule="exact"/>
    </w:pPr>
    <w:rPr>
      <w:rFonts w:ascii="Verdana" w:eastAsia="Times New Roman" w:hAnsi="Verdana"/>
      <w:color w:val="auto"/>
      <w:sz w:val="21"/>
      <w:lang w:val="en-US"/>
    </w:rPr>
  </w:style>
  <w:style w:type="paragraph" w:customStyle="1" w:styleId="Default">
    <w:name w:val="Default"/>
    <w:rsid w:val="00F962CC"/>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Normal11pt">
    <w:name w:val="Normal + 11 pt"/>
    <w:aliases w:val="Black"/>
    <w:basedOn w:val="Default"/>
    <w:rsid w:val="00F962CC"/>
    <w:pPr>
      <w:numPr>
        <w:numId w:val="6"/>
      </w:numPr>
    </w:pPr>
    <w:rPr>
      <w:sz w:val="22"/>
      <w:szCs w:val="22"/>
    </w:rPr>
  </w:style>
  <w:style w:type="paragraph" w:styleId="NormalIndent">
    <w:name w:val="Normal Indent"/>
    <w:basedOn w:val="Default"/>
    <w:next w:val="Default"/>
    <w:rsid w:val="00F962CC"/>
    <w:pPr>
      <w:spacing w:before="200"/>
    </w:pPr>
    <w:rPr>
      <w:rFonts w:cs="Times New Roman"/>
      <w:color w:val="auto"/>
    </w:rPr>
  </w:style>
  <w:style w:type="paragraph" w:styleId="BodyTextIndent">
    <w:name w:val="Body Text Indent"/>
    <w:basedOn w:val="Default"/>
    <w:next w:val="Default"/>
    <w:link w:val="BodyTextIndentChar"/>
    <w:rsid w:val="00F962CC"/>
    <w:pPr>
      <w:spacing w:before="200"/>
    </w:pPr>
    <w:rPr>
      <w:rFonts w:cs="Times New Roman"/>
      <w:color w:val="auto"/>
    </w:rPr>
  </w:style>
  <w:style w:type="character" w:customStyle="1" w:styleId="BodyTextIndentChar">
    <w:name w:val="Body Text Indent Char"/>
    <w:basedOn w:val="DefaultParagraphFont"/>
    <w:link w:val="BodyTextIndent"/>
    <w:rsid w:val="00F962CC"/>
    <w:rPr>
      <w:rFonts w:ascii="Arial" w:eastAsia="Times New Roman" w:hAnsi="Arial"/>
      <w:color w:val="auto"/>
      <w:sz w:val="24"/>
      <w:szCs w:val="24"/>
      <w:lang w:eastAsia="en-AU"/>
    </w:rPr>
  </w:style>
  <w:style w:type="paragraph" w:customStyle="1" w:styleId="RecordDescription">
    <w:name w:val="Record Description"/>
    <w:basedOn w:val="Default"/>
    <w:next w:val="Default"/>
    <w:rsid w:val="00F962CC"/>
    <w:pPr>
      <w:spacing w:before="20" w:after="20"/>
    </w:pPr>
    <w:rPr>
      <w:rFonts w:cs="Times New Roman"/>
      <w:color w:val="auto"/>
    </w:rPr>
  </w:style>
  <w:style w:type="paragraph" w:customStyle="1" w:styleId="Nromal">
    <w:name w:val="Nromal"/>
    <w:basedOn w:val="Default"/>
    <w:next w:val="Default"/>
    <w:rsid w:val="00F962CC"/>
    <w:pPr>
      <w:spacing w:before="40" w:after="96"/>
    </w:pPr>
    <w:rPr>
      <w:rFonts w:cs="Times New Roman"/>
      <w:color w:val="auto"/>
    </w:rPr>
  </w:style>
  <w:style w:type="paragraph" w:styleId="BodyTextIndent3">
    <w:name w:val="Body Text Indent 3"/>
    <w:basedOn w:val="Default"/>
    <w:next w:val="Default"/>
    <w:link w:val="BodyTextIndent3Char"/>
    <w:rsid w:val="00F962CC"/>
    <w:pPr>
      <w:spacing w:before="200"/>
    </w:pPr>
    <w:rPr>
      <w:rFonts w:cs="Times New Roman"/>
      <w:color w:val="auto"/>
    </w:rPr>
  </w:style>
  <w:style w:type="character" w:customStyle="1" w:styleId="BodyTextIndent3Char">
    <w:name w:val="Body Text Indent 3 Char"/>
    <w:basedOn w:val="DefaultParagraphFont"/>
    <w:link w:val="BodyTextIndent3"/>
    <w:rsid w:val="00F962CC"/>
    <w:rPr>
      <w:rFonts w:ascii="Arial" w:eastAsia="Times New Roman" w:hAnsi="Arial"/>
      <w:color w:val="auto"/>
      <w:sz w:val="24"/>
      <w:szCs w:val="24"/>
      <w:lang w:eastAsia="en-AU"/>
    </w:rPr>
  </w:style>
  <w:style w:type="paragraph" w:customStyle="1" w:styleId="Char2">
    <w:name w:val="Char2"/>
    <w:basedOn w:val="Normal"/>
    <w:rsid w:val="00F962CC"/>
    <w:pPr>
      <w:spacing w:after="160" w:line="240" w:lineRule="exact"/>
    </w:pPr>
    <w:rPr>
      <w:rFonts w:ascii="Verdana" w:eastAsia="Times New Roman" w:hAnsi="Verdana"/>
      <w:color w:val="auto"/>
      <w:sz w:val="21"/>
      <w:lang w:val="en-US"/>
    </w:rPr>
  </w:style>
  <w:style w:type="paragraph" w:styleId="TOC9">
    <w:name w:val="toc 9"/>
    <w:basedOn w:val="Normal"/>
    <w:next w:val="Normal"/>
    <w:autoRedefine/>
    <w:uiPriority w:val="39"/>
    <w:rsid w:val="00F962CC"/>
    <w:pPr>
      <w:spacing w:after="0" w:line="240" w:lineRule="auto"/>
      <w:ind w:left="1920"/>
    </w:pPr>
    <w:rPr>
      <w:rFonts w:ascii="Times New Roman" w:eastAsia="Times New Roman" w:hAnsi="Times New Roman"/>
      <w:color w:val="auto"/>
      <w:sz w:val="24"/>
      <w:szCs w:val="24"/>
      <w:lang w:eastAsia="en-AU"/>
    </w:rPr>
  </w:style>
  <w:style w:type="character" w:customStyle="1" w:styleId="Head2Char1">
    <w:name w:val="Head 2 Char1"/>
    <w:rsid w:val="00F962CC"/>
    <w:rPr>
      <w:rFonts w:ascii="Arial" w:hAnsi="Arial" w:cs="Arial"/>
      <w:b/>
      <w:caps/>
      <w:kern w:val="36"/>
      <w:sz w:val="24"/>
      <w:szCs w:val="24"/>
      <w:lang w:val="en-AU" w:eastAsia="en-AU" w:bidi="ar-SA"/>
    </w:rPr>
  </w:style>
  <w:style w:type="character" w:customStyle="1" w:styleId="Bullet1Char1">
    <w:name w:val="Bullet 1 Char1"/>
    <w:rsid w:val="00F962CC"/>
    <w:rPr>
      <w:rFonts w:ascii="Arial" w:hAnsi="Arial"/>
      <w:sz w:val="22"/>
      <w:szCs w:val="24"/>
      <w:lang w:val="en-AU" w:eastAsia="en-AU" w:bidi="ar-SA"/>
    </w:rPr>
  </w:style>
  <w:style w:type="character" w:customStyle="1" w:styleId="MaintextChar1">
    <w:name w:val="Main text Char1"/>
    <w:rsid w:val="00F962CC"/>
    <w:rPr>
      <w:rFonts w:ascii="Arial" w:hAnsi="Arial"/>
      <w:sz w:val="22"/>
      <w:szCs w:val="24"/>
      <w:lang w:val="en-AU" w:eastAsia="en-AU" w:bidi="ar-SA"/>
    </w:rPr>
  </w:style>
  <w:style w:type="character" w:styleId="Emphasis">
    <w:name w:val="Emphasis"/>
    <w:qFormat/>
    <w:rsid w:val="00F962CC"/>
    <w:rPr>
      <w:i/>
      <w:iCs/>
    </w:rPr>
  </w:style>
  <w:style w:type="paragraph" w:customStyle="1" w:styleId="maintext0">
    <w:name w:val="maintext"/>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TOC2Char">
    <w:name w:val="TOC 2 Char"/>
    <w:uiPriority w:val="39"/>
    <w:rsid w:val="00F962CC"/>
    <w:rPr>
      <w:rFonts w:ascii="Arial" w:hAnsi="Arial" w:cs="Arial"/>
      <w:sz w:val="22"/>
      <w:szCs w:val="22"/>
      <w:lang w:val="en-AU" w:eastAsia="en-AU" w:bidi="ar-SA"/>
    </w:rPr>
  </w:style>
  <w:style w:type="character" w:customStyle="1" w:styleId="TOC3Char">
    <w:name w:val="TOC 3 Char"/>
    <w:uiPriority w:val="39"/>
    <w:rsid w:val="00F962CC"/>
    <w:rPr>
      <w:rFonts w:ascii="Arial" w:hAnsi="Arial" w:cs="Arial"/>
      <w:noProof/>
      <w:sz w:val="22"/>
      <w:szCs w:val="22"/>
      <w:lang w:val="en-AU" w:eastAsia="en-AU" w:bidi="ar-SA"/>
    </w:rPr>
  </w:style>
  <w:style w:type="character" w:customStyle="1" w:styleId="TOC4Char">
    <w:name w:val="TOC 4 Char"/>
    <w:rsid w:val="00F962CC"/>
    <w:rPr>
      <w:rFonts w:ascii="Arial" w:hAnsi="Arial" w:cs="Arial"/>
      <w:sz w:val="22"/>
      <w:szCs w:val="22"/>
      <w:lang w:val="en-AU" w:eastAsia="en-AU" w:bidi="ar-SA"/>
    </w:rPr>
  </w:style>
  <w:style w:type="character" w:customStyle="1" w:styleId="CharChar3">
    <w:name w:val="Char Char3"/>
    <w:rsid w:val="00F962CC"/>
    <w:rPr>
      <w:rFonts w:ascii="Arial" w:hAnsi="Arial" w:cs="Arial"/>
      <w:noProof/>
      <w:sz w:val="22"/>
      <w:szCs w:val="22"/>
      <w:lang w:val="en-AU" w:eastAsia="en-AU" w:bidi="ar-SA"/>
    </w:rPr>
  </w:style>
  <w:style w:type="character" w:customStyle="1" w:styleId="ListTextChar">
    <w:name w:val="List Text Char"/>
    <w:link w:val="ListText"/>
    <w:rsid w:val="00F962CC"/>
    <w:rPr>
      <w:rFonts w:ascii="Arial" w:eastAsia="Times New Roman" w:hAnsi="Arial"/>
      <w:color w:val="auto"/>
      <w:sz w:val="22"/>
      <w:szCs w:val="24"/>
      <w:lang w:eastAsia="en-AU"/>
    </w:rPr>
  </w:style>
  <w:style w:type="paragraph" w:styleId="NormalWeb">
    <w:name w:val="Normal (Web)"/>
    <w:basedOn w:val="Normal"/>
    <w:link w:val="NormalWebChar"/>
    <w:uiPriority w:val="99"/>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Head4Char">
    <w:name w:val="Head 4 Char"/>
    <w:link w:val="Head4"/>
    <w:rsid w:val="00F962CC"/>
    <w:rPr>
      <w:rFonts w:ascii="Arial" w:eastAsia="Times New Roman" w:hAnsi="Arial" w:cs="Arial"/>
      <w:b/>
      <w:color w:val="auto"/>
      <w:sz w:val="22"/>
      <w:szCs w:val="22"/>
      <w:lang w:eastAsia="en-AU"/>
    </w:rPr>
  </w:style>
  <w:style w:type="paragraph" w:customStyle="1" w:styleId="head10">
    <w:name w:val="head1"/>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01Iconbody">
    <w:name w:val="01 Icon body"/>
    <w:basedOn w:val="Normal"/>
    <w:rsid w:val="00F962CC"/>
    <w:pPr>
      <w:widowControl w:val="0"/>
      <w:suppressAutoHyphens/>
      <w:autoSpaceDE w:val="0"/>
      <w:autoSpaceDN w:val="0"/>
      <w:adjustRightInd w:val="0"/>
      <w:spacing w:after="113" w:line="220" w:lineRule="atLeast"/>
      <w:textAlignment w:val="baseline"/>
    </w:pPr>
    <w:rPr>
      <w:rFonts w:ascii="HelveticaNeue-Light" w:eastAsia="Times New Roman" w:hAnsi="HelveticaNeue-Light" w:cs="HelveticaNeue-Light"/>
      <w:color w:val="000000"/>
      <w:position w:val="6"/>
      <w:sz w:val="19"/>
      <w:szCs w:val="19"/>
      <w:lang w:val="en-GB"/>
    </w:rPr>
  </w:style>
  <w:style w:type="paragraph" w:customStyle="1" w:styleId="01Bodynospaceafter">
    <w:name w:val="01 Body no space after"/>
    <w:basedOn w:val="Normal"/>
    <w:rsid w:val="00F962CC"/>
    <w:pPr>
      <w:widowControl w:val="0"/>
      <w:suppressAutoHyphens/>
      <w:autoSpaceDE w:val="0"/>
      <w:autoSpaceDN w:val="0"/>
      <w:adjustRightInd w:val="0"/>
      <w:spacing w:after="28" w:line="220" w:lineRule="atLeast"/>
      <w:textAlignment w:val="baseline"/>
    </w:pPr>
    <w:rPr>
      <w:rFonts w:ascii="HelveticaNeue-Light" w:eastAsia="Times New Roman" w:hAnsi="HelveticaNeue-Light" w:cs="HelveticaNeue-Light"/>
      <w:color w:val="000000"/>
      <w:sz w:val="19"/>
      <w:szCs w:val="19"/>
      <w:lang w:val="en-GB"/>
    </w:rPr>
  </w:style>
  <w:style w:type="paragraph" w:customStyle="1" w:styleId="01Bullet1">
    <w:name w:val="01 Bullet 1"/>
    <w:basedOn w:val="Normal"/>
    <w:rsid w:val="00F962CC"/>
    <w:pPr>
      <w:widowControl w:val="0"/>
      <w:suppressAutoHyphens/>
      <w:autoSpaceDE w:val="0"/>
      <w:autoSpaceDN w:val="0"/>
      <w:adjustRightInd w:val="0"/>
      <w:spacing w:after="28" w:line="220" w:lineRule="atLeast"/>
      <w:ind w:left="170" w:hanging="170"/>
      <w:textAlignment w:val="baseline"/>
    </w:pPr>
    <w:rPr>
      <w:rFonts w:ascii="HelveticaNeue-Light" w:eastAsia="Times New Roman" w:hAnsi="HelveticaNeue-Light" w:cs="HelveticaNeue-Light"/>
      <w:color w:val="000000"/>
      <w:sz w:val="19"/>
      <w:szCs w:val="19"/>
      <w:lang w:val="en-GB"/>
    </w:rPr>
  </w:style>
  <w:style w:type="paragraph" w:customStyle="1" w:styleId="01Bullet1spaceafter">
    <w:name w:val="01 Bullet 1 space after"/>
    <w:basedOn w:val="01Bullet1"/>
    <w:rsid w:val="00F962CC"/>
    <w:pPr>
      <w:spacing w:after="113"/>
    </w:pPr>
  </w:style>
  <w:style w:type="character" w:customStyle="1" w:styleId="01Bullet">
    <w:name w:val="01 Bullet"/>
    <w:rsid w:val="00F962CC"/>
    <w:rPr>
      <w:rFonts w:ascii="ZapfDingbatsITC" w:hAnsi="ZapfDingbatsITC"/>
      <w:color w:val="000000"/>
      <w:sz w:val="14"/>
    </w:rPr>
  </w:style>
  <w:style w:type="paragraph" w:customStyle="1" w:styleId="01Body">
    <w:name w:val="01 Body"/>
    <w:basedOn w:val="Normal"/>
    <w:rsid w:val="00F962CC"/>
    <w:pPr>
      <w:widowControl w:val="0"/>
      <w:suppressAutoHyphens/>
      <w:autoSpaceDE w:val="0"/>
      <w:autoSpaceDN w:val="0"/>
      <w:adjustRightInd w:val="0"/>
      <w:spacing w:after="113" w:line="220" w:lineRule="atLeast"/>
      <w:textAlignment w:val="baseline"/>
    </w:pPr>
    <w:rPr>
      <w:rFonts w:ascii="HelveticaNeue-Light" w:eastAsia="Times New Roman" w:hAnsi="HelveticaNeue-Light" w:cs="HelveticaNeue-Light"/>
      <w:color w:val="000000"/>
      <w:sz w:val="19"/>
      <w:szCs w:val="19"/>
      <w:lang w:val="en-GB"/>
    </w:rPr>
  </w:style>
  <w:style w:type="character" w:customStyle="1" w:styleId="01Bodybold">
    <w:name w:val="01 Body bold"/>
    <w:rsid w:val="00F962CC"/>
    <w:rPr>
      <w:rFonts w:ascii="HelveticaNeue-Medium" w:hAnsi="HelveticaNeue-Medium"/>
    </w:rPr>
  </w:style>
  <w:style w:type="paragraph" w:customStyle="1" w:styleId="01iconbody0">
    <w:name w:val="01iconbody"/>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Strong">
    <w:name w:val="Strong"/>
    <w:uiPriority w:val="22"/>
    <w:qFormat/>
    <w:rsid w:val="00F962CC"/>
    <w:rPr>
      <w:b/>
      <w:bCs/>
    </w:rPr>
  </w:style>
  <w:style w:type="character" w:customStyle="1" w:styleId="maintextcharchar0">
    <w:name w:val="maintextcharchar"/>
    <w:basedOn w:val="DefaultParagraphFont"/>
    <w:rsid w:val="00F962CC"/>
  </w:style>
  <w:style w:type="character" w:customStyle="1" w:styleId="msoins0">
    <w:name w:val="msoins"/>
    <w:basedOn w:val="DefaultParagraphFont"/>
    <w:rsid w:val="00F962CC"/>
  </w:style>
  <w:style w:type="paragraph" w:customStyle="1" w:styleId="paragraph">
    <w:name w:val="paragraph"/>
    <w:aliases w:val="a"/>
    <w:basedOn w:val="Normal"/>
    <w:link w:val="paragraphChar"/>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paragraphChar">
    <w:name w:val="paragraph Char"/>
    <w:aliases w:val="a Char"/>
    <w:link w:val="paragraph"/>
    <w:rsid w:val="00F962CC"/>
    <w:rPr>
      <w:rFonts w:ascii="Times New Roman" w:eastAsia="Times New Roman" w:hAnsi="Times New Roman"/>
      <w:color w:val="auto"/>
      <w:sz w:val="24"/>
      <w:szCs w:val="24"/>
      <w:lang w:eastAsia="en-AU"/>
    </w:rPr>
  </w:style>
  <w:style w:type="paragraph" w:customStyle="1" w:styleId="head20">
    <w:name w:val="head2"/>
    <w:basedOn w:val="Normal"/>
    <w:rsid w:val="00F962CC"/>
    <w:pPr>
      <w:spacing w:before="120" w:after="60" w:line="240" w:lineRule="atLeast"/>
    </w:pPr>
    <w:rPr>
      <w:rFonts w:ascii="Arial" w:eastAsia="Times New Roman" w:hAnsi="Arial"/>
      <w:b/>
      <w:color w:val="0000FF"/>
      <w:lang w:eastAsia="en-AU"/>
    </w:rPr>
  </w:style>
  <w:style w:type="paragraph" w:customStyle="1" w:styleId="paratext">
    <w:name w:val="paratext"/>
    <w:basedOn w:val="Normal"/>
    <w:rsid w:val="00F962CC"/>
    <w:pPr>
      <w:spacing w:after="0" w:line="240" w:lineRule="auto"/>
      <w:ind w:left="709" w:hanging="709"/>
    </w:pPr>
    <w:rPr>
      <w:rFonts w:ascii="Times New Roman" w:eastAsia="Times New Roman" w:hAnsi="Times New Roman"/>
      <w:color w:val="auto"/>
      <w:sz w:val="24"/>
      <w:lang w:eastAsia="en-AU"/>
    </w:rPr>
  </w:style>
  <w:style w:type="paragraph" w:styleId="Index1">
    <w:name w:val="index 1"/>
    <w:basedOn w:val="Normal"/>
    <w:next w:val="Normal"/>
    <w:autoRedefine/>
    <w:rsid w:val="00F962CC"/>
    <w:pPr>
      <w:spacing w:after="0" w:line="240" w:lineRule="auto"/>
      <w:ind w:left="220" w:hanging="220"/>
    </w:pPr>
    <w:rPr>
      <w:rFonts w:ascii="Arial" w:eastAsia="Times New Roman" w:hAnsi="Arial"/>
      <w:color w:val="auto"/>
      <w:sz w:val="22"/>
      <w:szCs w:val="24"/>
      <w:lang w:eastAsia="en-AU"/>
    </w:rPr>
  </w:style>
  <w:style w:type="paragraph" w:styleId="IndexHeading">
    <w:name w:val="index heading"/>
    <w:basedOn w:val="Normal"/>
    <w:next w:val="Index1"/>
    <w:rsid w:val="00F962CC"/>
    <w:pPr>
      <w:spacing w:after="0" w:line="240" w:lineRule="auto"/>
    </w:pPr>
    <w:rPr>
      <w:rFonts w:ascii="Times New Roman" w:eastAsia="Times New Roman" w:hAnsi="Times New Roman"/>
      <w:color w:val="auto"/>
      <w:sz w:val="24"/>
      <w:lang w:eastAsia="en-AU"/>
    </w:rPr>
  </w:style>
  <w:style w:type="paragraph" w:styleId="BodyText">
    <w:name w:val="Body Text"/>
    <w:basedOn w:val="Normal"/>
    <w:link w:val="BodyTextChar"/>
    <w:rsid w:val="00F962CC"/>
    <w:pPr>
      <w:spacing w:before="120" w:after="0" w:line="240" w:lineRule="auto"/>
    </w:pPr>
    <w:rPr>
      <w:rFonts w:ascii="Arial" w:eastAsia="Times New Roman" w:hAnsi="Arial"/>
      <w:color w:val="auto"/>
      <w:lang w:eastAsia="en-AU"/>
    </w:rPr>
  </w:style>
  <w:style w:type="character" w:customStyle="1" w:styleId="BodyTextChar">
    <w:name w:val="Body Text Char"/>
    <w:basedOn w:val="DefaultParagraphFont"/>
    <w:link w:val="BodyText"/>
    <w:rsid w:val="00F962CC"/>
    <w:rPr>
      <w:rFonts w:ascii="Arial" w:eastAsia="Times New Roman" w:hAnsi="Arial"/>
      <w:color w:val="auto"/>
      <w:lang w:eastAsia="en-AU"/>
    </w:rPr>
  </w:style>
  <w:style w:type="paragraph" w:customStyle="1" w:styleId="PageNumber1">
    <w:name w:val="Page Number1"/>
    <w:basedOn w:val="Normal"/>
    <w:rsid w:val="00F962CC"/>
    <w:pPr>
      <w:spacing w:after="0" w:line="240" w:lineRule="auto"/>
    </w:pPr>
    <w:rPr>
      <w:rFonts w:ascii="newyork" w:eastAsia="Times New Roman" w:hAnsi="newyork"/>
      <w:color w:val="auto"/>
      <w:sz w:val="24"/>
      <w:lang w:val="en-GB" w:eastAsia="en-AU"/>
    </w:rPr>
  </w:style>
  <w:style w:type="paragraph" w:customStyle="1" w:styleId="bold">
    <w:name w:val="bold"/>
    <w:basedOn w:val="Normal"/>
    <w:rsid w:val="00F962CC"/>
    <w:pPr>
      <w:spacing w:after="0" w:line="240" w:lineRule="auto"/>
    </w:pPr>
    <w:rPr>
      <w:rFonts w:ascii="Times" w:eastAsia="Times New Roman" w:hAnsi="Times"/>
      <w:color w:val="auto"/>
      <w:sz w:val="16"/>
      <w:lang w:val="en-GB" w:eastAsia="en-AU"/>
    </w:rPr>
  </w:style>
  <w:style w:type="paragraph" w:customStyle="1" w:styleId="ind">
    <w:name w:val="ind"/>
    <w:basedOn w:val="Normal"/>
    <w:rsid w:val="00F962CC"/>
    <w:pPr>
      <w:tabs>
        <w:tab w:val="right" w:pos="7920"/>
        <w:tab w:val="right" w:pos="8860"/>
      </w:tabs>
      <w:spacing w:after="0" w:line="240" w:lineRule="auto"/>
    </w:pPr>
    <w:rPr>
      <w:rFonts w:ascii="Palatino" w:eastAsia="Times New Roman" w:hAnsi="Palatino"/>
      <w:color w:val="000000"/>
      <w:lang w:val="en-GB" w:eastAsia="en-AU"/>
    </w:rPr>
  </w:style>
  <w:style w:type="paragraph" w:customStyle="1" w:styleId="ind1">
    <w:name w:val="ind1"/>
    <w:basedOn w:val="ind"/>
    <w:rsid w:val="00F962CC"/>
    <w:pPr>
      <w:ind w:left="311"/>
    </w:pPr>
  </w:style>
  <w:style w:type="paragraph" w:customStyle="1" w:styleId="ind2">
    <w:name w:val="ind2"/>
    <w:basedOn w:val="ind1"/>
    <w:rsid w:val="00F962CC"/>
    <w:pPr>
      <w:tabs>
        <w:tab w:val="left" w:pos="6832"/>
        <w:tab w:val="left" w:pos="8051"/>
      </w:tabs>
    </w:pPr>
  </w:style>
  <w:style w:type="paragraph" w:customStyle="1" w:styleId="ind3">
    <w:name w:val="ind3"/>
    <w:basedOn w:val="ind1"/>
    <w:rsid w:val="00F962CC"/>
    <w:pPr>
      <w:tabs>
        <w:tab w:val="right" w:pos="8391"/>
      </w:tabs>
    </w:pPr>
  </w:style>
  <w:style w:type="paragraph" w:customStyle="1" w:styleId="heading">
    <w:name w:val="heading"/>
    <w:basedOn w:val="Normal"/>
    <w:rsid w:val="00F962CC"/>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spacing w:after="0" w:line="240" w:lineRule="auto"/>
    </w:pPr>
    <w:rPr>
      <w:rFonts w:ascii="Palatino" w:eastAsia="Times New Roman" w:hAnsi="Palatino"/>
      <w:color w:val="000000"/>
      <w:lang w:val="en-GB" w:eastAsia="en-AU"/>
    </w:rPr>
  </w:style>
  <w:style w:type="paragraph" w:customStyle="1" w:styleId="bracket">
    <w:name w:val="bracket"/>
    <w:basedOn w:val="ind1"/>
    <w:rsid w:val="00F962CC"/>
    <w:rPr>
      <w:i/>
      <w:sz w:val="18"/>
    </w:rPr>
  </w:style>
  <w:style w:type="paragraph" w:customStyle="1" w:styleId="example">
    <w:name w:val="example"/>
    <w:basedOn w:val="Normal"/>
    <w:rsid w:val="00F962CC"/>
    <w:pPr>
      <w:spacing w:before="60" w:after="0" w:line="240" w:lineRule="auto"/>
      <w:ind w:left="851" w:hanging="851"/>
    </w:pPr>
    <w:rPr>
      <w:rFonts w:ascii="Times New Roman" w:eastAsia="Times New Roman" w:hAnsi="Times New Roman"/>
      <w:color w:val="auto"/>
      <w:lang w:eastAsia="en-AU"/>
    </w:rPr>
  </w:style>
  <w:style w:type="paragraph" w:customStyle="1" w:styleId="LB">
    <w:name w:val="LB"/>
    <w:rsid w:val="00F962CC"/>
    <w:pPr>
      <w:keepLines/>
      <w:spacing w:before="384" w:after="278" w:line="360" w:lineRule="atLeast"/>
    </w:pPr>
    <w:rPr>
      <w:rFonts w:ascii="timesroman" w:eastAsia="Times New Roman" w:hAnsi="timesroman"/>
      <w:color w:val="auto"/>
      <w:sz w:val="24"/>
      <w:lang w:val="en-GB" w:eastAsia="en-AU"/>
    </w:rPr>
  </w:style>
  <w:style w:type="paragraph" w:styleId="BodyText2">
    <w:name w:val="Body Text 2"/>
    <w:basedOn w:val="Normal"/>
    <w:link w:val="BodyText2Char"/>
    <w:rsid w:val="00F962CC"/>
    <w:pPr>
      <w:spacing w:after="0" w:line="240" w:lineRule="auto"/>
    </w:pPr>
    <w:rPr>
      <w:rFonts w:ascii="Arial" w:eastAsia="Times New Roman" w:hAnsi="Arial"/>
      <w:color w:val="auto"/>
      <w:sz w:val="18"/>
      <w:lang w:eastAsia="en-AU"/>
    </w:rPr>
  </w:style>
  <w:style w:type="character" w:customStyle="1" w:styleId="BodyText2Char">
    <w:name w:val="Body Text 2 Char"/>
    <w:basedOn w:val="DefaultParagraphFont"/>
    <w:link w:val="BodyText2"/>
    <w:rsid w:val="00F962CC"/>
    <w:rPr>
      <w:rFonts w:ascii="Arial" w:eastAsia="Times New Roman" w:hAnsi="Arial"/>
      <w:color w:val="auto"/>
      <w:sz w:val="18"/>
      <w:lang w:eastAsia="en-AU"/>
    </w:rPr>
  </w:style>
  <w:style w:type="paragraph" w:styleId="BodyTextIndent2">
    <w:name w:val="Body Text Indent 2"/>
    <w:basedOn w:val="Normal"/>
    <w:link w:val="BodyTextIndent2Char"/>
    <w:rsid w:val="00F962CC"/>
    <w:pPr>
      <w:spacing w:after="0" w:line="240" w:lineRule="auto"/>
      <w:ind w:left="709"/>
    </w:pPr>
    <w:rPr>
      <w:rFonts w:ascii="Times New Roman" w:eastAsia="Times New Roman" w:hAnsi="Times New Roman"/>
      <w:color w:val="auto"/>
      <w:sz w:val="24"/>
      <w:lang w:eastAsia="en-AU"/>
    </w:rPr>
  </w:style>
  <w:style w:type="character" w:customStyle="1" w:styleId="BodyTextIndent2Char">
    <w:name w:val="Body Text Indent 2 Char"/>
    <w:basedOn w:val="DefaultParagraphFont"/>
    <w:link w:val="BodyTextIndent2"/>
    <w:rsid w:val="00F962CC"/>
    <w:rPr>
      <w:rFonts w:ascii="Times New Roman" w:eastAsia="Times New Roman" w:hAnsi="Times New Roman"/>
      <w:color w:val="auto"/>
      <w:sz w:val="24"/>
      <w:lang w:eastAsia="en-AU"/>
    </w:rPr>
  </w:style>
  <w:style w:type="paragraph" w:customStyle="1" w:styleId="head30">
    <w:name w:val="head3"/>
    <w:basedOn w:val="Normal"/>
    <w:rsid w:val="00F962CC"/>
    <w:pPr>
      <w:spacing w:before="360" w:after="120" w:line="240" w:lineRule="auto"/>
    </w:pPr>
    <w:rPr>
      <w:rFonts w:ascii="Arial" w:eastAsia="Times New Roman" w:hAnsi="Arial" w:cs="Arial"/>
      <w:b/>
      <w:color w:val="0000FF"/>
      <w:lang w:eastAsia="en-AU"/>
    </w:rPr>
  </w:style>
  <w:style w:type="paragraph" w:customStyle="1" w:styleId="Bullet">
    <w:name w:val="Bullet"/>
    <w:basedOn w:val="Normal"/>
    <w:rsid w:val="00F962CC"/>
    <w:pPr>
      <w:tabs>
        <w:tab w:val="left" w:pos="357"/>
      </w:tabs>
      <w:spacing w:after="0" w:line="240" w:lineRule="auto"/>
      <w:ind w:left="357" w:hanging="357"/>
    </w:pPr>
    <w:rPr>
      <w:rFonts w:ascii="Arial" w:eastAsia="Times New Roman" w:hAnsi="Arial" w:cs="Arial"/>
      <w:color w:val="auto"/>
      <w:sz w:val="24"/>
      <w:lang w:eastAsia="en-AU"/>
    </w:rPr>
  </w:style>
  <w:style w:type="paragraph" w:customStyle="1" w:styleId="subsection">
    <w:name w:val="subsection"/>
    <w:basedOn w:val="Normal"/>
    <w:rsid w:val="00F962CC"/>
    <w:pPr>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acthead5">
    <w:name w:val="acthead5"/>
    <w:basedOn w:val="Normal"/>
    <w:rsid w:val="00F962CC"/>
    <w:pPr>
      <w:spacing w:before="100" w:beforeAutospacing="1" w:after="100" w:afterAutospacing="1" w:line="240" w:lineRule="auto"/>
    </w:pPr>
    <w:rPr>
      <w:rFonts w:ascii="Times New Roman" w:eastAsia="MS Mincho" w:hAnsi="Times New Roman"/>
      <w:color w:val="auto"/>
      <w:sz w:val="24"/>
      <w:szCs w:val="24"/>
      <w:lang w:eastAsia="ja-JP"/>
    </w:rPr>
  </w:style>
  <w:style w:type="character" w:customStyle="1" w:styleId="charsectno">
    <w:name w:val="charsectno"/>
    <w:basedOn w:val="DefaultParagraphFont"/>
    <w:rsid w:val="00F962CC"/>
  </w:style>
  <w:style w:type="paragraph" w:styleId="Revision">
    <w:name w:val="Revision"/>
    <w:hidden/>
    <w:uiPriority w:val="99"/>
    <w:semiHidden/>
    <w:rsid w:val="00F962CC"/>
    <w:pPr>
      <w:spacing w:after="0" w:line="240" w:lineRule="auto"/>
    </w:pPr>
    <w:rPr>
      <w:rFonts w:ascii="Arial" w:eastAsia="Times New Roman" w:hAnsi="Arial"/>
      <w:color w:val="auto"/>
      <w:sz w:val="22"/>
      <w:szCs w:val="24"/>
      <w:lang w:eastAsia="en-AU"/>
    </w:rPr>
  </w:style>
  <w:style w:type="table" w:customStyle="1" w:styleId="TableGrid2">
    <w:name w:val="Table Grid2"/>
    <w:basedOn w:val="TableNormal"/>
    <w:next w:val="TableGrid"/>
    <w:rsid w:val="00F962CC"/>
    <w:pPr>
      <w:spacing w:after="0" w:line="240" w:lineRule="auto"/>
    </w:pPr>
    <w:rPr>
      <w:rFonts w:ascii="Times New Roman" w:eastAsia="Times New Roman" w:hAnsi="Times New Roman"/>
      <w:color w:val="auto"/>
      <w:lang w:eastAsia="en-AU"/>
    </w:rPr>
    <w:tblPr/>
  </w:style>
  <w:style w:type="table" w:customStyle="1" w:styleId="TableGrid3">
    <w:name w:val="Table Grid3"/>
    <w:basedOn w:val="TableNormal"/>
    <w:next w:val="TableGrid"/>
    <w:rsid w:val="00F962CC"/>
    <w:pPr>
      <w:spacing w:after="0" w:line="240" w:lineRule="auto"/>
    </w:pPr>
    <w:rPr>
      <w:rFonts w:ascii="Times New Roman" w:eastAsia="Times New Roman" w:hAnsi="Times New Roman"/>
      <w:color w:val="auto"/>
      <w:lang w:eastAsia="en-AU"/>
    </w:rPr>
    <w:tblPr/>
  </w:style>
  <w:style w:type="table" w:customStyle="1" w:styleId="TableGrid4">
    <w:name w:val="Table Grid4"/>
    <w:basedOn w:val="TableNormal"/>
    <w:next w:val="TableGrid"/>
    <w:rsid w:val="00F962CC"/>
    <w:pPr>
      <w:spacing w:after="0" w:line="240" w:lineRule="auto"/>
    </w:pPr>
    <w:rPr>
      <w:rFonts w:ascii="Times New Roman" w:eastAsia="Times New Roman" w:hAnsi="Times New Roman"/>
      <w:color w:val="auto"/>
      <w:lang w:eastAsia="en-AU"/>
    </w:rPr>
    <w:tblPr/>
  </w:style>
  <w:style w:type="character" w:customStyle="1" w:styleId="CharChar31">
    <w:name w:val="Char Char31"/>
    <w:rsid w:val="004A6F71"/>
    <w:rPr>
      <w:rFonts w:ascii="Arial" w:hAnsi="Arial" w:cs="Arial"/>
      <w:sz w:val="22"/>
      <w:szCs w:val="22"/>
      <w:lang w:val="en-AU" w:eastAsia="en-AU" w:bidi="ar-SA"/>
    </w:rPr>
  </w:style>
  <w:style w:type="character" w:customStyle="1" w:styleId="CharChar32">
    <w:name w:val="Char Char32"/>
    <w:rsid w:val="004A6F71"/>
    <w:rPr>
      <w:rFonts w:ascii="Arial" w:hAnsi="Arial" w:cs="Arial"/>
      <w:noProof/>
      <w:sz w:val="22"/>
      <w:szCs w:val="22"/>
      <w:lang w:val="en-AU" w:eastAsia="en-AU" w:bidi="ar-SA"/>
    </w:rPr>
  </w:style>
  <w:style w:type="character" w:customStyle="1" w:styleId="CharChar30">
    <w:name w:val="Char Char30"/>
    <w:rsid w:val="004A6F71"/>
    <w:rPr>
      <w:rFonts w:ascii="Arial" w:hAnsi="Arial" w:cs="Arial"/>
      <w:sz w:val="22"/>
      <w:szCs w:val="22"/>
      <w:lang w:val="en-AU" w:eastAsia="en-AU" w:bidi="ar-SA"/>
    </w:rPr>
  </w:style>
  <w:style w:type="character" w:customStyle="1" w:styleId="Head3Char">
    <w:name w:val="Head 3 Char"/>
    <w:link w:val="Head3"/>
    <w:locked/>
    <w:rsid w:val="004A6F71"/>
    <w:rPr>
      <w:rFonts w:ascii="Arial" w:eastAsia="Times New Roman" w:hAnsi="Arial" w:cs="Arial"/>
      <w:b/>
      <w:color w:val="auto"/>
      <w:sz w:val="24"/>
      <w:szCs w:val="24"/>
      <w:lang w:eastAsia="en-AU"/>
    </w:rPr>
  </w:style>
  <w:style w:type="paragraph" w:customStyle="1" w:styleId="ImageGIF">
    <w:name w:val="Image GIF"/>
    <w:basedOn w:val="Normal"/>
    <w:next w:val="Normal"/>
    <w:rsid w:val="004A6F71"/>
    <w:pPr>
      <w:spacing w:before="200" w:after="0" w:line="240" w:lineRule="auto"/>
    </w:pPr>
    <w:rPr>
      <w:rFonts w:ascii="Verdana" w:eastAsia="Times New Roman" w:hAnsi="Verdana" w:cs="Verdana"/>
      <w:color w:val="000000"/>
      <w:lang w:eastAsia="en-AU"/>
    </w:rPr>
  </w:style>
  <w:style w:type="character" w:customStyle="1" w:styleId="Italic">
    <w:name w:val="Italic"/>
    <w:semiHidden/>
    <w:rsid w:val="004A6F71"/>
    <w:rPr>
      <w:rFonts w:cs="Times New Roman"/>
      <w:i/>
      <w:lang w:val="en-AU" w:eastAsia="x-none"/>
    </w:rPr>
  </w:style>
  <w:style w:type="character" w:customStyle="1" w:styleId="Bold0">
    <w:name w:val="Bold"/>
    <w:semiHidden/>
    <w:rsid w:val="004A6F71"/>
    <w:rPr>
      <w:rFonts w:cs="Times New Roman"/>
      <w:b/>
      <w:lang w:val="en-AU" w:eastAsia="x-none"/>
    </w:rPr>
  </w:style>
  <w:style w:type="paragraph" w:customStyle="1" w:styleId="bullet0">
    <w:name w:val="bullet"/>
    <w:basedOn w:val="Normal"/>
    <w:rsid w:val="004A6F71"/>
    <w:pPr>
      <w:tabs>
        <w:tab w:val="left" w:pos="502"/>
      </w:tabs>
      <w:spacing w:after="0" w:line="240" w:lineRule="auto"/>
      <w:ind w:left="502" w:hanging="360"/>
    </w:pPr>
    <w:rPr>
      <w:rFonts w:ascii="Arial" w:eastAsia="Times New Roman" w:hAnsi="Arial" w:cs="Arial"/>
      <w:color w:val="auto"/>
      <w:lang w:eastAsia="en-AU"/>
    </w:rPr>
  </w:style>
  <w:style w:type="character" w:customStyle="1" w:styleId="CommentTextChar1">
    <w:name w:val="Comment Text Char1"/>
    <w:uiPriority w:val="99"/>
    <w:locked/>
    <w:rsid w:val="004A6F71"/>
    <w:rPr>
      <w:rFonts w:ascii="Arial" w:hAnsi="Arial"/>
      <w:lang w:val="en-AU" w:eastAsia="en-AU" w:bidi="ar-SA"/>
    </w:rPr>
  </w:style>
  <w:style w:type="paragraph" w:customStyle="1" w:styleId="ReturnAddress">
    <w:name w:val="Return Address"/>
    <w:basedOn w:val="Normal"/>
    <w:rsid w:val="004A6F71"/>
    <w:pPr>
      <w:spacing w:after="0" w:line="240" w:lineRule="auto"/>
    </w:pPr>
    <w:rPr>
      <w:rFonts w:ascii="Arial" w:eastAsia="Times New Roman" w:hAnsi="Arial"/>
      <w:color w:val="auto"/>
      <w:sz w:val="22"/>
      <w:szCs w:val="24"/>
      <w:lang w:eastAsia="en-AU"/>
    </w:rPr>
  </w:style>
  <w:style w:type="paragraph" w:styleId="Index7">
    <w:name w:val="index 7"/>
    <w:basedOn w:val="Normal"/>
    <w:next w:val="Normal"/>
    <w:rsid w:val="004A6F71"/>
    <w:pPr>
      <w:spacing w:after="0" w:line="240" w:lineRule="auto"/>
      <w:ind w:left="1698"/>
    </w:pPr>
    <w:rPr>
      <w:rFonts w:ascii="Times New Roman" w:eastAsia="Times New Roman" w:hAnsi="Times New Roman"/>
      <w:color w:val="auto"/>
      <w:lang w:eastAsia="en-AU"/>
    </w:rPr>
  </w:style>
  <w:style w:type="paragraph" w:styleId="Index6">
    <w:name w:val="index 6"/>
    <w:basedOn w:val="Normal"/>
    <w:next w:val="Normal"/>
    <w:rsid w:val="004A6F71"/>
    <w:pPr>
      <w:spacing w:after="0" w:line="240" w:lineRule="auto"/>
      <w:ind w:left="1415"/>
    </w:pPr>
    <w:rPr>
      <w:rFonts w:ascii="Times New Roman" w:eastAsia="Times New Roman" w:hAnsi="Times New Roman"/>
      <w:color w:val="auto"/>
      <w:lang w:eastAsia="en-AU"/>
    </w:rPr>
  </w:style>
  <w:style w:type="paragraph" w:styleId="Index5">
    <w:name w:val="index 5"/>
    <w:basedOn w:val="Normal"/>
    <w:next w:val="Normal"/>
    <w:rsid w:val="004A6F71"/>
    <w:pPr>
      <w:spacing w:after="0" w:line="240" w:lineRule="auto"/>
      <w:ind w:left="1132"/>
    </w:pPr>
    <w:rPr>
      <w:rFonts w:ascii="Times New Roman" w:eastAsia="Times New Roman" w:hAnsi="Times New Roman"/>
      <w:color w:val="auto"/>
      <w:lang w:eastAsia="en-AU"/>
    </w:rPr>
  </w:style>
  <w:style w:type="paragraph" w:styleId="Index4">
    <w:name w:val="index 4"/>
    <w:basedOn w:val="Normal"/>
    <w:next w:val="Normal"/>
    <w:rsid w:val="004A6F71"/>
    <w:pPr>
      <w:spacing w:after="0" w:line="240" w:lineRule="auto"/>
      <w:ind w:left="849"/>
    </w:pPr>
    <w:rPr>
      <w:rFonts w:ascii="Times New Roman" w:eastAsia="Times New Roman" w:hAnsi="Times New Roman"/>
      <w:color w:val="auto"/>
      <w:lang w:eastAsia="en-AU"/>
    </w:rPr>
  </w:style>
  <w:style w:type="paragraph" w:styleId="Index3">
    <w:name w:val="index 3"/>
    <w:basedOn w:val="Normal"/>
    <w:next w:val="Normal"/>
    <w:rsid w:val="004A6F71"/>
    <w:pPr>
      <w:spacing w:after="0" w:line="240" w:lineRule="auto"/>
      <w:ind w:left="566"/>
    </w:pPr>
    <w:rPr>
      <w:rFonts w:ascii="Times New Roman" w:eastAsia="Times New Roman" w:hAnsi="Times New Roman"/>
      <w:color w:val="auto"/>
      <w:lang w:eastAsia="en-AU"/>
    </w:rPr>
  </w:style>
  <w:style w:type="paragraph" w:styleId="Index2">
    <w:name w:val="index 2"/>
    <w:basedOn w:val="Normal"/>
    <w:next w:val="Normal"/>
    <w:rsid w:val="004A6F71"/>
    <w:pPr>
      <w:spacing w:after="0" w:line="240" w:lineRule="auto"/>
      <w:ind w:left="283"/>
    </w:pPr>
    <w:rPr>
      <w:rFonts w:ascii="Times New Roman" w:eastAsia="Times New Roman" w:hAnsi="Times New Roman"/>
      <w:color w:val="auto"/>
      <w:lang w:eastAsia="en-AU"/>
    </w:rPr>
  </w:style>
  <w:style w:type="character" w:styleId="LineNumber">
    <w:name w:val="line number"/>
    <w:rsid w:val="004A6F71"/>
    <w:rPr>
      <w:rFonts w:cs="Times New Roman"/>
    </w:rPr>
  </w:style>
  <w:style w:type="character" w:customStyle="1" w:styleId="EmailStyle118">
    <w:name w:val="EmailStyle118"/>
    <w:semiHidden/>
    <w:rsid w:val="004A6F71"/>
    <w:rPr>
      <w:rFonts w:ascii="Arial" w:hAnsi="Arial" w:cs="Arial"/>
      <w:color w:val="auto"/>
      <w:sz w:val="20"/>
      <w:szCs w:val="20"/>
    </w:rPr>
  </w:style>
  <w:style w:type="paragraph" w:customStyle="1" w:styleId="RequirementsHeading1">
    <w:name w:val="Requirements Heading 1"/>
    <w:basedOn w:val="Normal"/>
    <w:rsid w:val="004A6F71"/>
    <w:pPr>
      <w:spacing w:before="120" w:after="60" w:line="240" w:lineRule="exact"/>
      <w:ind w:right="170"/>
    </w:pPr>
    <w:rPr>
      <w:rFonts w:ascii="Arial" w:eastAsia="Times New Roman" w:hAnsi="Arial" w:cs="Arial"/>
      <w:caps/>
      <w:color w:val="000000"/>
      <w:sz w:val="36"/>
      <w:lang w:eastAsia="en-AU"/>
    </w:rPr>
  </w:style>
  <w:style w:type="paragraph" w:customStyle="1" w:styleId="RequirementsHeading2">
    <w:name w:val="Requirements Heading 2"/>
    <w:basedOn w:val="Normal"/>
    <w:rsid w:val="004A6F71"/>
    <w:pPr>
      <w:numPr>
        <w:ilvl w:val="1"/>
        <w:numId w:val="20"/>
      </w:numPr>
      <w:spacing w:before="120" w:after="60" w:line="240" w:lineRule="exact"/>
      <w:ind w:right="170"/>
    </w:pPr>
    <w:rPr>
      <w:rFonts w:ascii="Arial" w:eastAsia="Times New Roman" w:hAnsi="Arial" w:cs="Arial"/>
      <w:b/>
      <w:caps/>
      <w:color w:val="000000"/>
      <w:szCs w:val="22"/>
      <w:lang w:eastAsia="en-AU"/>
    </w:rPr>
  </w:style>
  <w:style w:type="paragraph" w:customStyle="1" w:styleId="RequirementsHeading3">
    <w:name w:val="Requirements Heading 3"/>
    <w:basedOn w:val="Normal"/>
    <w:rsid w:val="004A6F71"/>
    <w:pPr>
      <w:spacing w:before="120" w:after="60" w:line="240" w:lineRule="exact"/>
      <w:ind w:right="170"/>
    </w:pPr>
    <w:rPr>
      <w:rFonts w:ascii="Arial" w:eastAsia="Times New Roman" w:hAnsi="Arial" w:cs="Arial"/>
      <w:b/>
      <w:caps/>
      <w:color w:val="000000"/>
      <w:szCs w:val="22"/>
      <w:lang w:eastAsia="en-AU"/>
    </w:rPr>
  </w:style>
  <w:style w:type="paragraph" w:customStyle="1" w:styleId="RequirementsHeading30">
    <w:name w:val="Requirements Heading 3."/>
    <w:basedOn w:val="Heading3"/>
    <w:rsid w:val="004A6F71"/>
    <w:pPr>
      <w:keepLines w:val="0"/>
      <w:numPr>
        <w:ilvl w:val="2"/>
      </w:numPr>
      <w:tabs>
        <w:tab w:val="num" w:pos="720"/>
      </w:tabs>
      <w:spacing w:before="240" w:after="60" w:line="240" w:lineRule="auto"/>
      <w:ind w:left="720" w:hanging="720"/>
    </w:pPr>
    <w:rPr>
      <w:rFonts w:ascii="Arial" w:eastAsia="Times New Roman" w:hAnsi="Arial" w:cs="Arial"/>
      <w:iCs/>
      <w:color w:val="auto"/>
      <w:spacing w:val="0"/>
      <w:kern w:val="36"/>
      <w:sz w:val="20"/>
      <w:szCs w:val="20"/>
      <w:lang w:eastAsia="en-AU"/>
    </w:rPr>
  </w:style>
  <w:style w:type="paragraph" w:customStyle="1" w:styleId="heading2anotoc">
    <w:name w:val="heading2anotoc"/>
    <w:basedOn w:val="Normal"/>
    <w:rsid w:val="004A6F71"/>
    <w:pPr>
      <w:spacing w:after="0" w:line="240" w:lineRule="auto"/>
    </w:pPr>
    <w:rPr>
      <w:rFonts w:ascii="Times New Roman" w:eastAsia="Times New Roman" w:hAnsi="Times New Roman"/>
      <w:color w:val="auto"/>
      <w:sz w:val="36"/>
      <w:szCs w:val="36"/>
      <w:lang w:eastAsia="en-AU"/>
    </w:rPr>
  </w:style>
  <w:style w:type="paragraph" w:styleId="BodyText3">
    <w:name w:val="Body Text 3"/>
    <w:basedOn w:val="Normal"/>
    <w:link w:val="BodyText3Char"/>
    <w:rsid w:val="004A6F71"/>
    <w:pPr>
      <w:spacing w:after="0" w:line="240" w:lineRule="auto"/>
    </w:pPr>
    <w:rPr>
      <w:rFonts w:ascii="Times New Roman" w:eastAsia="Times New Roman" w:hAnsi="Times New Roman"/>
      <w:color w:val="auto"/>
      <w:lang w:eastAsia="en-AU"/>
    </w:rPr>
  </w:style>
  <w:style w:type="character" w:customStyle="1" w:styleId="BodyText3Char">
    <w:name w:val="Body Text 3 Char"/>
    <w:basedOn w:val="DefaultParagraphFont"/>
    <w:link w:val="BodyText3"/>
    <w:rsid w:val="004A6F71"/>
    <w:rPr>
      <w:rFonts w:ascii="Times New Roman" w:eastAsia="Times New Roman" w:hAnsi="Times New Roman"/>
      <w:color w:val="auto"/>
      <w:lang w:eastAsia="en-AU"/>
    </w:rPr>
  </w:style>
  <w:style w:type="paragraph" w:customStyle="1" w:styleId="section1">
    <w:name w:val="section1"/>
    <w:basedOn w:val="Normal"/>
    <w:rsid w:val="004A6F71"/>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msolistparagraph0">
    <w:name w:val="msolistparagraph"/>
    <w:basedOn w:val="Normal"/>
    <w:rsid w:val="004A6F71"/>
    <w:pPr>
      <w:spacing w:after="0" w:line="240" w:lineRule="auto"/>
      <w:ind w:left="720"/>
    </w:pPr>
    <w:rPr>
      <w:rFonts w:ascii="Calibri" w:eastAsia="Times New Roman" w:hAnsi="Calibri"/>
      <w:color w:val="auto"/>
      <w:sz w:val="22"/>
      <w:szCs w:val="22"/>
      <w:lang w:eastAsia="en-AU"/>
    </w:rPr>
  </w:style>
  <w:style w:type="paragraph" w:customStyle="1" w:styleId="BulletedList">
    <w:name w:val="Bulleted List"/>
    <w:basedOn w:val="Normal"/>
    <w:link w:val="BulletedListCharChar"/>
    <w:autoRedefine/>
    <w:rsid w:val="004A6F71"/>
    <w:pPr>
      <w:numPr>
        <w:numId w:val="21"/>
      </w:numPr>
      <w:tabs>
        <w:tab w:val="clear" w:pos="360"/>
        <w:tab w:val="num" w:pos="357"/>
      </w:tabs>
      <w:spacing w:after="0" w:line="240" w:lineRule="auto"/>
      <w:ind w:left="357" w:hanging="357"/>
    </w:pPr>
    <w:rPr>
      <w:rFonts w:ascii="Arial" w:eastAsia="Times New Roman" w:hAnsi="Arial" w:cs="Arial"/>
      <w:color w:val="000000"/>
      <w:sz w:val="22"/>
      <w:szCs w:val="22"/>
      <w:lang w:eastAsia="en-AU"/>
    </w:rPr>
  </w:style>
  <w:style w:type="character" w:customStyle="1" w:styleId="BulletedListCharChar">
    <w:name w:val="Bulleted List Char Char"/>
    <w:link w:val="BulletedList"/>
    <w:locked/>
    <w:rsid w:val="004A6F71"/>
    <w:rPr>
      <w:rFonts w:ascii="Arial" w:eastAsia="Times New Roman" w:hAnsi="Arial" w:cs="Arial"/>
      <w:color w:val="000000"/>
      <w:sz w:val="22"/>
      <w:szCs w:val="22"/>
      <w:lang w:eastAsia="en-AU"/>
    </w:rPr>
  </w:style>
  <w:style w:type="character" w:customStyle="1" w:styleId="HyperlinkItalic">
    <w:name w:val="HyperlinkItalic"/>
    <w:semiHidden/>
    <w:rsid w:val="004A6F71"/>
    <w:rPr>
      <w:rFonts w:cs="Times New Roman"/>
      <w:b/>
      <w:i/>
      <w:iCs/>
      <w:noProof/>
      <w:color w:val="0000FF"/>
      <w:u w:val="single" w:color="0000FF"/>
      <w:lang w:val="en-AU"/>
    </w:rPr>
  </w:style>
  <w:style w:type="character" w:customStyle="1" w:styleId="EmailStyle1481">
    <w:name w:val="EmailStyle1481"/>
    <w:semiHidden/>
    <w:rsid w:val="004A6F71"/>
    <w:rPr>
      <w:rFonts w:ascii="Arial" w:hAnsi="Arial" w:cs="Arial"/>
      <w:color w:val="auto"/>
      <w:sz w:val="20"/>
      <w:szCs w:val="20"/>
    </w:rPr>
  </w:style>
  <w:style w:type="paragraph" w:customStyle="1" w:styleId="Char21">
    <w:name w:val="Char21"/>
    <w:basedOn w:val="Normal"/>
    <w:rsid w:val="004A6F71"/>
    <w:pPr>
      <w:spacing w:after="160" w:line="240" w:lineRule="exact"/>
    </w:pPr>
    <w:rPr>
      <w:rFonts w:ascii="Verdana" w:eastAsia="Times New Roman" w:hAnsi="Verdana"/>
      <w:color w:val="auto"/>
      <w:sz w:val="21"/>
      <w:lang w:val="en-US"/>
    </w:rPr>
  </w:style>
  <w:style w:type="paragraph" w:customStyle="1" w:styleId="Heading2a">
    <w:name w:val="Heading 2a"/>
    <w:basedOn w:val="Normal"/>
    <w:next w:val="Normal"/>
    <w:rsid w:val="004A6F71"/>
    <w:pPr>
      <w:keepNext/>
      <w:keepLines/>
      <w:spacing w:before="280" w:after="0" w:line="240" w:lineRule="auto"/>
      <w:outlineLvl w:val="1"/>
    </w:pPr>
    <w:rPr>
      <w:rFonts w:ascii="Verdana" w:eastAsia="Times New Roman" w:hAnsi="Verdana" w:cs="Verdana"/>
      <w:b/>
      <w:bCs/>
      <w:color w:val="000000"/>
      <w:sz w:val="26"/>
      <w:szCs w:val="26"/>
      <w:lang w:eastAsia="en-AU"/>
    </w:rPr>
  </w:style>
  <w:style w:type="paragraph" w:customStyle="1" w:styleId="ImageCaption">
    <w:name w:val="Image Caption"/>
    <w:basedOn w:val="Normal"/>
    <w:next w:val="Normal"/>
    <w:rsid w:val="004A6F71"/>
    <w:pPr>
      <w:spacing w:before="200" w:after="0" w:line="240" w:lineRule="auto"/>
    </w:pPr>
    <w:rPr>
      <w:rFonts w:ascii="Verdana" w:eastAsia="Times New Roman" w:hAnsi="Verdana" w:cs="Verdana"/>
      <w:i/>
      <w:color w:val="808080"/>
      <w:lang w:eastAsia="en-AU"/>
    </w:rPr>
  </w:style>
  <w:style w:type="paragraph" w:customStyle="1" w:styleId="Heading3a">
    <w:name w:val="Heading 3a"/>
    <w:basedOn w:val="Normal"/>
    <w:next w:val="Normal"/>
    <w:rsid w:val="004A6F71"/>
    <w:pPr>
      <w:keepNext/>
      <w:keepLines/>
      <w:spacing w:before="280" w:after="0" w:line="240" w:lineRule="auto"/>
      <w:outlineLvl w:val="2"/>
    </w:pPr>
    <w:rPr>
      <w:rFonts w:ascii="Verdana" w:eastAsia="Times New Roman" w:hAnsi="Verdana" w:cs="Verdana"/>
      <w:b/>
      <w:bCs/>
      <w:color w:val="000000"/>
      <w:sz w:val="24"/>
      <w:szCs w:val="24"/>
      <w:lang w:eastAsia="en-AU"/>
    </w:rPr>
  </w:style>
  <w:style w:type="paragraph" w:customStyle="1" w:styleId="note">
    <w:name w:val="note"/>
    <w:basedOn w:val="Normal"/>
    <w:rsid w:val="004A6F71"/>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BulletedList10">
    <w:name w:val="Bulleted List 1"/>
    <w:basedOn w:val="Normal"/>
    <w:rsid w:val="004A6F71"/>
    <w:pPr>
      <w:numPr>
        <w:numId w:val="22"/>
      </w:numPr>
      <w:spacing w:after="0" w:line="240" w:lineRule="auto"/>
      <w:ind w:left="714" w:hanging="357"/>
    </w:pPr>
    <w:rPr>
      <w:rFonts w:ascii="Verdana" w:eastAsia="Times New Roman" w:hAnsi="Verdana" w:cs="Verdana"/>
      <w:color w:val="000000"/>
      <w:lang w:eastAsia="en-AU"/>
    </w:rPr>
  </w:style>
  <w:style w:type="paragraph" w:styleId="z-BottomofForm">
    <w:name w:val="HTML Bottom of Form"/>
    <w:basedOn w:val="Normal"/>
    <w:next w:val="Normal"/>
    <w:link w:val="z-BottomofFormChar"/>
    <w:hidden/>
    <w:rsid w:val="004A6F71"/>
    <w:pPr>
      <w:pBdr>
        <w:top w:val="single" w:sz="6" w:space="1" w:color="auto"/>
      </w:pBdr>
      <w:spacing w:after="0" w:line="240" w:lineRule="auto"/>
      <w:jc w:val="center"/>
    </w:pPr>
    <w:rPr>
      <w:rFonts w:ascii="Arial" w:eastAsia="Times New Roman" w:hAnsi="Arial" w:cs="Arial"/>
      <w:vanish/>
      <w:color w:val="auto"/>
      <w:sz w:val="16"/>
      <w:szCs w:val="16"/>
      <w:lang w:eastAsia="en-AU"/>
    </w:rPr>
  </w:style>
  <w:style w:type="character" w:customStyle="1" w:styleId="z-BottomofFormChar">
    <w:name w:val="z-Bottom of Form Char"/>
    <w:basedOn w:val="DefaultParagraphFont"/>
    <w:link w:val="z-BottomofForm"/>
    <w:rsid w:val="004A6F71"/>
    <w:rPr>
      <w:rFonts w:ascii="Arial" w:eastAsia="Times New Roman" w:hAnsi="Arial" w:cs="Arial"/>
      <w:vanish/>
      <w:color w:val="auto"/>
      <w:sz w:val="16"/>
      <w:szCs w:val="16"/>
      <w:lang w:eastAsia="en-AU"/>
    </w:rPr>
  </w:style>
  <w:style w:type="character" w:customStyle="1" w:styleId="NormalWebChar">
    <w:name w:val="Normal (Web) Char"/>
    <w:link w:val="NormalWeb"/>
    <w:uiPriority w:val="99"/>
    <w:rsid w:val="004A6F71"/>
    <w:rPr>
      <w:rFonts w:ascii="Times New Roman" w:eastAsia="Times New Roman" w:hAnsi="Times New Roman"/>
      <w:color w:val="auto"/>
      <w:sz w:val="24"/>
      <w:szCs w:val="24"/>
      <w:lang w:eastAsia="en-AU"/>
    </w:rPr>
  </w:style>
  <w:style w:type="character" w:customStyle="1" w:styleId="st1">
    <w:name w:val="st1"/>
    <w:basedOn w:val="DefaultParagraphFont"/>
    <w:rsid w:val="004A6F71"/>
  </w:style>
  <w:style w:type="paragraph" w:customStyle="1" w:styleId="paragraphsub0">
    <w:name w:val="paragraphsub"/>
    <w:basedOn w:val="Normal"/>
    <w:rsid w:val="004A6F71"/>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harChar8">
    <w:name w:val="Char Char8"/>
    <w:rsid w:val="004A6F71"/>
    <w:rPr>
      <w:rFonts w:ascii="Arial" w:hAnsi="Arial" w:cs="Arial"/>
      <w:sz w:val="22"/>
      <w:szCs w:val="22"/>
      <w:lang w:val="en-AU" w:eastAsia="en-AU" w:bidi="ar-SA"/>
    </w:rPr>
  </w:style>
  <w:style w:type="character" w:customStyle="1" w:styleId="CharChar9">
    <w:name w:val="Char Char9"/>
    <w:rsid w:val="004A6F71"/>
    <w:rPr>
      <w:rFonts w:ascii="Arial" w:hAnsi="Arial" w:cs="Arial"/>
      <w:noProof/>
      <w:sz w:val="22"/>
      <w:szCs w:val="22"/>
      <w:lang w:val="en-AU" w:eastAsia="en-AU" w:bidi="ar-SA"/>
    </w:rPr>
  </w:style>
  <w:style w:type="character" w:customStyle="1" w:styleId="CharChar7">
    <w:name w:val="Char Char7"/>
    <w:rsid w:val="004A6F71"/>
    <w:rPr>
      <w:rFonts w:ascii="Arial" w:hAnsi="Arial" w:cs="Arial"/>
      <w:sz w:val="22"/>
      <w:szCs w:val="22"/>
      <w:lang w:val="en-AU" w:eastAsia="en-AU" w:bidi="ar-SA"/>
    </w:rPr>
  </w:style>
  <w:style w:type="character" w:customStyle="1" w:styleId="CharChar20">
    <w:name w:val="Char Char20"/>
    <w:semiHidden/>
    <w:locked/>
    <w:rsid w:val="004A6F71"/>
    <w:rPr>
      <w:rFonts w:ascii="Arial" w:hAnsi="Arial" w:cs="Arial"/>
      <w:b/>
      <w:bCs/>
      <w:sz w:val="24"/>
      <w:szCs w:val="26"/>
      <w:lang w:val="en-AU" w:eastAsia="en-AU" w:bidi="ar-SA"/>
    </w:rPr>
  </w:style>
  <w:style w:type="character" w:customStyle="1" w:styleId="CharChar19">
    <w:name w:val="Char Char19"/>
    <w:semiHidden/>
    <w:locked/>
    <w:rsid w:val="004A6F71"/>
    <w:rPr>
      <w:rFonts w:ascii="Arial" w:hAnsi="Arial" w:cs="Arial"/>
      <w:b/>
      <w:sz w:val="22"/>
      <w:szCs w:val="22"/>
      <w:lang w:val="en-AU" w:eastAsia="en-AU" w:bidi="ar-SA"/>
    </w:rPr>
  </w:style>
  <w:style w:type="character" w:customStyle="1" w:styleId="CharChar16">
    <w:name w:val="Char Char16"/>
    <w:semiHidden/>
    <w:locked/>
    <w:rsid w:val="004A6F71"/>
    <w:rPr>
      <w:sz w:val="24"/>
      <w:szCs w:val="24"/>
      <w:lang w:val="en-AU" w:eastAsia="en-AU" w:bidi="ar-SA"/>
    </w:rPr>
  </w:style>
  <w:style w:type="character" w:customStyle="1" w:styleId="CharChar11">
    <w:name w:val="Char Char11"/>
    <w:semiHidden/>
    <w:locked/>
    <w:rsid w:val="004A6F71"/>
    <w:rPr>
      <w:rFonts w:ascii="Arial" w:hAnsi="Arial" w:cs="Arial"/>
      <w:sz w:val="15"/>
      <w:szCs w:val="15"/>
      <w:lang w:val="en-AU" w:eastAsia="en-AU" w:bidi="ar-SA"/>
    </w:rPr>
  </w:style>
  <w:style w:type="character" w:customStyle="1" w:styleId="CharChar10">
    <w:name w:val="Char Char10"/>
    <w:semiHidden/>
    <w:locked/>
    <w:rsid w:val="004A6F71"/>
    <w:rPr>
      <w:rFonts w:ascii="Arial" w:hAnsi="Arial" w:cs="Arial"/>
      <w:lang w:val="en-AU" w:eastAsia="en-AU" w:bidi="ar-SA"/>
    </w:rPr>
  </w:style>
  <w:style w:type="character" w:customStyle="1" w:styleId="CharChar22">
    <w:name w:val="Char Char22"/>
    <w:locked/>
    <w:rsid w:val="004A6F71"/>
    <w:rPr>
      <w:rFonts w:ascii="Arial" w:hAnsi="Arial" w:cs="Arial"/>
      <w:bCs/>
      <w:caps/>
      <w:kern w:val="36"/>
      <w:sz w:val="36"/>
      <w:szCs w:val="36"/>
      <w:lang w:val="en-AU" w:eastAsia="en-AU" w:bidi="ar-SA"/>
    </w:rPr>
  </w:style>
  <w:style w:type="character" w:customStyle="1" w:styleId="CharChar21">
    <w:name w:val="Char Char21"/>
    <w:semiHidden/>
    <w:locked/>
    <w:rsid w:val="004A6F71"/>
    <w:rPr>
      <w:rFonts w:ascii="Arial" w:hAnsi="Arial" w:cs="Arial"/>
      <w:b/>
      <w:bCs/>
      <w:iCs/>
      <w:caps/>
      <w:kern w:val="36"/>
      <w:sz w:val="24"/>
      <w:szCs w:val="28"/>
      <w:lang w:val="en-AU" w:eastAsia="en-AU" w:bidi="ar-SA"/>
    </w:rPr>
  </w:style>
  <w:style w:type="character" w:customStyle="1" w:styleId="CharChar18">
    <w:name w:val="Char Char18"/>
    <w:semiHidden/>
    <w:locked/>
    <w:rsid w:val="004A6F71"/>
    <w:rPr>
      <w:rFonts w:ascii="Arial" w:hAnsi="Arial"/>
      <w:b/>
      <w:bCs/>
      <w:i/>
      <w:iCs/>
      <w:sz w:val="26"/>
      <w:szCs w:val="26"/>
      <w:lang w:val="en-AU" w:eastAsia="en-AU" w:bidi="ar-SA"/>
    </w:rPr>
  </w:style>
  <w:style w:type="character" w:customStyle="1" w:styleId="CharChar17">
    <w:name w:val="Char Char17"/>
    <w:semiHidden/>
    <w:locked/>
    <w:rsid w:val="004A6F71"/>
    <w:rPr>
      <w:b/>
      <w:bCs/>
      <w:sz w:val="22"/>
      <w:szCs w:val="22"/>
      <w:lang w:val="en-AU" w:eastAsia="en-AU" w:bidi="ar-SA"/>
    </w:rPr>
  </w:style>
  <w:style w:type="character" w:customStyle="1" w:styleId="CharChar15">
    <w:name w:val="Char Char15"/>
    <w:semiHidden/>
    <w:locked/>
    <w:rsid w:val="004A6F71"/>
    <w:rPr>
      <w:i/>
      <w:iCs/>
      <w:sz w:val="24"/>
      <w:szCs w:val="24"/>
      <w:lang w:val="en-AU" w:eastAsia="en-AU" w:bidi="ar-SA"/>
    </w:rPr>
  </w:style>
  <w:style w:type="character" w:customStyle="1" w:styleId="CharChar14">
    <w:name w:val="Char Char14"/>
    <w:semiHidden/>
    <w:locked/>
    <w:rsid w:val="004A6F71"/>
    <w:rPr>
      <w:rFonts w:ascii="Arial" w:hAnsi="Arial" w:cs="Arial"/>
      <w:sz w:val="22"/>
      <w:szCs w:val="22"/>
      <w:lang w:val="en-AU" w:eastAsia="en-AU" w:bidi="ar-SA"/>
    </w:rPr>
  </w:style>
  <w:style w:type="character" w:customStyle="1" w:styleId="CharChar13">
    <w:name w:val="Char Char13"/>
    <w:semiHidden/>
    <w:locked/>
    <w:rsid w:val="004A6F71"/>
    <w:rPr>
      <w:rFonts w:ascii="Tahoma" w:hAnsi="Tahoma" w:cs="Tahoma"/>
      <w:sz w:val="16"/>
      <w:szCs w:val="16"/>
      <w:lang w:val="en-AU" w:eastAsia="en-AU" w:bidi="ar-SA"/>
    </w:rPr>
  </w:style>
  <w:style w:type="character" w:customStyle="1" w:styleId="CharChar12">
    <w:name w:val="Char Char12"/>
    <w:semiHidden/>
    <w:locked/>
    <w:rsid w:val="004A6F71"/>
    <w:rPr>
      <w:rFonts w:ascii="Tahoma" w:hAnsi="Tahoma" w:cs="Tahoma"/>
      <w:lang w:val="en-AU" w:eastAsia="en-AU" w:bidi="ar-SA"/>
    </w:rPr>
  </w:style>
  <w:style w:type="character" w:customStyle="1" w:styleId="CharChar6">
    <w:name w:val="Char Char6"/>
    <w:semiHidden/>
    <w:locked/>
    <w:rsid w:val="004A6F71"/>
    <w:rPr>
      <w:rFonts w:ascii="Arial" w:hAnsi="Arial"/>
      <w:lang w:val="en-AU" w:eastAsia="en-AU" w:bidi="ar-SA"/>
    </w:rPr>
  </w:style>
  <w:style w:type="character" w:customStyle="1" w:styleId="CharChar5">
    <w:name w:val="Char Char5"/>
    <w:semiHidden/>
    <w:locked/>
    <w:rsid w:val="004A6F71"/>
    <w:rPr>
      <w:rFonts w:ascii="Arial" w:hAnsi="Arial"/>
      <w:b/>
      <w:bCs/>
      <w:lang w:val="en-AU" w:eastAsia="en-AU" w:bidi="ar-SA"/>
    </w:rPr>
  </w:style>
  <w:style w:type="character" w:customStyle="1" w:styleId="CharChar4">
    <w:name w:val="Char Char4"/>
    <w:semiHidden/>
    <w:locked/>
    <w:rsid w:val="004A6F71"/>
    <w:rPr>
      <w:lang w:val="en-AU" w:eastAsia="en-AU" w:bidi="ar-SA"/>
    </w:rPr>
  </w:style>
  <w:style w:type="character" w:customStyle="1" w:styleId="CharChar2">
    <w:name w:val="Char Char2"/>
    <w:semiHidden/>
    <w:locked/>
    <w:rsid w:val="004A6F71"/>
    <w:rPr>
      <w:lang w:val="en-AU" w:eastAsia="en-AU" w:bidi="ar-SA"/>
    </w:rPr>
  </w:style>
  <w:style w:type="character" w:customStyle="1" w:styleId="CharChar1">
    <w:name w:val="Char Char1"/>
    <w:semiHidden/>
    <w:locked/>
    <w:rsid w:val="004A6F71"/>
    <w:rPr>
      <w:rFonts w:ascii="Arial" w:hAnsi="Arial"/>
      <w:sz w:val="18"/>
      <w:lang w:val="en-AU" w:eastAsia="en-AU" w:bidi="ar-SA"/>
    </w:rPr>
  </w:style>
  <w:style w:type="character" w:customStyle="1" w:styleId="CharChar">
    <w:name w:val="Char Char"/>
    <w:semiHidden/>
    <w:locked/>
    <w:rsid w:val="004A6F71"/>
    <w:rPr>
      <w:rFonts w:ascii="Arial" w:hAnsi="Arial" w:cs="Arial"/>
      <w:vanish/>
      <w:sz w:val="16"/>
      <w:szCs w:val="16"/>
      <w:lang w:val="en-AU" w:eastAsia="en-AU" w:bidi="ar-SA"/>
    </w:rPr>
  </w:style>
  <w:style w:type="character" w:customStyle="1" w:styleId="A6">
    <w:name w:val="A6"/>
    <w:uiPriority w:val="99"/>
    <w:rsid w:val="004A6F71"/>
    <w:rPr>
      <w:rFonts w:ascii="Zapf Dingbats ITC" w:eastAsia="Zapf Dingbats ITC" w:cs="Zapf Dingbats ITC"/>
      <w:color w:val="000000"/>
      <w:sz w:val="14"/>
      <w:szCs w:val="14"/>
    </w:rPr>
  </w:style>
  <w:style w:type="numbering" w:customStyle="1" w:styleId="NoList1">
    <w:name w:val="No List1"/>
    <w:next w:val="NoList"/>
    <w:uiPriority w:val="99"/>
    <w:semiHidden/>
    <w:unhideWhenUsed/>
    <w:rsid w:val="004A6F71"/>
  </w:style>
  <w:style w:type="numbering" w:customStyle="1" w:styleId="NoList11">
    <w:name w:val="No List11"/>
    <w:next w:val="NoList"/>
    <w:semiHidden/>
    <w:rsid w:val="004A6F71"/>
  </w:style>
  <w:style w:type="table" w:customStyle="1" w:styleId="ATOTable1">
    <w:name w:val="ATOTable1"/>
    <w:basedOn w:val="TableGrid"/>
    <w:rsid w:val="004A6F71"/>
    <w:pPr>
      <w:spacing w:after="0" w:line="240" w:lineRule="auto"/>
    </w:pPr>
    <w:rPr>
      <w:rFonts w:ascii="Times New Roman" w:eastAsia="Times New Roman" w:hAnsi="Times New Roman"/>
      <w:color w:val="auto"/>
      <w:sz w:val="20"/>
      <w:lang w:val="en-AU" w:eastAsia="en-AU"/>
    </w:rPr>
    <w:tblPr/>
  </w:style>
  <w:style w:type="numbering" w:customStyle="1" w:styleId="1111111">
    <w:name w:val="1 / 1.1 / 1.1.11"/>
    <w:basedOn w:val="NoList"/>
    <w:next w:val="111111"/>
    <w:semiHidden/>
    <w:rsid w:val="004A6F71"/>
  </w:style>
  <w:style w:type="numbering" w:customStyle="1" w:styleId="1ai1">
    <w:name w:val="1 / a / i1"/>
    <w:basedOn w:val="NoList"/>
    <w:next w:val="1ai"/>
    <w:semiHidden/>
    <w:rsid w:val="004A6F71"/>
  </w:style>
  <w:style w:type="numbering" w:customStyle="1" w:styleId="ArticleSection1">
    <w:name w:val="Article / Section1"/>
    <w:basedOn w:val="NoList"/>
    <w:next w:val="ArticleSection"/>
    <w:semiHidden/>
    <w:rsid w:val="004A6F71"/>
  </w:style>
  <w:style w:type="table" w:customStyle="1" w:styleId="ATOStructure1">
    <w:name w:val="ATOStructure1"/>
    <w:basedOn w:val="TableNormal"/>
    <w:rsid w:val="004A6F71"/>
    <w:pPr>
      <w:spacing w:after="0" w:line="240" w:lineRule="auto"/>
    </w:pPr>
    <w:rPr>
      <w:rFonts w:ascii="Times New Roman" w:eastAsia="Times New Roman" w:hAnsi="Times New Roman"/>
      <w:color w:val="auto"/>
      <w:lang w:eastAsia="en-AU"/>
    </w:rPr>
    <w:tblPr/>
  </w:style>
  <w:style w:type="character" w:customStyle="1" w:styleId="CharChar311">
    <w:name w:val="Char Char311"/>
    <w:rsid w:val="004A6F71"/>
    <w:rPr>
      <w:rFonts w:ascii="Arial" w:hAnsi="Arial" w:cs="Arial"/>
      <w:sz w:val="22"/>
      <w:szCs w:val="22"/>
      <w:lang w:val="en-AU" w:eastAsia="en-AU" w:bidi="ar-SA"/>
    </w:rPr>
  </w:style>
  <w:style w:type="character" w:customStyle="1" w:styleId="CharChar321">
    <w:name w:val="Char Char321"/>
    <w:rsid w:val="004A6F71"/>
    <w:rPr>
      <w:rFonts w:ascii="Arial" w:hAnsi="Arial" w:cs="Arial"/>
      <w:noProof/>
      <w:sz w:val="22"/>
      <w:szCs w:val="22"/>
      <w:lang w:val="en-AU" w:eastAsia="en-AU" w:bidi="ar-SA"/>
    </w:rPr>
  </w:style>
  <w:style w:type="character" w:customStyle="1" w:styleId="CharChar301">
    <w:name w:val="Char Char301"/>
    <w:rsid w:val="004A6F71"/>
    <w:rPr>
      <w:rFonts w:ascii="Arial" w:hAnsi="Arial" w:cs="Arial"/>
      <w:sz w:val="22"/>
      <w:szCs w:val="22"/>
      <w:lang w:val="en-AU" w:eastAsia="en-AU" w:bidi="ar-SA"/>
    </w:rPr>
  </w:style>
  <w:style w:type="character" w:customStyle="1" w:styleId="CharChar81">
    <w:name w:val="Char Char81"/>
    <w:rsid w:val="004A6F71"/>
    <w:rPr>
      <w:rFonts w:ascii="Arial" w:hAnsi="Arial" w:cs="Arial"/>
      <w:sz w:val="22"/>
      <w:szCs w:val="22"/>
      <w:lang w:val="en-AU" w:eastAsia="en-AU" w:bidi="ar-SA"/>
    </w:rPr>
  </w:style>
  <w:style w:type="character" w:customStyle="1" w:styleId="CharChar91">
    <w:name w:val="Char Char91"/>
    <w:rsid w:val="004A6F71"/>
    <w:rPr>
      <w:rFonts w:ascii="Arial" w:hAnsi="Arial" w:cs="Arial"/>
      <w:noProof/>
      <w:sz w:val="22"/>
      <w:szCs w:val="22"/>
      <w:lang w:val="en-AU" w:eastAsia="en-AU" w:bidi="ar-SA"/>
    </w:rPr>
  </w:style>
  <w:style w:type="character" w:customStyle="1" w:styleId="CharChar71">
    <w:name w:val="Char Char71"/>
    <w:rsid w:val="004A6F71"/>
    <w:rPr>
      <w:rFonts w:ascii="Arial" w:hAnsi="Arial" w:cs="Arial"/>
      <w:sz w:val="22"/>
      <w:szCs w:val="22"/>
      <w:lang w:val="en-AU" w:eastAsia="en-AU" w:bidi="ar-SA"/>
    </w:rPr>
  </w:style>
  <w:style w:type="character" w:customStyle="1" w:styleId="CharChar201">
    <w:name w:val="Char Char201"/>
    <w:semiHidden/>
    <w:locked/>
    <w:rsid w:val="004A6F71"/>
    <w:rPr>
      <w:rFonts w:ascii="Arial" w:hAnsi="Arial" w:cs="Arial"/>
      <w:b/>
      <w:bCs/>
      <w:sz w:val="24"/>
      <w:szCs w:val="26"/>
      <w:lang w:val="en-AU" w:eastAsia="en-AU" w:bidi="ar-SA"/>
    </w:rPr>
  </w:style>
  <w:style w:type="character" w:customStyle="1" w:styleId="CharChar191">
    <w:name w:val="Char Char191"/>
    <w:semiHidden/>
    <w:locked/>
    <w:rsid w:val="004A6F71"/>
    <w:rPr>
      <w:rFonts w:ascii="Arial" w:hAnsi="Arial" w:cs="Arial"/>
      <w:b/>
      <w:sz w:val="22"/>
      <w:szCs w:val="22"/>
      <w:lang w:val="en-AU" w:eastAsia="en-AU" w:bidi="ar-SA"/>
    </w:rPr>
  </w:style>
  <w:style w:type="character" w:customStyle="1" w:styleId="CharChar161">
    <w:name w:val="Char Char161"/>
    <w:semiHidden/>
    <w:locked/>
    <w:rsid w:val="004A6F71"/>
    <w:rPr>
      <w:sz w:val="24"/>
      <w:szCs w:val="24"/>
      <w:lang w:val="en-AU" w:eastAsia="en-AU" w:bidi="ar-SA"/>
    </w:rPr>
  </w:style>
  <w:style w:type="character" w:customStyle="1" w:styleId="CharChar111">
    <w:name w:val="Char Char111"/>
    <w:semiHidden/>
    <w:locked/>
    <w:rsid w:val="004A6F71"/>
    <w:rPr>
      <w:rFonts w:ascii="Arial" w:hAnsi="Arial" w:cs="Arial"/>
      <w:sz w:val="15"/>
      <w:szCs w:val="15"/>
      <w:lang w:val="en-AU" w:eastAsia="en-AU" w:bidi="ar-SA"/>
    </w:rPr>
  </w:style>
  <w:style w:type="character" w:customStyle="1" w:styleId="CharChar101">
    <w:name w:val="Char Char101"/>
    <w:semiHidden/>
    <w:locked/>
    <w:rsid w:val="004A6F71"/>
    <w:rPr>
      <w:rFonts w:ascii="Arial" w:hAnsi="Arial" w:cs="Arial"/>
      <w:lang w:val="en-AU" w:eastAsia="en-AU" w:bidi="ar-SA"/>
    </w:rPr>
  </w:style>
  <w:style w:type="character" w:customStyle="1" w:styleId="CharChar221">
    <w:name w:val="Char Char221"/>
    <w:locked/>
    <w:rsid w:val="004A6F71"/>
    <w:rPr>
      <w:rFonts w:ascii="Arial" w:hAnsi="Arial" w:cs="Arial"/>
      <w:bCs/>
      <w:caps/>
      <w:kern w:val="36"/>
      <w:sz w:val="36"/>
      <w:szCs w:val="36"/>
      <w:lang w:val="en-AU" w:eastAsia="en-AU" w:bidi="ar-SA"/>
    </w:rPr>
  </w:style>
  <w:style w:type="character" w:customStyle="1" w:styleId="CharChar211">
    <w:name w:val="Char Char211"/>
    <w:semiHidden/>
    <w:locked/>
    <w:rsid w:val="004A6F71"/>
    <w:rPr>
      <w:rFonts w:ascii="Arial" w:hAnsi="Arial" w:cs="Arial"/>
      <w:b/>
      <w:bCs/>
      <w:iCs/>
      <w:caps/>
      <w:kern w:val="36"/>
      <w:sz w:val="24"/>
      <w:szCs w:val="28"/>
      <w:lang w:val="en-AU" w:eastAsia="en-AU" w:bidi="ar-SA"/>
    </w:rPr>
  </w:style>
  <w:style w:type="character" w:customStyle="1" w:styleId="CharChar181">
    <w:name w:val="Char Char181"/>
    <w:semiHidden/>
    <w:locked/>
    <w:rsid w:val="004A6F71"/>
    <w:rPr>
      <w:rFonts w:ascii="Arial" w:hAnsi="Arial"/>
      <w:b/>
      <w:bCs/>
      <w:i/>
      <w:iCs/>
      <w:sz w:val="26"/>
      <w:szCs w:val="26"/>
      <w:lang w:val="en-AU" w:eastAsia="en-AU" w:bidi="ar-SA"/>
    </w:rPr>
  </w:style>
  <w:style w:type="character" w:customStyle="1" w:styleId="CharChar171">
    <w:name w:val="Char Char171"/>
    <w:semiHidden/>
    <w:locked/>
    <w:rsid w:val="004A6F71"/>
    <w:rPr>
      <w:b/>
      <w:bCs/>
      <w:sz w:val="22"/>
      <w:szCs w:val="22"/>
      <w:lang w:val="en-AU" w:eastAsia="en-AU" w:bidi="ar-SA"/>
    </w:rPr>
  </w:style>
  <w:style w:type="character" w:customStyle="1" w:styleId="CharChar151">
    <w:name w:val="Char Char151"/>
    <w:semiHidden/>
    <w:locked/>
    <w:rsid w:val="004A6F71"/>
    <w:rPr>
      <w:i/>
      <w:iCs/>
      <w:sz w:val="24"/>
      <w:szCs w:val="24"/>
      <w:lang w:val="en-AU" w:eastAsia="en-AU" w:bidi="ar-SA"/>
    </w:rPr>
  </w:style>
  <w:style w:type="character" w:customStyle="1" w:styleId="CharChar141">
    <w:name w:val="Char Char141"/>
    <w:semiHidden/>
    <w:locked/>
    <w:rsid w:val="004A6F71"/>
    <w:rPr>
      <w:rFonts w:ascii="Arial" w:hAnsi="Arial" w:cs="Arial"/>
      <w:sz w:val="22"/>
      <w:szCs w:val="22"/>
      <w:lang w:val="en-AU" w:eastAsia="en-AU" w:bidi="ar-SA"/>
    </w:rPr>
  </w:style>
  <w:style w:type="character" w:customStyle="1" w:styleId="CharChar131">
    <w:name w:val="Char Char131"/>
    <w:semiHidden/>
    <w:locked/>
    <w:rsid w:val="004A6F71"/>
    <w:rPr>
      <w:rFonts w:ascii="Tahoma" w:hAnsi="Tahoma" w:cs="Tahoma"/>
      <w:sz w:val="16"/>
      <w:szCs w:val="16"/>
      <w:lang w:val="en-AU" w:eastAsia="en-AU" w:bidi="ar-SA"/>
    </w:rPr>
  </w:style>
  <w:style w:type="character" w:customStyle="1" w:styleId="CharChar121">
    <w:name w:val="Char Char121"/>
    <w:semiHidden/>
    <w:locked/>
    <w:rsid w:val="004A6F71"/>
    <w:rPr>
      <w:rFonts w:ascii="Tahoma" w:hAnsi="Tahoma" w:cs="Tahoma"/>
      <w:lang w:val="en-AU" w:eastAsia="en-AU" w:bidi="ar-SA"/>
    </w:rPr>
  </w:style>
  <w:style w:type="character" w:customStyle="1" w:styleId="CharChar61">
    <w:name w:val="Char Char61"/>
    <w:semiHidden/>
    <w:locked/>
    <w:rsid w:val="004A6F71"/>
    <w:rPr>
      <w:rFonts w:ascii="Arial" w:hAnsi="Arial"/>
      <w:lang w:val="en-AU" w:eastAsia="en-AU" w:bidi="ar-SA"/>
    </w:rPr>
  </w:style>
  <w:style w:type="character" w:customStyle="1" w:styleId="CharChar51">
    <w:name w:val="Char Char51"/>
    <w:semiHidden/>
    <w:locked/>
    <w:rsid w:val="004A6F71"/>
    <w:rPr>
      <w:rFonts w:ascii="Arial" w:hAnsi="Arial"/>
      <w:b/>
      <w:bCs/>
      <w:lang w:val="en-AU" w:eastAsia="en-AU" w:bidi="ar-SA"/>
    </w:rPr>
  </w:style>
  <w:style w:type="character" w:customStyle="1" w:styleId="CharChar41">
    <w:name w:val="Char Char41"/>
    <w:semiHidden/>
    <w:locked/>
    <w:rsid w:val="004A6F71"/>
    <w:rPr>
      <w:lang w:val="en-AU" w:eastAsia="en-AU" w:bidi="ar-SA"/>
    </w:rPr>
  </w:style>
  <w:style w:type="character" w:customStyle="1" w:styleId="CharChar24">
    <w:name w:val="Char Char24"/>
    <w:semiHidden/>
    <w:locked/>
    <w:rsid w:val="004A6F71"/>
    <w:rPr>
      <w:lang w:val="en-AU" w:eastAsia="en-AU" w:bidi="ar-SA"/>
    </w:rPr>
  </w:style>
  <w:style w:type="character" w:customStyle="1" w:styleId="CharChar110">
    <w:name w:val="Char Char110"/>
    <w:semiHidden/>
    <w:locked/>
    <w:rsid w:val="004A6F71"/>
    <w:rPr>
      <w:rFonts w:ascii="Arial" w:hAnsi="Arial"/>
      <w:sz w:val="18"/>
      <w:lang w:val="en-AU" w:eastAsia="en-AU" w:bidi="ar-SA"/>
    </w:rPr>
  </w:style>
  <w:style w:type="character" w:customStyle="1" w:styleId="CharChar23">
    <w:name w:val="Char Char23"/>
    <w:semiHidden/>
    <w:locked/>
    <w:rsid w:val="004A6F71"/>
    <w:rPr>
      <w:rFonts w:ascii="Arial" w:hAnsi="Arial" w:cs="Arial"/>
      <w:vanish/>
      <w:sz w:val="16"/>
      <w:szCs w:val="16"/>
      <w:lang w:val="en-AU" w:eastAsia="en-AU" w:bidi="ar-SA"/>
    </w:rPr>
  </w:style>
  <w:style w:type="character" w:customStyle="1" w:styleId="CharChar33">
    <w:name w:val="Char Char33"/>
    <w:rsid w:val="004A6F71"/>
    <w:rPr>
      <w:sz w:val="24"/>
      <w:szCs w:val="24"/>
      <w:lang w:val="en-AU" w:eastAsia="en-AU" w:bidi="ar-SA"/>
    </w:rPr>
  </w:style>
  <w:style w:type="table" w:customStyle="1" w:styleId="TableGrid11">
    <w:name w:val="Table Grid11"/>
    <w:basedOn w:val="TableNormal"/>
    <w:next w:val="TableGrid"/>
    <w:uiPriority w:val="59"/>
    <w:rsid w:val="004A6F71"/>
    <w:pPr>
      <w:spacing w:after="0" w:line="240" w:lineRule="auto"/>
    </w:pPr>
    <w:rPr>
      <w:rFonts w:ascii="Arial" w:eastAsia="Calibri" w:hAnsi="Arial"/>
      <w:color w:val="auto"/>
      <w:sz w:val="22"/>
      <w:szCs w:val="22"/>
    </w:rPr>
    <w:tblPr/>
  </w:style>
  <w:style w:type="numbering" w:customStyle="1" w:styleId="NoList2">
    <w:name w:val="No List2"/>
    <w:next w:val="NoList"/>
    <w:uiPriority w:val="99"/>
    <w:semiHidden/>
    <w:unhideWhenUsed/>
    <w:rsid w:val="004A6F71"/>
  </w:style>
  <w:style w:type="numbering" w:customStyle="1" w:styleId="NoList12">
    <w:name w:val="No List12"/>
    <w:next w:val="NoList"/>
    <w:semiHidden/>
    <w:rsid w:val="004A6F71"/>
  </w:style>
  <w:style w:type="table" w:customStyle="1" w:styleId="ATOTable2">
    <w:name w:val="ATOTable2"/>
    <w:basedOn w:val="TableGrid"/>
    <w:rsid w:val="004A6F71"/>
    <w:pPr>
      <w:spacing w:after="0" w:line="240" w:lineRule="auto"/>
    </w:pPr>
    <w:rPr>
      <w:rFonts w:ascii="Times New Roman" w:eastAsia="Times New Roman" w:hAnsi="Times New Roman"/>
      <w:color w:val="auto"/>
      <w:sz w:val="20"/>
      <w:lang w:val="en-AU" w:eastAsia="en-AU"/>
    </w:rPr>
    <w:tblPr/>
  </w:style>
  <w:style w:type="numbering" w:customStyle="1" w:styleId="1111112">
    <w:name w:val="1 / 1.1 / 1.1.12"/>
    <w:basedOn w:val="NoList"/>
    <w:next w:val="111111"/>
    <w:semiHidden/>
    <w:rsid w:val="004A6F71"/>
    <w:pPr>
      <w:numPr>
        <w:numId w:val="6"/>
      </w:numPr>
    </w:pPr>
  </w:style>
  <w:style w:type="numbering" w:customStyle="1" w:styleId="1ai2">
    <w:name w:val="1 / a / i2"/>
    <w:basedOn w:val="NoList"/>
    <w:next w:val="1ai"/>
    <w:semiHidden/>
    <w:rsid w:val="004A6F71"/>
    <w:pPr>
      <w:numPr>
        <w:numId w:val="5"/>
      </w:numPr>
    </w:pPr>
  </w:style>
  <w:style w:type="numbering" w:customStyle="1" w:styleId="ArticleSection2">
    <w:name w:val="Article / Section2"/>
    <w:basedOn w:val="NoList"/>
    <w:next w:val="ArticleSection"/>
    <w:semiHidden/>
    <w:rsid w:val="004A6F71"/>
    <w:pPr>
      <w:numPr>
        <w:numId w:val="9"/>
      </w:numPr>
    </w:pPr>
  </w:style>
  <w:style w:type="table" w:customStyle="1" w:styleId="ATOStructure2">
    <w:name w:val="ATOStructure2"/>
    <w:basedOn w:val="TableNormal"/>
    <w:rsid w:val="004A6F71"/>
    <w:pPr>
      <w:spacing w:after="0" w:line="240" w:lineRule="auto"/>
    </w:pPr>
    <w:rPr>
      <w:rFonts w:ascii="Times New Roman" w:eastAsia="Times New Roman" w:hAnsi="Times New Roman"/>
      <w:color w:val="auto"/>
      <w:lang w:eastAsia="en-AU"/>
    </w:rPr>
    <w:tblPr/>
  </w:style>
  <w:style w:type="character" w:customStyle="1" w:styleId="StyleBold">
    <w:name w:val="Style Bold"/>
    <w:rsid w:val="004A6F71"/>
    <w:rPr>
      <w:b/>
      <w:bCs/>
    </w:rPr>
  </w:style>
  <w:style w:type="character" w:customStyle="1" w:styleId="StyleItalic">
    <w:name w:val="Style Italic"/>
    <w:rsid w:val="004A6F71"/>
    <w:rPr>
      <w:i/>
      <w:iCs/>
    </w:rPr>
  </w:style>
  <w:style w:type="numbering" w:customStyle="1" w:styleId="NoList3">
    <w:name w:val="No List3"/>
    <w:next w:val="NoList"/>
    <w:uiPriority w:val="99"/>
    <w:semiHidden/>
    <w:unhideWhenUsed/>
    <w:rsid w:val="004A6F71"/>
  </w:style>
  <w:style w:type="numbering" w:customStyle="1" w:styleId="NoList4">
    <w:name w:val="No List4"/>
    <w:next w:val="NoList"/>
    <w:uiPriority w:val="99"/>
    <w:semiHidden/>
    <w:unhideWhenUsed/>
    <w:rsid w:val="004A6F71"/>
  </w:style>
  <w:style w:type="numbering" w:customStyle="1" w:styleId="NoList5">
    <w:name w:val="No List5"/>
    <w:next w:val="NoList"/>
    <w:uiPriority w:val="99"/>
    <w:semiHidden/>
    <w:unhideWhenUsed/>
    <w:rsid w:val="004A6F71"/>
  </w:style>
  <w:style w:type="paragraph" w:customStyle="1" w:styleId="TableBullets1">
    <w:name w:val="Table Bullets 1"/>
    <w:basedOn w:val="TableText"/>
    <w:uiPriority w:val="20"/>
    <w:semiHidden/>
    <w:qFormat/>
    <w:rsid w:val="004A6F71"/>
    <w:pPr>
      <w:numPr>
        <w:ilvl w:val="6"/>
        <w:numId w:val="23"/>
      </w:numPr>
      <w:adjustRightInd/>
      <w:snapToGrid/>
      <w:spacing w:before="85" w:after="0"/>
      <w:ind w:right="227"/>
    </w:pPr>
    <w:rPr>
      <w:rFonts w:ascii="Arial" w:eastAsiaTheme="minorHAnsi" w:hAnsi="Arial"/>
      <w:color w:val="000000"/>
      <w:sz w:val="22"/>
      <w:szCs w:val="20"/>
    </w:rPr>
  </w:style>
  <w:style w:type="paragraph" w:customStyle="1" w:styleId="TableBullets2">
    <w:name w:val="Table Bullets 2"/>
    <w:basedOn w:val="TableText"/>
    <w:uiPriority w:val="20"/>
    <w:semiHidden/>
    <w:qFormat/>
    <w:rsid w:val="004A6F71"/>
    <w:pPr>
      <w:numPr>
        <w:ilvl w:val="7"/>
        <w:numId w:val="23"/>
      </w:numPr>
      <w:adjustRightInd/>
      <w:snapToGrid/>
      <w:spacing w:before="85" w:after="0"/>
      <w:ind w:right="227"/>
    </w:pPr>
    <w:rPr>
      <w:rFonts w:ascii="Arial" w:eastAsiaTheme="minorHAnsi" w:hAnsi="Arial"/>
      <w:color w:val="000000"/>
      <w:sz w:val="22"/>
      <w:szCs w:val="20"/>
    </w:rPr>
  </w:style>
  <w:style w:type="paragraph" w:customStyle="1" w:styleId="TableBullets3">
    <w:name w:val="Table Bullets 3"/>
    <w:basedOn w:val="TableText"/>
    <w:uiPriority w:val="20"/>
    <w:semiHidden/>
    <w:qFormat/>
    <w:rsid w:val="004A6F71"/>
    <w:pPr>
      <w:numPr>
        <w:ilvl w:val="8"/>
        <w:numId w:val="23"/>
      </w:numPr>
      <w:adjustRightInd/>
      <w:snapToGrid/>
      <w:spacing w:before="57" w:after="0"/>
      <w:ind w:right="227"/>
    </w:pPr>
    <w:rPr>
      <w:rFonts w:ascii="Arial" w:eastAsiaTheme="minorHAnsi" w:hAnsi="Arial"/>
      <w:color w:val="000000"/>
      <w:sz w:val="22"/>
      <w:szCs w:val="20"/>
    </w:rPr>
  </w:style>
  <w:style w:type="paragraph" w:customStyle="1" w:styleId="Bullets1">
    <w:name w:val="Bullets 1"/>
    <w:basedOn w:val="BodyText"/>
    <w:uiPriority w:val="1"/>
    <w:qFormat/>
    <w:rsid w:val="004A6F71"/>
    <w:pPr>
      <w:numPr>
        <w:numId w:val="23"/>
      </w:numPr>
      <w:spacing w:before="85" w:line="280" w:lineRule="atLeast"/>
      <w:ind w:left="1080" w:hanging="360"/>
    </w:pPr>
    <w:rPr>
      <w:rFonts w:eastAsiaTheme="minorHAnsi"/>
      <w:color w:val="000000"/>
      <w:sz w:val="22"/>
      <w:lang w:eastAsia="en-US"/>
    </w:rPr>
  </w:style>
  <w:style w:type="paragraph" w:customStyle="1" w:styleId="Bullets2">
    <w:name w:val="Bullets 2"/>
    <w:basedOn w:val="BodyText"/>
    <w:uiPriority w:val="1"/>
    <w:qFormat/>
    <w:rsid w:val="004A6F71"/>
    <w:pPr>
      <w:numPr>
        <w:ilvl w:val="1"/>
        <w:numId w:val="23"/>
      </w:numPr>
      <w:spacing w:before="85" w:line="280" w:lineRule="atLeast"/>
      <w:ind w:left="1800" w:hanging="360"/>
    </w:pPr>
    <w:rPr>
      <w:rFonts w:eastAsiaTheme="minorHAnsi"/>
      <w:color w:val="000000"/>
      <w:sz w:val="22"/>
      <w:lang w:eastAsia="en-US"/>
    </w:rPr>
  </w:style>
  <w:style w:type="paragraph" w:customStyle="1" w:styleId="Bullets3">
    <w:name w:val="Bullets 3"/>
    <w:basedOn w:val="BodyText"/>
    <w:uiPriority w:val="1"/>
    <w:qFormat/>
    <w:rsid w:val="004A6F71"/>
    <w:pPr>
      <w:numPr>
        <w:ilvl w:val="2"/>
        <w:numId w:val="23"/>
      </w:numPr>
      <w:spacing w:before="57" w:line="280" w:lineRule="atLeast"/>
      <w:ind w:left="2520" w:hanging="360"/>
    </w:pPr>
    <w:rPr>
      <w:rFonts w:eastAsiaTheme="minorHAnsi"/>
      <w:color w:val="000000"/>
      <w:sz w:val="22"/>
      <w:lang w:eastAsia="en-US"/>
    </w:rPr>
  </w:style>
  <w:style w:type="paragraph" w:customStyle="1" w:styleId="Bulletedlist1">
    <w:name w:val="Bulleted list 1"/>
    <w:basedOn w:val="Normal"/>
    <w:qFormat/>
    <w:rsid w:val="004A6F71"/>
    <w:pPr>
      <w:numPr>
        <w:numId w:val="24"/>
      </w:numPr>
      <w:spacing w:before="200" w:after="0" w:line="240" w:lineRule="auto"/>
    </w:pPr>
    <w:rPr>
      <w:rFonts w:ascii="Arial" w:eastAsia="Times New Roman" w:hAnsi="Arial"/>
      <w:color w:val="auto"/>
      <w:sz w:val="22"/>
      <w:szCs w:val="24"/>
      <w:lang w:eastAsia="en-AU"/>
    </w:rPr>
  </w:style>
  <w:style w:type="paragraph" w:customStyle="1" w:styleId="Bulletedlist2">
    <w:name w:val="Bulleted list 2"/>
    <w:basedOn w:val="Bulletedlist1"/>
    <w:qFormat/>
    <w:rsid w:val="004A6F71"/>
    <w:pPr>
      <w:numPr>
        <w:ilvl w:val="1"/>
      </w:numPr>
    </w:pPr>
  </w:style>
  <w:style w:type="paragraph" w:customStyle="1" w:styleId="Bulletedlist3">
    <w:name w:val="Bulleted list 3"/>
    <w:basedOn w:val="Bulletedlist1"/>
    <w:qFormat/>
    <w:rsid w:val="004A6F71"/>
    <w:pPr>
      <w:numPr>
        <w:ilvl w:val="2"/>
      </w:numPr>
    </w:pPr>
  </w:style>
  <w:style w:type="character" w:customStyle="1" w:styleId="Heading1Char1">
    <w:name w:val="Heading 1 Char1"/>
    <w:aliases w:val="h1 Char Char,II+ Char Char,I Char Char,1 Char Char,H1 Char Char,H11 Char Char,H12 Char Char,H13 Char Char,H14 Char Char,H15 Char Char,H16 Char Char,H17 Char Char,temp Char Char,l1 Char Char,Head1 Char Char,Head Char Char,nu Char Char"/>
    <w:locked/>
    <w:rsid w:val="004A6F71"/>
    <w:rPr>
      <w:rFonts w:ascii="Arial" w:hAnsi="Arial" w:cs="Arial"/>
      <w:bCs/>
      <w:caps/>
      <w:kern w:val="36"/>
      <w:sz w:val="36"/>
      <w:szCs w:val="36"/>
    </w:rPr>
  </w:style>
  <w:style w:type="character" w:customStyle="1" w:styleId="Heading2Char1">
    <w:name w:val="Heading 2 Char1"/>
    <w:aliases w:val="Heading 2 Char1 Char Char,Heading 2 Char Char Char Char,h2 Char Char Char Char,A Char Char Char Char,2 Char Char Char Char,H2 Char Char Char Char,l2 Char Char Char Char,Head2 Char Char Char Char,Header 2 Char Char Char Char"/>
    <w:locked/>
    <w:rsid w:val="004A6F71"/>
    <w:rPr>
      <w:rFonts w:ascii="Arial" w:hAnsi="Arial" w:cs="Arial"/>
      <w:b/>
      <w:bCs/>
      <w:iCs/>
      <w:caps/>
      <w:kern w:val="36"/>
      <w:sz w:val="24"/>
      <w:szCs w:val="28"/>
    </w:rPr>
  </w:style>
  <w:style w:type="character" w:customStyle="1" w:styleId="Heading4Char1">
    <w:name w:val="Heading 4 Char1"/>
    <w:aliases w:val="Heading 4 Char3 Char,Heading 4 Char2 Char1 Char,Heading 4 Char1 Char Char1 Char,Map Title Char Char Char1 Char,h4 Char Char Char1 Char,a. Char Char Char1 Char,4 Char Char Char1 Char,l4 Char Char Char1 Char,I4 Char Char Char1 Char"/>
    <w:locked/>
    <w:rsid w:val="004A6F71"/>
    <w:rPr>
      <w:rFonts w:ascii="Arial" w:hAnsi="Arial" w:cs="Arial"/>
      <w:b/>
      <w:sz w:val="22"/>
      <w:szCs w:val="22"/>
    </w:rPr>
  </w:style>
  <w:style w:type="paragraph" w:customStyle="1" w:styleId="ListParagraph2">
    <w:name w:val="List Paragraph 2"/>
    <w:basedOn w:val="ListParagraph"/>
    <w:rsid w:val="004A6F71"/>
    <w:pPr>
      <w:tabs>
        <w:tab w:val="num" w:pos="340"/>
      </w:tabs>
      <w:spacing w:before="20" w:after="0" w:line="240" w:lineRule="auto"/>
      <w:ind w:left="340" w:hanging="170"/>
      <w:contextualSpacing w:val="0"/>
    </w:pPr>
    <w:rPr>
      <w:rFonts w:ascii="Arial" w:hAnsi="Arial" w:cstheme="minorBidi"/>
      <w:color w:val="auto"/>
      <w:w w:val="90"/>
      <w:sz w:val="24"/>
      <w:lang w:val="en-US"/>
    </w:rPr>
  </w:style>
  <w:style w:type="paragraph" w:customStyle="1" w:styleId="ListParagraph3">
    <w:name w:val="List Paragraph 3"/>
    <w:basedOn w:val="ListParagraph"/>
    <w:rsid w:val="004A6F71"/>
    <w:pPr>
      <w:tabs>
        <w:tab w:val="num" w:pos="510"/>
      </w:tabs>
      <w:spacing w:before="20" w:after="0" w:line="240" w:lineRule="auto"/>
      <w:ind w:left="510" w:hanging="170"/>
    </w:pPr>
    <w:rPr>
      <w:rFonts w:ascii="Arial" w:hAnsi="Arial" w:cstheme="minorBidi"/>
      <w:color w:val="auto"/>
      <w:w w:val="90"/>
      <w:sz w:val="24"/>
      <w:lang w:val="en-US"/>
    </w:rPr>
  </w:style>
  <w:style w:type="character" w:customStyle="1" w:styleId="Link-Bookmark">
    <w:name w:val="Link - Bookmark"/>
    <w:basedOn w:val="DefaultParagraphFont"/>
    <w:rsid w:val="004A6F71"/>
    <w:rPr>
      <w:color w:val="0000FF"/>
      <w:u w:val="single"/>
      <w:bdr w:val="none" w:sz="0" w:space="0" w:color="auto"/>
      <w:shd w:val="clear" w:color="auto" w:fill="FFCC99"/>
    </w:rPr>
  </w:style>
  <w:style w:type="paragraph" w:customStyle="1" w:styleId="Normalright">
    <w:name w:val="Normal right"/>
    <w:basedOn w:val="Normal"/>
    <w:rsid w:val="004A6F71"/>
    <w:pPr>
      <w:spacing w:before="200" w:after="0" w:line="240" w:lineRule="auto"/>
      <w:jc w:val="right"/>
    </w:pPr>
    <w:rPr>
      <w:rFonts w:ascii="Arial" w:eastAsia="Times New Roman" w:hAnsi="Arial"/>
      <w:color w:val="auto"/>
      <w:sz w:val="22"/>
      <w:szCs w:val="24"/>
      <w:lang w:eastAsia="en-AU"/>
    </w:rPr>
  </w:style>
  <w:style w:type="numbering" w:customStyle="1" w:styleId="11111121">
    <w:name w:val="1 / 1.1 / 1.1.121"/>
    <w:basedOn w:val="NoList"/>
    <w:next w:val="111111"/>
    <w:semiHidden/>
    <w:rsid w:val="004A6F71"/>
  </w:style>
  <w:style w:type="numbering" w:customStyle="1" w:styleId="11111122">
    <w:name w:val="1 / 1.1 / 1.1.122"/>
    <w:basedOn w:val="NoList"/>
    <w:next w:val="111111"/>
    <w:semiHidden/>
    <w:rsid w:val="004A6F71"/>
  </w:style>
  <w:style w:type="paragraph" w:customStyle="1" w:styleId="Numberedlistnumericstart1">
    <w:name w:val="Numbered list (numeric start) 1"/>
    <w:basedOn w:val="Normal"/>
    <w:qFormat/>
    <w:rsid w:val="004A6F71"/>
    <w:pPr>
      <w:numPr>
        <w:numId w:val="28"/>
      </w:numPr>
      <w:spacing w:before="200" w:after="0" w:line="240" w:lineRule="auto"/>
    </w:pPr>
    <w:rPr>
      <w:rFonts w:ascii="Arial" w:eastAsia="Times New Roman" w:hAnsi="Arial"/>
      <w:color w:val="auto"/>
      <w:sz w:val="22"/>
      <w:szCs w:val="24"/>
      <w:lang w:eastAsia="en-AU"/>
    </w:rPr>
  </w:style>
  <w:style w:type="paragraph" w:customStyle="1" w:styleId="Numberedlistnumericstart2">
    <w:name w:val="Numbered list (numeric start) 2"/>
    <w:basedOn w:val="Numberedlistnumericstart1"/>
    <w:qFormat/>
    <w:rsid w:val="004A6F71"/>
    <w:pPr>
      <w:numPr>
        <w:ilvl w:val="1"/>
      </w:numPr>
      <w:tabs>
        <w:tab w:val="num" w:pos="360"/>
      </w:tabs>
      <w:ind w:left="425" w:hanging="425"/>
    </w:pPr>
  </w:style>
  <w:style w:type="paragraph" w:customStyle="1" w:styleId="Numberedlistnumericstart3">
    <w:name w:val="Numbered list (numeric start) 3"/>
    <w:basedOn w:val="Numberedlistnumericstart1"/>
    <w:qFormat/>
    <w:rsid w:val="004A6F71"/>
    <w:pPr>
      <w:numPr>
        <w:ilvl w:val="2"/>
      </w:numPr>
      <w:tabs>
        <w:tab w:val="num" w:pos="360"/>
      </w:tabs>
      <w:ind w:left="425"/>
    </w:pPr>
  </w:style>
  <w:style w:type="paragraph" w:customStyle="1" w:styleId="Numberedlistnumericstart4">
    <w:name w:val="Numbered list (numeric start) 4"/>
    <w:basedOn w:val="Numberedlistnumericstart1"/>
    <w:qFormat/>
    <w:rsid w:val="004A6F71"/>
    <w:pPr>
      <w:numPr>
        <w:ilvl w:val="3"/>
      </w:numPr>
    </w:pPr>
  </w:style>
  <w:style w:type="paragraph" w:customStyle="1" w:styleId="Numberedlistnumericstart5">
    <w:name w:val="Numbered list (numeric start) 5"/>
    <w:basedOn w:val="Numberedlistnumericstart1"/>
    <w:qFormat/>
    <w:rsid w:val="004A6F71"/>
    <w:pPr>
      <w:numPr>
        <w:ilvl w:val="4"/>
      </w:numPr>
      <w:tabs>
        <w:tab w:val="num" w:pos="360"/>
      </w:tabs>
      <w:ind w:left="425"/>
    </w:pPr>
  </w:style>
  <w:style w:type="paragraph" w:customStyle="1" w:styleId="pbitem">
    <w:name w:val="pbitem"/>
    <w:basedOn w:val="Normal"/>
    <w:rsid w:val="004A6F71"/>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hgkelc">
    <w:name w:val="hgkelc"/>
    <w:basedOn w:val="DefaultParagraphFont"/>
    <w:rsid w:val="004A6F71"/>
  </w:style>
  <w:style w:type="character" w:customStyle="1" w:styleId="normaltextrun">
    <w:name w:val="normaltextrun"/>
    <w:basedOn w:val="DefaultParagraphFont"/>
    <w:rsid w:val="004A6F71"/>
  </w:style>
  <w:style w:type="character" w:customStyle="1" w:styleId="eop">
    <w:name w:val="eop"/>
    <w:basedOn w:val="DefaultParagraphFont"/>
    <w:rsid w:val="004A6F71"/>
  </w:style>
  <w:style w:type="character" w:styleId="Mention">
    <w:name w:val="Mention"/>
    <w:basedOn w:val="DefaultParagraphFont"/>
    <w:uiPriority w:val="99"/>
    <w:unhideWhenUsed/>
    <w:rsid w:val="008D49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112">
      <w:bodyDiv w:val="1"/>
      <w:marLeft w:val="0"/>
      <w:marRight w:val="0"/>
      <w:marTop w:val="0"/>
      <w:marBottom w:val="0"/>
      <w:divBdr>
        <w:top w:val="none" w:sz="0" w:space="0" w:color="auto"/>
        <w:left w:val="none" w:sz="0" w:space="0" w:color="auto"/>
        <w:bottom w:val="none" w:sz="0" w:space="0" w:color="auto"/>
        <w:right w:val="none" w:sz="0" w:space="0" w:color="auto"/>
      </w:divBdr>
    </w:div>
    <w:div w:id="113714285">
      <w:bodyDiv w:val="1"/>
      <w:marLeft w:val="0"/>
      <w:marRight w:val="0"/>
      <w:marTop w:val="0"/>
      <w:marBottom w:val="0"/>
      <w:divBdr>
        <w:top w:val="none" w:sz="0" w:space="0" w:color="auto"/>
        <w:left w:val="none" w:sz="0" w:space="0" w:color="auto"/>
        <w:bottom w:val="none" w:sz="0" w:space="0" w:color="auto"/>
        <w:right w:val="none" w:sz="0" w:space="0" w:color="auto"/>
      </w:divBdr>
    </w:div>
    <w:div w:id="168066647">
      <w:bodyDiv w:val="1"/>
      <w:marLeft w:val="0"/>
      <w:marRight w:val="0"/>
      <w:marTop w:val="0"/>
      <w:marBottom w:val="0"/>
      <w:divBdr>
        <w:top w:val="none" w:sz="0" w:space="0" w:color="auto"/>
        <w:left w:val="none" w:sz="0" w:space="0" w:color="auto"/>
        <w:bottom w:val="none" w:sz="0" w:space="0" w:color="auto"/>
        <w:right w:val="none" w:sz="0" w:space="0" w:color="auto"/>
      </w:divBdr>
    </w:div>
    <w:div w:id="204295533">
      <w:bodyDiv w:val="1"/>
      <w:marLeft w:val="0"/>
      <w:marRight w:val="0"/>
      <w:marTop w:val="0"/>
      <w:marBottom w:val="0"/>
      <w:divBdr>
        <w:top w:val="none" w:sz="0" w:space="0" w:color="auto"/>
        <w:left w:val="none" w:sz="0" w:space="0" w:color="auto"/>
        <w:bottom w:val="none" w:sz="0" w:space="0" w:color="auto"/>
        <w:right w:val="none" w:sz="0" w:space="0" w:color="auto"/>
      </w:divBdr>
    </w:div>
    <w:div w:id="441341638">
      <w:bodyDiv w:val="1"/>
      <w:marLeft w:val="0"/>
      <w:marRight w:val="0"/>
      <w:marTop w:val="0"/>
      <w:marBottom w:val="0"/>
      <w:divBdr>
        <w:top w:val="none" w:sz="0" w:space="0" w:color="auto"/>
        <w:left w:val="none" w:sz="0" w:space="0" w:color="auto"/>
        <w:bottom w:val="none" w:sz="0" w:space="0" w:color="auto"/>
        <w:right w:val="none" w:sz="0" w:space="0" w:color="auto"/>
      </w:divBdr>
    </w:div>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650183975">
      <w:bodyDiv w:val="1"/>
      <w:marLeft w:val="0"/>
      <w:marRight w:val="0"/>
      <w:marTop w:val="0"/>
      <w:marBottom w:val="0"/>
      <w:divBdr>
        <w:top w:val="none" w:sz="0" w:space="0" w:color="auto"/>
        <w:left w:val="none" w:sz="0" w:space="0" w:color="auto"/>
        <w:bottom w:val="none" w:sz="0" w:space="0" w:color="auto"/>
        <w:right w:val="none" w:sz="0" w:space="0" w:color="auto"/>
      </w:divBdr>
    </w:div>
    <w:div w:id="856040199">
      <w:bodyDiv w:val="1"/>
      <w:marLeft w:val="0"/>
      <w:marRight w:val="0"/>
      <w:marTop w:val="0"/>
      <w:marBottom w:val="0"/>
      <w:divBdr>
        <w:top w:val="none" w:sz="0" w:space="0" w:color="auto"/>
        <w:left w:val="none" w:sz="0" w:space="0" w:color="auto"/>
        <w:bottom w:val="none" w:sz="0" w:space="0" w:color="auto"/>
        <w:right w:val="none" w:sz="0" w:space="0" w:color="auto"/>
      </w:divBdr>
    </w:div>
    <w:div w:id="1205411787">
      <w:bodyDiv w:val="1"/>
      <w:marLeft w:val="0"/>
      <w:marRight w:val="0"/>
      <w:marTop w:val="0"/>
      <w:marBottom w:val="0"/>
      <w:divBdr>
        <w:top w:val="none" w:sz="0" w:space="0" w:color="auto"/>
        <w:left w:val="none" w:sz="0" w:space="0" w:color="auto"/>
        <w:bottom w:val="none" w:sz="0" w:space="0" w:color="auto"/>
        <w:right w:val="none" w:sz="0" w:space="0" w:color="auto"/>
      </w:divBdr>
    </w:div>
    <w:div w:id="1609463308">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 w:id="18721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to.gov.au/Forms/Annual-investment-income-report---Supplier-lodgment-declaration-form/" TargetMode="External"/><Relationship Id="rId26" Type="http://schemas.openxmlformats.org/officeDocument/2006/relationships/hyperlink" Target="https://onlineservices.ato.gov.au/onlineservices/" TargetMode="External"/><Relationship Id="rId39" Type="http://schemas.openxmlformats.org/officeDocument/2006/relationships/hyperlink" Target="https://www.ato.gov.au/business/venture-capital-and-early-stage-venture-capital-limited-partnerships/esvclp-tax-incentives-and-concessions/" TargetMode="External"/><Relationship Id="rId21" Type="http://schemas.openxmlformats.org/officeDocument/2006/relationships/hyperlink" Target="https://www.ato.gov.au/Business/Third-party-reporting/Annual-investment-income-report/" TargetMode="External"/><Relationship Id="rId34" Type="http://schemas.openxmlformats.org/officeDocument/2006/relationships/hyperlink" Target="https://www.ato.gov.au/law/view/document?Mode=type&amp;TOC=%2205%3AATO%20Guidelines%3ABy%20Type%3ALaw%20Companion%20Guidelines%3A2015%3A%230006%23LCG%202015%2F6%20-%20Attribution%20Managed%20Investment%20Trusts%26c%20character%20flow%20through%20for%20AMITs%3B%22&amp;DOCID=%22COG%2FLCG20156%2FNAT%2FATO%2F00001%22" TargetMode="External"/><Relationship Id="rId42" Type="http://schemas.openxmlformats.org/officeDocument/2006/relationships/hyperlink" Target="mailto:ato-dmi@ato.gov.au" TargetMode="External"/><Relationship Id="rId47" Type="http://schemas.openxmlformats.org/officeDocument/2006/relationships/hyperlink" Target="https://www.ato.gov.au/" TargetMode="External"/><Relationship Id="rId50" Type="http://schemas.openxmlformats.org/officeDocument/2006/relationships/header" Target="header1.xm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to-dmi@ato.gov.au?subject=Subscribe%20to%20AIIR%20news%20and%20updates" TargetMode="External"/><Relationship Id="rId20" Type="http://schemas.openxmlformats.org/officeDocument/2006/relationships/hyperlink" Target="mailto:ato-dmi@ato.gov.au" TargetMode="External"/><Relationship Id="rId29" Type="http://schemas.openxmlformats.org/officeDocument/2006/relationships/hyperlink" Target="https://www.ato.gov.au/General/International-tax-agreements/" TargetMode="External"/><Relationship Id="rId41" Type="http://schemas.openxmlformats.org/officeDocument/2006/relationships/hyperlink" Target="mailto:ato-dmi@ato.gov.au" TargetMode="External"/><Relationship Id="rId54" Type="http://schemas.openxmlformats.org/officeDocument/2006/relationships/header" Target="head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to.gov.au" TargetMode="External"/><Relationship Id="rId32" Type="http://schemas.openxmlformats.org/officeDocument/2006/relationships/hyperlink" Target="https://www.ato.gov.au/General/Trusts/In-detail/Managed-investment-trusts/Managed-investment-trusts---overview/?anchor=NewtaxsystemforMITs" TargetMode="External"/><Relationship Id="rId37" Type="http://schemas.openxmlformats.org/officeDocument/2006/relationships/hyperlink" Target="https://www.ato.gov.au/General/Trusts/In-detail/Managed-investment-trusts/Stapled-structures/" TargetMode="External"/><Relationship Id="rId40" Type="http://schemas.openxmlformats.org/officeDocument/2006/relationships/hyperlink" Target="https://www.ato.gov.au/forms-and-instructions/amma-statement-and-standard-distribution-statement-2026-instructions" TargetMode="External"/><Relationship Id="rId45" Type="http://schemas.openxmlformats.org/officeDocument/2006/relationships/hyperlink" Target="mailto:ato-dmi.gov.au" TargetMode="External"/><Relationship Id="rId53" Type="http://schemas.openxmlformats.org/officeDocument/2006/relationships/hyperlink" Target="http://www.ato.gov.au/filetransfer" TargetMode="External"/><Relationship Id="rId58"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oftwaredevelopers.ato.gov.au" TargetMode="External"/><Relationship Id="rId23" Type="http://schemas.openxmlformats.org/officeDocument/2006/relationships/hyperlink" Target="https://www.ato.gov.au/General/Online-services/Accessing-online-services-with-myGovID-and-RAM/?=redirected" TargetMode="External"/><Relationship Id="rId28" Type="http://schemas.openxmlformats.org/officeDocument/2006/relationships/hyperlink" Target="https://www.ato.gov.au/business/Junior-minerals-exploration-incentive/" TargetMode="External"/><Relationship Id="rId36" Type="http://schemas.openxmlformats.org/officeDocument/2006/relationships/hyperlink" Target="https://www.ato.gov.au/law/view/document?docid=COG/LCR20203/NAT/ATO/00001" TargetMode="External"/><Relationship Id="rId49" Type="http://schemas.openxmlformats.org/officeDocument/2006/relationships/hyperlink" Target="https://www.ato.gov.au/" TargetMode="External"/><Relationship Id="rId57" Type="http://schemas.openxmlformats.org/officeDocument/2006/relationships/footer" Target="footer3.xml"/><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to.gov.au/general/trusts/in-detail/managed-investment-trusts/managed-investment-trusts---overview/?anchor=WithholdingonfundpaymentsMITs" TargetMode="External"/><Relationship Id="rId31" Type="http://schemas.openxmlformats.org/officeDocument/2006/relationships/hyperlink" Target="https://www.ato.gov.au/Business/PAYG-withholding/In-detail/Withholding-from-a-foreign-resident/" TargetMode="External"/><Relationship Id="rId44" Type="http://schemas.openxmlformats.org/officeDocument/2006/relationships/hyperlink" Target="https://www.ato.gov.au/" TargetMode="External"/><Relationship Id="rId52" Type="http://schemas.openxmlformats.org/officeDocument/2006/relationships/header" Target="header2.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o.gov.au/general/ato-advice-and-guidance/" TargetMode="External"/><Relationship Id="rId22" Type="http://schemas.openxmlformats.org/officeDocument/2006/relationships/hyperlink" Target="https://softwaredevelopers.ato.gov.au/home" TargetMode="External"/><Relationship Id="rId27" Type="http://schemas.openxmlformats.org/officeDocument/2006/relationships/hyperlink" Target="https://www.ato.gov.au/General/Online-services/In-detail/File-transfer/" TargetMode="External"/><Relationship Id="rId30" Type="http://schemas.openxmlformats.org/officeDocument/2006/relationships/hyperlink" Target="https://www.ato.gov.au/General/International-tax-agreements/In-detail/Foreign-source-income-of-Australian-residents/Foreign-country-and-other-jurisdictional-codes/" TargetMode="External"/><Relationship Id="rId35" Type="http://schemas.openxmlformats.org/officeDocument/2006/relationships/hyperlink" Target="https://www.ato.gov.au/individuals-and-families/investments-and-assets/capital-gains-tax/property-and-capital-gains-tax/cgt-discount-for-affordable-housing" TargetMode="External"/><Relationship Id="rId43" Type="http://schemas.openxmlformats.org/officeDocument/2006/relationships/hyperlink" Target="mailto:ato-dmi@ato.gov.au" TargetMode="External"/><Relationship Id="rId48" Type="http://schemas.openxmlformats.org/officeDocument/2006/relationships/hyperlink" Target="https://www.ato.gov.au/Forms/Foreign-resident-capital-gains-withholding-purchaser-payment-online-notification/"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oftwaredevelopers.ato.gov.au/aiirspecifications" TargetMode="External"/><Relationship Id="rId25" Type="http://schemas.openxmlformats.org/officeDocument/2006/relationships/hyperlink" Target="https://onlineservices.ato.gov.au/business/" TargetMode="External"/><Relationship Id="rId33" Type="http://schemas.openxmlformats.org/officeDocument/2006/relationships/hyperlink" Target="https://www.ato.gov.au/General/Capital-gains-tax/Trusts/Attribution-managed-investment-trusts/" TargetMode="External"/><Relationship Id="rId38" Type="http://schemas.openxmlformats.org/officeDocument/2006/relationships/hyperlink" Target="https://www.ato.gov.au/Business/Tax-incentives-for-innovation/In-detail/Tax-incentives-for-early-stage-investors/" TargetMode="External"/><Relationship Id="rId46" Type="http://schemas.openxmlformats.org/officeDocument/2006/relationships/hyperlink" Target="https://www.ato.gov.au/Business/International-tax-for-business/In-detail/Australian-income-of-foreign-residents/Withholding-from-a-foreign-resident/" TargetMode="External"/><Relationship Id="rId59"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842B49581F41FEA1559CD6B6372808"/>
        <w:category>
          <w:name w:val="General"/>
          <w:gallery w:val="placeholder"/>
        </w:category>
        <w:types>
          <w:type w:val="bbPlcHdr"/>
        </w:types>
        <w:behaviors>
          <w:behavior w:val="content"/>
        </w:behaviors>
        <w:guid w:val="{1F19404B-7A63-4513-B93C-C8BC2D13B26A}"/>
      </w:docPartPr>
      <w:docPartBody>
        <w:p w:rsidR="006D2789" w:rsidRDefault="00857F50">
          <w:pPr>
            <w:pStyle w:val="95842B49581F41FEA1559CD6B6372808"/>
          </w:pPr>
          <w:r w:rsidRPr="00BE2B8B">
            <w:t>Choose a Cover</w:t>
          </w:r>
        </w:p>
      </w:docPartBody>
    </w:docPart>
    <w:docPart>
      <w:docPartPr>
        <w:name w:val="849D32A69AF94FD6A97F39C7A74C6A29"/>
        <w:category>
          <w:name w:val="General"/>
          <w:gallery w:val="placeholder"/>
        </w:category>
        <w:types>
          <w:type w:val="bbPlcHdr"/>
        </w:types>
        <w:behaviors>
          <w:behavior w:val="content"/>
        </w:behaviors>
        <w:guid w:val="{CC619333-2A83-4D83-8D1E-905C2349E6AD}"/>
      </w:docPartPr>
      <w:docPartBody>
        <w:p w:rsidR="00A74562" w:rsidRDefault="00E22C0A">
          <w:pPr>
            <w:pStyle w:val="849D32A69AF94FD6A97F39C7A74C6A29"/>
          </w:pPr>
          <w:r w:rsidRPr="00D91596">
            <w:t xml:space="preserve">Click to enter </w:t>
          </w:r>
          <w:r>
            <w:t>d</w:t>
          </w:r>
          <w:r w:rsidRPr="00D91596">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80"/>
    <w:family w:val="auto"/>
    <w:notTrueType/>
    <w:pitch w:val="default"/>
    <w:sig w:usb0="00000001" w:usb1="08070000" w:usb2="00000010" w:usb3="00000000" w:csb0="00020000" w:csb1="00000000"/>
  </w:font>
  <w:font w:name="ヒラギノ角ゴ Pro W3">
    <w:charset w:val="80"/>
    <w:family w:val="auto"/>
    <w:pitch w:val="variable"/>
    <w:sig w:usb0="00000001" w:usb1="00000000" w:usb2="01000407" w:usb3="00000000" w:csb0="0002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AC"/>
    <w:rsid w:val="00005C6A"/>
    <w:rsid w:val="00024BC4"/>
    <w:rsid w:val="00060B54"/>
    <w:rsid w:val="000826B1"/>
    <w:rsid w:val="00085D8C"/>
    <w:rsid w:val="001A0FC3"/>
    <w:rsid w:val="001F2BFF"/>
    <w:rsid w:val="00210BB1"/>
    <w:rsid w:val="00217661"/>
    <w:rsid w:val="00230005"/>
    <w:rsid w:val="00246AA7"/>
    <w:rsid w:val="00296CAC"/>
    <w:rsid w:val="002A65CE"/>
    <w:rsid w:val="00316827"/>
    <w:rsid w:val="00342A03"/>
    <w:rsid w:val="00365F9D"/>
    <w:rsid w:val="0037133A"/>
    <w:rsid w:val="003A57F5"/>
    <w:rsid w:val="003C4B0B"/>
    <w:rsid w:val="00460549"/>
    <w:rsid w:val="0047609F"/>
    <w:rsid w:val="00480B52"/>
    <w:rsid w:val="004974AA"/>
    <w:rsid w:val="004F2453"/>
    <w:rsid w:val="004F3503"/>
    <w:rsid w:val="005605E7"/>
    <w:rsid w:val="005C43E9"/>
    <w:rsid w:val="00607540"/>
    <w:rsid w:val="00670038"/>
    <w:rsid w:val="006A18FA"/>
    <w:rsid w:val="006D2789"/>
    <w:rsid w:val="00720E5A"/>
    <w:rsid w:val="00723794"/>
    <w:rsid w:val="00733D11"/>
    <w:rsid w:val="00753AE8"/>
    <w:rsid w:val="007A4056"/>
    <w:rsid w:val="007A6BD1"/>
    <w:rsid w:val="007E291B"/>
    <w:rsid w:val="008122DF"/>
    <w:rsid w:val="00857F50"/>
    <w:rsid w:val="00884C26"/>
    <w:rsid w:val="008A35A0"/>
    <w:rsid w:val="008C57A1"/>
    <w:rsid w:val="00957424"/>
    <w:rsid w:val="00990F23"/>
    <w:rsid w:val="009E03F6"/>
    <w:rsid w:val="00A61682"/>
    <w:rsid w:val="00A62E70"/>
    <w:rsid w:val="00A74562"/>
    <w:rsid w:val="00A82BAB"/>
    <w:rsid w:val="00A9396F"/>
    <w:rsid w:val="00AA228E"/>
    <w:rsid w:val="00AB086F"/>
    <w:rsid w:val="00AE546E"/>
    <w:rsid w:val="00B124E2"/>
    <w:rsid w:val="00B24308"/>
    <w:rsid w:val="00B3358F"/>
    <w:rsid w:val="00BC28DB"/>
    <w:rsid w:val="00BC718F"/>
    <w:rsid w:val="00C16889"/>
    <w:rsid w:val="00C74477"/>
    <w:rsid w:val="00CB4EFA"/>
    <w:rsid w:val="00CC58D3"/>
    <w:rsid w:val="00CE6D10"/>
    <w:rsid w:val="00CF0DF6"/>
    <w:rsid w:val="00D07984"/>
    <w:rsid w:val="00D76366"/>
    <w:rsid w:val="00DA5A8A"/>
    <w:rsid w:val="00DF7D1B"/>
    <w:rsid w:val="00E22C0A"/>
    <w:rsid w:val="00E76A69"/>
    <w:rsid w:val="00E9614E"/>
    <w:rsid w:val="00EC4B38"/>
    <w:rsid w:val="00EE24E4"/>
    <w:rsid w:val="00F06B9E"/>
    <w:rsid w:val="00FB3A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42B49581F41FEA1559CD6B6372808">
    <w:name w:val="95842B49581F41FEA1559CD6B6372808"/>
  </w:style>
  <w:style w:type="paragraph" w:customStyle="1" w:styleId="849D32A69AF94FD6A97F39C7A74C6A29">
    <w:name w:val="849D32A69AF94FD6A97F39C7A74C6A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9D469A"/>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a:srgbClr val="EF4043"/>
    </a:custClr>
    <a:custClr>
      <a:srgbClr val="E5690B"/>
    </a:custClr>
    <a:custClr>
      <a:srgbClr val="FFD650"/>
    </a:custClr>
    <a:custClr>
      <a:srgbClr val="D699D6"/>
    </a:custClr>
    <a:custClr>
      <a:srgbClr val="52BAAD"/>
    </a:custClr>
    <a:custClr>
      <a:srgbClr val="9CDCF8"/>
    </a:custClr>
    <a:custClr>
      <a:srgbClr val="F78C6A"/>
    </a:custClr>
    <a:custClr>
      <a:srgbClr val="781E9A"/>
    </a:custClr>
    <a:custClr>
      <a:srgbClr val="0D6974"/>
    </a:custClr>
    <a:custClr>
      <a:srgbClr val="005CD5"/>
    </a:custClr>
    <a:custClr>
      <a:srgbClr val="881D3F"/>
    </a:custClr>
    <a:custClr>
      <a:srgbClr val="E74C1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7d94f6ad-564b-48bd-8558-4d896529ce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9CA3C25FA6B43817EECB46C704EE9" ma:contentTypeVersion="13" ma:contentTypeDescription="Create a new document." ma:contentTypeScope="" ma:versionID="74283925b6aeb57f54949fd364984216">
  <xsd:schema xmlns:xsd="http://www.w3.org/2001/XMLSchema" xmlns:xs="http://www.w3.org/2001/XMLSchema" xmlns:p="http://schemas.microsoft.com/office/2006/metadata/properties" xmlns:ns2="7d94f6ad-564b-48bd-8558-4d896529ce50" xmlns:ns3="86b97a27-27b2-4d84-8e55-7760fb195da9" targetNamespace="http://schemas.microsoft.com/office/2006/metadata/properties" ma:root="true" ma:fieldsID="c012cd41e5953903f9a54e020c1798b3" ns2:_="" ns3:_="">
    <xsd:import namespace="7d94f6ad-564b-48bd-8558-4d896529ce50"/>
    <xsd:import namespace="86b97a27-27b2-4d84-8e55-7760fb195d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4f6ad-564b-48bd-8558-4d896529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Note" ma:index="16" nillable="true" ma:displayName="Note" ma:format="Dropdown" ma:internalName="Note">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b97a27-27b2-4d84-8e55-7760fb195d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Props1.xml><?xml version="1.0" encoding="utf-8"?>
<ds:datastoreItem xmlns:ds="http://schemas.openxmlformats.org/officeDocument/2006/customXml" ds:itemID="{05902126-B875-4EFC-910C-F69C7AB3E3A0}">
  <ds:schemaRefs>
    <ds:schemaRef ds:uri="86b97a27-27b2-4d84-8e55-7760fb195da9"/>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7d94f6ad-564b-48bd-8558-4d896529ce50"/>
    <ds:schemaRef ds:uri="http://www.w3.org/XML/1998/namespace"/>
  </ds:schemaRefs>
</ds:datastoreItem>
</file>

<file path=customXml/itemProps2.xml><?xml version="1.0" encoding="utf-8"?>
<ds:datastoreItem xmlns:ds="http://schemas.openxmlformats.org/officeDocument/2006/customXml" ds:itemID="{4559096A-A277-4AB0-90B8-4124D22086BF}">
  <ds:schemaRefs>
    <ds:schemaRef ds:uri="http://schemas.microsoft.com/sharepoint/v3/contenttype/forms"/>
  </ds:schemaRefs>
</ds:datastoreItem>
</file>

<file path=customXml/itemProps3.xml><?xml version="1.0" encoding="utf-8"?>
<ds:datastoreItem xmlns:ds="http://schemas.openxmlformats.org/officeDocument/2006/customXml" ds:itemID="{E54E064A-5EF5-4101-BB0D-D6D7FAAEB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4f6ad-564b-48bd-8558-4d896529ce50"/>
    <ds:schemaRef ds:uri="86b97a27-27b2-4d84-8e55-7760fb195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168</Pages>
  <Words>49234</Words>
  <Characters>280639</Characters>
  <DocSecurity>0</DocSecurity>
  <Lines>2338</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2026-06-05T14:02:00Z</dcterms:created>
  <dcterms:modified xsi:type="dcterms:W3CDTF">2026-06-12T11:33:00Z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11c204-3025-4293-a668-517002c3f023_Enabled">
    <vt:lpwstr>true</vt:lpwstr>
  </property>
  <property fmtid="{D5CDD505-2E9C-101B-9397-08002B2CF9AE}" pid="3" name="MSIP_Label_c111c204-3025-4293-a668-517002c3f023_SetDate">
    <vt:lpwstr>2025-08-15T03:58:56Z</vt:lpwstr>
  </property>
  <property fmtid="{D5CDD505-2E9C-101B-9397-08002B2CF9AE}" pid="4" name="MSIP_Label_c111c204-3025-4293-a668-517002c3f023_Method">
    <vt:lpwstr>Privileged</vt:lpwstr>
  </property>
  <property fmtid="{D5CDD505-2E9C-101B-9397-08002B2CF9AE}" pid="5" name="MSIP_Label_c111c204-3025-4293-a668-517002c3f023_Name">
    <vt:lpwstr>OFFICIAL</vt:lpwstr>
  </property>
  <property fmtid="{D5CDD505-2E9C-101B-9397-08002B2CF9AE}" pid="6" name="MSIP_Label_c111c204-3025-4293-a668-517002c3f023_SiteId">
    <vt:lpwstr>8e823e99-cbcb-430f-a0f6-af1365c21e22</vt:lpwstr>
  </property>
  <property fmtid="{D5CDD505-2E9C-101B-9397-08002B2CF9AE}" pid="7" name="MSIP_Label_c111c204-3025-4293-a668-517002c3f023_ActionId">
    <vt:lpwstr>0f7e77da-122e-4f39-bb4d-900498429cfd</vt:lpwstr>
  </property>
  <property fmtid="{D5CDD505-2E9C-101B-9397-08002B2CF9AE}" pid="8" name="MSIP_Label_c111c204-3025-4293-a668-517002c3f023_ContentBits">
    <vt:lpwstr>3</vt:lpwstr>
  </property>
  <property fmtid="{D5CDD505-2E9C-101B-9397-08002B2CF9AE}" pid="9" name="ContentTypeId">
    <vt:lpwstr>0x0101004DE9CA3C25FA6B43817EECB46C704EE9</vt:lpwstr>
  </property>
  <property fmtid="{D5CDD505-2E9C-101B-9397-08002B2CF9AE}" pid="10" name="IsABRSLetter">
    <vt:bool>false</vt:bool>
  </property>
</Properties>
</file>